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8136F" w14:textId="77777777" w:rsidR="00816D21" w:rsidRPr="008E4247" w:rsidRDefault="00354D72" w:rsidP="00801FB7">
      <w:pPr>
        <w:suppressAutoHyphens/>
        <w:ind w:firstLine="0"/>
        <w:jc w:val="center"/>
        <w:rPr>
          <w:smallCaps/>
          <w:sz w:val="36"/>
          <w:szCs w:val="36"/>
        </w:rPr>
      </w:pPr>
      <w:bookmarkStart w:id="0" w:name="OLE_LINK2"/>
      <w:bookmarkStart w:id="1" w:name="OLE_LINK1"/>
      <w:r w:rsidRPr="00354D72">
        <w:rPr>
          <w:b/>
          <w:sz w:val="36"/>
          <w:szCs w:val="36"/>
        </w:rPr>
        <w:t>Why this Union?</w:t>
      </w:r>
      <w:r w:rsidR="00801FB7" w:rsidRPr="008E4247">
        <w:rPr>
          <w:smallCaps/>
          <w:sz w:val="36"/>
          <w:szCs w:val="36"/>
        </w:rPr>
        <w:t xml:space="preserve"> </w:t>
      </w:r>
    </w:p>
    <w:p w14:paraId="78DE75AB" w14:textId="789649C4" w:rsidR="008E4247" w:rsidRPr="00C763F7" w:rsidRDefault="008D1D1B" w:rsidP="00801FB7">
      <w:pPr>
        <w:suppressAutoHyphens/>
        <w:ind w:firstLine="0"/>
        <w:jc w:val="center"/>
        <w:rPr>
          <w:smallCaps/>
          <w:sz w:val="28"/>
          <w:szCs w:val="28"/>
        </w:rPr>
      </w:pPr>
      <w:r>
        <w:rPr>
          <w:b/>
          <w:sz w:val="32"/>
          <w:szCs w:val="32"/>
        </w:rPr>
        <w:t>Shifting from an inter</w:t>
      </w:r>
      <w:r w:rsidR="00354D72">
        <w:rPr>
          <w:b/>
          <w:sz w:val="32"/>
          <w:szCs w:val="32"/>
        </w:rPr>
        <w:t>government</w:t>
      </w:r>
      <w:r>
        <w:rPr>
          <w:b/>
          <w:sz w:val="32"/>
          <w:szCs w:val="32"/>
        </w:rPr>
        <w:t>al</w:t>
      </w:r>
      <w:r w:rsidR="00354D72">
        <w:rPr>
          <w:b/>
          <w:sz w:val="32"/>
          <w:szCs w:val="32"/>
        </w:rPr>
        <w:t xml:space="preserve"> </w:t>
      </w:r>
      <w:r>
        <w:rPr>
          <w:b/>
          <w:sz w:val="32"/>
          <w:szCs w:val="32"/>
        </w:rPr>
        <w:t>scheme to a delegated federation: t</w:t>
      </w:r>
      <w:r w:rsidR="00354D72" w:rsidRPr="00354D72">
        <w:rPr>
          <w:b/>
          <w:sz w:val="32"/>
          <w:szCs w:val="32"/>
        </w:rPr>
        <w:t>he case of European integration.</w:t>
      </w:r>
    </w:p>
    <w:p w14:paraId="095513FD" w14:textId="2AB4AB74" w:rsidR="009F0B29" w:rsidRPr="009F0B29" w:rsidRDefault="002A5703" w:rsidP="00043966">
      <w:pPr>
        <w:spacing w:before="600" w:after="200"/>
        <w:ind w:firstLine="0"/>
        <w:jc w:val="center"/>
        <w:rPr>
          <w:sz w:val="28"/>
          <w:szCs w:val="28"/>
        </w:rPr>
      </w:pPr>
      <w:r>
        <w:rPr>
          <w:sz w:val="28"/>
          <w:szCs w:val="28"/>
        </w:rPr>
        <w:t xml:space="preserve">A </w:t>
      </w:r>
      <w:r w:rsidR="009F0B29" w:rsidRPr="009F0B29">
        <w:rPr>
          <w:sz w:val="28"/>
          <w:szCs w:val="28"/>
        </w:rPr>
        <w:t>Research Paper presented by:</w:t>
      </w:r>
    </w:p>
    <w:p w14:paraId="1FEC95EC" w14:textId="77777777" w:rsidR="007046B3" w:rsidRPr="009F0B29" w:rsidRDefault="00354D72" w:rsidP="009F0B29">
      <w:pPr>
        <w:spacing w:before="200"/>
        <w:ind w:firstLine="0"/>
        <w:jc w:val="center"/>
        <w:rPr>
          <w:b/>
          <w:i/>
          <w:sz w:val="28"/>
          <w:szCs w:val="20"/>
        </w:rPr>
      </w:pPr>
      <w:r>
        <w:rPr>
          <w:b/>
          <w:i/>
          <w:sz w:val="28"/>
          <w:szCs w:val="20"/>
        </w:rPr>
        <w:t>Jorge Galindo Alfonso</w:t>
      </w:r>
    </w:p>
    <w:p w14:paraId="52403D60" w14:textId="5A84C038" w:rsidR="006C65AA" w:rsidRPr="009F0B29" w:rsidRDefault="00F155A7" w:rsidP="009F0B29">
      <w:pPr>
        <w:ind w:firstLine="0"/>
        <w:jc w:val="center"/>
        <w:rPr>
          <w:sz w:val="28"/>
        </w:rPr>
      </w:pPr>
      <w:r>
        <w:rPr>
          <w:sz w:val="28"/>
        </w:rPr>
        <w:t>(Spain)</w:t>
      </w:r>
    </w:p>
    <w:p w14:paraId="057F6006" w14:textId="1DB542DD" w:rsidR="009F0B29" w:rsidRPr="009F0B29" w:rsidRDefault="002A5703" w:rsidP="009F0B29">
      <w:pPr>
        <w:spacing w:before="500"/>
        <w:ind w:firstLine="0"/>
        <w:jc w:val="center"/>
        <w:rPr>
          <w:sz w:val="28"/>
          <w:szCs w:val="28"/>
        </w:rPr>
      </w:pPr>
      <w:proofErr w:type="gramStart"/>
      <w:r>
        <w:rPr>
          <w:sz w:val="28"/>
          <w:szCs w:val="28"/>
        </w:rPr>
        <w:t>in</w:t>
      </w:r>
      <w:proofErr w:type="gramEnd"/>
      <w:r>
        <w:rPr>
          <w:sz w:val="28"/>
          <w:szCs w:val="28"/>
        </w:rPr>
        <w:t xml:space="preserve"> partial fulfil</w:t>
      </w:r>
      <w:r w:rsidR="009F0B29" w:rsidRPr="009F0B29">
        <w:rPr>
          <w:sz w:val="28"/>
          <w:szCs w:val="28"/>
        </w:rPr>
        <w:t>ment of the requirements for obtaining the degree of</w:t>
      </w:r>
    </w:p>
    <w:p w14:paraId="029378FC" w14:textId="77777777" w:rsidR="009F0B29" w:rsidRPr="00043966" w:rsidRDefault="00043966" w:rsidP="009F0B29">
      <w:pPr>
        <w:ind w:firstLine="0"/>
        <w:jc w:val="center"/>
        <w:rPr>
          <w:smallCaps/>
          <w:sz w:val="26"/>
          <w:szCs w:val="26"/>
        </w:rPr>
      </w:pPr>
      <w:r w:rsidRPr="00043966">
        <w:rPr>
          <w:smallCaps/>
          <w:sz w:val="26"/>
          <w:szCs w:val="26"/>
        </w:rPr>
        <w:t>MASTERS OF ARTS IN DEVELOPMENT STUDIES</w:t>
      </w:r>
    </w:p>
    <w:p w14:paraId="6E9514DD" w14:textId="77777777" w:rsidR="009F0B29" w:rsidRPr="009F0B29" w:rsidRDefault="009F0B29" w:rsidP="00043966">
      <w:pPr>
        <w:spacing w:before="600" w:after="200"/>
        <w:ind w:firstLine="0"/>
        <w:jc w:val="center"/>
        <w:rPr>
          <w:sz w:val="28"/>
          <w:szCs w:val="28"/>
        </w:rPr>
      </w:pPr>
      <w:r w:rsidRPr="009F0B29">
        <w:rPr>
          <w:sz w:val="28"/>
          <w:szCs w:val="28"/>
        </w:rPr>
        <w:t>Specialization:</w:t>
      </w:r>
    </w:p>
    <w:p w14:paraId="684E60C4" w14:textId="77777777" w:rsidR="006C65AA" w:rsidRPr="009F0B29" w:rsidRDefault="00CC36C3" w:rsidP="009F0B29">
      <w:pPr>
        <w:ind w:firstLine="0"/>
        <w:jc w:val="center"/>
        <w:rPr>
          <w:b/>
          <w:sz w:val="28"/>
          <w:szCs w:val="28"/>
        </w:rPr>
      </w:pPr>
      <w:r w:rsidRPr="00CC36C3">
        <w:rPr>
          <w:b/>
          <w:sz w:val="28"/>
          <w:szCs w:val="28"/>
        </w:rPr>
        <w:t>Governance &amp; Democracy</w:t>
      </w:r>
    </w:p>
    <w:p w14:paraId="21E32123" w14:textId="77777777" w:rsidR="006C65AA" w:rsidRPr="00043966" w:rsidRDefault="00CC36C3" w:rsidP="009F0B29">
      <w:pPr>
        <w:ind w:firstLine="0"/>
        <w:jc w:val="center"/>
        <w:rPr>
          <w:sz w:val="28"/>
          <w:szCs w:val="28"/>
        </w:rPr>
      </w:pPr>
      <w:r>
        <w:rPr>
          <w:sz w:val="28"/>
          <w:szCs w:val="28"/>
        </w:rPr>
        <w:t>(G&amp;D)</w:t>
      </w:r>
    </w:p>
    <w:p w14:paraId="217AFEB4" w14:textId="77777777" w:rsidR="009F0B29" w:rsidRPr="009F0B29" w:rsidRDefault="00D87576" w:rsidP="009F0B29">
      <w:pPr>
        <w:spacing w:before="600" w:after="200"/>
        <w:ind w:firstLine="0"/>
        <w:jc w:val="center"/>
        <w:rPr>
          <w:sz w:val="28"/>
          <w:szCs w:val="28"/>
        </w:rPr>
      </w:pPr>
      <w:r>
        <w:rPr>
          <w:sz w:val="28"/>
          <w:szCs w:val="28"/>
        </w:rPr>
        <w:t>Members of the E</w:t>
      </w:r>
      <w:r w:rsidR="009F0B29" w:rsidRPr="009F0B29">
        <w:rPr>
          <w:sz w:val="28"/>
          <w:szCs w:val="28"/>
        </w:rPr>
        <w:t xml:space="preserve">xamining </w:t>
      </w:r>
      <w:r>
        <w:rPr>
          <w:sz w:val="28"/>
          <w:szCs w:val="28"/>
        </w:rPr>
        <w:t>C</w:t>
      </w:r>
      <w:r w:rsidR="009F0B29" w:rsidRPr="009F0B29">
        <w:rPr>
          <w:sz w:val="28"/>
          <w:szCs w:val="28"/>
        </w:rPr>
        <w:t>ommittee:</w:t>
      </w:r>
    </w:p>
    <w:p w14:paraId="068A01B5" w14:textId="77777777" w:rsidR="00CC36C3" w:rsidRPr="00CC36C3" w:rsidRDefault="00CC36C3" w:rsidP="00CC36C3">
      <w:pPr>
        <w:ind w:firstLine="0"/>
        <w:jc w:val="center"/>
        <w:rPr>
          <w:sz w:val="28"/>
          <w:szCs w:val="28"/>
        </w:rPr>
      </w:pPr>
      <w:proofErr w:type="spellStart"/>
      <w:r w:rsidRPr="00CC36C3">
        <w:rPr>
          <w:sz w:val="28"/>
          <w:szCs w:val="28"/>
        </w:rPr>
        <w:t>Prof.</w:t>
      </w:r>
      <w:proofErr w:type="spellEnd"/>
      <w:r w:rsidRPr="00CC36C3">
        <w:rPr>
          <w:sz w:val="28"/>
          <w:szCs w:val="28"/>
        </w:rPr>
        <w:t xml:space="preserve"> Dr </w:t>
      </w:r>
      <w:proofErr w:type="spellStart"/>
      <w:r w:rsidRPr="00CC36C3">
        <w:rPr>
          <w:sz w:val="28"/>
          <w:szCs w:val="28"/>
        </w:rPr>
        <w:t>Karim</w:t>
      </w:r>
      <w:proofErr w:type="spellEnd"/>
      <w:r w:rsidRPr="00CC36C3">
        <w:rPr>
          <w:sz w:val="28"/>
          <w:szCs w:val="28"/>
        </w:rPr>
        <w:t xml:space="preserve"> </w:t>
      </w:r>
      <w:proofErr w:type="spellStart"/>
      <w:r w:rsidRPr="00CC36C3">
        <w:rPr>
          <w:sz w:val="28"/>
          <w:szCs w:val="28"/>
        </w:rPr>
        <w:t>Knio</w:t>
      </w:r>
      <w:proofErr w:type="spellEnd"/>
    </w:p>
    <w:p w14:paraId="777026B6" w14:textId="77777777" w:rsidR="00532F55" w:rsidRPr="009F0B29" w:rsidRDefault="00CC36C3" w:rsidP="00CC36C3">
      <w:pPr>
        <w:ind w:firstLine="0"/>
        <w:jc w:val="center"/>
        <w:rPr>
          <w:sz w:val="28"/>
          <w:szCs w:val="28"/>
        </w:rPr>
      </w:pPr>
      <w:proofErr w:type="spellStart"/>
      <w:r w:rsidRPr="00CC36C3">
        <w:rPr>
          <w:sz w:val="28"/>
          <w:szCs w:val="28"/>
        </w:rPr>
        <w:t>Prof.</w:t>
      </w:r>
      <w:proofErr w:type="spellEnd"/>
      <w:r w:rsidRPr="00CC36C3">
        <w:rPr>
          <w:sz w:val="28"/>
          <w:szCs w:val="28"/>
        </w:rPr>
        <w:t xml:space="preserve"> Dr </w:t>
      </w:r>
      <w:proofErr w:type="spellStart"/>
      <w:r w:rsidRPr="00CC36C3">
        <w:rPr>
          <w:sz w:val="28"/>
          <w:szCs w:val="28"/>
        </w:rPr>
        <w:t>Mansoob</w:t>
      </w:r>
      <w:proofErr w:type="spellEnd"/>
      <w:r w:rsidRPr="00CC36C3">
        <w:rPr>
          <w:sz w:val="28"/>
          <w:szCs w:val="28"/>
        </w:rPr>
        <w:t xml:space="preserve"> </w:t>
      </w:r>
      <w:proofErr w:type="spellStart"/>
      <w:r w:rsidRPr="00CC36C3">
        <w:rPr>
          <w:sz w:val="28"/>
          <w:szCs w:val="28"/>
        </w:rPr>
        <w:t>Murshed</w:t>
      </w:r>
      <w:proofErr w:type="spellEnd"/>
    </w:p>
    <w:p w14:paraId="248A0988" w14:textId="77777777" w:rsidR="009F0B29" w:rsidRPr="009F0B29" w:rsidRDefault="009F0B29" w:rsidP="009F0B29">
      <w:pPr>
        <w:spacing w:before="800"/>
        <w:ind w:firstLine="0"/>
        <w:jc w:val="center"/>
        <w:rPr>
          <w:sz w:val="28"/>
          <w:szCs w:val="28"/>
        </w:rPr>
      </w:pPr>
      <w:r w:rsidRPr="009F0B29">
        <w:rPr>
          <w:sz w:val="28"/>
          <w:szCs w:val="28"/>
        </w:rPr>
        <w:t>The Hague, The Netherlands</w:t>
      </w:r>
      <w:r w:rsidRPr="009F0B29">
        <w:rPr>
          <w:sz w:val="28"/>
          <w:szCs w:val="28"/>
        </w:rPr>
        <w:br/>
      </w:r>
      <w:r w:rsidR="00CC36C3">
        <w:rPr>
          <w:sz w:val="28"/>
          <w:szCs w:val="28"/>
        </w:rPr>
        <w:t>September</w:t>
      </w:r>
      <w:r w:rsidRPr="009F0B29">
        <w:rPr>
          <w:sz w:val="28"/>
          <w:szCs w:val="28"/>
        </w:rPr>
        <w:t xml:space="preserve"> </w:t>
      </w:r>
      <w:r w:rsidR="00043966">
        <w:rPr>
          <w:sz w:val="28"/>
          <w:szCs w:val="28"/>
        </w:rPr>
        <w:t>2012</w:t>
      </w:r>
    </w:p>
    <w:p w14:paraId="4BF6060C" w14:textId="77777777" w:rsidR="005E03E5" w:rsidRDefault="00532F55" w:rsidP="005E03E5">
      <w:pPr>
        <w:pStyle w:val="disclaimer"/>
        <w:spacing w:before="0"/>
        <w:rPr>
          <w:w w:val="115"/>
        </w:rPr>
      </w:pPr>
      <w:r w:rsidRPr="00F756EE">
        <w:rPr>
          <w:rFonts w:ascii="Garamond" w:hAnsi="Garamond"/>
          <w:sz w:val="28"/>
        </w:rPr>
        <w:br w:type="page"/>
      </w:r>
      <w:r w:rsidR="00354D72">
        <w:rPr>
          <w:noProof/>
          <w:lang w:val="en-US" w:eastAsia="en-US"/>
        </w:rPr>
        <w:lastRenderedPageBreak/>
        <w:drawing>
          <wp:anchor distT="0" distB="0" distL="114300" distR="114300" simplePos="0" relativeHeight="251655168" behindDoc="0" locked="0" layoutInCell="1" allowOverlap="1" wp14:anchorId="048DB0DA" wp14:editId="4AC650EB">
            <wp:simplePos x="0" y="0"/>
            <wp:positionH relativeFrom="margin">
              <wp:align>center</wp:align>
            </wp:positionH>
            <wp:positionV relativeFrom="margin">
              <wp:posOffset>2540</wp:posOffset>
            </wp:positionV>
            <wp:extent cx="7562850" cy="10687050"/>
            <wp:effectExtent l="0" t="0" r="6350" b="6350"/>
            <wp:wrapSquare wrapText="bothSides"/>
            <wp:docPr id="7" name="Picture 1386" descr="Description: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Description: discla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r w:rsidR="007046B3">
        <w:rPr>
          <w:w w:val="115"/>
        </w:rPr>
        <w:t xml:space="preserve"> </w:t>
      </w:r>
      <w:bookmarkStart w:id="2" w:name="_Toc107734852"/>
      <w:bookmarkStart w:id="3" w:name="_Toc108933433"/>
      <w:bookmarkStart w:id="4" w:name="_Toc113185740"/>
      <w:bookmarkStart w:id="5" w:name="_Toc113262573"/>
      <w:bookmarkStart w:id="6" w:name="_Toc113781548"/>
      <w:bookmarkStart w:id="7" w:name="_Toc113782436"/>
      <w:bookmarkStart w:id="8" w:name="_Toc113954668"/>
      <w:bookmarkStart w:id="9" w:name="_Toc113955661"/>
      <w:bookmarkStart w:id="10" w:name="_Toc114475363"/>
      <w:bookmarkStart w:id="11" w:name="_Toc115511985"/>
      <w:bookmarkStart w:id="12" w:name="_Toc212783950"/>
      <w:bookmarkEnd w:id="0"/>
      <w:bookmarkEnd w:id="1"/>
    </w:p>
    <w:p w14:paraId="6505E453" w14:textId="77777777" w:rsidR="00F5650B" w:rsidRDefault="00F5650B" w:rsidP="005E03E5">
      <w:pPr>
        <w:pStyle w:val="disclaimer"/>
        <w:spacing w:before="0"/>
        <w:jc w:val="right"/>
        <w:rPr>
          <w:b w:val="0"/>
          <w:sz w:val="24"/>
        </w:rPr>
      </w:pPr>
    </w:p>
    <w:p w14:paraId="3FFF83B3" w14:textId="77777777" w:rsidR="00DA7D48" w:rsidRDefault="00DA7D48" w:rsidP="005E03E5">
      <w:pPr>
        <w:pStyle w:val="disclaimer"/>
        <w:spacing w:before="0"/>
        <w:jc w:val="right"/>
        <w:rPr>
          <w:b w:val="0"/>
          <w:sz w:val="24"/>
        </w:rPr>
      </w:pPr>
    </w:p>
    <w:p w14:paraId="486C4B49" w14:textId="77777777" w:rsidR="00DA7D48" w:rsidRDefault="00DA7D48" w:rsidP="005E03E5">
      <w:pPr>
        <w:pStyle w:val="disclaimer"/>
        <w:spacing w:before="0"/>
        <w:jc w:val="right"/>
        <w:rPr>
          <w:b w:val="0"/>
          <w:sz w:val="24"/>
        </w:rPr>
      </w:pPr>
    </w:p>
    <w:p w14:paraId="7D910083" w14:textId="77777777" w:rsidR="00DA7D48" w:rsidRDefault="00DA7D48" w:rsidP="005E03E5">
      <w:pPr>
        <w:pStyle w:val="disclaimer"/>
        <w:spacing w:before="0"/>
        <w:jc w:val="right"/>
        <w:rPr>
          <w:b w:val="0"/>
          <w:sz w:val="24"/>
        </w:rPr>
      </w:pPr>
    </w:p>
    <w:p w14:paraId="3ECDAF5B" w14:textId="77777777" w:rsidR="00DA7D48" w:rsidRDefault="00DA7D48" w:rsidP="005E03E5">
      <w:pPr>
        <w:pStyle w:val="disclaimer"/>
        <w:spacing w:before="0"/>
        <w:jc w:val="right"/>
        <w:rPr>
          <w:b w:val="0"/>
          <w:sz w:val="24"/>
        </w:rPr>
      </w:pPr>
    </w:p>
    <w:p w14:paraId="2707BB31" w14:textId="4405F734" w:rsidR="005B54AA" w:rsidRDefault="005B54AA" w:rsidP="00DA7D48">
      <w:pPr>
        <w:pStyle w:val="disclaimer"/>
        <w:spacing w:before="0" w:after="120"/>
        <w:jc w:val="right"/>
        <w:rPr>
          <w:b w:val="0"/>
          <w:sz w:val="24"/>
        </w:rPr>
      </w:pPr>
      <w:r>
        <w:rPr>
          <w:b w:val="0"/>
          <w:sz w:val="24"/>
        </w:rPr>
        <w:t xml:space="preserve">To Gonzalo </w:t>
      </w:r>
      <w:proofErr w:type="spellStart"/>
      <w:r>
        <w:rPr>
          <w:b w:val="0"/>
          <w:sz w:val="24"/>
        </w:rPr>
        <w:t>Rivero</w:t>
      </w:r>
      <w:proofErr w:type="spellEnd"/>
      <w:r>
        <w:rPr>
          <w:b w:val="0"/>
          <w:sz w:val="24"/>
        </w:rPr>
        <w:t xml:space="preserve">. Thank you for all the hours I stole from your time, and thank you for your unwavering </w:t>
      </w:r>
      <w:r w:rsidR="00130988">
        <w:rPr>
          <w:b w:val="0"/>
          <w:sz w:val="24"/>
        </w:rPr>
        <w:t>analytical</w:t>
      </w:r>
      <w:r>
        <w:rPr>
          <w:b w:val="0"/>
          <w:sz w:val="24"/>
        </w:rPr>
        <w:t xml:space="preserve"> rigor.</w:t>
      </w:r>
    </w:p>
    <w:p w14:paraId="6DCC7D0C" w14:textId="29035C7B" w:rsidR="00F27565" w:rsidRDefault="00C9776D" w:rsidP="00DA7D48">
      <w:pPr>
        <w:pStyle w:val="disclaimer"/>
        <w:spacing w:before="0" w:after="120"/>
        <w:jc w:val="right"/>
        <w:rPr>
          <w:b w:val="0"/>
          <w:sz w:val="24"/>
        </w:rPr>
      </w:pPr>
      <w:r>
        <w:rPr>
          <w:b w:val="0"/>
          <w:sz w:val="24"/>
        </w:rPr>
        <w:t>To Maria Ferreira. T</w:t>
      </w:r>
      <w:r w:rsidR="00F27565">
        <w:rPr>
          <w:b w:val="0"/>
          <w:sz w:val="24"/>
        </w:rPr>
        <w:t>hank you for the math.</w:t>
      </w:r>
    </w:p>
    <w:p w14:paraId="091ECF45" w14:textId="1DBE6553" w:rsidR="00C9776D" w:rsidRDefault="00130988" w:rsidP="00F27565">
      <w:pPr>
        <w:pStyle w:val="disclaimer"/>
        <w:spacing w:before="0"/>
        <w:jc w:val="right"/>
        <w:rPr>
          <w:b w:val="0"/>
          <w:sz w:val="24"/>
        </w:rPr>
      </w:pPr>
      <w:r>
        <w:rPr>
          <w:b w:val="0"/>
          <w:sz w:val="24"/>
        </w:rPr>
        <w:t>To</w:t>
      </w:r>
      <w:r w:rsidR="000A2FF6">
        <w:rPr>
          <w:b w:val="0"/>
          <w:sz w:val="24"/>
        </w:rPr>
        <w:t xml:space="preserve"> </w:t>
      </w:r>
      <w:proofErr w:type="spellStart"/>
      <w:r w:rsidR="00C71778">
        <w:rPr>
          <w:b w:val="0"/>
          <w:sz w:val="24"/>
        </w:rPr>
        <w:t>Cives</w:t>
      </w:r>
      <w:proofErr w:type="spellEnd"/>
      <w:r w:rsidR="00C71778">
        <w:rPr>
          <w:b w:val="0"/>
          <w:sz w:val="24"/>
        </w:rPr>
        <w:t xml:space="preserve">, </w:t>
      </w:r>
      <w:r w:rsidR="0006617D">
        <w:rPr>
          <w:b w:val="0"/>
          <w:sz w:val="24"/>
        </w:rPr>
        <w:t xml:space="preserve">Jorge, Juan, Kantor, </w:t>
      </w:r>
      <w:proofErr w:type="spellStart"/>
      <w:r w:rsidR="0006617D">
        <w:rPr>
          <w:b w:val="0"/>
          <w:sz w:val="24"/>
        </w:rPr>
        <w:t>Kiko</w:t>
      </w:r>
      <w:proofErr w:type="spellEnd"/>
      <w:r w:rsidR="0006617D">
        <w:rPr>
          <w:b w:val="0"/>
          <w:sz w:val="24"/>
        </w:rPr>
        <w:t>,</w:t>
      </w:r>
      <w:r w:rsidR="000A2FF6">
        <w:rPr>
          <w:b w:val="0"/>
          <w:sz w:val="24"/>
        </w:rPr>
        <w:t xml:space="preserve"> Pablo, Ramón</w:t>
      </w:r>
      <w:r w:rsidR="00C71778">
        <w:rPr>
          <w:b w:val="0"/>
          <w:sz w:val="24"/>
        </w:rPr>
        <w:t xml:space="preserve"> </w:t>
      </w:r>
      <w:r>
        <w:rPr>
          <w:b w:val="0"/>
          <w:sz w:val="24"/>
        </w:rPr>
        <w:t>and</w:t>
      </w:r>
      <w:r w:rsidR="000A2FF6">
        <w:rPr>
          <w:b w:val="0"/>
          <w:sz w:val="24"/>
        </w:rPr>
        <w:t xml:space="preserve"> Roger. </w:t>
      </w:r>
      <w:r w:rsidR="00C9079A">
        <w:rPr>
          <w:b w:val="0"/>
          <w:sz w:val="24"/>
        </w:rPr>
        <w:t>T</w:t>
      </w:r>
      <w:r>
        <w:rPr>
          <w:b w:val="0"/>
          <w:sz w:val="24"/>
        </w:rPr>
        <w:t>hank you all… for what is yet to come</w:t>
      </w:r>
      <w:r w:rsidR="000A2FF6">
        <w:rPr>
          <w:b w:val="0"/>
          <w:sz w:val="24"/>
        </w:rPr>
        <w:t xml:space="preserve">. </w:t>
      </w:r>
    </w:p>
    <w:p w14:paraId="5989570A" w14:textId="77777777" w:rsidR="00F5650B" w:rsidRDefault="00F5650B" w:rsidP="005E03E5">
      <w:pPr>
        <w:pStyle w:val="disclaimer"/>
        <w:spacing w:before="0"/>
        <w:jc w:val="right"/>
        <w:rPr>
          <w:b w:val="0"/>
          <w:sz w:val="24"/>
        </w:rPr>
      </w:pPr>
    </w:p>
    <w:p w14:paraId="04DD027D" w14:textId="77777777" w:rsidR="00F5650B" w:rsidRDefault="00F5650B" w:rsidP="005E03E5">
      <w:pPr>
        <w:pStyle w:val="disclaimer"/>
        <w:spacing w:before="0"/>
        <w:jc w:val="right"/>
        <w:rPr>
          <w:b w:val="0"/>
          <w:sz w:val="24"/>
        </w:rPr>
      </w:pPr>
    </w:p>
    <w:p w14:paraId="6EFC2757" w14:textId="77777777" w:rsidR="00130988" w:rsidRDefault="00130988" w:rsidP="005E03E5">
      <w:pPr>
        <w:pStyle w:val="disclaimer"/>
        <w:spacing w:before="0"/>
        <w:jc w:val="right"/>
        <w:rPr>
          <w:b w:val="0"/>
          <w:sz w:val="24"/>
        </w:rPr>
      </w:pPr>
    </w:p>
    <w:p w14:paraId="5A7E1809" w14:textId="77777777" w:rsidR="00130988" w:rsidRDefault="00130988" w:rsidP="005E03E5">
      <w:pPr>
        <w:pStyle w:val="disclaimer"/>
        <w:spacing w:before="0"/>
        <w:jc w:val="right"/>
        <w:rPr>
          <w:b w:val="0"/>
          <w:sz w:val="24"/>
        </w:rPr>
      </w:pPr>
    </w:p>
    <w:p w14:paraId="73CD0302" w14:textId="77777777" w:rsidR="00DA7D48" w:rsidRDefault="00DA7D48" w:rsidP="005E03E5">
      <w:pPr>
        <w:pStyle w:val="disclaimer"/>
        <w:spacing w:before="0"/>
        <w:jc w:val="right"/>
        <w:rPr>
          <w:b w:val="0"/>
          <w:sz w:val="24"/>
        </w:rPr>
      </w:pPr>
    </w:p>
    <w:p w14:paraId="1AF95279" w14:textId="77777777" w:rsidR="00DA7D48" w:rsidRDefault="00DA7D48" w:rsidP="005E03E5">
      <w:pPr>
        <w:pStyle w:val="disclaimer"/>
        <w:spacing w:before="0"/>
        <w:jc w:val="right"/>
        <w:rPr>
          <w:b w:val="0"/>
          <w:sz w:val="24"/>
        </w:rPr>
      </w:pPr>
    </w:p>
    <w:p w14:paraId="742B90F2" w14:textId="77777777" w:rsidR="00130988" w:rsidRDefault="00130988" w:rsidP="005E03E5">
      <w:pPr>
        <w:pStyle w:val="disclaimer"/>
        <w:spacing w:before="0"/>
        <w:jc w:val="right"/>
        <w:rPr>
          <w:b w:val="0"/>
          <w:sz w:val="24"/>
        </w:rPr>
      </w:pPr>
    </w:p>
    <w:p w14:paraId="46648AD3" w14:textId="77777777" w:rsidR="00130988" w:rsidRDefault="00130988" w:rsidP="005E03E5">
      <w:pPr>
        <w:pStyle w:val="disclaimer"/>
        <w:spacing w:before="0"/>
        <w:jc w:val="right"/>
        <w:rPr>
          <w:b w:val="0"/>
          <w:sz w:val="24"/>
        </w:rPr>
      </w:pPr>
    </w:p>
    <w:p w14:paraId="1A2EA4AF" w14:textId="77777777" w:rsidR="00130988" w:rsidRDefault="00130988" w:rsidP="005E03E5">
      <w:pPr>
        <w:pStyle w:val="disclaimer"/>
        <w:spacing w:before="0"/>
        <w:jc w:val="right"/>
        <w:rPr>
          <w:b w:val="0"/>
          <w:sz w:val="24"/>
        </w:rPr>
      </w:pPr>
    </w:p>
    <w:p w14:paraId="0A7093DC" w14:textId="77777777" w:rsidR="00130988" w:rsidRDefault="00130988" w:rsidP="005E03E5">
      <w:pPr>
        <w:pStyle w:val="disclaimer"/>
        <w:spacing w:before="0"/>
        <w:jc w:val="right"/>
        <w:rPr>
          <w:b w:val="0"/>
          <w:sz w:val="24"/>
        </w:rPr>
      </w:pPr>
    </w:p>
    <w:p w14:paraId="69DDB16A" w14:textId="77777777" w:rsidR="00DA7D48" w:rsidRDefault="00DA7D48" w:rsidP="005E03E5">
      <w:pPr>
        <w:pStyle w:val="disclaimer"/>
        <w:spacing w:before="0"/>
        <w:jc w:val="right"/>
        <w:rPr>
          <w:b w:val="0"/>
          <w:sz w:val="24"/>
        </w:rPr>
      </w:pPr>
    </w:p>
    <w:p w14:paraId="78EC17F4" w14:textId="77777777" w:rsidR="00DA7D48" w:rsidRDefault="00DA7D48" w:rsidP="005E03E5">
      <w:pPr>
        <w:pStyle w:val="disclaimer"/>
        <w:spacing w:before="0"/>
        <w:jc w:val="right"/>
        <w:rPr>
          <w:b w:val="0"/>
          <w:sz w:val="24"/>
        </w:rPr>
      </w:pPr>
    </w:p>
    <w:p w14:paraId="145FF3CA" w14:textId="77777777" w:rsidR="00DA7D48" w:rsidRDefault="00DA7D48" w:rsidP="005E03E5">
      <w:pPr>
        <w:pStyle w:val="disclaimer"/>
        <w:spacing w:before="0"/>
        <w:jc w:val="right"/>
        <w:rPr>
          <w:b w:val="0"/>
          <w:sz w:val="24"/>
        </w:rPr>
      </w:pPr>
    </w:p>
    <w:p w14:paraId="40184182" w14:textId="77777777" w:rsidR="00DA7D48" w:rsidRDefault="00DA7D48" w:rsidP="005E03E5">
      <w:pPr>
        <w:pStyle w:val="disclaimer"/>
        <w:spacing w:before="0"/>
        <w:jc w:val="right"/>
        <w:rPr>
          <w:b w:val="0"/>
          <w:sz w:val="24"/>
        </w:rPr>
      </w:pPr>
    </w:p>
    <w:p w14:paraId="7D95E9BF" w14:textId="77777777" w:rsidR="00DA7D48" w:rsidRDefault="00DA7D48" w:rsidP="005E03E5">
      <w:pPr>
        <w:pStyle w:val="disclaimer"/>
        <w:spacing w:before="0"/>
        <w:jc w:val="right"/>
        <w:rPr>
          <w:b w:val="0"/>
          <w:sz w:val="24"/>
        </w:rPr>
      </w:pPr>
    </w:p>
    <w:p w14:paraId="7B353633" w14:textId="77777777" w:rsidR="00DA7D48" w:rsidRDefault="00DA7D48" w:rsidP="005E03E5">
      <w:pPr>
        <w:pStyle w:val="disclaimer"/>
        <w:spacing w:before="0"/>
        <w:jc w:val="right"/>
        <w:rPr>
          <w:b w:val="0"/>
          <w:sz w:val="24"/>
        </w:rPr>
      </w:pPr>
    </w:p>
    <w:p w14:paraId="436D3F6F" w14:textId="77777777" w:rsidR="00DA7D48" w:rsidRDefault="00DA7D48" w:rsidP="005E03E5">
      <w:pPr>
        <w:pStyle w:val="disclaimer"/>
        <w:spacing w:before="0"/>
        <w:jc w:val="right"/>
        <w:rPr>
          <w:b w:val="0"/>
          <w:sz w:val="24"/>
        </w:rPr>
      </w:pPr>
    </w:p>
    <w:p w14:paraId="5127575F" w14:textId="77777777" w:rsidR="00DA7D48" w:rsidRDefault="00DA7D48" w:rsidP="005E03E5">
      <w:pPr>
        <w:pStyle w:val="disclaimer"/>
        <w:spacing w:before="0"/>
        <w:jc w:val="right"/>
        <w:rPr>
          <w:b w:val="0"/>
          <w:sz w:val="24"/>
        </w:rPr>
      </w:pPr>
    </w:p>
    <w:p w14:paraId="6D4FAD61" w14:textId="77777777" w:rsidR="00DA7D48" w:rsidRDefault="00DA7D48" w:rsidP="005E03E5">
      <w:pPr>
        <w:pStyle w:val="disclaimer"/>
        <w:spacing w:before="0"/>
        <w:jc w:val="right"/>
        <w:rPr>
          <w:b w:val="0"/>
          <w:sz w:val="24"/>
        </w:rPr>
      </w:pPr>
    </w:p>
    <w:p w14:paraId="24BB4239" w14:textId="77777777" w:rsidR="00DA7D48" w:rsidRDefault="00DA7D48" w:rsidP="005E03E5">
      <w:pPr>
        <w:pStyle w:val="disclaimer"/>
        <w:spacing w:before="0"/>
        <w:jc w:val="right"/>
        <w:rPr>
          <w:b w:val="0"/>
          <w:sz w:val="24"/>
        </w:rPr>
      </w:pPr>
    </w:p>
    <w:p w14:paraId="3EE85268" w14:textId="77777777" w:rsidR="00DA7D48" w:rsidRDefault="00DA7D48" w:rsidP="005E03E5">
      <w:pPr>
        <w:pStyle w:val="disclaimer"/>
        <w:spacing w:before="0"/>
        <w:jc w:val="right"/>
        <w:rPr>
          <w:b w:val="0"/>
          <w:sz w:val="24"/>
        </w:rPr>
      </w:pPr>
    </w:p>
    <w:p w14:paraId="2DB52AE9" w14:textId="77777777" w:rsidR="00F5650B" w:rsidRDefault="00F5650B" w:rsidP="005F5705">
      <w:pPr>
        <w:pStyle w:val="disclaimer"/>
        <w:spacing w:before="0"/>
        <w:rPr>
          <w:b w:val="0"/>
          <w:sz w:val="24"/>
        </w:rPr>
      </w:pPr>
    </w:p>
    <w:p w14:paraId="1A3BFAA6" w14:textId="77777777" w:rsidR="00F5650B" w:rsidRDefault="00F5650B" w:rsidP="005E03E5">
      <w:pPr>
        <w:pStyle w:val="disclaimer"/>
        <w:spacing w:before="0"/>
        <w:jc w:val="right"/>
        <w:rPr>
          <w:b w:val="0"/>
          <w:sz w:val="24"/>
        </w:rPr>
      </w:pPr>
    </w:p>
    <w:p w14:paraId="0A0B6928" w14:textId="77777777" w:rsidR="00F5650B" w:rsidRDefault="00F5650B" w:rsidP="005E03E5">
      <w:pPr>
        <w:pStyle w:val="disclaimer"/>
        <w:spacing w:before="0"/>
        <w:jc w:val="right"/>
        <w:rPr>
          <w:b w:val="0"/>
          <w:sz w:val="24"/>
        </w:rPr>
      </w:pPr>
    </w:p>
    <w:p w14:paraId="72CDD581" w14:textId="77777777" w:rsidR="00F5650B" w:rsidRDefault="00F5650B" w:rsidP="005E03E5">
      <w:pPr>
        <w:pStyle w:val="disclaimer"/>
        <w:spacing w:before="0"/>
        <w:jc w:val="right"/>
        <w:rPr>
          <w:b w:val="0"/>
          <w:sz w:val="24"/>
        </w:rPr>
      </w:pPr>
    </w:p>
    <w:p w14:paraId="586A1EE3" w14:textId="234135F3" w:rsidR="005E03E5" w:rsidRDefault="00B363F2" w:rsidP="00B363F2">
      <w:pPr>
        <w:pStyle w:val="disclaimer"/>
        <w:spacing w:before="0" w:after="120"/>
        <w:jc w:val="right"/>
        <w:rPr>
          <w:b w:val="0"/>
          <w:sz w:val="24"/>
        </w:rPr>
      </w:pPr>
      <w:r>
        <w:rPr>
          <w:b w:val="0"/>
          <w:sz w:val="24"/>
        </w:rPr>
        <w:t>“We’</w:t>
      </w:r>
      <w:r w:rsidR="005E03E5" w:rsidRPr="005E03E5">
        <w:rPr>
          <w:b w:val="0"/>
          <w:sz w:val="24"/>
        </w:rPr>
        <w:t>re half-awake in a fake empire</w:t>
      </w:r>
      <w:r>
        <w:rPr>
          <w:b w:val="0"/>
          <w:sz w:val="24"/>
        </w:rPr>
        <w:t>.”</w:t>
      </w:r>
    </w:p>
    <w:p w14:paraId="2205D217" w14:textId="558B88A4" w:rsidR="00F5650B" w:rsidRPr="005E03E5" w:rsidRDefault="00F5650B" w:rsidP="005E03E5">
      <w:pPr>
        <w:pStyle w:val="disclaimer"/>
        <w:spacing w:before="0"/>
        <w:jc w:val="right"/>
        <w:rPr>
          <w:b w:val="0"/>
          <w:w w:val="115"/>
          <w:sz w:val="24"/>
        </w:rPr>
      </w:pPr>
      <w:r>
        <w:rPr>
          <w:b w:val="0"/>
          <w:sz w:val="24"/>
        </w:rPr>
        <w:t xml:space="preserve">Matthew </w:t>
      </w:r>
      <w:proofErr w:type="spellStart"/>
      <w:r>
        <w:rPr>
          <w:b w:val="0"/>
          <w:sz w:val="24"/>
        </w:rPr>
        <w:t>Berninger</w:t>
      </w:r>
      <w:proofErr w:type="spellEnd"/>
      <w:r>
        <w:rPr>
          <w:b w:val="0"/>
          <w:sz w:val="24"/>
        </w:rPr>
        <w:t>.</w:t>
      </w:r>
    </w:p>
    <w:p w14:paraId="0E6BE67E" w14:textId="77777777" w:rsidR="005E03E5" w:rsidRDefault="005E03E5" w:rsidP="009F0B29">
      <w:pPr>
        <w:spacing w:after="400"/>
        <w:ind w:firstLine="0"/>
        <w:rPr>
          <w:b/>
          <w:sz w:val="36"/>
          <w:szCs w:val="36"/>
        </w:rPr>
      </w:pPr>
    </w:p>
    <w:p w14:paraId="5C761C81" w14:textId="77777777" w:rsidR="005E03E5" w:rsidRDefault="005E03E5" w:rsidP="009F0B29">
      <w:pPr>
        <w:spacing w:after="400"/>
        <w:ind w:firstLine="0"/>
        <w:rPr>
          <w:b/>
          <w:sz w:val="36"/>
          <w:szCs w:val="36"/>
        </w:rPr>
      </w:pPr>
    </w:p>
    <w:p w14:paraId="3A306B90" w14:textId="77777777" w:rsidR="005E03E5" w:rsidRDefault="005E03E5" w:rsidP="009F0B29">
      <w:pPr>
        <w:spacing w:after="400"/>
        <w:ind w:firstLine="0"/>
        <w:rPr>
          <w:b/>
          <w:sz w:val="36"/>
          <w:szCs w:val="36"/>
        </w:rPr>
      </w:pPr>
    </w:p>
    <w:p w14:paraId="7CAE2EB6" w14:textId="77777777" w:rsidR="00DA7D48" w:rsidRDefault="00DA7D48" w:rsidP="009F0B29">
      <w:pPr>
        <w:spacing w:after="400"/>
        <w:ind w:firstLine="0"/>
        <w:rPr>
          <w:b/>
          <w:sz w:val="36"/>
          <w:szCs w:val="36"/>
        </w:rPr>
      </w:pPr>
    </w:p>
    <w:p w14:paraId="4142E83D" w14:textId="77777777" w:rsidR="00DA7D48" w:rsidRDefault="00DA7D48" w:rsidP="009F0B29">
      <w:pPr>
        <w:spacing w:after="400"/>
        <w:ind w:firstLine="0"/>
        <w:rPr>
          <w:b/>
          <w:sz w:val="36"/>
          <w:szCs w:val="36"/>
        </w:rPr>
      </w:pPr>
    </w:p>
    <w:p w14:paraId="3ED44A32" w14:textId="77777777" w:rsidR="00DA7D48" w:rsidRDefault="00DA7D48" w:rsidP="009F0B29">
      <w:pPr>
        <w:spacing w:after="400"/>
        <w:ind w:firstLine="0"/>
        <w:rPr>
          <w:b/>
          <w:sz w:val="36"/>
          <w:szCs w:val="36"/>
        </w:rPr>
      </w:pPr>
    </w:p>
    <w:p w14:paraId="712F386D" w14:textId="77777777" w:rsidR="00DA7D48" w:rsidRDefault="00DA7D48" w:rsidP="009F0B29">
      <w:pPr>
        <w:spacing w:after="400"/>
        <w:ind w:firstLine="0"/>
        <w:rPr>
          <w:b/>
          <w:sz w:val="36"/>
          <w:szCs w:val="36"/>
        </w:rPr>
      </w:pPr>
    </w:p>
    <w:p w14:paraId="3B94ACC0" w14:textId="77777777" w:rsidR="00DA7D48" w:rsidRDefault="00DA7D48" w:rsidP="009F0B29">
      <w:pPr>
        <w:spacing w:after="400"/>
        <w:ind w:firstLine="0"/>
        <w:rPr>
          <w:b/>
          <w:sz w:val="36"/>
          <w:szCs w:val="36"/>
        </w:rPr>
      </w:pPr>
    </w:p>
    <w:p w14:paraId="51B42507" w14:textId="77777777" w:rsidR="00DA7D48" w:rsidRDefault="00DA7D48" w:rsidP="009F0B29">
      <w:pPr>
        <w:spacing w:after="400"/>
        <w:ind w:firstLine="0"/>
        <w:rPr>
          <w:b/>
          <w:sz w:val="36"/>
          <w:szCs w:val="36"/>
        </w:rPr>
      </w:pPr>
    </w:p>
    <w:p w14:paraId="24A8456D" w14:textId="77777777" w:rsidR="00BF27F2" w:rsidRDefault="00BF27F2" w:rsidP="009F0B29">
      <w:pPr>
        <w:spacing w:after="400"/>
        <w:ind w:firstLine="0"/>
        <w:rPr>
          <w:b/>
          <w:sz w:val="36"/>
          <w:szCs w:val="36"/>
        </w:rPr>
      </w:pPr>
    </w:p>
    <w:p w14:paraId="313FC666" w14:textId="77777777" w:rsidR="005F5705" w:rsidRDefault="005F5705" w:rsidP="009F0B29">
      <w:pPr>
        <w:spacing w:after="400"/>
        <w:ind w:firstLine="0"/>
        <w:rPr>
          <w:b/>
          <w:sz w:val="36"/>
          <w:szCs w:val="36"/>
        </w:rPr>
      </w:pPr>
    </w:p>
    <w:p w14:paraId="76AB0BA5" w14:textId="77777777" w:rsidR="005F5705" w:rsidRDefault="005F5705" w:rsidP="009F0B29">
      <w:pPr>
        <w:spacing w:after="400"/>
        <w:ind w:firstLine="0"/>
        <w:rPr>
          <w:b/>
          <w:sz w:val="36"/>
          <w:szCs w:val="36"/>
        </w:rPr>
      </w:pPr>
    </w:p>
    <w:p w14:paraId="32D45ADF" w14:textId="77777777" w:rsidR="00A41F75" w:rsidRPr="009F0B29" w:rsidRDefault="000908A6" w:rsidP="009F0B29">
      <w:pPr>
        <w:spacing w:after="400"/>
        <w:ind w:firstLine="0"/>
        <w:rPr>
          <w:b/>
          <w:sz w:val="36"/>
          <w:szCs w:val="36"/>
        </w:rPr>
      </w:pPr>
      <w:r w:rsidRPr="009F0B29">
        <w:rPr>
          <w:b/>
          <w:sz w:val="36"/>
          <w:szCs w:val="36"/>
        </w:rPr>
        <w:lastRenderedPageBreak/>
        <w:t>C</w:t>
      </w:r>
      <w:r w:rsidR="00316EDA" w:rsidRPr="009F0B29">
        <w:rPr>
          <w:b/>
          <w:sz w:val="36"/>
          <w:szCs w:val="36"/>
        </w:rPr>
        <w:t>ontents</w:t>
      </w:r>
      <w:bookmarkEnd w:id="2"/>
      <w:bookmarkEnd w:id="3"/>
      <w:bookmarkEnd w:id="4"/>
      <w:bookmarkEnd w:id="5"/>
      <w:bookmarkEnd w:id="6"/>
      <w:bookmarkEnd w:id="7"/>
      <w:bookmarkEnd w:id="8"/>
      <w:bookmarkEnd w:id="9"/>
      <w:bookmarkEnd w:id="10"/>
      <w:bookmarkEnd w:id="11"/>
      <w:bookmarkEnd w:id="12"/>
    </w:p>
    <w:p w14:paraId="5A654712" w14:textId="77777777" w:rsidR="004E4508" w:rsidRDefault="00742C60">
      <w:pPr>
        <w:pStyle w:val="TOC4"/>
        <w:tabs>
          <w:tab w:val="right" w:pos="7360"/>
        </w:tabs>
        <w:rPr>
          <w:rFonts w:asciiTheme="minorHAnsi" w:eastAsiaTheme="minorEastAsia" w:hAnsiTheme="minorHAnsi" w:cstheme="minorBidi"/>
          <w:i w:val="0"/>
          <w:noProof/>
          <w:lang w:val="en-US" w:eastAsia="ja-JP"/>
        </w:rPr>
      </w:pPr>
      <w:r>
        <w:rPr>
          <w:b/>
        </w:rPr>
        <w:fldChar w:fldCharType="begin"/>
      </w:r>
      <w:r w:rsidR="000E7B60">
        <w:rPr>
          <w:b/>
        </w:rPr>
        <w:instrText xml:space="preserve"> TOC \o "1-3" \h \z \t "Heading 1 not chapter,4" </w:instrText>
      </w:r>
      <w:r>
        <w:rPr>
          <w:b/>
        </w:rPr>
        <w:fldChar w:fldCharType="separate"/>
      </w:r>
      <w:r w:rsidR="004E4508">
        <w:rPr>
          <w:noProof/>
        </w:rPr>
        <w:t>List of Tables</w:t>
      </w:r>
      <w:r w:rsidR="004E4508">
        <w:rPr>
          <w:noProof/>
        </w:rPr>
        <w:tab/>
      </w:r>
      <w:r w:rsidR="004E4508">
        <w:rPr>
          <w:noProof/>
        </w:rPr>
        <w:fldChar w:fldCharType="begin"/>
      </w:r>
      <w:r w:rsidR="004E4508">
        <w:rPr>
          <w:noProof/>
        </w:rPr>
        <w:instrText xml:space="preserve"> PAGEREF _Toc208145592 \h </w:instrText>
      </w:r>
      <w:r w:rsidR="004E4508">
        <w:rPr>
          <w:noProof/>
        </w:rPr>
      </w:r>
      <w:r w:rsidR="004E4508">
        <w:rPr>
          <w:noProof/>
        </w:rPr>
        <w:fldChar w:fldCharType="separate"/>
      </w:r>
      <w:r w:rsidR="004E4508">
        <w:rPr>
          <w:noProof/>
        </w:rPr>
        <w:t>viii</w:t>
      </w:r>
      <w:r w:rsidR="004E4508">
        <w:rPr>
          <w:noProof/>
        </w:rPr>
        <w:fldChar w:fldCharType="end"/>
      </w:r>
    </w:p>
    <w:p w14:paraId="7A645953" w14:textId="77777777" w:rsidR="004E4508" w:rsidRDefault="004E4508">
      <w:pPr>
        <w:pStyle w:val="TOC4"/>
        <w:tabs>
          <w:tab w:val="right" w:pos="7360"/>
        </w:tabs>
        <w:rPr>
          <w:rFonts w:asciiTheme="minorHAnsi" w:eastAsiaTheme="minorEastAsia" w:hAnsiTheme="minorHAnsi" w:cstheme="minorBidi"/>
          <w:i w:val="0"/>
          <w:noProof/>
          <w:lang w:val="en-US" w:eastAsia="ja-JP"/>
        </w:rPr>
      </w:pPr>
      <w:r>
        <w:rPr>
          <w:noProof/>
        </w:rPr>
        <w:t>List of Figures</w:t>
      </w:r>
      <w:r>
        <w:rPr>
          <w:noProof/>
        </w:rPr>
        <w:tab/>
      </w:r>
      <w:r>
        <w:rPr>
          <w:noProof/>
        </w:rPr>
        <w:fldChar w:fldCharType="begin"/>
      </w:r>
      <w:r>
        <w:rPr>
          <w:noProof/>
        </w:rPr>
        <w:instrText xml:space="preserve"> PAGEREF _Toc208145593 \h </w:instrText>
      </w:r>
      <w:r>
        <w:rPr>
          <w:noProof/>
        </w:rPr>
      </w:r>
      <w:r>
        <w:rPr>
          <w:noProof/>
        </w:rPr>
        <w:fldChar w:fldCharType="separate"/>
      </w:r>
      <w:r>
        <w:rPr>
          <w:noProof/>
        </w:rPr>
        <w:t>viii</w:t>
      </w:r>
      <w:r>
        <w:rPr>
          <w:noProof/>
        </w:rPr>
        <w:fldChar w:fldCharType="end"/>
      </w:r>
    </w:p>
    <w:p w14:paraId="5B6B34EF" w14:textId="77777777" w:rsidR="004E4508" w:rsidRDefault="004E4508">
      <w:pPr>
        <w:pStyle w:val="TOC4"/>
        <w:tabs>
          <w:tab w:val="right" w:pos="7360"/>
        </w:tabs>
        <w:rPr>
          <w:rFonts w:asciiTheme="minorHAnsi" w:eastAsiaTheme="minorEastAsia" w:hAnsiTheme="minorHAnsi" w:cstheme="minorBidi"/>
          <w:i w:val="0"/>
          <w:noProof/>
          <w:lang w:val="en-US" w:eastAsia="ja-JP"/>
        </w:rPr>
      </w:pPr>
      <w:r>
        <w:rPr>
          <w:noProof/>
        </w:rPr>
        <w:t>List of Acronyms</w:t>
      </w:r>
      <w:r>
        <w:rPr>
          <w:noProof/>
        </w:rPr>
        <w:tab/>
      </w:r>
      <w:r>
        <w:rPr>
          <w:noProof/>
        </w:rPr>
        <w:fldChar w:fldCharType="begin"/>
      </w:r>
      <w:r>
        <w:rPr>
          <w:noProof/>
        </w:rPr>
        <w:instrText xml:space="preserve"> PAGEREF _Toc208145599 \h </w:instrText>
      </w:r>
      <w:r>
        <w:rPr>
          <w:noProof/>
        </w:rPr>
      </w:r>
      <w:r>
        <w:rPr>
          <w:noProof/>
        </w:rPr>
        <w:fldChar w:fldCharType="separate"/>
      </w:r>
      <w:r>
        <w:rPr>
          <w:noProof/>
        </w:rPr>
        <w:t>ix</w:t>
      </w:r>
      <w:r>
        <w:rPr>
          <w:noProof/>
        </w:rPr>
        <w:fldChar w:fldCharType="end"/>
      </w:r>
    </w:p>
    <w:p w14:paraId="3ADAAEBC" w14:textId="77777777" w:rsidR="004E4508" w:rsidRDefault="004E4508">
      <w:pPr>
        <w:pStyle w:val="TOC4"/>
        <w:tabs>
          <w:tab w:val="right" w:pos="7360"/>
        </w:tabs>
        <w:rPr>
          <w:rFonts w:asciiTheme="minorHAnsi" w:eastAsiaTheme="minorEastAsia" w:hAnsiTheme="minorHAnsi" w:cstheme="minorBidi"/>
          <w:i w:val="0"/>
          <w:noProof/>
          <w:lang w:val="en-US" w:eastAsia="ja-JP"/>
        </w:rPr>
      </w:pPr>
      <w:r>
        <w:rPr>
          <w:noProof/>
        </w:rPr>
        <w:t>Abstract</w:t>
      </w:r>
      <w:r>
        <w:rPr>
          <w:noProof/>
        </w:rPr>
        <w:tab/>
      </w:r>
      <w:r>
        <w:rPr>
          <w:noProof/>
        </w:rPr>
        <w:fldChar w:fldCharType="begin"/>
      </w:r>
      <w:r>
        <w:rPr>
          <w:noProof/>
        </w:rPr>
        <w:instrText xml:space="preserve"> PAGEREF _Toc208145600 \h </w:instrText>
      </w:r>
      <w:r>
        <w:rPr>
          <w:noProof/>
        </w:rPr>
      </w:r>
      <w:r>
        <w:rPr>
          <w:noProof/>
        </w:rPr>
        <w:fldChar w:fldCharType="separate"/>
      </w:r>
      <w:r>
        <w:rPr>
          <w:noProof/>
        </w:rPr>
        <w:t>x</w:t>
      </w:r>
      <w:r>
        <w:rPr>
          <w:noProof/>
        </w:rPr>
        <w:fldChar w:fldCharType="end"/>
      </w:r>
    </w:p>
    <w:p w14:paraId="726E2A13" w14:textId="77777777" w:rsidR="004E4508" w:rsidRDefault="004E4508">
      <w:pPr>
        <w:pStyle w:val="TOC1"/>
        <w:rPr>
          <w:rFonts w:asciiTheme="minorHAnsi" w:eastAsiaTheme="minorEastAsia" w:hAnsiTheme="minorHAnsi" w:cstheme="minorBidi"/>
          <w:b w:val="0"/>
          <w:lang w:val="en-US" w:eastAsia="ja-JP"/>
        </w:rPr>
      </w:pPr>
      <w:r>
        <w:t>Chapter 1 Introduction: why the EU? Why now?</w:t>
      </w:r>
      <w:r>
        <w:tab/>
      </w:r>
      <w:r>
        <w:fldChar w:fldCharType="begin"/>
      </w:r>
      <w:r>
        <w:instrText xml:space="preserve"> PAGEREF _Toc208145601 \h </w:instrText>
      </w:r>
      <w:r>
        <w:fldChar w:fldCharType="separate"/>
      </w:r>
      <w:r>
        <w:t>1</w:t>
      </w:r>
      <w:r>
        <w:fldChar w:fldCharType="end"/>
      </w:r>
    </w:p>
    <w:p w14:paraId="07511B8F" w14:textId="77777777" w:rsidR="004E4508" w:rsidRDefault="004E4508">
      <w:pPr>
        <w:pStyle w:val="TOC2"/>
        <w:tabs>
          <w:tab w:val="left" w:pos="518"/>
        </w:tabs>
        <w:rPr>
          <w:rFonts w:asciiTheme="minorHAnsi" w:eastAsiaTheme="minorEastAsia" w:hAnsiTheme="minorHAnsi" w:cstheme="minorBidi"/>
          <w:lang w:val="en-US" w:eastAsia="ja-JP"/>
        </w:rPr>
      </w:pPr>
      <w:r>
        <w:t>1.1</w:t>
      </w:r>
      <w:r>
        <w:rPr>
          <w:rFonts w:asciiTheme="minorHAnsi" w:eastAsiaTheme="minorEastAsia" w:hAnsiTheme="minorHAnsi" w:cstheme="minorBidi"/>
          <w:lang w:val="en-US" w:eastAsia="ja-JP"/>
        </w:rPr>
        <w:tab/>
      </w:r>
      <w:r>
        <w:t>A half-made polity and its positive question</w:t>
      </w:r>
      <w:r>
        <w:tab/>
      </w:r>
      <w:r>
        <w:fldChar w:fldCharType="begin"/>
      </w:r>
      <w:r>
        <w:instrText xml:space="preserve"> PAGEREF _Toc208145602 \h </w:instrText>
      </w:r>
      <w:r>
        <w:fldChar w:fldCharType="separate"/>
      </w:r>
      <w:r>
        <w:t>1</w:t>
      </w:r>
      <w:r>
        <w:fldChar w:fldCharType="end"/>
      </w:r>
    </w:p>
    <w:p w14:paraId="4D9AEBC7" w14:textId="77777777" w:rsidR="004E4508" w:rsidRDefault="004E4508">
      <w:pPr>
        <w:pStyle w:val="TOC2"/>
        <w:tabs>
          <w:tab w:val="left" w:pos="518"/>
        </w:tabs>
        <w:rPr>
          <w:rFonts w:asciiTheme="minorHAnsi" w:eastAsiaTheme="minorEastAsia" w:hAnsiTheme="minorHAnsi" w:cstheme="minorBidi"/>
          <w:lang w:val="en-US" w:eastAsia="ja-JP"/>
        </w:rPr>
      </w:pPr>
      <w:r>
        <w:t>1.2</w:t>
      </w:r>
      <w:r>
        <w:rPr>
          <w:rFonts w:asciiTheme="minorHAnsi" w:eastAsiaTheme="minorEastAsia" w:hAnsiTheme="minorHAnsi" w:cstheme="minorBidi"/>
          <w:lang w:val="en-US" w:eastAsia="ja-JP"/>
        </w:rPr>
        <w:tab/>
      </w:r>
      <w:r>
        <w:t>A hypothesis: the two-level union</w:t>
      </w:r>
      <w:r>
        <w:tab/>
      </w:r>
      <w:r>
        <w:fldChar w:fldCharType="begin"/>
      </w:r>
      <w:r>
        <w:instrText xml:space="preserve"> PAGEREF _Toc208145603 \h </w:instrText>
      </w:r>
      <w:r>
        <w:fldChar w:fldCharType="separate"/>
      </w:r>
      <w:r>
        <w:t>2</w:t>
      </w:r>
      <w:r>
        <w:fldChar w:fldCharType="end"/>
      </w:r>
    </w:p>
    <w:p w14:paraId="4B541F4A" w14:textId="77777777" w:rsidR="004E4508" w:rsidRDefault="004E4508">
      <w:pPr>
        <w:pStyle w:val="TOC2"/>
        <w:tabs>
          <w:tab w:val="left" w:pos="518"/>
        </w:tabs>
        <w:rPr>
          <w:rFonts w:asciiTheme="minorHAnsi" w:eastAsiaTheme="minorEastAsia" w:hAnsiTheme="minorHAnsi" w:cstheme="minorBidi"/>
          <w:lang w:val="en-US" w:eastAsia="ja-JP"/>
        </w:rPr>
      </w:pPr>
      <w:r>
        <w:t>1.3</w:t>
      </w:r>
      <w:r>
        <w:rPr>
          <w:rFonts w:asciiTheme="minorHAnsi" w:eastAsiaTheme="minorEastAsia" w:hAnsiTheme="minorHAnsi" w:cstheme="minorBidi"/>
          <w:lang w:val="en-US" w:eastAsia="ja-JP"/>
        </w:rPr>
        <w:tab/>
      </w:r>
      <w:r>
        <w:t>A (mixed) theoretical toolbox and a plan</w:t>
      </w:r>
      <w:r>
        <w:tab/>
      </w:r>
      <w:r>
        <w:fldChar w:fldCharType="begin"/>
      </w:r>
      <w:r>
        <w:instrText xml:space="preserve"> PAGEREF _Toc208145604 \h </w:instrText>
      </w:r>
      <w:r>
        <w:fldChar w:fldCharType="separate"/>
      </w:r>
      <w:r>
        <w:t>4</w:t>
      </w:r>
      <w:r>
        <w:fldChar w:fldCharType="end"/>
      </w:r>
    </w:p>
    <w:p w14:paraId="7541263B" w14:textId="77777777" w:rsidR="004E4508" w:rsidRDefault="004E4508">
      <w:pPr>
        <w:pStyle w:val="TOC1"/>
        <w:rPr>
          <w:rFonts w:asciiTheme="minorHAnsi" w:eastAsiaTheme="minorEastAsia" w:hAnsiTheme="minorHAnsi" w:cstheme="minorBidi"/>
          <w:b w:val="0"/>
          <w:lang w:val="en-US" w:eastAsia="ja-JP"/>
        </w:rPr>
      </w:pPr>
      <w:r>
        <w:t>Chapter 2 : The European sovereign debt crisis: a brief exposition and a case study</w:t>
      </w:r>
      <w:r>
        <w:tab/>
      </w:r>
      <w:r>
        <w:fldChar w:fldCharType="begin"/>
      </w:r>
      <w:r>
        <w:instrText xml:space="preserve"> PAGEREF _Toc208145605 \h </w:instrText>
      </w:r>
      <w:r>
        <w:fldChar w:fldCharType="separate"/>
      </w:r>
      <w:r>
        <w:t>6</w:t>
      </w:r>
      <w:r>
        <w:fldChar w:fldCharType="end"/>
      </w:r>
    </w:p>
    <w:p w14:paraId="5F64A928" w14:textId="77777777" w:rsidR="004E4508" w:rsidRDefault="004E4508">
      <w:pPr>
        <w:pStyle w:val="TOC2"/>
        <w:rPr>
          <w:rFonts w:asciiTheme="minorHAnsi" w:eastAsiaTheme="minorEastAsia" w:hAnsiTheme="minorHAnsi" w:cstheme="minorBidi"/>
          <w:lang w:val="en-US" w:eastAsia="ja-JP"/>
        </w:rPr>
      </w:pPr>
      <w:r>
        <w:t>2.1 The first stages: how and why did the crisis arise</w:t>
      </w:r>
      <w:r>
        <w:tab/>
      </w:r>
      <w:r>
        <w:fldChar w:fldCharType="begin"/>
      </w:r>
      <w:r>
        <w:instrText xml:space="preserve"> PAGEREF _Toc208145606 \h </w:instrText>
      </w:r>
      <w:r>
        <w:fldChar w:fldCharType="separate"/>
      </w:r>
      <w:r>
        <w:t>6</w:t>
      </w:r>
      <w:r>
        <w:fldChar w:fldCharType="end"/>
      </w:r>
    </w:p>
    <w:p w14:paraId="33BA49F6" w14:textId="77777777" w:rsidR="004E4508" w:rsidRDefault="004E4508">
      <w:pPr>
        <w:pStyle w:val="TOC2"/>
        <w:rPr>
          <w:rFonts w:asciiTheme="minorHAnsi" w:eastAsiaTheme="minorEastAsia" w:hAnsiTheme="minorHAnsi" w:cstheme="minorBidi"/>
          <w:lang w:val="en-US" w:eastAsia="ja-JP"/>
        </w:rPr>
      </w:pPr>
      <w:r>
        <w:t>2.2. The sovereign crisis appears on the stage</w:t>
      </w:r>
      <w:r>
        <w:tab/>
      </w:r>
      <w:r>
        <w:fldChar w:fldCharType="begin"/>
      </w:r>
      <w:r>
        <w:instrText xml:space="preserve"> PAGEREF _Toc208145607 \h </w:instrText>
      </w:r>
      <w:r>
        <w:fldChar w:fldCharType="separate"/>
      </w:r>
      <w:r>
        <w:t>9</w:t>
      </w:r>
      <w:r>
        <w:fldChar w:fldCharType="end"/>
      </w:r>
    </w:p>
    <w:p w14:paraId="0CB42176" w14:textId="77777777" w:rsidR="004E4508" w:rsidRDefault="004E4508">
      <w:pPr>
        <w:pStyle w:val="TOC1"/>
        <w:rPr>
          <w:rFonts w:asciiTheme="minorHAnsi" w:eastAsiaTheme="minorEastAsia" w:hAnsiTheme="minorHAnsi" w:cstheme="minorBidi"/>
          <w:b w:val="0"/>
          <w:lang w:val="en-US" w:eastAsia="ja-JP"/>
        </w:rPr>
      </w:pPr>
      <w:r>
        <w:t>Chapter 3 The existing explanations for the European integration process: finding a way through</w:t>
      </w:r>
      <w:r>
        <w:tab/>
      </w:r>
      <w:r>
        <w:fldChar w:fldCharType="begin"/>
      </w:r>
      <w:r>
        <w:instrText xml:space="preserve"> PAGEREF _Toc208145608 \h </w:instrText>
      </w:r>
      <w:r>
        <w:fldChar w:fldCharType="separate"/>
      </w:r>
      <w:r>
        <w:t>12</w:t>
      </w:r>
      <w:r>
        <w:fldChar w:fldCharType="end"/>
      </w:r>
    </w:p>
    <w:p w14:paraId="75745D18" w14:textId="77777777" w:rsidR="004E4508" w:rsidRDefault="004E4508">
      <w:pPr>
        <w:pStyle w:val="TOC2"/>
        <w:rPr>
          <w:rFonts w:asciiTheme="minorHAnsi" w:eastAsiaTheme="minorEastAsia" w:hAnsiTheme="minorHAnsi" w:cstheme="minorBidi"/>
          <w:lang w:val="en-US" w:eastAsia="ja-JP"/>
        </w:rPr>
      </w:pPr>
      <w:r>
        <w:t>3.1. Neo-functionalist approach: EU studies are born as a separated discipline</w:t>
      </w:r>
      <w:r>
        <w:tab/>
      </w:r>
      <w:r>
        <w:fldChar w:fldCharType="begin"/>
      </w:r>
      <w:r>
        <w:instrText xml:space="preserve"> PAGEREF _Toc208145609 \h </w:instrText>
      </w:r>
      <w:r>
        <w:fldChar w:fldCharType="separate"/>
      </w:r>
      <w:r>
        <w:t>13</w:t>
      </w:r>
      <w:r>
        <w:fldChar w:fldCharType="end"/>
      </w:r>
    </w:p>
    <w:p w14:paraId="0C244886" w14:textId="77777777" w:rsidR="004E4508" w:rsidRDefault="004E4508">
      <w:pPr>
        <w:pStyle w:val="TOC3"/>
        <w:tabs>
          <w:tab w:val="left" w:pos="1304"/>
        </w:tabs>
        <w:rPr>
          <w:rFonts w:asciiTheme="minorHAnsi" w:eastAsiaTheme="minorEastAsia" w:hAnsiTheme="minorHAnsi" w:cstheme="minorBidi"/>
          <w:noProof/>
          <w:lang w:val="en-US" w:eastAsia="ja-JP"/>
        </w:rPr>
      </w:pPr>
      <w:r>
        <w:rPr>
          <w:noProof/>
        </w:rPr>
        <w:t>3.1.1</w:t>
      </w:r>
      <w:r>
        <w:rPr>
          <w:rFonts w:asciiTheme="minorHAnsi" w:eastAsiaTheme="minorEastAsia" w:hAnsiTheme="minorHAnsi" w:cstheme="minorBidi"/>
          <w:noProof/>
          <w:lang w:val="en-US" w:eastAsia="ja-JP"/>
        </w:rPr>
        <w:tab/>
      </w:r>
      <w:r>
        <w:rPr>
          <w:noProof/>
        </w:rPr>
        <w:t>The essential traits of Neo-functionalism</w:t>
      </w:r>
      <w:r>
        <w:rPr>
          <w:noProof/>
        </w:rPr>
        <w:tab/>
      </w:r>
      <w:r>
        <w:rPr>
          <w:noProof/>
        </w:rPr>
        <w:fldChar w:fldCharType="begin"/>
      </w:r>
      <w:r>
        <w:rPr>
          <w:noProof/>
        </w:rPr>
        <w:instrText xml:space="preserve"> PAGEREF _Toc208145610 \h </w:instrText>
      </w:r>
      <w:r>
        <w:rPr>
          <w:noProof/>
        </w:rPr>
      </w:r>
      <w:r>
        <w:rPr>
          <w:noProof/>
        </w:rPr>
        <w:fldChar w:fldCharType="separate"/>
      </w:r>
      <w:r>
        <w:rPr>
          <w:noProof/>
        </w:rPr>
        <w:t>13</w:t>
      </w:r>
      <w:r>
        <w:rPr>
          <w:noProof/>
        </w:rPr>
        <w:fldChar w:fldCharType="end"/>
      </w:r>
    </w:p>
    <w:p w14:paraId="5E86723C" w14:textId="77777777" w:rsidR="004E4508" w:rsidRDefault="004E4508">
      <w:pPr>
        <w:pStyle w:val="TOC3"/>
        <w:tabs>
          <w:tab w:val="left" w:pos="1304"/>
        </w:tabs>
        <w:rPr>
          <w:rFonts w:asciiTheme="minorHAnsi" w:eastAsiaTheme="minorEastAsia" w:hAnsiTheme="minorHAnsi" w:cstheme="minorBidi"/>
          <w:noProof/>
          <w:lang w:val="en-US" w:eastAsia="ja-JP"/>
        </w:rPr>
      </w:pPr>
      <w:r>
        <w:rPr>
          <w:noProof/>
        </w:rPr>
        <w:t>3.1.2</w:t>
      </w:r>
      <w:r>
        <w:rPr>
          <w:rFonts w:asciiTheme="minorHAnsi" w:eastAsiaTheme="minorEastAsia" w:hAnsiTheme="minorHAnsi" w:cstheme="minorBidi"/>
          <w:noProof/>
          <w:lang w:val="en-US" w:eastAsia="ja-JP"/>
        </w:rPr>
        <w:tab/>
      </w:r>
      <w:r>
        <w:rPr>
          <w:noProof/>
        </w:rPr>
        <w:t>Why dismissing classical neo-functionalism?</w:t>
      </w:r>
      <w:r>
        <w:rPr>
          <w:noProof/>
        </w:rPr>
        <w:tab/>
      </w:r>
      <w:r>
        <w:rPr>
          <w:noProof/>
        </w:rPr>
        <w:fldChar w:fldCharType="begin"/>
      </w:r>
      <w:r>
        <w:rPr>
          <w:noProof/>
        </w:rPr>
        <w:instrText xml:space="preserve"> PAGEREF _Toc208145612 \h </w:instrText>
      </w:r>
      <w:r>
        <w:rPr>
          <w:noProof/>
        </w:rPr>
      </w:r>
      <w:r>
        <w:rPr>
          <w:noProof/>
        </w:rPr>
        <w:fldChar w:fldCharType="separate"/>
      </w:r>
      <w:r>
        <w:rPr>
          <w:noProof/>
        </w:rPr>
        <w:t>14</w:t>
      </w:r>
      <w:r>
        <w:rPr>
          <w:noProof/>
        </w:rPr>
        <w:fldChar w:fldCharType="end"/>
      </w:r>
    </w:p>
    <w:p w14:paraId="39F10248" w14:textId="77777777" w:rsidR="004E4508" w:rsidRDefault="004E4508">
      <w:pPr>
        <w:pStyle w:val="TOC3"/>
        <w:tabs>
          <w:tab w:val="left" w:pos="1304"/>
        </w:tabs>
        <w:rPr>
          <w:rFonts w:asciiTheme="minorHAnsi" w:eastAsiaTheme="minorEastAsia" w:hAnsiTheme="minorHAnsi" w:cstheme="minorBidi"/>
          <w:noProof/>
          <w:lang w:val="en-US" w:eastAsia="ja-JP"/>
        </w:rPr>
      </w:pPr>
      <w:r>
        <w:rPr>
          <w:noProof/>
        </w:rPr>
        <w:t>3.1.3</w:t>
      </w:r>
      <w:r>
        <w:rPr>
          <w:rFonts w:asciiTheme="minorHAnsi" w:eastAsiaTheme="minorEastAsia" w:hAnsiTheme="minorHAnsi" w:cstheme="minorBidi"/>
          <w:noProof/>
          <w:lang w:val="en-US" w:eastAsia="ja-JP"/>
        </w:rPr>
        <w:tab/>
      </w:r>
      <w:r>
        <w:rPr>
          <w:noProof/>
        </w:rPr>
        <w:t>The comparativist turn</w:t>
      </w:r>
      <w:r>
        <w:rPr>
          <w:noProof/>
        </w:rPr>
        <w:tab/>
      </w:r>
      <w:r>
        <w:rPr>
          <w:noProof/>
        </w:rPr>
        <w:fldChar w:fldCharType="begin"/>
      </w:r>
      <w:r>
        <w:rPr>
          <w:noProof/>
        </w:rPr>
        <w:instrText xml:space="preserve"> PAGEREF _Toc208145614 \h </w:instrText>
      </w:r>
      <w:r>
        <w:rPr>
          <w:noProof/>
        </w:rPr>
      </w:r>
      <w:r>
        <w:rPr>
          <w:noProof/>
        </w:rPr>
        <w:fldChar w:fldCharType="separate"/>
      </w:r>
      <w:r>
        <w:rPr>
          <w:noProof/>
        </w:rPr>
        <w:t>14</w:t>
      </w:r>
      <w:r>
        <w:rPr>
          <w:noProof/>
        </w:rPr>
        <w:fldChar w:fldCharType="end"/>
      </w:r>
    </w:p>
    <w:p w14:paraId="5E11E3EE" w14:textId="77777777" w:rsidR="004E4508" w:rsidRDefault="004E4508">
      <w:pPr>
        <w:pStyle w:val="TOC3"/>
        <w:tabs>
          <w:tab w:val="left" w:pos="1304"/>
        </w:tabs>
        <w:rPr>
          <w:rFonts w:asciiTheme="minorHAnsi" w:eastAsiaTheme="minorEastAsia" w:hAnsiTheme="minorHAnsi" w:cstheme="minorBidi"/>
          <w:noProof/>
          <w:lang w:val="en-US" w:eastAsia="ja-JP"/>
        </w:rPr>
      </w:pPr>
      <w:r>
        <w:rPr>
          <w:noProof/>
        </w:rPr>
        <w:t>3.1.4</w:t>
      </w:r>
      <w:r>
        <w:rPr>
          <w:rFonts w:asciiTheme="minorHAnsi" w:eastAsiaTheme="minorEastAsia" w:hAnsiTheme="minorHAnsi" w:cstheme="minorBidi"/>
          <w:noProof/>
          <w:lang w:val="en-US" w:eastAsia="ja-JP"/>
        </w:rPr>
        <w:tab/>
      </w:r>
      <w:r>
        <w:rPr>
          <w:noProof/>
        </w:rPr>
        <w:t>Neo-neofunctionalism(s)</w:t>
      </w:r>
      <w:r>
        <w:rPr>
          <w:noProof/>
        </w:rPr>
        <w:tab/>
      </w:r>
      <w:r>
        <w:rPr>
          <w:noProof/>
        </w:rPr>
        <w:fldChar w:fldCharType="begin"/>
      </w:r>
      <w:r>
        <w:rPr>
          <w:noProof/>
        </w:rPr>
        <w:instrText xml:space="preserve"> PAGEREF _Toc208145616 \h </w:instrText>
      </w:r>
      <w:r>
        <w:rPr>
          <w:noProof/>
        </w:rPr>
      </w:r>
      <w:r>
        <w:rPr>
          <w:noProof/>
        </w:rPr>
        <w:fldChar w:fldCharType="separate"/>
      </w:r>
      <w:r>
        <w:rPr>
          <w:noProof/>
        </w:rPr>
        <w:t>16</w:t>
      </w:r>
      <w:r>
        <w:rPr>
          <w:noProof/>
        </w:rPr>
        <w:fldChar w:fldCharType="end"/>
      </w:r>
    </w:p>
    <w:p w14:paraId="1F98EC20" w14:textId="77777777" w:rsidR="004E4508" w:rsidRDefault="004E4508">
      <w:pPr>
        <w:pStyle w:val="TOC2"/>
        <w:rPr>
          <w:rFonts w:asciiTheme="minorHAnsi" w:eastAsiaTheme="minorEastAsia" w:hAnsiTheme="minorHAnsi" w:cstheme="minorBidi"/>
          <w:lang w:val="en-US" w:eastAsia="ja-JP"/>
        </w:rPr>
      </w:pPr>
      <w:r>
        <w:t>3.2 Rationalist approach</w:t>
      </w:r>
      <w:r>
        <w:tab/>
      </w:r>
      <w:r>
        <w:fldChar w:fldCharType="begin"/>
      </w:r>
      <w:r>
        <w:instrText xml:space="preserve"> PAGEREF _Toc208145618 \h </w:instrText>
      </w:r>
      <w:r>
        <w:fldChar w:fldCharType="separate"/>
      </w:r>
      <w:r>
        <w:t>18</w:t>
      </w:r>
      <w:r>
        <w:fldChar w:fldCharType="end"/>
      </w:r>
    </w:p>
    <w:p w14:paraId="48A753AD" w14:textId="77777777" w:rsidR="004E4508" w:rsidRDefault="004E4508">
      <w:pPr>
        <w:pStyle w:val="TOC3"/>
        <w:tabs>
          <w:tab w:val="left" w:pos="1304"/>
        </w:tabs>
        <w:rPr>
          <w:rFonts w:asciiTheme="minorHAnsi" w:eastAsiaTheme="minorEastAsia" w:hAnsiTheme="minorHAnsi" w:cstheme="minorBidi"/>
          <w:noProof/>
          <w:lang w:val="en-US" w:eastAsia="ja-JP"/>
        </w:rPr>
      </w:pPr>
      <w:r>
        <w:rPr>
          <w:noProof/>
        </w:rPr>
        <w:t>3.2.1</w:t>
      </w:r>
      <w:r>
        <w:rPr>
          <w:rFonts w:asciiTheme="minorHAnsi" w:eastAsiaTheme="minorEastAsia" w:hAnsiTheme="minorHAnsi" w:cstheme="minorBidi"/>
          <w:noProof/>
          <w:lang w:val="en-US" w:eastAsia="ja-JP"/>
        </w:rPr>
        <w:tab/>
      </w:r>
      <w:r>
        <w:rPr>
          <w:noProof/>
        </w:rPr>
        <w:t>An alternative to neo-functionalism</w:t>
      </w:r>
      <w:r>
        <w:rPr>
          <w:noProof/>
        </w:rPr>
        <w:tab/>
      </w:r>
      <w:r>
        <w:rPr>
          <w:noProof/>
        </w:rPr>
        <w:fldChar w:fldCharType="begin"/>
      </w:r>
      <w:r>
        <w:rPr>
          <w:noProof/>
        </w:rPr>
        <w:instrText xml:space="preserve"> PAGEREF _Toc208145619 \h </w:instrText>
      </w:r>
      <w:r>
        <w:rPr>
          <w:noProof/>
        </w:rPr>
      </w:r>
      <w:r>
        <w:rPr>
          <w:noProof/>
        </w:rPr>
        <w:fldChar w:fldCharType="separate"/>
      </w:r>
      <w:r>
        <w:rPr>
          <w:noProof/>
        </w:rPr>
        <w:t>18</w:t>
      </w:r>
      <w:r>
        <w:rPr>
          <w:noProof/>
        </w:rPr>
        <w:fldChar w:fldCharType="end"/>
      </w:r>
    </w:p>
    <w:p w14:paraId="5641FBB2" w14:textId="77777777" w:rsidR="004E4508" w:rsidRDefault="004E4508">
      <w:pPr>
        <w:pStyle w:val="TOC3"/>
        <w:tabs>
          <w:tab w:val="left" w:pos="1304"/>
        </w:tabs>
        <w:rPr>
          <w:rFonts w:asciiTheme="minorHAnsi" w:eastAsiaTheme="minorEastAsia" w:hAnsiTheme="minorHAnsi" w:cstheme="minorBidi"/>
          <w:noProof/>
          <w:lang w:val="en-US" w:eastAsia="ja-JP"/>
        </w:rPr>
      </w:pPr>
      <w:r>
        <w:rPr>
          <w:noProof/>
        </w:rPr>
        <w:t>3.2.2</w:t>
      </w:r>
      <w:r>
        <w:rPr>
          <w:rFonts w:asciiTheme="minorHAnsi" w:eastAsiaTheme="minorEastAsia" w:hAnsiTheme="minorHAnsi" w:cstheme="minorBidi"/>
          <w:noProof/>
          <w:lang w:val="en-US" w:eastAsia="ja-JP"/>
        </w:rPr>
        <w:tab/>
      </w:r>
      <w:r>
        <w:rPr>
          <w:noProof/>
        </w:rPr>
        <w:t>Criticizing Moravksic</w:t>
      </w:r>
      <w:r>
        <w:rPr>
          <w:noProof/>
        </w:rPr>
        <w:tab/>
      </w:r>
      <w:r>
        <w:rPr>
          <w:noProof/>
        </w:rPr>
        <w:fldChar w:fldCharType="begin"/>
      </w:r>
      <w:r>
        <w:rPr>
          <w:noProof/>
        </w:rPr>
        <w:instrText xml:space="preserve"> PAGEREF _Toc208145620 \h </w:instrText>
      </w:r>
      <w:r>
        <w:rPr>
          <w:noProof/>
        </w:rPr>
      </w:r>
      <w:r>
        <w:rPr>
          <w:noProof/>
        </w:rPr>
        <w:fldChar w:fldCharType="separate"/>
      </w:r>
      <w:r>
        <w:rPr>
          <w:noProof/>
        </w:rPr>
        <w:t>19</w:t>
      </w:r>
      <w:r>
        <w:rPr>
          <w:noProof/>
        </w:rPr>
        <w:fldChar w:fldCharType="end"/>
      </w:r>
    </w:p>
    <w:p w14:paraId="3C61D26D" w14:textId="77777777" w:rsidR="004E4508" w:rsidRDefault="004E4508">
      <w:pPr>
        <w:pStyle w:val="TOC2"/>
        <w:rPr>
          <w:rFonts w:asciiTheme="minorHAnsi" w:eastAsiaTheme="minorEastAsia" w:hAnsiTheme="minorHAnsi" w:cstheme="minorBidi"/>
          <w:lang w:val="en-US" w:eastAsia="ja-JP"/>
        </w:rPr>
      </w:pPr>
      <w:r>
        <w:t>3.3 Multi-level governance: where is the theoretical significance?</w:t>
      </w:r>
      <w:r>
        <w:tab/>
      </w:r>
      <w:r>
        <w:fldChar w:fldCharType="begin"/>
      </w:r>
      <w:r>
        <w:instrText xml:space="preserve"> PAGEREF _Toc208145621 \h </w:instrText>
      </w:r>
      <w:r>
        <w:fldChar w:fldCharType="separate"/>
      </w:r>
      <w:r>
        <w:t>20</w:t>
      </w:r>
      <w:r>
        <w:fldChar w:fldCharType="end"/>
      </w:r>
    </w:p>
    <w:p w14:paraId="0FD2759E" w14:textId="77777777" w:rsidR="004E4508" w:rsidRDefault="004E4508">
      <w:pPr>
        <w:pStyle w:val="TOC2"/>
        <w:rPr>
          <w:rFonts w:asciiTheme="minorHAnsi" w:eastAsiaTheme="minorEastAsia" w:hAnsiTheme="minorHAnsi" w:cstheme="minorBidi"/>
          <w:lang w:val="en-US" w:eastAsia="ja-JP"/>
        </w:rPr>
      </w:pPr>
      <w:r>
        <w:t>3.4 A combined, two-level solution</w:t>
      </w:r>
      <w:r>
        <w:tab/>
      </w:r>
      <w:r>
        <w:fldChar w:fldCharType="begin"/>
      </w:r>
      <w:r>
        <w:instrText xml:space="preserve"> PAGEREF _Toc208145622 \h </w:instrText>
      </w:r>
      <w:r>
        <w:fldChar w:fldCharType="separate"/>
      </w:r>
      <w:r>
        <w:t>21</w:t>
      </w:r>
      <w:r>
        <w:fldChar w:fldCharType="end"/>
      </w:r>
    </w:p>
    <w:p w14:paraId="17F6F5F5" w14:textId="77777777" w:rsidR="004E4508" w:rsidRDefault="004E4508">
      <w:pPr>
        <w:pStyle w:val="TOC1"/>
        <w:rPr>
          <w:rFonts w:asciiTheme="minorHAnsi" w:eastAsiaTheme="minorEastAsia" w:hAnsiTheme="minorHAnsi" w:cstheme="minorBidi"/>
          <w:b w:val="0"/>
          <w:lang w:val="en-US" w:eastAsia="ja-JP"/>
        </w:rPr>
      </w:pPr>
      <w:r>
        <w:t>Chapter 4 The historical reasons and the ideational path to the two-level EU</w:t>
      </w:r>
      <w:r>
        <w:tab/>
      </w:r>
      <w:r>
        <w:fldChar w:fldCharType="begin"/>
      </w:r>
      <w:r>
        <w:instrText xml:space="preserve"> PAGEREF _Toc208145623 \h </w:instrText>
      </w:r>
      <w:r>
        <w:fldChar w:fldCharType="separate"/>
      </w:r>
      <w:r>
        <w:t>26</w:t>
      </w:r>
      <w:r>
        <w:fldChar w:fldCharType="end"/>
      </w:r>
    </w:p>
    <w:p w14:paraId="78467D62" w14:textId="77777777" w:rsidR="004E4508" w:rsidRDefault="004E4508">
      <w:pPr>
        <w:pStyle w:val="TOC2"/>
        <w:rPr>
          <w:rFonts w:asciiTheme="minorHAnsi" w:eastAsiaTheme="minorEastAsia" w:hAnsiTheme="minorHAnsi" w:cstheme="minorBidi"/>
          <w:lang w:val="en-US" w:eastAsia="ja-JP"/>
        </w:rPr>
      </w:pPr>
      <w:r>
        <w:t>4.1 The (old) roots for the two-level EU: 1950s-1990s</w:t>
      </w:r>
      <w:r>
        <w:tab/>
      </w:r>
      <w:r>
        <w:fldChar w:fldCharType="begin"/>
      </w:r>
      <w:r>
        <w:instrText xml:space="preserve"> PAGEREF _Toc208145624 \h </w:instrText>
      </w:r>
      <w:r>
        <w:fldChar w:fldCharType="separate"/>
      </w:r>
      <w:r>
        <w:t>26</w:t>
      </w:r>
      <w:r>
        <w:fldChar w:fldCharType="end"/>
      </w:r>
    </w:p>
    <w:p w14:paraId="43452072" w14:textId="77777777" w:rsidR="004E4508" w:rsidRDefault="004E4508">
      <w:pPr>
        <w:pStyle w:val="TOC2"/>
        <w:rPr>
          <w:rFonts w:asciiTheme="minorHAnsi" w:eastAsiaTheme="minorEastAsia" w:hAnsiTheme="minorHAnsi" w:cstheme="minorBidi"/>
          <w:lang w:val="en-US" w:eastAsia="ja-JP"/>
        </w:rPr>
      </w:pPr>
      <w:r>
        <w:t>4.2 Inter-government bargaining, consolidated through the Councils: 1990s</w:t>
      </w:r>
      <w:r>
        <w:tab/>
      </w:r>
      <w:r>
        <w:fldChar w:fldCharType="begin"/>
      </w:r>
      <w:r>
        <w:instrText xml:space="preserve"> PAGEREF _Toc208145625 \h </w:instrText>
      </w:r>
      <w:r>
        <w:fldChar w:fldCharType="separate"/>
      </w:r>
      <w:r>
        <w:t>28</w:t>
      </w:r>
      <w:r>
        <w:fldChar w:fldCharType="end"/>
      </w:r>
    </w:p>
    <w:p w14:paraId="4DFA9B64" w14:textId="77777777" w:rsidR="004E4508" w:rsidRDefault="004E4508">
      <w:pPr>
        <w:pStyle w:val="TOC1"/>
        <w:rPr>
          <w:rFonts w:asciiTheme="minorHAnsi" w:eastAsiaTheme="minorEastAsia" w:hAnsiTheme="minorHAnsi" w:cstheme="minorBidi"/>
          <w:b w:val="0"/>
          <w:lang w:val="en-US" w:eastAsia="ja-JP"/>
        </w:rPr>
      </w:pPr>
      <w:r>
        <w:t>Chapter 5 A two-actor sequential game for the present and future federal European union</w:t>
      </w:r>
      <w:r>
        <w:tab/>
      </w:r>
      <w:r>
        <w:fldChar w:fldCharType="begin"/>
      </w:r>
      <w:r>
        <w:instrText xml:space="preserve"> PAGEREF _Toc208145626 \h </w:instrText>
      </w:r>
      <w:r>
        <w:fldChar w:fldCharType="separate"/>
      </w:r>
      <w:r>
        <w:t>30</w:t>
      </w:r>
      <w:r>
        <w:fldChar w:fldCharType="end"/>
      </w:r>
    </w:p>
    <w:p w14:paraId="22282D56" w14:textId="77777777" w:rsidR="004E4508" w:rsidRDefault="004E4508">
      <w:pPr>
        <w:pStyle w:val="TOC2"/>
        <w:rPr>
          <w:rFonts w:asciiTheme="minorHAnsi" w:eastAsiaTheme="minorEastAsia" w:hAnsiTheme="minorHAnsi" w:cstheme="minorBidi"/>
          <w:lang w:val="en-US" w:eastAsia="ja-JP"/>
        </w:rPr>
      </w:pPr>
      <w:r>
        <w:t>5.1 Actors, antecedents and preliminary considerations</w:t>
      </w:r>
      <w:r>
        <w:tab/>
      </w:r>
      <w:r>
        <w:fldChar w:fldCharType="begin"/>
      </w:r>
      <w:r>
        <w:instrText xml:space="preserve"> PAGEREF _Toc208145627 \h </w:instrText>
      </w:r>
      <w:r>
        <w:fldChar w:fldCharType="separate"/>
      </w:r>
      <w:r>
        <w:t>30</w:t>
      </w:r>
      <w:r>
        <w:fldChar w:fldCharType="end"/>
      </w:r>
    </w:p>
    <w:p w14:paraId="7A600631" w14:textId="77777777" w:rsidR="004E4508" w:rsidRDefault="004E4508">
      <w:pPr>
        <w:pStyle w:val="TOC2"/>
        <w:rPr>
          <w:rFonts w:asciiTheme="minorHAnsi" w:eastAsiaTheme="minorEastAsia" w:hAnsiTheme="minorHAnsi" w:cstheme="minorBidi"/>
          <w:lang w:val="en-US" w:eastAsia="ja-JP"/>
        </w:rPr>
      </w:pPr>
      <w:r>
        <w:t>5.2 Preferences and utility functions</w:t>
      </w:r>
      <w:r>
        <w:tab/>
      </w:r>
      <w:r>
        <w:fldChar w:fldCharType="begin"/>
      </w:r>
      <w:r>
        <w:instrText xml:space="preserve"> PAGEREF _Toc208145628 \h </w:instrText>
      </w:r>
      <w:r>
        <w:fldChar w:fldCharType="separate"/>
      </w:r>
      <w:r>
        <w:t>32</w:t>
      </w:r>
      <w:r>
        <w:fldChar w:fldCharType="end"/>
      </w:r>
    </w:p>
    <w:p w14:paraId="50DA90B8" w14:textId="77777777" w:rsidR="004E4508" w:rsidRDefault="004E4508">
      <w:pPr>
        <w:pStyle w:val="TOC2"/>
        <w:rPr>
          <w:rFonts w:asciiTheme="minorHAnsi" w:eastAsiaTheme="minorEastAsia" w:hAnsiTheme="minorHAnsi" w:cstheme="minorBidi"/>
          <w:lang w:val="en-US" w:eastAsia="ja-JP"/>
        </w:rPr>
      </w:pPr>
      <w:r>
        <w:lastRenderedPageBreak/>
        <w:t>5.3 A first, non-iterated game</w:t>
      </w:r>
      <w:r>
        <w:tab/>
      </w:r>
      <w:r>
        <w:fldChar w:fldCharType="begin"/>
      </w:r>
      <w:r>
        <w:instrText xml:space="preserve"> PAGEREF _Toc208145629 \h </w:instrText>
      </w:r>
      <w:r>
        <w:fldChar w:fldCharType="separate"/>
      </w:r>
      <w:r>
        <w:t>33</w:t>
      </w:r>
      <w:r>
        <w:fldChar w:fldCharType="end"/>
      </w:r>
    </w:p>
    <w:p w14:paraId="6BEEB3B0" w14:textId="77777777" w:rsidR="004E4508" w:rsidRDefault="004E4508">
      <w:pPr>
        <w:pStyle w:val="TOC2"/>
        <w:rPr>
          <w:rFonts w:asciiTheme="minorHAnsi" w:eastAsiaTheme="minorEastAsia" w:hAnsiTheme="minorHAnsi" w:cstheme="minorBidi"/>
          <w:lang w:val="en-US" w:eastAsia="ja-JP"/>
        </w:rPr>
      </w:pPr>
      <w:r>
        <w:t>5.4 Expanding the game: iterations and learning</w:t>
      </w:r>
      <w:r>
        <w:tab/>
      </w:r>
      <w:r>
        <w:fldChar w:fldCharType="begin"/>
      </w:r>
      <w:r>
        <w:instrText xml:space="preserve"> PAGEREF _Toc208145630 \h </w:instrText>
      </w:r>
      <w:r>
        <w:fldChar w:fldCharType="separate"/>
      </w:r>
      <w:r>
        <w:t>36</w:t>
      </w:r>
      <w:r>
        <w:fldChar w:fldCharType="end"/>
      </w:r>
    </w:p>
    <w:p w14:paraId="3F7066C4" w14:textId="77777777" w:rsidR="004E4508" w:rsidRDefault="004E4508">
      <w:pPr>
        <w:pStyle w:val="TOC1"/>
        <w:rPr>
          <w:rFonts w:asciiTheme="minorHAnsi" w:eastAsiaTheme="minorEastAsia" w:hAnsiTheme="minorHAnsi" w:cstheme="minorBidi"/>
          <w:b w:val="0"/>
          <w:lang w:val="en-US" w:eastAsia="ja-JP"/>
        </w:rPr>
      </w:pPr>
      <w:r>
        <w:t>Chapter 6 Concluding: back to institutional analysis</w:t>
      </w:r>
      <w:r>
        <w:tab/>
      </w:r>
      <w:r>
        <w:fldChar w:fldCharType="begin"/>
      </w:r>
      <w:r>
        <w:instrText xml:space="preserve"> PAGEREF _Toc208145631 \h </w:instrText>
      </w:r>
      <w:r>
        <w:fldChar w:fldCharType="separate"/>
      </w:r>
      <w:r>
        <w:t>39</w:t>
      </w:r>
      <w:r>
        <w:fldChar w:fldCharType="end"/>
      </w:r>
    </w:p>
    <w:p w14:paraId="5623428C" w14:textId="77777777" w:rsidR="004E4508" w:rsidRDefault="004E4508">
      <w:pPr>
        <w:pStyle w:val="TOC4"/>
        <w:tabs>
          <w:tab w:val="right" w:pos="7360"/>
        </w:tabs>
        <w:rPr>
          <w:rFonts w:asciiTheme="minorHAnsi" w:eastAsiaTheme="minorEastAsia" w:hAnsiTheme="minorHAnsi" w:cstheme="minorBidi"/>
          <w:i w:val="0"/>
          <w:noProof/>
          <w:lang w:val="en-US" w:eastAsia="ja-JP"/>
        </w:rPr>
      </w:pPr>
      <w:r>
        <w:rPr>
          <w:noProof/>
        </w:rPr>
        <w:t>References</w:t>
      </w:r>
      <w:r>
        <w:rPr>
          <w:noProof/>
        </w:rPr>
        <w:tab/>
      </w:r>
      <w:r>
        <w:rPr>
          <w:noProof/>
        </w:rPr>
        <w:fldChar w:fldCharType="begin"/>
      </w:r>
      <w:r>
        <w:rPr>
          <w:noProof/>
        </w:rPr>
        <w:instrText xml:space="preserve"> PAGEREF _Toc208145632 \h </w:instrText>
      </w:r>
      <w:r>
        <w:rPr>
          <w:noProof/>
        </w:rPr>
      </w:r>
      <w:r>
        <w:rPr>
          <w:noProof/>
        </w:rPr>
        <w:fldChar w:fldCharType="separate"/>
      </w:r>
      <w:r>
        <w:rPr>
          <w:noProof/>
        </w:rPr>
        <w:t>41</w:t>
      </w:r>
      <w:r>
        <w:rPr>
          <w:noProof/>
        </w:rPr>
        <w:fldChar w:fldCharType="end"/>
      </w:r>
    </w:p>
    <w:p w14:paraId="6A8A9B4E" w14:textId="77777777" w:rsidR="00043460" w:rsidRPr="008B3247" w:rsidRDefault="00742C60" w:rsidP="00EB1441">
      <w:pPr>
        <w:pStyle w:val="TOC1"/>
      </w:pPr>
      <w:r>
        <w:rPr>
          <w:b w:val="0"/>
          <w:noProof w:val="0"/>
        </w:rPr>
        <w:fldChar w:fldCharType="end"/>
      </w:r>
    </w:p>
    <w:p w14:paraId="6274E23D" w14:textId="77777777" w:rsidR="00532F55" w:rsidRDefault="00E22DF1" w:rsidP="00EB1441">
      <w:pPr>
        <w:pStyle w:val="Heading1NOTchapter"/>
        <w:spacing w:after="300"/>
      </w:pPr>
      <w:r>
        <w:br w:type="page"/>
      </w:r>
      <w:bookmarkStart w:id="13" w:name="_Toc208145592"/>
      <w:r w:rsidR="00532F55">
        <w:lastRenderedPageBreak/>
        <w:t>List of Tables</w:t>
      </w:r>
      <w:bookmarkEnd w:id="13"/>
    </w:p>
    <w:p w14:paraId="60FC38D7" w14:textId="77777777" w:rsidR="001C76F3" w:rsidRDefault="00742C60">
      <w:pPr>
        <w:pStyle w:val="TableofFigures"/>
        <w:tabs>
          <w:tab w:val="right" w:pos="7360"/>
        </w:tabs>
        <w:rPr>
          <w:rFonts w:asciiTheme="minorHAnsi" w:eastAsiaTheme="minorEastAsia" w:hAnsiTheme="minorHAnsi" w:cstheme="minorBidi"/>
          <w:noProof/>
          <w:lang w:val="en-US" w:eastAsia="ja-JP"/>
        </w:rPr>
      </w:pPr>
      <w:r>
        <w:rPr>
          <w:b/>
          <w:noProof/>
        </w:rPr>
        <w:fldChar w:fldCharType="begin"/>
      </w:r>
      <w:r w:rsidR="00DE51EA">
        <w:rPr>
          <w:b/>
          <w:noProof/>
        </w:rPr>
        <w:instrText xml:space="preserve"> TOC \h \z \t "table title,2" \c "Table" </w:instrText>
      </w:r>
      <w:r>
        <w:rPr>
          <w:b/>
          <w:noProof/>
        </w:rPr>
        <w:fldChar w:fldCharType="separate"/>
      </w:r>
      <w:r w:rsidR="001C76F3">
        <w:rPr>
          <w:noProof/>
        </w:rPr>
        <w:t>Table 3.1 Forms of sovereignty and its correspondence with EU actors</w:t>
      </w:r>
      <w:r w:rsidR="001C76F3">
        <w:rPr>
          <w:noProof/>
        </w:rPr>
        <w:tab/>
      </w:r>
      <w:r w:rsidR="001C76F3">
        <w:rPr>
          <w:noProof/>
        </w:rPr>
        <w:fldChar w:fldCharType="begin"/>
      </w:r>
      <w:r w:rsidR="001C76F3">
        <w:rPr>
          <w:noProof/>
        </w:rPr>
        <w:instrText xml:space="preserve"> PAGEREF _Toc208070850 \h </w:instrText>
      </w:r>
      <w:r w:rsidR="001C76F3">
        <w:rPr>
          <w:noProof/>
        </w:rPr>
      </w:r>
      <w:r w:rsidR="001C76F3">
        <w:rPr>
          <w:noProof/>
        </w:rPr>
        <w:fldChar w:fldCharType="separate"/>
      </w:r>
      <w:r w:rsidR="001C76F3">
        <w:rPr>
          <w:noProof/>
        </w:rPr>
        <w:t>22</w:t>
      </w:r>
      <w:r w:rsidR="001C76F3">
        <w:rPr>
          <w:noProof/>
        </w:rPr>
        <w:fldChar w:fldCharType="end"/>
      </w:r>
    </w:p>
    <w:p w14:paraId="471D6EB4" w14:textId="77777777" w:rsidR="001C76F3" w:rsidRDefault="001C76F3">
      <w:pPr>
        <w:pStyle w:val="TableofFigures"/>
        <w:tabs>
          <w:tab w:val="right" w:pos="7360"/>
        </w:tabs>
        <w:rPr>
          <w:rFonts w:asciiTheme="minorHAnsi" w:eastAsiaTheme="minorEastAsia" w:hAnsiTheme="minorHAnsi" w:cstheme="minorBidi"/>
          <w:noProof/>
          <w:lang w:val="en-US" w:eastAsia="ja-JP"/>
        </w:rPr>
      </w:pPr>
      <w:r>
        <w:rPr>
          <w:noProof/>
        </w:rPr>
        <w:t>Table 5.1 Payoff matrix for an absolute and non-iterated game on inter-government bargain</w:t>
      </w:r>
      <w:r>
        <w:rPr>
          <w:noProof/>
        </w:rPr>
        <w:tab/>
      </w:r>
      <w:r>
        <w:rPr>
          <w:noProof/>
        </w:rPr>
        <w:fldChar w:fldCharType="begin"/>
      </w:r>
      <w:r>
        <w:rPr>
          <w:noProof/>
        </w:rPr>
        <w:instrText xml:space="preserve"> PAGEREF _Toc208070851 \h </w:instrText>
      </w:r>
      <w:r>
        <w:rPr>
          <w:noProof/>
        </w:rPr>
      </w:r>
      <w:r>
        <w:rPr>
          <w:noProof/>
        </w:rPr>
        <w:fldChar w:fldCharType="separate"/>
      </w:r>
      <w:r>
        <w:rPr>
          <w:noProof/>
        </w:rPr>
        <w:t>35</w:t>
      </w:r>
      <w:r>
        <w:rPr>
          <w:noProof/>
        </w:rPr>
        <w:fldChar w:fldCharType="end"/>
      </w:r>
    </w:p>
    <w:p w14:paraId="70C456F9" w14:textId="77777777" w:rsidR="00E5231B" w:rsidRDefault="00742C60" w:rsidP="00EB1441">
      <w:pPr>
        <w:pStyle w:val="Heading1NOTchapter"/>
        <w:spacing w:before="800" w:after="300"/>
      </w:pPr>
      <w:r>
        <w:rPr>
          <w:b w:val="0"/>
          <w:noProof/>
          <w:kern w:val="0"/>
          <w:sz w:val="24"/>
          <w:szCs w:val="24"/>
        </w:rPr>
        <w:fldChar w:fldCharType="end"/>
      </w:r>
      <w:bookmarkStart w:id="14" w:name="_Toc208145593"/>
      <w:r w:rsidR="00E5231B">
        <w:t>List of Figures</w:t>
      </w:r>
      <w:bookmarkEnd w:id="14"/>
    </w:p>
    <w:p w14:paraId="23DB7956" w14:textId="3DE1134E" w:rsidR="00044C15" w:rsidRPr="00044C15" w:rsidRDefault="00044C15" w:rsidP="00044C15">
      <w:pPr>
        <w:pStyle w:val="Heading1NOTchapter"/>
        <w:spacing w:after="120"/>
        <w:rPr>
          <w:b w:val="0"/>
          <w:sz w:val="24"/>
          <w:szCs w:val="24"/>
        </w:rPr>
      </w:pPr>
      <w:bookmarkStart w:id="15" w:name="_Toc208133492"/>
      <w:bookmarkStart w:id="16" w:name="_Toc208145594"/>
      <w:r>
        <w:rPr>
          <w:b w:val="0"/>
          <w:sz w:val="24"/>
          <w:szCs w:val="24"/>
        </w:rPr>
        <w:t xml:space="preserve">Figure 2.1 </w:t>
      </w:r>
      <w:r w:rsidRPr="00044C15">
        <w:rPr>
          <w:b w:val="0"/>
          <w:sz w:val="24"/>
          <w:szCs w:val="24"/>
        </w:rPr>
        <w:t>Unemployment rate in Spain by quarters. 4Q2005-1Q2009</w:t>
      </w:r>
      <w:r w:rsidR="00A65659">
        <w:rPr>
          <w:b w:val="0"/>
          <w:sz w:val="24"/>
          <w:szCs w:val="24"/>
        </w:rPr>
        <w:tab/>
      </w:r>
      <w:r w:rsidR="00757803">
        <w:rPr>
          <w:b w:val="0"/>
          <w:sz w:val="24"/>
          <w:szCs w:val="24"/>
        </w:rPr>
        <w:tab/>
        <w:t>7</w:t>
      </w:r>
      <w:bookmarkEnd w:id="15"/>
      <w:bookmarkEnd w:id="16"/>
    </w:p>
    <w:p w14:paraId="63317063" w14:textId="7EAE71C5" w:rsidR="00044C15" w:rsidRPr="00044C15" w:rsidRDefault="00044C15" w:rsidP="00044C15">
      <w:pPr>
        <w:pStyle w:val="Heading1NOTchapter"/>
        <w:spacing w:after="120"/>
        <w:rPr>
          <w:b w:val="0"/>
          <w:sz w:val="24"/>
          <w:szCs w:val="24"/>
        </w:rPr>
      </w:pPr>
      <w:bookmarkStart w:id="17" w:name="_Toc208133493"/>
      <w:bookmarkStart w:id="18" w:name="_Toc208145595"/>
      <w:r>
        <w:rPr>
          <w:b w:val="0"/>
          <w:sz w:val="24"/>
          <w:szCs w:val="24"/>
        </w:rPr>
        <w:t xml:space="preserve">Figure 2.2 </w:t>
      </w:r>
      <w:r w:rsidRPr="00044C15">
        <w:rPr>
          <w:b w:val="0"/>
          <w:sz w:val="24"/>
          <w:szCs w:val="24"/>
        </w:rPr>
        <w:t>Unemployment rate in Spain by quarters. 1Q2009-2Q2012</w:t>
      </w:r>
      <w:r w:rsidR="00757803">
        <w:rPr>
          <w:b w:val="0"/>
          <w:sz w:val="24"/>
          <w:szCs w:val="24"/>
        </w:rPr>
        <w:tab/>
      </w:r>
      <w:r w:rsidR="00757803">
        <w:rPr>
          <w:b w:val="0"/>
          <w:sz w:val="24"/>
          <w:szCs w:val="24"/>
        </w:rPr>
        <w:tab/>
        <w:t>8</w:t>
      </w:r>
      <w:bookmarkEnd w:id="17"/>
      <w:bookmarkEnd w:id="18"/>
    </w:p>
    <w:p w14:paraId="39B6813F" w14:textId="054F9BFD" w:rsidR="00044C15" w:rsidRPr="00044C15" w:rsidRDefault="00044C15" w:rsidP="00044C15">
      <w:pPr>
        <w:pStyle w:val="Heading1NOTchapter"/>
        <w:spacing w:after="120"/>
        <w:rPr>
          <w:b w:val="0"/>
          <w:sz w:val="24"/>
          <w:szCs w:val="24"/>
        </w:rPr>
      </w:pPr>
      <w:bookmarkStart w:id="19" w:name="_Toc208133494"/>
      <w:bookmarkStart w:id="20" w:name="_Toc208145596"/>
      <w:r>
        <w:rPr>
          <w:b w:val="0"/>
          <w:sz w:val="24"/>
          <w:szCs w:val="24"/>
        </w:rPr>
        <w:t xml:space="preserve">Figure 2.3 </w:t>
      </w:r>
      <w:r w:rsidRPr="00044C15">
        <w:rPr>
          <w:b w:val="0"/>
          <w:sz w:val="24"/>
          <w:szCs w:val="24"/>
        </w:rPr>
        <w:t>Real GDP growth rate in Spain. 2006-2011</w:t>
      </w:r>
      <w:r w:rsidR="00757803">
        <w:rPr>
          <w:b w:val="0"/>
          <w:sz w:val="24"/>
          <w:szCs w:val="24"/>
        </w:rPr>
        <w:tab/>
      </w:r>
      <w:r w:rsidR="00757803">
        <w:rPr>
          <w:b w:val="0"/>
          <w:sz w:val="24"/>
          <w:szCs w:val="24"/>
        </w:rPr>
        <w:tab/>
      </w:r>
      <w:r w:rsidR="00757803">
        <w:rPr>
          <w:b w:val="0"/>
          <w:sz w:val="24"/>
          <w:szCs w:val="24"/>
        </w:rPr>
        <w:tab/>
      </w:r>
      <w:r w:rsidR="00757803">
        <w:rPr>
          <w:b w:val="0"/>
          <w:sz w:val="24"/>
          <w:szCs w:val="24"/>
        </w:rPr>
        <w:tab/>
        <w:t>8</w:t>
      </w:r>
      <w:bookmarkEnd w:id="19"/>
      <w:bookmarkEnd w:id="20"/>
    </w:p>
    <w:p w14:paraId="484CAFCC" w14:textId="5A1FF17B" w:rsidR="00044C15" w:rsidRDefault="00044C15" w:rsidP="00044C15">
      <w:pPr>
        <w:pStyle w:val="Heading1NOTchapter"/>
        <w:spacing w:after="120"/>
        <w:rPr>
          <w:b w:val="0"/>
          <w:sz w:val="24"/>
          <w:szCs w:val="24"/>
        </w:rPr>
      </w:pPr>
      <w:bookmarkStart w:id="21" w:name="_Toc208133495"/>
      <w:bookmarkStart w:id="22" w:name="_Toc208145597"/>
      <w:r w:rsidRPr="00044C15">
        <w:rPr>
          <w:b w:val="0"/>
          <w:sz w:val="24"/>
          <w:szCs w:val="24"/>
        </w:rPr>
        <w:t>Figure 2.</w:t>
      </w:r>
      <w:r>
        <w:rPr>
          <w:b w:val="0"/>
          <w:sz w:val="24"/>
          <w:szCs w:val="24"/>
        </w:rPr>
        <w:t xml:space="preserve">4 </w:t>
      </w:r>
      <w:r w:rsidRPr="00044C15">
        <w:rPr>
          <w:b w:val="0"/>
          <w:sz w:val="24"/>
          <w:szCs w:val="24"/>
        </w:rPr>
        <w:t>Evolution of the ten-year bond yield in selected EU countries</w:t>
      </w:r>
      <w:r w:rsidR="00757803">
        <w:rPr>
          <w:b w:val="0"/>
          <w:sz w:val="24"/>
          <w:szCs w:val="24"/>
        </w:rPr>
        <w:tab/>
        <w:t>9</w:t>
      </w:r>
      <w:bookmarkEnd w:id="21"/>
      <w:bookmarkEnd w:id="22"/>
    </w:p>
    <w:p w14:paraId="03421C9A" w14:textId="2FAA00F1" w:rsidR="00044C15" w:rsidRDefault="00044C15" w:rsidP="00044C15">
      <w:pPr>
        <w:pStyle w:val="Heading1NOTchapter"/>
        <w:spacing w:after="120"/>
        <w:rPr>
          <w:b w:val="0"/>
          <w:sz w:val="24"/>
          <w:szCs w:val="24"/>
        </w:rPr>
      </w:pPr>
      <w:bookmarkStart w:id="23" w:name="_Toc208133496"/>
      <w:bookmarkStart w:id="24" w:name="_Toc208145598"/>
      <w:r w:rsidRPr="00044C15">
        <w:rPr>
          <w:b w:val="0"/>
          <w:sz w:val="24"/>
          <w:szCs w:val="24"/>
        </w:rPr>
        <w:t>Figure 5.1</w:t>
      </w:r>
      <w:r>
        <w:rPr>
          <w:b w:val="0"/>
          <w:sz w:val="24"/>
          <w:szCs w:val="24"/>
        </w:rPr>
        <w:t xml:space="preserve"> </w:t>
      </w:r>
      <w:r w:rsidR="00757803">
        <w:rPr>
          <w:b w:val="0"/>
          <w:sz w:val="24"/>
          <w:szCs w:val="24"/>
        </w:rPr>
        <w:t>An absolute and non-</w:t>
      </w:r>
      <w:r w:rsidRPr="00044C15">
        <w:rPr>
          <w:b w:val="0"/>
          <w:sz w:val="24"/>
          <w:szCs w:val="24"/>
        </w:rPr>
        <w:t xml:space="preserve">iterated game on inter-government </w:t>
      </w:r>
      <w:proofErr w:type="gramStart"/>
      <w:r w:rsidRPr="00044C15">
        <w:rPr>
          <w:b w:val="0"/>
          <w:sz w:val="24"/>
          <w:szCs w:val="24"/>
        </w:rPr>
        <w:t>bargain</w:t>
      </w:r>
      <w:r w:rsidR="00757803">
        <w:rPr>
          <w:b w:val="0"/>
          <w:sz w:val="24"/>
          <w:szCs w:val="24"/>
        </w:rPr>
        <w:t xml:space="preserve">  34</w:t>
      </w:r>
      <w:bookmarkEnd w:id="23"/>
      <w:bookmarkEnd w:id="24"/>
      <w:proofErr w:type="gramEnd"/>
    </w:p>
    <w:p w14:paraId="7CB86020" w14:textId="77777777" w:rsidR="00044C15" w:rsidRPr="00044C15" w:rsidRDefault="00044C15" w:rsidP="00044C15">
      <w:pPr>
        <w:pStyle w:val="Normalfirstparagraph"/>
      </w:pPr>
    </w:p>
    <w:p w14:paraId="19180015" w14:textId="3B235FE9" w:rsidR="00532F55" w:rsidRPr="0085282E" w:rsidRDefault="00BF27F2" w:rsidP="0085282E">
      <w:pPr>
        <w:pStyle w:val="Heading1NOTchapter"/>
        <w:spacing w:before="800" w:after="300"/>
      </w:pPr>
      <w:r>
        <w:rPr>
          <w:b w:val="0"/>
          <w:sz w:val="24"/>
          <w:szCs w:val="24"/>
        </w:rPr>
        <w:t xml:space="preserve"> </w:t>
      </w:r>
      <w:r w:rsidR="00E22DF1">
        <w:br w:type="page"/>
      </w:r>
      <w:bookmarkStart w:id="25" w:name="_Toc208145599"/>
      <w:r w:rsidR="00532F55">
        <w:lastRenderedPageBreak/>
        <w:t>List of Acronyms</w:t>
      </w:r>
      <w:bookmarkEnd w:id="25"/>
    </w:p>
    <w:p w14:paraId="391CA325" w14:textId="77777777" w:rsidR="00C84C4E" w:rsidRDefault="00C84C4E" w:rsidP="00C84C4E">
      <w:pPr>
        <w:pStyle w:val="Acronyms"/>
        <w:tabs>
          <w:tab w:val="left" w:pos="1701"/>
        </w:tabs>
        <w:suppressAutoHyphens/>
        <w:ind w:left="1701" w:hanging="1701"/>
        <w:rPr>
          <w:iCs/>
        </w:rPr>
      </w:pPr>
      <w:bookmarkStart w:id="26" w:name="_Toc156300935"/>
      <w:r>
        <w:t>ECB</w:t>
      </w:r>
      <w:r>
        <w:tab/>
      </w:r>
      <w:r>
        <w:rPr>
          <w:iCs/>
        </w:rPr>
        <w:t>European Central Bank</w:t>
      </w:r>
    </w:p>
    <w:p w14:paraId="1AAB9B62" w14:textId="77777777" w:rsidR="00C84C4E" w:rsidRDefault="00C84C4E" w:rsidP="00C84C4E">
      <w:pPr>
        <w:pStyle w:val="Acronyms"/>
        <w:tabs>
          <w:tab w:val="left" w:pos="1701"/>
        </w:tabs>
        <w:suppressAutoHyphens/>
        <w:ind w:left="1701" w:hanging="1701"/>
      </w:pPr>
      <w:r>
        <w:t>EU</w:t>
      </w:r>
      <w:r>
        <w:tab/>
        <w:t>European Union</w:t>
      </w:r>
    </w:p>
    <w:p w14:paraId="4474C961" w14:textId="77777777" w:rsidR="00C84C4E" w:rsidRDefault="00C84C4E" w:rsidP="00C84C4E">
      <w:pPr>
        <w:pStyle w:val="Acronyms"/>
        <w:tabs>
          <w:tab w:val="left" w:pos="1701"/>
        </w:tabs>
        <w:suppressAutoHyphens/>
        <w:ind w:left="1701" w:hanging="1701"/>
      </w:pPr>
      <w:r>
        <w:t>EC</w:t>
      </w:r>
      <w:r>
        <w:tab/>
        <w:t>European Commission</w:t>
      </w:r>
    </w:p>
    <w:p w14:paraId="4F5E72B7" w14:textId="77777777" w:rsidR="00C84C4E" w:rsidRDefault="00C84C4E" w:rsidP="00C84C4E">
      <w:pPr>
        <w:pStyle w:val="Acronyms"/>
        <w:tabs>
          <w:tab w:val="left" w:pos="1701"/>
        </w:tabs>
        <w:suppressAutoHyphens/>
        <w:ind w:left="1701" w:hanging="1701"/>
      </w:pPr>
      <w:r>
        <w:t>EP</w:t>
      </w:r>
      <w:r>
        <w:tab/>
        <w:t>European Parliament</w:t>
      </w:r>
    </w:p>
    <w:p w14:paraId="7563C692" w14:textId="77777777" w:rsidR="00C84C4E" w:rsidRDefault="00C84C4E" w:rsidP="00C84C4E">
      <w:pPr>
        <w:pStyle w:val="Acronyms"/>
        <w:tabs>
          <w:tab w:val="left" w:pos="1701"/>
        </w:tabs>
        <w:suppressAutoHyphens/>
        <w:ind w:left="1701" w:hanging="1701"/>
      </w:pPr>
      <w:r>
        <w:t>ECJ</w:t>
      </w:r>
      <w:r>
        <w:tab/>
        <w:t>European Criminal Court of Justice</w:t>
      </w:r>
    </w:p>
    <w:p w14:paraId="0FC5C50E" w14:textId="77777777" w:rsidR="00C84C4E" w:rsidRDefault="00C84C4E" w:rsidP="00C84C4E">
      <w:pPr>
        <w:pStyle w:val="Acronyms"/>
        <w:tabs>
          <w:tab w:val="left" w:pos="1701"/>
        </w:tabs>
        <w:suppressAutoHyphens/>
        <w:ind w:left="1701" w:hanging="1701"/>
      </w:pPr>
      <w:r>
        <w:t>EMU</w:t>
      </w:r>
      <w:r>
        <w:tab/>
        <w:t>European Monetary Union</w:t>
      </w:r>
    </w:p>
    <w:p w14:paraId="312560DC" w14:textId="77777777" w:rsidR="00C84C4E" w:rsidRDefault="00C84C4E" w:rsidP="00C84C4E">
      <w:pPr>
        <w:pStyle w:val="Acronyms"/>
        <w:tabs>
          <w:tab w:val="left" w:pos="1701"/>
        </w:tabs>
        <w:suppressAutoHyphens/>
        <w:ind w:left="1701" w:hanging="1701"/>
      </w:pPr>
      <w:r>
        <w:rPr>
          <w:iCs/>
        </w:rPr>
        <w:t>GDP</w:t>
      </w:r>
      <w:r>
        <w:rPr>
          <w:iCs/>
        </w:rPr>
        <w:tab/>
        <w:t>Gross Domestic Product</w:t>
      </w:r>
    </w:p>
    <w:p w14:paraId="0201A94C" w14:textId="77777777" w:rsidR="00C84C4E" w:rsidRDefault="00C84C4E" w:rsidP="00C84C4E">
      <w:pPr>
        <w:pStyle w:val="Acronyms"/>
        <w:tabs>
          <w:tab w:val="left" w:pos="1701"/>
        </w:tabs>
        <w:suppressAutoHyphens/>
        <w:ind w:left="1701" w:hanging="1701"/>
      </w:pPr>
      <w:r>
        <w:t>PSOE</w:t>
      </w:r>
      <w:r>
        <w:tab/>
      </w:r>
      <w:proofErr w:type="spellStart"/>
      <w:r>
        <w:t>Partido</w:t>
      </w:r>
      <w:proofErr w:type="spellEnd"/>
      <w:r>
        <w:t xml:space="preserve"> </w:t>
      </w:r>
      <w:proofErr w:type="spellStart"/>
      <w:r>
        <w:t>Socialista</w:t>
      </w:r>
      <w:proofErr w:type="spellEnd"/>
      <w:r>
        <w:t xml:space="preserve"> </w:t>
      </w:r>
      <w:proofErr w:type="spellStart"/>
      <w:r>
        <w:t>Obrero</w:t>
      </w:r>
      <w:proofErr w:type="spellEnd"/>
      <w:r>
        <w:t xml:space="preserve"> </w:t>
      </w:r>
      <w:proofErr w:type="spellStart"/>
      <w:r>
        <w:t>Español</w:t>
      </w:r>
      <w:proofErr w:type="spellEnd"/>
      <w:r>
        <w:t xml:space="preserve"> (Spanish Socialist Workers’ Party)</w:t>
      </w:r>
    </w:p>
    <w:p w14:paraId="14C88621" w14:textId="77777777" w:rsidR="00C84C4E" w:rsidRDefault="00C84C4E" w:rsidP="00C84C4E">
      <w:pPr>
        <w:pStyle w:val="Acronyms"/>
        <w:tabs>
          <w:tab w:val="left" w:pos="1701"/>
        </w:tabs>
        <w:suppressAutoHyphens/>
        <w:ind w:left="1701" w:hanging="1701"/>
      </w:pPr>
      <w:r>
        <w:t>PP</w:t>
      </w:r>
      <w:r>
        <w:tab/>
      </w:r>
      <w:proofErr w:type="spellStart"/>
      <w:r>
        <w:t>Partido</w:t>
      </w:r>
      <w:proofErr w:type="spellEnd"/>
      <w:r>
        <w:t xml:space="preserve"> Popular (Popular Party)</w:t>
      </w:r>
    </w:p>
    <w:p w14:paraId="6BCE5856" w14:textId="77777777" w:rsidR="00C84C4E" w:rsidRDefault="00C84C4E" w:rsidP="00C84C4E">
      <w:pPr>
        <w:pStyle w:val="Acronyms"/>
        <w:tabs>
          <w:tab w:val="left" w:pos="1701"/>
        </w:tabs>
        <w:suppressAutoHyphens/>
        <w:ind w:left="1701" w:hanging="1701"/>
      </w:pPr>
      <w:r>
        <w:t>MLG</w:t>
      </w:r>
      <w:r>
        <w:tab/>
        <w:t>Multi-level governance</w:t>
      </w:r>
    </w:p>
    <w:p w14:paraId="661FBC7F" w14:textId="77777777" w:rsidR="00C84C4E" w:rsidRPr="00F92A33" w:rsidRDefault="00C84C4E" w:rsidP="00C84C4E">
      <w:pPr>
        <w:pStyle w:val="Acronyms"/>
        <w:tabs>
          <w:tab w:val="left" w:pos="1701"/>
        </w:tabs>
        <w:suppressAutoHyphens/>
        <w:ind w:left="1701" w:hanging="1701"/>
      </w:pPr>
      <w:r>
        <w:t>RCI</w:t>
      </w:r>
      <w:r>
        <w:tab/>
        <w:t>Rational-choice institutionalism</w:t>
      </w:r>
    </w:p>
    <w:p w14:paraId="04FD7740" w14:textId="77777777" w:rsidR="00F756EE" w:rsidRPr="00D34CE3" w:rsidRDefault="00E22DF1" w:rsidP="00296AFD">
      <w:pPr>
        <w:pStyle w:val="Heading1NOTchapter"/>
        <w:spacing w:after="200"/>
      </w:pPr>
      <w:r>
        <w:br w:type="page"/>
      </w:r>
      <w:bookmarkStart w:id="27" w:name="_Toc208145600"/>
      <w:r w:rsidR="00F756EE" w:rsidRPr="00DE6BDD">
        <w:lastRenderedPageBreak/>
        <w:t>Abstract</w:t>
      </w:r>
      <w:bookmarkEnd w:id="26"/>
      <w:bookmarkEnd w:id="27"/>
    </w:p>
    <w:p w14:paraId="1842E96A" w14:textId="395C4BDA" w:rsidR="005F09DD" w:rsidRDefault="00403856" w:rsidP="00AA76B0">
      <w:pPr>
        <w:pStyle w:val="Normalfirstparagraph"/>
      </w:pPr>
      <w:r>
        <w:t>During the European sovereign debt crisis, Europe as a political reality has been challenged and questioned. Unlike many European integration scholars</w:t>
      </w:r>
      <w:r w:rsidR="00AF1C22">
        <w:t xml:space="preserve"> seem to think</w:t>
      </w:r>
      <w:r>
        <w:t xml:space="preserve">, this situation is neither unique nor </w:t>
      </w:r>
      <w:r w:rsidR="00694B29">
        <w:t>special. Practically the whole world has the nation-state as the basic polity unit, and practically all of them are under one or other form of pressure coming from transnational issues since the slow but firm process towards globalization started two centuries ago. At the core of these tensions an essential question may be located: why do po</w:t>
      </w:r>
      <w:r w:rsidR="00694B29">
        <w:t>l</w:t>
      </w:r>
      <w:r w:rsidR="00694B29">
        <w:t>ities select a specific form of collaborating and not other? Why do certain forms of federations and confederations rise while others are left aside or b</w:t>
      </w:r>
      <w:r w:rsidR="00694B29">
        <w:t>e</w:t>
      </w:r>
      <w:r w:rsidR="00694B29">
        <w:t>hind? And which are the answers for all these questions for the European case?</w:t>
      </w:r>
    </w:p>
    <w:p w14:paraId="110216B0" w14:textId="28DFB962" w:rsidR="000C264C" w:rsidRDefault="000C264C" w:rsidP="00AA7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6"/>
        <w:jc w:val="both"/>
      </w:pPr>
      <w:r>
        <w:t>I</w:t>
      </w:r>
      <w:r w:rsidRPr="00090AFE">
        <w:t xml:space="preserve">n the short term, </w:t>
      </w:r>
      <w:r>
        <w:t>intergovernmental</w:t>
      </w:r>
      <w:r w:rsidRPr="00090AFE">
        <w:t xml:space="preserve"> organization</w:t>
      </w:r>
      <w:r>
        <w:t>s tend to reproduce themselves. But this self-reproduction tend to show the actors that the tension between risk sharing and moral hazard that is at the core of any federal process cannot be solved without deep integration and commitment that is better e</w:t>
      </w:r>
      <w:r>
        <w:t>n</w:t>
      </w:r>
      <w:r>
        <w:t xml:space="preserve">forced through an external, delegated actor. </w:t>
      </w:r>
    </w:p>
    <w:p w14:paraId="290F6E65" w14:textId="575D8E25" w:rsidR="000C264C" w:rsidRDefault="000C264C" w:rsidP="00AA7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6"/>
        <w:jc w:val="both"/>
      </w:pPr>
      <w:r>
        <w:t>Moreover, the duality between intergovernmental mechanisms and del</w:t>
      </w:r>
      <w:r>
        <w:t>e</w:t>
      </w:r>
      <w:r>
        <w:t xml:space="preserve">gated authorities that lies in the root of the EU is such that is what will make transaction costs affordable for nation-states, as organizations already exist and do in fact hold policy capacity. This duality is better understood through a path dependency analysis. Through specific critical junctures, these organizations arise and become competent and competing with the inter-governmental ones. </w:t>
      </w:r>
    </w:p>
    <w:p w14:paraId="7410F0D2" w14:textId="77777777" w:rsidR="004E4508" w:rsidRDefault="004E4508" w:rsidP="00296AFD">
      <w:pPr>
        <w:spacing w:before="400" w:after="200"/>
        <w:ind w:firstLine="0"/>
        <w:rPr>
          <w:b/>
          <w:sz w:val="32"/>
          <w:szCs w:val="32"/>
        </w:rPr>
      </w:pPr>
    </w:p>
    <w:p w14:paraId="48F38FC4" w14:textId="77777777" w:rsidR="004E4508" w:rsidRDefault="004E4508" w:rsidP="00296AFD">
      <w:pPr>
        <w:spacing w:before="400" w:after="200"/>
        <w:ind w:firstLine="0"/>
        <w:rPr>
          <w:b/>
          <w:sz w:val="32"/>
          <w:szCs w:val="32"/>
        </w:rPr>
      </w:pPr>
    </w:p>
    <w:p w14:paraId="42DF2633" w14:textId="77777777" w:rsidR="004E4508" w:rsidRDefault="004E4508" w:rsidP="00296AFD">
      <w:pPr>
        <w:spacing w:before="400" w:after="200"/>
        <w:ind w:firstLine="0"/>
        <w:rPr>
          <w:b/>
          <w:sz w:val="32"/>
          <w:szCs w:val="32"/>
        </w:rPr>
      </w:pPr>
    </w:p>
    <w:p w14:paraId="05C93DC2" w14:textId="77777777" w:rsidR="004E4508" w:rsidRDefault="004E4508" w:rsidP="00296AFD">
      <w:pPr>
        <w:spacing w:before="400" w:after="200"/>
        <w:ind w:firstLine="0"/>
        <w:rPr>
          <w:b/>
          <w:sz w:val="32"/>
          <w:szCs w:val="32"/>
        </w:rPr>
      </w:pPr>
    </w:p>
    <w:p w14:paraId="1452FD0B" w14:textId="77777777" w:rsidR="004E4508" w:rsidRDefault="004E4508" w:rsidP="00296AFD">
      <w:pPr>
        <w:spacing w:before="400" w:after="200"/>
        <w:ind w:firstLine="0"/>
        <w:rPr>
          <w:b/>
          <w:sz w:val="32"/>
          <w:szCs w:val="32"/>
        </w:rPr>
      </w:pPr>
    </w:p>
    <w:p w14:paraId="4EC24000" w14:textId="77777777" w:rsidR="004E4508" w:rsidRDefault="004E4508" w:rsidP="00296AFD">
      <w:pPr>
        <w:spacing w:before="400" w:after="200"/>
        <w:ind w:firstLine="0"/>
        <w:rPr>
          <w:b/>
          <w:sz w:val="32"/>
          <w:szCs w:val="32"/>
        </w:rPr>
      </w:pPr>
    </w:p>
    <w:p w14:paraId="0D1E11E6" w14:textId="77777777" w:rsidR="004E4508" w:rsidRDefault="004E4508" w:rsidP="00296AFD">
      <w:pPr>
        <w:spacing w:before="400" w:after="200"/>
        <w:ind w:firstLine="0"/>
        <w:rPr>
          <w:b/>
          <w:sz w:val="32"/>
          <w:szCs w:val="32"/>
        </w:rPr>
      </w:pPr>
    </w:p>
    <w:p w14:paraId="55A16C7C" w14:textId="77777777" w:rsidR="004E4508" w:rsidRDefault="004E4508" w:rsidP="00296AFD">
      <w:pPr>
        <w:spacing w:before="400" w:after="200"/>
        <w:ind w:firstLine="0"/>
        <w:rPr>
          <w:b/>
          <w:sz w:val="32"/>
          <w:szCs w:val="32"/>
        </w:rPr>
      </w:pPr>
    </w:p>
    <w:p w14:paraId="3B23070B" w14:textId="77777777" w:rsidR="00AA76B0" w:rsidRDefault="00AA76B0" w:rsidP="00296AFD">
      <w:pPr>
        <w:spacing w:before="400" w:after="200"/>
        <w:ind w:firstLine="0"/>
        <w:rPr>
          <w:b/>
          <w:sz w:val="32"/>
          <w:szCs w:val="32"/>
        </w:rPr>
      </w:pPr>
    </w:p>
    <w:p w14:paraId="5A0148EB" w14:textId="77777777" w:rsidR="005F09DD" w:rsidRPr="00801FB7" w:rsidRDefault="005F09DD" w:rsidP="00296AFD">
      <w:pPr>
        <w:spacing w:before="400" w:after="200"/>
        <w:ind w:firstLine="0"/>
        <w:rPr>
          <w:b/>
          <w:sz w:val="32"/>
          <w:szCs w:val="32"/>
        </w:rPr>
      </w:pPr>
      <w:r w:rsidRPr="00801FB7">
        <w:rPr>
          <w:b/>
          <w:sz w:val="32"/>
          <w:szCs w:val="32"/>
        </w:rPr>
        <w:lastRenderedPageBreak/>
        <w:t>Relevance to Development Studies</w:t>
      </w:r>
    </w:p>
    <w:p w14:paraId="3A24F87F" w14:textId="7B4AAC6E" w:rsidR="009F0E1B" w:rsidRDefault="00C407B4" w:rsidP="009F0E1B">
      <w:pPr>
        <w:pStyle w:val="Normalfirstparagraph"/>
      </w:pPr>
      <w:r>
        <w:t>W</w:t>
      </w:r>
      <w:r w:rsidR="009F0E1B">
        <w:t>hen it comes to discuss about governance and democracy nowadays</w:t>
      </w:r>
      <w:r>
        <w:t>, prob</w:t>
      </w:r>
      <w:r>
        <w:t>a</w:t>
      </w:r>
      <w:r>
        <w:t>bly the main issue at a stake</w:t>
      </w:r>
      <w:r w:rsidR="009F0E1B">
        <w:t xml:space="preserve"> is how to merge current international challenges with the current nation-state scheme</w:t>
      </w:r>
      <w:r>
        <w:t xml:space="preserve"> in which world governance lies. The E</w:t>
      </w:r>
      <w:r>
        <w:t>u</w:t>
      </w:r>
      <w:r>
        <w:t>ropean sovereign debt crisis is probably the clearest example in the recent times of how does an international economic phenomenon challenge the exis</w:t>
      </w:r>
      <w:r>
        <w:t>t</w:t>
      </w:r>
      <w:r w:rsidR="0095119D">
        <w:t xml:space="preserve">ing governance mechanisms in a specific polity that was already trying to build new institutions </w:t>
      </w:r>
      <w:r w:rsidR="00297709">
        <w:t>to embrace possible changes. No region in the world escapes to this phenomenon, regardless of the choice of the decision-making instit</w:t>
      </w:r>
      <w:r w:rsidR="00297709">
        <w:t>u</w:t>
      </w:r>
      <w:r w:rsidR="00297709">
        <w:t xml:space="preserve">tional devices. In this case, focus will be put on those </w:t>
      </w:r>
      <w:r w:rsidR="0063633A">
        <w:t>based on liberal demo</w:t>
      </w:r>
      <w:r w:rsidR="0063633A">
        <w:t>c</w:t>
      </w:r>
      <w:r w:rsidR="0063633A">
        <w:t>racy governing a market economy.</w:t>
      </w:r>
    </w:p>
    <w:p w14:paraId="7684D865" w14:textId="7314F8BD" w:rsidR="007B0DDE" w:rsidRDefault="00C407B4" w:rsidP="007B0DDE">
      <w:r>
        <w:t>It may be discussed if there is or there is no development without demo</w:t>
      </w:r>
      <w:r>
        <w:t>c</w:t>
      </w:r>
      <w:r>
        <w:t>racy. But what is clear is that there is no development without economic go</w:t>
      </w:r>
      <w:r>
        <w:t>v</w:t>
      </w:r>
      <w:r>
        <w:t xml:space="preserve">ernance, without a functioning </w:t>
      </w:r>
      <w:r w:rsidR="0095119D">
        <w:t xml:space="preserve">(even when it is under conflict, discussion and reconsideration) </w:t>
      </w:r>
      <w:r>
        <w:t>scheme to deal with the distribution of re</w:t>
      </w:r>
      <w:r w:rsidR="008B7D7A">
        <w:t>sources. A political answer to the fundamental economic questions that, nowadays, imply reco</w:t>
      </w:r>
      <w:r w:rsidR="008B7D7A">
        <w:t>n</w:t>
      </w:r>
      <w:r w:rsidR="008B7D7A">
        <w:t>sidering the classical nation-state as well as its sources of financing and legit</w:t>
      </w:r>
      <w:r w:rsidR="008B7D7A">
        <w:t>i</w:t>
      </w:r>
      <w:r w:rsidR="008B7D7A">
        <w:t>macy.</w:t>
      </w:r>
      <w:r w:rsidR="00297709">
        <w:t xml:space="preserve"> </w:t>
      </w:r>
    </w:p>
    <w:p w14:paraId="616E884F" w14:textId="77777777" w:rsidR="005F09DD" w:rsidRPr="00801FB7" w:rsidRDefault="005F09DD" w:rsidP="00233EB3">
      <w:pPr>
        <w:spacing w:before="400"/>
        <w:ind w:firstLine="0"/>
        <w:rPr>
          <w:b/>
          <w:sz w:val="28"/>
          <w:szCs w:val="28"/>
        </w:rPr>
      </w:pPr>
      <w:r w:rsidRPr="00801FB7">
        <w:rPr>
          <w:b/>
          <w:sz w:val="28"/>
          <w:szCs w:val="28"/>
        </w:rPr>
        <w:t>Keywords</w:t>
      </w:r>
    </w:p>
    <w:p w14:paraId="68703502" w14:textId="76F980EE" w:rsidR="005F09DD" w:rsidRDefault="007C79AE" w:rsidP="00F756EE">
      <w:pPr>
        <w:pStyle w:val="Normalfirstparagraph"/>
      </w:pPr>
      <w:r>
        <w:t>Federalism, European integration, EU, European Union, Europe, political economy, economic governance, fiscal union, European policy, debt crisis, risk sharing, moral hazard, game theory, institutional analysis</w:t>
      </w:r>
    </w:p>
    <w:p w14:paraId="33AE86A9" w14:textId="77777777" w:rsidR="009400BC" w:rsidRPr="009400BC" w:rsidRDefault="009400BC" w:rsidP="007364E6"/>
    <w:p w14:paraId="4970E1AD" w14:textId="77777777" w:rsidR="005F09DD" w:rsidRDefault="005F09DD" w:rsidP="009C3D05">
      <w:pPr>
        <w:pStyle w:val="Heading1"/>
        <w:sectPr w:rsidR="005F09DD" w:rsidSect="001F4E93">
          <w:footerReference w:type="even" r:id="rId10"/>
          <w:footerReference w:type="default" r:id="rId11"/>
          <w:headerReference w:type="first" r:id="rId12"/>
          <w:footerReference w:type="first" r:id="rId13"/>
          <w:endnotePr>
            <w:numFmt w:val="decimal"/>
          </w:endnotePr>
          <w:pgSz w:w="11906" w:h="16838" w:code="9"/>
          <w:pgMar w:top="1701" w:right="2268" w:bottom="1701" w:left="2268" w:header="709" w:footer="851" w:gutter="0"/>
          <w:pgNumType w:fmt="lowerRoman" w:start="1"/>
          <w:cols w:space="708"/>
          <w:titlePg/>
          <w:docGrid w:linePitch="360"/>
        </w:sectPr>
      </w:pPr>
      <w:bookmarkStart w:id="28" w:name="_Toc120098264"/>
    </w:p>
    <w:bookmarkEnd w:id="28"/>
    <w:p w14:paraId="0A8E935A" w14:textId="7E052DC5" w:rsidR="005F09DD" w:rsidRDefault="00B20AE4" w:rsidP="00B20AE4">
      <w:pPr>
        <w:pStyle w:val="Heading1"/>
      </w:pPr>
      <w:r>
        <w:lastRenderedPageBreak/>
        <w:br/>
      </w:r>
      <w:bookmarkStart w:id="29" w:name="_Toc208145601"/>
      <w:r w:rsidR="004745AA">
        <w:t>Introduction</w:t>
      </w:r>
      <w:r w:rsidR="002B338E">
        <w:t>: why the EU? Why now?</w:t>
      </w:r>
      <w:bookmarkEnd w:id="29"/>
    </w:p>
    <w:p w14:paraId="1AB78D95" w14:textId="7CC2B7DD" w:rsidR="009400BC" w:rsidRPr="00EC588C" w:rsidRDefault="00F94DE6" w:rsidP="00D87576">
      <w:pPr>
        <w:pStyle w:val="Heading2"/>
      </w:pPr>
      <w:bookmarkStart w:id="30" w:name="_Toc120098265"/>
      <w:bookmarkStart w:id="31" w:name="_Toc208145602"/>
      <w:r>
        <w:t>1.1</w:t>
      </w:r>
      <w:r>
        <w:tab/>
      </w:r>
      <w:bookmarkEnd w:id="30"/>
      <w:r w:rsidR="002B338E">
        <w:t>A half-made polity</w:t>
      </w:r>
      <w:r w:rsidR="00D41AD9">
        <w:t xml:space="preserve"> and its positive question</w:t>
      </w:r>
      <w:bookmarkEnd w:id="31"/>
    </w:p>
    <w:p w14:paraId="4CF97581" w14:textId="4287F854" w:rsidR="00F94DE6" w:rsidRDefault="003404DC" w:rsidP="003404DC">
      <w:pPr>
        <w:ind w:firstLine="0"/>
      </w:pPr>
      <w:r w:rsidRPr="003404DC">
        <w:t>The European integration process is, with little room for doubt, the biggest project of supranational political union that the modern world has seen. Du</w:t>
      </w:r>
      <w:r w:rsidRPr="003404DC">
        <w:t>r</w:t>
      </w:r>
      <w:r w:rsidRPr="003404DC">
        <w:t>ing the years of 2010, 2011 and 2012 this project has been under serious reco</w:t>
      </w:r>
      <w:r w:rsidRPr="003404DC">
        <w:t>n</w:t>
      </w:r>
      <w:r w:rsidRPr="003404DC">
        <w:t>sideration by politicians, voters, media and academics. The financial and debt crisis that began in 2007 has forced Europe down a road of institutional self-questioning. The combination of a common market, currency and its corr</w:t>
      </w:r>
      <w:r w:rsidRPr="003404DC">
        <w:t>e</w:t>
      </w:r>
      <w:r w:rsidRPr="003404DC">
        <w:t>spondent monetary policy with the absence of an effective decision-making mechanism backed by a joint fiscal framework (fiscal and other macroecono</w:t>
      </w:r>
      <w:r w:rsidRPr="003404DC">
        <w:t>m</w:t>
      </w:r>
      <w:r w:rsidRPr="003404DC">
        <w:t>ic sovereignty allocated at the same level that monetary sovereignty) has made much more difficult the coordination of a crisis response. At the very moment of writing the present lines, the countries forming the EU are bargaining day by day not only about the economic policies that need to be applied, but also about the lack of decision-making mechanisms, this is, the shape and form of the Union. Which kind of union shall the Europeans build from now? To what extent should they change the current arrangements? Even some instances dare to push the question if shall Europe have any political union at all.</w:t>
      </w:r>
    </w:p>
    <w:p w14:paraId="5AFB2D12" w14:textId="7104CA0C" w:rsidR="00D41AD9" w:rsidRDefault="003404DC" w:rsidP="003404DC">
      <w:r w:rsidRPr="003404DC">
        <w:t>These are all normative questions within the field of federal agreements, the normal dilemmas that a polity on a crossroads would confront. Because that is what Europe is nowadays: a half-made political union. And what Polit</w:t>
      </w:r>
      <w:r w:rsidRPr="003404DC">
        <w:t>i</w:t>
      </w:r>
      <w:r w:rsidRPr="003404DC">
        <w:t>cal Science and more specifically Political Economy can bring into the discu</w:t>
      </w:r>
      <w:r w:rsidRPr="003404DC">
        <w:t>s</w:t>
      </w:r>
      <w:r w:rsidRPr="003404DC">
        <w:t>sion is a positive turn in that questions: instead of which union is desirable, which union (or maybe not union at all) is possible and can be expected? And, more fundamentally, why one result and not the other? Put in one sentence, what is possible to witness is a decided movement towards a deeper union based on inter-government transfers which principal instruments seem to be different variations of debt pooling (or, better said, ‘pre-debt pooling, as the common security finance funds that have been set at the Eurozone level, such as the EFSF and the ESM), as well as bailout agreements.</w:t>
      </w:r>
      <w:r w:rsidR="00D41AD9">
        <w:t xml:space="preserve"> The fact that debt is the cent</w:t>
      </w:r>
      <w:r w:rsidRPr="003404DC">
        <w:t>r</w:t>
      </w:r>
      <w:r w:rsidR="00D41AD9">
        <w:t>e</w:t>
      </w:r>
      <w:r w:rsidRPr="003404DC">
        <w:t xml:space="preserve"> of the current bargains is intuitively consistent with the origin of this phase of the crisis: high debt/GDP ratios in countries whose public finance sustainability </w:t>
      </w:r>
      <w:r w:rsidR="00D41AD9">
        <w:t xml:space="preserve">appear </w:t>
      </w:r>
      <w:r w:rsidRPr="003404DC">
        <w:t>doubtful for the investors. Still, the political and instit</w:t>
      </w:r>
      <w:r w:rsidRPr="003404DC">
        <w:t>u</w:t>
      </w:r>
      <w:r w:rsidRPr="003404DC">
        <w:t>tional essence of these agreements is inter-governmental, or ‘horizontal’, fo</w:t>
      </w:r>
      <w:r w:rsidRPr="003404DC">
        <w:t>l</w:t>
      </w:r>
      <w:r w:rsidRPr="003404DC">
        <w:t>lowing the current main agreements within the European Union. This co</w:t>
      </w:r>
      <w:r w:rsidRPr="003404DC">
        <w:t>n</w:t>
      </w:r>
      <w:r w:rsidRPr="003404DC">
        <w:t>trasts with the other fundamental model of federal uni</w:t>
      </w:r>
      <w:r w:rsidR="00D41AD9">
        <w:t>on: that where a political cent</w:t>
      </w:r>
      <w:r w:rsidRPr="003404DC">
        <w:t>r</w:t>
      </w:r>
      <w:r w:rsidR="00D41AD9">
        <w:t>e</w:t>
      </w:r>
      <w:r w:rsidRPr="003404DC">
        <w:t xml:space="preserve"> holds the decision-making capacity and decisions over economic policy and any kind of transfers between regions within the union does not depend on a bargaining happening every time between the implied parts, but by the men</w:t>
      </w:r>
      <w:r w:rsidR="00D41AD9">
        <w:t>tioned cent</w:t>
      </w:r>
      <w:r w:rsidRPr="003404DC">
        <w:t>r</w:t>
      </w:r>
      <w:r w:rsidR="00D41AD9">
        <w:t>e</w:t>
      </w:r>
      <w:r w:rsidRPr="003404DC">
        <w:t xml:space="preserve">. </w:t>
      </w:r>
    </w:p>
    <w:p w14:paraId="4962BDC8" w14:textId="209868CE" w:rsidR="003404DC" w:rsidRDefault="003404DC" w:rsidP="003404DC">
      <w:r w:rsidRPr="003404DC">
        <w:t xml:space="preserve">Here </w:t>
      </w:r>
      <w:r w:rsidR="00D41AD9">
        <w:t>I</w:t>
      </w:r>
      <w:r w:rsidRPr="003404DC">
        <w:t xml:space="preserve"> </w:t>
      </w:r>
      <w:r w:rsidR="00D41AD9">
        <w:t>am</w:t>
      </w:r>
      <w:r w:rsidRPr="003404DC">
        <w:t xml:space="preserve"> following the distinction made by the classical paper on the e</w:t>
      </w:r>
      <w:r w:rsidRPr="003404DC">
        <w:t>f</w:t>
      </w:r>
      <w:r w:rsidRPr="003404DC">
        <w:t>ficiency of different forms of Federalism by Persson and Tabellini (1996), where this two-sided classification is clearly drawn and paired with two forms of sharing sovereignty: delegation (vertical) and pooling (horizontal). Of course, this is not the only possible distinction between forms of federal u</w:t>
      </w:r>
      <w:r w:rsidRPr="003404DC">
        <w:t>n</w:t>
      </w:r>
      <w:r w:rsidRPr="003404DC">
        <w:lastRenderedPageBreak/>
        <w:t>ions. But it aims to the core of what constitutes a federation as an institution: the way their constituents relate to each other in the decision-making process. Politically speaking, under an inter-government scheme the voters create coal</w:t>
      </w:r>
      <w:r w:rsidRPr="003404DC">
        <w:t>i</w:t>
      </w:r>
      <w:r w:rsidRPr="003404DC">
        <w:t>tions to defend their interest as members of a specific nation or region. But when the scheme is centralized, the regional/national cleavage wi</w:t>
      </w:r>
      <w:r w:rsidR="00D41AD9">
        <w:t xml:space="preserve">ll lose power against other </w:t>
      </w:r>
      <w:proofErr w:type="gramStart"/>
      <w:r w:rsidR="00D41AD9">
        <w:t>axis</w:t>
      </w:r>
      <w:proofErr w:type="gramEnd"/>
      <w:r w:rsidRPr="003404DC">
        <w:t xml:space="preserve"> as a bargaining between regions will not be the mechanism to maximize the policy goals.</w:t>
      </w:r>
    </w:p>
    <w:p w14:paraId="13E94FCC" w14:textId="0178ADB0" w:rsidR="00D41AD9" w:rsidRDefault="00D41AD9" w:rsidP="003404DC">
      <w:r w:rsidRPr="00D41AD9">
        <w:t>What makes the European case particularly interesting is the fact that it is a half-made union confronting that dilemma in an explicit way. I define it as a ‘half-made union’ from an institutional more than a historical perspective. Hi</w:t>
      </w:r>
      <w:r w:rsidRPr="00D41AD9">
        <w:t>s</w:t>
      </w:r>
      <w:r w:rsidRPr="00D41AD9">
        <w:t>torically speaking, no institutional arrangement is complete and definitive, al</w:t>
      </w:r>
      <w:r w:rsidRPr="00D41AD9">
        <w:t>t</w:t>
      </w:r>
      <w:r w:rsidRPr="00D41AD9">
        <w:t>hough some may be more permanent than others. But from an institutional point of view, the European Union is unfinished in two related senses: first, it has proved itself as unable to cope with uncertainty and external (to the instit</w:t>
      </w:r>
      <w:r w:rsidRPr="00D41AD9">
        <w:t>u</w:t>
      </w:r>
      <w:r w:rsidRPr="00D41AD9">
        <w:t>tion) shocks. Second, the actors within the Union are actively pushing for a change in some direction, and negotiating it, as I stated before, day by day.</w:t>
      </w:r>
    </w:p>
    <w:p w14:paraId="0DABD830" w14:textId="2212228A" w:rsidR="00D41AD9" w:rsidRDefault="00D41AD9" w:rsidP="003404DC">
      <w:r w:rsidRPr="00D41AD9">
        <w:t xml:space="preserve">Still, with all its unique characteristics, the EU, as a project and a willing, has some essential traces equal to any polity. Considering a rather standard and minimal definition of state, the </w:t>
      </w:r>
      <w:r w:rsidR="00F002E3">
        <w:t>basic</w:t>
      </w:r>
      <w:r w:rsidRPr="00D41AD9">
        <w:t xml:space="preserve"> elements of such an organization would hold (a) the monopoly of violence, (b) the capacity of deciding and enforcing policies and (c) the possibility of capturing and managing the necessary r</w:t>
      </w:r>
      <w:r w:rsidRPr="00D41AD9">
        <w:t>e</w:t>
      </w:r>
      <w:r w:rsidRPr="00D41AD9">
        <w:t>sources for (a) and (b), meaning fiscal capacity and debt issuing. Taking (a) out as irrelevant for the present work, is (b) and (c) what was being in the process of being built in the Old Continent when the crisis knocked their doors. This was, and is, a bargaining about economic sovereignty in a situation where part of it (the monetary sovereignty) has been already lost by the seventeen go</w:t>
      </w:r>
      <w:r w:rsidRPr="00D41AD9">
        <w:t>v</w:t>
      </w:r>
      <w:r w:rsidRPr="00D41AD9">
        <w:t>ernments that form the Euro area. The present work will focus on them as they took a definite step towards a political unification with such a move, and thus constitute the core of the half-made union.</w:t>
      </w:r>
    </w:p>
    <w:p w14:paraId="7D488E2E" w14:textId="1C9576B6" w:rsidR="00D41AD9" w:rsidRPr="00EC588C" w:rsidRDefault="00B363F2" w:rsidP="00D41AD9">
      <w:pPr>
        <w:pStyle w:val="Heading2"/>
      </w:pPr>
      <w:bookmarkStart w:id="32" w:name="_Toc208145603"/>
      <w:r>
        <w:t>1.2</w:t>
      </w:r>
      <w:r w:rsidR="007334D4">
        <w:tab/>
        <w:t>A hypothesis: the two-level union</w:t>
      </w:r>
      <w:bookmarkEnd w:id="32"/>
    </w:p>
    <w:p w14:paraId="64BB3762" w14:textId="78F49D36" w:rsidR="00D41AD9" w:rsidRDefault="00D41AD9" w:rsidP="00D41AD9">
      <w:pPr>
        <w:ind w:firstLine="0"/>
      </w:pPr>
      <w:r w:rsidRPr="00D41AD9">
        <w:t>This combination of special characteristics in both functioning and moment and a fundamental underlying institutional scheme that is homologous to any other construction of a new polity by aggregating existing sovereign regions is what makes truly interesting the European case. It is possible to generate a model from a case study that is generalizable but at the same time allow parti</w:t>
      </w:r>
      <w:r w:rsidRPr="00D41AD9">
        <w:t>c</w:t>
      </w:r>
      <w:r w:rsidRPr="00D41AD9">
        <w:t xml:space="preserve">ularities and nuances to come into de analysis. Greif (2006) and Calvert (1995), even when treating diametrically different topics, are fairly good examples of this kind of </w:t>
      </w:r>
      <w:r w:rsidR="00D86DD1">
        <w:t>method for explaining and analys</w:t>
      </w:r>
      <w:r w:rsidRPr="00D41AD9">
        <w:t>ing institutional arrangements. Starting from a puzzling question given by political and social reality, the final goal is to create a explanation that is context-aware in the sense of including elements that are only applicable to the considered case, but that in the end relies in its basis on a generalizable model of the actor behavio</w:t>
      </w:r>
      <w:r w:rsidR="00D86DD1">
        <w:t>u</w:t>
      </w:r>
      <w:r w:rsidRPr="00D41AD9">
        <w:t>r, in such a way that the conclusions are neither futile out of the case studied nor too schematic or general for explaining the initial witnessed puzzle and contrasting the fo</w:t>
      </w:r>
      <w:r w:rsidRPr="00D41AD9">
        <w:t>l</w:t>
      </w:r>
      <w:r w:rsidRPr="00D41AD9">
        <w:t>lowing hypothesis</w:t>
      </w:r>
      <w:r w:rsidR="00B2525A">
        <w:t>, ordered step by step:</w:t>
      </w:r>
    </w:p>
    <w:p w14:paraId="49FB23CE" w14:textId="08DF5D4A" w:rsidR="00D41AD9" w:rsidRDefault="00D41AD9" w:rsidP="00D41AD9">
      <w:r>
        <w:t xml:space="preserve">(1) </w:t>
      </w:r>
      <w:r w:rsidRPr="00D41AD9">
        <w:t xml:space="preserve">I claim that the European Union, particularly the Euro area, has two different levels of functioning as an institution to produce decisions and deliver </w:t>
      </w:r>
      <w:r w:rsidRPr="00D41AD9">
        <w:lastRenderedPageBreak/>
        <w:t>policies. There is a first, day-to-day process centred on the policy areas whose competence has already moved to Brussels. The decisions on these issues are taken in that capital, with the European Parliament and the European Co</w:t>
      </w:r>
      <w:r w:rsidRPr="00D41AD9">
        <w:t>m</w:t>
      </w:r>
      <w:r w:rsidRPr="00D41AD9">
        <w:t>mission having a crucial role together with the second-level policymakers from every member state. For monetary policy, it is the European Central Bank at Frankfurt who holds the power, as in any Western liberal democracy with an independent central bank. But with all the rest macroeconomic policy areas, the ‘grand bargains’ occur at a second level that follow the rules of inter-governmental negotiations (</w:t>
      </w:r>
      <w:r w:rsidR="002F1F1F" w:rsidRPr="00D41AD9">
        <w:t>Moravksic</w:t>
      </w:r>
      <w:r w:rsidRPr="00D41AD9">
        <w:t>, 1998) formed by actors (states, Go</w:t>
      </w:r>
      <w:r w:rsidRPr="00D41AD9">
        <w:t>v</w:t>
      </w:r>
      <w:r w:rsidRPr="00D41AD9">
        <w:t>ernments) that are unequal in their economic fundamentals.</w:t>
      </w:r>
      <w:r w:rsidR="003472D5">
        <w:t xml:space="preserve"> </w:t>
      </w:r>
    </w:p>
    <w:p w14:paraId="4E0E3B89" w14:textId="78E05A65" w:rsidR="00D41AD9" w:rsidRDefault="00D41AD9" w:rsidP="00D41AD9">
      <w:r>
        <w:t xml:space="preserve">(2) </w:t>
      </w:r>
      <w:r w:rsidRPr="00D41AD9">
        <w:t xml:space="preserve">This duality </w:t>
      </w:r>
      <w:r w:rsidR="00380223">
        <w:t>has been</w:t>
      </w:r>
      <w:r w:rsidRPr="00D41AD9">
        <w:t xml:space="preserve"> </w:t>
      </w:r>
      <w:r w:rsidR="00380223">
        <w:t>under constant negotiation</w:t>
      </w:r>
      <w:r w:rsidRPr="00D41AD9">
        <w:t xml:space="preserve"> by the relevant actors since the EU exists as a project. These actors are nation-states (regions in the union) with their governments conditioned by the preferences of their voters, who act as a block under an inter-government scheme (i.e. defending their i</w:t>
      </w:r>
      <w:r w:rsidRPr="00D41AD9">
        <w:t>n</w:t>
      </w:r>
      <w:r w:rsidRPr="00D41AD9">
        <w:t>terest</w:t>
      </w:r>
      <w:r w:rsidR="00380223">
        <w:t>s</w:t>
      </w:r>
      <w:r w:rsidRPr="00D41AD9">
        <w:t xml:space="preserve"> as members of the region). </w:t>
      </w:r>
      <w:r w:rsidR="001E56D9">
        <w:t>Thus, the only way to explain how some policy areas are delegated and not other is the inter-government logic.</w:t>
      </w:r>
      <w:r w:rsidR="001E56D9" w:rsidRPr="00D41AD9">
        <w:t xml:space="preserve"> </w:t>
      </w:r>
      <w:r w:rsidRPr="00D41AD9">
        <w:t xml:space="preserve">This struggle has taken </w:t>
      </w:r>
      <w:r w:rsidR="00380223">
        <w:t>the continent</w:t>
      </w:r>
      <w:r w:rsidRPr="00D41AD9">
        <w:t xml:space="preserve"> to the present moment, when the two-level functioning framework is about to decide either become o</w:t>
      </w:r>
      <w:r w:rsidR="00EA24D2">
        <w:t>nly a centralized fe</w:t>
      </w:r>
      <w:r w:rsidR="00EA24D2">
        <w:t>d</w:t>
      </w:r>
      <w:r w:rsidR="00EA24D2">
        <w:t xml:space="preserve">eral union, </w:t>
      </w:r>
      <w:r w:rsidRPr="00D41AD9">
        <w:t>keep the inter-governmental form</w:t>
      </w:r>
      <w:r w:rsidR="00EA24D2">
        <w:t xml:space="preserve"> or disappear</w:t>
      </w:r>
      <w:r w:rsidRPr="00D41AD9">
        <w:t>.</w:t>
      </w:r>
    </w:p>
    <w:p w14:paraId="42A3FCCC" w14:textId="45E88920" w:rsidR="00D41AD9" w:rsidRDefault="00D41AD9" w:rsidP="00D41AD9">
      <w:r>
        <w:t>(3)</w:t>
      </w:r>
      <w:r w:rsidR="00405751">
        <w:t xml:space="preserve"> </w:t>
      </w:r>
      <w:r w:rsidR="0095278A">
        <w:t>Consequently, t</w:t>
      </w:r>
      <w:r w:rsidR="00405751">
        <w:t>his</w:t>
      </w:r>
      <w:r w:rsidRPr="00D41AD9">
        <w:t xml:space="preserve"> decision takes the form of a ‘grand bargain’ about to decide its own self-destruction (or not), moving its current macroeconomic power to Brussels. Considering the current costs for the actors, the present equilibrium is not likely to last. The alternatives under the shock are either fo</w:t>
      </w:r>
      <w:r w:rsidRPr="00D41AD9">
        <w:t>l</w:t>
      </w:r>
      <w:r w:rsidRPr="00D41AD9">
        <w:t xml:space="preserve">lowing the roadmap and becoming a centralized union, deepening the inter-government transfer system mainly by debt-related mechanisms, or leaving both options and recovering full sovereignty. In the short term, equilibrium falls into the second option </w:t>
      </w:r>
      <w:r>
        <w:t xml:space="preserve">(keeping and deepening the inter-government form) </w:t>
      </w:r>
      <w:r w:rsidRPr="00D41AD9">
        <w:t>as the two other are highly costly, but only under a conditioning i</w:t>
      </w:r>
      <w:r w:rsidRPr="00D41AD9">
        <w:t>m</w:t>
      </w:r>
      <w:r w:rsidRPr="00D41AD9">
        <w:t xml:space="preserve">posed by the strong regions on the weak regions to avoid moral hazard that comes with the increase of risk sharing. </w:t>
      </w:r>
    </w:p>
    <w:p w14:paraId="195346F3" w14:textId="77777777" w:rsidR="00C213A7" w:rsidRDefault="00D41AD9" w:rsidP="00C213A7">
      <w:r>
        <w:t xml:space="preserve">(4) </w:t>
      </w:r>
      <w:r w:rsidRPr="00D41AD9">
        <w:t xml:space="preserve">However, the weak regions have the possibility of not fulfilling these conditions. If </w:t>
      </w:r>
      <w:r w:rsidR="005842A6">
        <w:t>there is no clear horizon for the end of the crisis</w:t>
      </w:r>
      <w:r w:rsidRPr="00D41AD9">
        <w:t>, in the long term this equilibrium is not stable</w:t>
      </w:r>
      <w:r w:rsidR="005842A6">
        <w:t xml:space="preserve">. </w:t>
      </w:r>
      <w:r w:rsidR="008D6E25">
        <w:t>The trade-off is that f</w:t>
      </w:r>
      <w:r w:rsidR="005842A6">
        <w:t>ollowing the cond</w:t>
      </w:r>
      <w:r w:rsidR="005842A6">
        <w:t>i</w:t>
      </w:r>
      <w:r w:rsidR="005842A6">
        <w:t xml:space="preserve">tions </w:t>
      </w:r>
      <w:r w:rsidR="008D6E25">
        <w:t xml:space="preserve">is costly for the weak regions, while not doing so </w:t>
      </w:r>
      <w:r w:rsidR="00C213A7">
        <w:t>sends a signal of neg</w:t>
      </w:r>
      <w:r w:rsidR="00C213A7">
        <w:t>a</w:t>
      </w:r>
      <w:r w:rsidR="00C213A7">
        <w:t>tive reputation to the strong country. This signal will be taken into account by the latter to impose harsher conditions in the next round. Mean</w:t>
      </w:r>
      <w:r w:rsidRPr="00D41AD9">
        <w:t xml:space="preserve">while existing transfers tend to grow infinitely, considering that the cost of not helping the weak part of the union is unbearable for the strong part, as it would mean a breakup. </w:t>
      </w:r>
    </w:p>
    <w:p w14:paraId="61C91354" w14:textId="147C0995" w:rsidR="00D41AD9" w:rsidRDefault="00C213A7" w:rsidP="00C213A7">
      <w:r>
        <w:t xml:space="preserve">(5) </w:t>
      </w:r>
      <w:r w:rsidR="00D41AD9" w:rsidRPr="00D41AD9">
        <w:t xml:space="preserve">This scenario is plausible when most of transfers are related to public debt issuing, as is the case for Europe nowadays: imposed conditions are likely to reduce short-term growth and thus imply a penalty for governing parties facing elections, which puts the incentives for the weak region in the side of, at </w:t>
      </w:r>
      <w:r w:rsidR="00D41AD9" w:rsidRPr="00D41AD9">
        <w:lastRenderedPageBreak/>
        <w:t>the same time, asking for more help (deep</w:t>
      </w:r>
      <w:r w:rsidR="004230EC">
        <w:t>er inter-government integration</w:t>
      </w:r>
      <w:r w:rsidR="00AD53D3">
        <w:rPr>
          <w:rStyle w:val="FootnoteReference"/>
        </w:rPr>
        <w:footnoteReference w:id="2"/>
      </w:r>
      <w:r w:rsidR="00D41AD9" w:rsidRPr="00D41AD9">
        <w:t>) and not fulfilling the agreed conditions in exchange for the transfers.</w:t>
      </w:r>
    </w:p>
    <w:p w14:paraId="5C8E70E9" w14:textId="778C1FE5" w:rsidR="00555F7A" w:rsidRDefault="00555F7A" w:rsidP="00C213A7">
      <w:r>
        <w:t xml:space="preserve">(6) </w:t>
      </w:r>
      <w:r w:rsidRPr="00555F7A">
        <w:t>After these repetitions including the dimensi</w:t>
      </w:r>
      <w:r>
        <w:t>ons of conditionings and fulfil</w:t>
      </w:r>
      <w:r w:rsidRPr="00555F7A">
        <w:t>ment or not of them, only two options are candidates for long-term equ</w:t>
      </w:r>
      <w:r w:rsidRPr="00555F7A">
        <w:t>i</w:t>
      </w:r>
      <w:r w:rsidRPr="00555F7A">
        <w:t>librium: either regions decide to go for a total and centralized political union or they walk their way back to total national sovereignty. The solution to this ite</w:t>
      </w:r>
      <w:r w:rsidRPr="00555F7A">
        <w:t>r</w:t>
      </w:r>
      <w:r>
        <w:t xml:space="preserve">ated game </w:t>
      </w:r>
      <w:proofErr w:type="gramStart"/>
      <w:r>
        <w:t>will</w:t>
      </w:r>
      <w:proofErr w:type="gramEnd"/>
      <w:r>
        <w:t xml:space="preserve"> rely on the fact that once it is common knowledge that fulfi</w:t>
      </w:r>
      <w:r>
        <w:t>l</w:t>
      </w:r>
      <w:r w:rsidR="000876D5">
        <w:t>ment lead to more transfers. Thus,</w:t>
      </w:r>
      <w:r>
        <w:t xml:space="preserve"> the incentives for the strong region will be maximizing both conditions and transfers, and for the </w:t>
      </w:r>
      <w:r w:rsidR="000876D5">
        <w:t>weak region, to follow the conditions in order to keep transfers coming</w:t>
      </w:r>
      <w:r w:rsidR="000E69F2">
        <w:t>.</w:t>
      </w:r>
      <w:r w:rsidR="007334D4">
        <w:t xml:space="preserve"> This tendency will work</w:t>
      </w:r>
      <w:r w:rsidR="000842BF">
        <w:t xml:space="preserve"> as a self-fulfilling spillover creating the right conditions for the shift from horizo</w:t>
      </w:r>
      <w:r w:rsidR="000842BF">
        <w:t>n</w:t>
      </w:r>
      <w:r w:rsidR="000842BF">
        <w:t>tal to vertical union.</w:t>
      </w:r>
    </w:p>
    <w:p w14:paraId="106C446D" w14:textId="4C48DF7A" w:rsidR="007334D4" w:rsidRDefault="00555F7A" w:rsidP="007334D4">
      <w:r>
        <w:t>(7) The final step will address the well-known</w:t>
      </w:r>
      <w:r w:rsidRPr="00555F7A">
        <w:t xml:space="preserve"> trade-off between losing d</w:t>
      </w:r>
      <w:r w:rsidRPr="00555F7A">
        <w:t>e</w:t>
      </w:r>
      <w:r w:rsidRPr="00555F7A">
        <w:t xml:space="preserve">cision capacity (sovereignty, this is, a diminishing moral hazard) in exchange of a more efficient system for risk sharing. </w:t>
      </w:r>
      <w:r>
        <w:t>Once interregional transfers, cond</w:t>
      </w:r>
      <w:r>
        <w:t>i</w:t>
      </w:r>
      <w:r>
        <w:t>tions and fulfilment are set to the maximum level, there is no sovereign cost for moving towards union. There are two final factors: first, the fact that there is no defined ending horizon for the game except accepting a stronger method for sharing risk and avoiding future moral hazard. Second, once ‘total agre</w:t>
      </w:r>
      <w:r>
        <w:t>e</w:t>
      </w:r>
      <w:r>
        <w:t>ment’ is achieved, transaction costs on maintaining them are higher than on consolidating them through a delegated entity. Given the fundamental cond</w:t>
      </w:r>
      <w:r>
        <w:t>i</w:t>
      </w:r>
      <w:r>
        <w:t xml:space="preserve">tion and the two factors, </w:t>
      </w:r>
      <w:r w:rsidRPr="00555F7A">
        <w:t>the most likely outcome is the consecution of a ce</w:t>
      </w:r>
      <w:r w:rsidRPr="00555F7A">
        <w:t>n</w:t>
      </w:r>
      <w:r w:rsidRPr="00555F7A">
        <w:t>tralized federal union, making the inter-government system self-destructed in order to follow the path set by the ideational roadmap for fiscal unification.</w:t>
      </w:r>
    </w:p>
    <w:p w14:paraId="6E28B126" w14:textId="17A71AC6" w:rsidR="007334D4" w:rsidRPr="00EC588C" w:rsidRDefault="00B363F2" w:rsidP="007334D4">
      <w:pPr>
        <w:pStyle w:val="Heading2"/>
      </w:pPr>
      <w:bookmarkStart w:id="33" w:name="_Toc208145604"/>
      <w:r>
        <w:t>1.3</w:t>
      </w:r>
      <w:r w:rsidR="004938ED">
        <w:tab/>
      </w:r>
      <w:r w:rsidR="00576A13">
        <w:t>A</w:t>
      </w:r>
      <w:r w:rsidR="00FD3B91">
        <w:t xml:space="preserve"> </w:t>
      </w:r>
      <w:r w:rsidR="00576A13">
        <w:t>(</w:t>
      </w:r>
      <w:r w:rsidR="00FD3B91">
        <w:t xml:space="preserve">mixed) theoretical </w:t>
      </w:r>
      <w:r w:rsidR="00D54E5D">
        <w:t>toolbox</w:t>
      </w:r>
      <w:r w:rsidR="00576A13">
        <w:t xml:space="preserve"> and a plan</w:t>
      </w:r>
      <w:bookmarkEnd w:id="33"/>
    </w:p>
    <w:p w14:paraId="2489D32E" w14:textId="2972C347" w:rsidR="007334D4" w:rsidRDefault="00E2519A" w:rsidP="00E2519A">
      <w:r w:rsidRPr="00E2519A">
        <w:t>The consequence of this two-level approach to EU functioning is at the same time following the ‘call to arms for comparative analysis in the EU’ that was made in Tsebelis (1994) and is still relevant. But this needs to be mixed up with the already classic liberal inter-governmental framework proposed by M</w:t>
      </w:r>
      <w:r w:rsidRPr="00E2519A">
        <w:t>o</w:t>
      </w:r>
      <w:r w:rsidRPr="00E2519A">
        <w:t xml:space="preserve">ravksic (1998) in order to understand the dynamics of the ‘grand bargain’. </w:t>
      </w:r>
      <w:r w:rsidR="00375112">
        <w:t>T</w:t>
      </w:r>
      <w:r w:rsidRPr="00E2519A">
        <w:t>he form of the specific problem is that of the feasibility of an efficient solution in the trade-off between risk sharing and moral hazard, and this is better a</w:t>
      </w:r>
      <w:r w:rsidRPr="00E2519A">
        <w:t>d</w:t>
      </w:r>
      <w:r w:rsidRPr="00E2519A">
        <w:t>dressed with a game theoretical approach that allow us to define the actors and their possible actions and strategies that lead to a pos</w:t>
      </w:r>
      <w:r w:rsidR="00375112">
        <w:t>sible solution of the trade-off.</w:t>
      </w:r>
      <w:r w:rsidRPr="00E2519A">
        <w:t xml:space="preserve"> </w:t>
      </w:r>
      <w:r w:rsidR="00375112">
        <w:t xml:space="preserve">But </w:t>
      </w:r>
      <w:r w:rsidRPr="00E2519A">
        <w:t>a key feature</w:t>
      </w:r>
      <w:r w:rsidR="00375112">
        <w:t xml:space="preserve"> of my hypothesis</w:t>
      </w:r>
      <w:r w:rsidRPr="00E2519A">
        <w:t xml:space="preserve"> is that the European Union, and particularly the Euro area, is carrying a whole array of bargaining mechanisms that set the game. The existence and predominance of these mechanisms need to be explained for a simple reason: what is being discussed here is if, under a debt shock, the mentioned institutional arrangements may allow a change by themselves in such a fundamental way that the new scenario would mean a di</w:t>
      </w:r>
      <w:r w:rsidRPr="00E2519A">
        <w:t>s</w:t>
      </w:r>
      <w:r w:rsidRPr="00E2519A">
        <w:t>appearance of the same arrangements.</w:t>
      </w:r>
      <w:r w:rsidR="00E82EE9">
        <w:t xml:space="preserve"> The game will only account for how and </w:t>
      </w:r>
      <w:r w:rsidR="00E82EE9">
        <w:lastRenderedPageBreak/>
        <w:t>why do the right conditions for a union shift arise, and not for the whole re</w:t>
      </w:r>
      <w:r w:rsidR="00E82EE9">
        <w:t>a</w:t>
      </w:r>
      <w:r w:rsidR="00E82EE9">
        <w:t>sons for the shift itself.</w:t>
      </w:r>
    </w:p>
    <w:p w14:paraId="1C888603" w14:textId="6CE5FD90" w:rsidR="00375112" w:rsidRDefault="00375112" w:rsidP="00E2519A">
      <w:r w:rsidRPr="00375112">
        <w:t>In sum, institutional analysis comprehending both historical and inform</w:t>
      </w:r>
      <w:r w:rsidRPr="00375112">
        <w:t>a</w:t>
      </w:r>
      <w:r w:rsidRPr="00375112">
        <w:t>tional/cultural elements will lead the analysis to defining the framework where the actual bargain is played. These insights are needed in order to define such bargaining process as a strategic game happening under a specific set of rules. Thus, the present work follows the ontological rules of methodological ind</w:t>
      </w:r>
      <w:r w:rsidRPr="00375112">
        <w:t>i</w:t>
      </w:r>
      <w:r w:rsidRPr="00375112">
        <w:t>vidualism and the ‘quest for explanatory mechanisms’ that Social Sciences re</w:t>
      </w:r>
      <w:r w:rsidRPr="00375112">
        <w:t>p</w:t>
      </w:r>
      <w:r w:rsidRPr="00375112">
        <w:t>resent for most of the scientific community without disregarding the necessity of a more context-rich analysis for addressing any puzzling problem that we may find when scanning our social world. Then, while parsimony will guide the set up of the proposed model, the whole explanation will be aware of the exis</w:t>
      </w:r>
      <w:r w:rsidRPr="00375112">
        <w:t>t</w:t>
      </w:r>
      <w:r w:rsidRPr="00375112">
        <w:t>ing trade-off between simplification for offering exportable tools and the co</w:t>
      </w:r>
      <w:r w:rsidRPr="00375112">
        <w:t>n</w:t>
      </w:r>
      <w:r w:rsidRPr="00375112">
        <w:t>sequent lose of complex causal explanation for a specific case. Simplicity in the core model will make it useful for other similar problems, while complexity will be added surrounding this core in a way that it does not suffer by over-specification in the considered parameters but the whole corpus of the expl</w:t>
      </w:r>
      <w:r w:rsidRPr="00375112">
        <w:t>a</w:t>
      </w:r>
      <w:r w:rsidRPr="00375112">
        <w:t>nation will be able to account for nuances only present in this context.</w:t>
      </w:r>
    </w:p>
    <w:p w14:paraId="754B5DB6" w14:textId="0FD04C9F" w:rsidR="00576A13" w:rsidRDefault="00576A13" w:rsidP="00E2519A">
      <w:r w:rsidRPr="00576A13">
        <w:t>The paper will have the following structure: first, the European crisis is briefly described. A case study is offered: the actions during the crisis of two specific countries, Spain and Germany, representing the weak and strong r</w:t>
      </w:r>
      <w:r w:rsidRPr="00576A13">
        <w:t>e</w:t>
      </w:r>
      <w:r w:rsidRPr="00576A13">
        <w:t>gions within the union. This explanation will be necessarily simplistic due to space constraints, but as the goal of the present work is not explaining the cr</w:t>
      </w:r>
      <w:r w:rsidRPr="00576A13">
        <w:t>i</w:t>
      </w:r>
      <w:r w:rsidRPr="00576A13">
        <w:t>sis, the only insight needed from this section is an (intentionally) plain descri</w:t>
      </w:r>
      <w:r w:rsidRPr="00576A13">
        <w:t>p</w:t>
      </w:r>
      <w:r w:rsidRPr="00576A13">
        <w:t>tion, attached to facts, of how the bargaining between nation-states have co</w:t>
      </w:r>
      <w:r w:rsidRPr="00576A13">
        <w:t>n</w:t>
      </w:r>
      <w:r w:rsidRPr="00576A13">
        <w:t>figured itself. Thus, some fundamental data and press articles constitute the base for building it.</w:t>
      </w:r>
    </w:p>
    <w:p w14:paraId="4D3CD994" w14:textId="77777777" w:rsidR="000C6761" w:rsidRDefault="00E77806" w:rsidP="00E2519A">
      <w:r w:rsidRPr="00E77806">
        <w:t>Having set the case, I turn to the explanation of why and how have E</w:t>
      </w:r>
      <w:r w:rsidRPr="00E77806">
        <w:t>u</w:t>
      </w:r>
      <w:r w:rsidRPr="00E77806">
        <w:t>rope reached that point, reviewing the main theories for European integration to show how does the union work at two distinct levels of policymaking. In the next section, I complete that exposition with the historical elements that show how the paradox and the tension between the two essential models of federa</w:t>
      </w:r>
      <w:r w:rsidRPr="00E77806">
        <w:t>l</w:t>
      </w:r>
      <w:r w:rsidRPr="00E77806">
        <w:t>isms are at the core of the EU, and the current crisis have only taken them to a limit. Once this analysis is done, the framework is sufficiently established to run the game that aims to explain the present decisions of European actors as well as the bargaining reasons for the most feasible outcome. I propose a s</w:t>
      </w:r>
      <w:r w:rsidRPr="00E77806">
        <w:t>e</w:t>
      </w:r>
      <w:r w:rsidRPr="00E77806">
        <w:t>quential two-actor game that match Spain as a weak region and Germany as the strong one, and show how the long term comes to force the decision b</w:t>
      </w:r>
      <w:r w:rsidRPr="00E77806">
        <w:t>e</w:t>
      </w:r>
      <w:r w:rsidRPr="00E77806">
        <w:t xml:space="preserve">tween fiscal unification and total sovereignty through debt pooling and fiscal conditioning dynamics. This game is </w:t>
      </w:r>
      <w:r w:rsidR="008E3466">
        <w:t xml:space="preserve">not </w:t>
      </w:r>
      <w:r w:rsidRPr="00E77806">
        <w:t>t</w:t>
      </w:r>
      <w:r w:rsidR="008E3466">
        <w:t xml:space="preserve">he last stage in my explanation, as it will only give </w:t>
      </w:r>
      <w:proofErr w:type="gramStart"/>
      <w:r w:rsidR="008E3466">
        <w:t>a</w:t>
      </w:r>
      <w:proofErr w:type="gramEnd"/>
      <w:r w:rsidR="008E3466">
        <w:t xml:space="preserve"> essential condition for the delegated federalism model to arise. In order to finally explain why is it plausible to consider its triumph, I will need to briefly turn back to theor</w:t>
      </w:r>
      <w:r w:rsidR="000C6761">
        <w:t>y.</w:t>
      </w:r>
      <w:r w:rsidRPr="00E77806">
        <w:t xml:space="preserve"> </w:t>
      </w:r>
    </w:p>
    <w:p w14:paraId="6A8A3CBA" w14:textId="3273F3E9" w:rsidR="00E77806" w:rsidRDefault="000C6761" w:rsidP="00E2519A">
      <w:r>
        <w:t>Finally, as a conclusion</w:t>
      </w:r>
      <w:r w:rsidR="00E77806" w:rsidRPr="00E77806">
        <w:t xml:space="preserve"> I propose some other possible applications for the model that show how it is at the same time context-aware and susceptible to generalization.</w:t>
      </w:r>
    </w:p>
    <w:p w14:paraId="5BFC6D5D" w14:textId="5890EC94" w:rsidR="003404DC" w:rsidRPr="001237F1" w:rsidRDefault="003404DC" w:rsidP="001237F1">
      <w:pPr>
        <w:tabs>
          <w:tab w:val="left" w:pos="1426"/>
        </w:tabs>
        <w:ind w:firstLine="0"/>
        <w:rPr>
          <w:szCs w:val="22"/>
        </w:rPr>
      </w:pPr>
    </w:p>
    <w:p w14:paraId="4C8FA404" w14:textId="2ADD2AF4" w:rsidR="009400BC" w:rsidRDefault="009F0B29" w:rsidP="009400BC">
      <w:pPr>
        <w:pStyle w:val="Heading1"/>
      </w:pPr>
      <w:bookmarkStart w:id="34" w:name="_Toc208145605"/>
      <w:bookmarkStart w:id="35" w:name="_Toc120098277"/>
      <w:r>
        <w:lastRenderedPageBreak/>
        <w:t>:</w:t>
      </w:r>
      <w:r w:rsidR="00233B8B">
        <w:br/>
      </w:r>
      <w:r w:rsidR="000C6761">
        <w:t>The European sovereign debt crisis: a brief exposition and a case study</w:t>
      </w:r>
      <w:bookmarkEnd w:id="34"/>
    </w:p>
    <w:p w14:paraId="7D889029" w14:textId="514DEC0E" w:rsidR="00357DCE" w:rsidRPr="00EC588C" w:rsidRDefault="00B363F2" w:rsidP="00357DCE">
      <w:pPr>
        <w:pStyle w:val="Heading2"/>
      </w:pPr>
      <w:bookmarkStart w:id="36" w:name="_Toc208145606"/>
      <w:r>
        <w:t>2.1</w:t>
      </w:r>
      <w:r w:rsidR="00357DCE">
        <w:t xml:space="preserve"> The first stages: how and why did the crisis arise</w:t>
      </w:r>
      <w:bookmarkEnd w:id="36"/>
    </w:p>
    <w:p w14:paraId="3D9412D5" w14:textId="0A772210" w:rsidR="001F4E93" w:rsidRDefault="00357DCE" w:rsidP="001F4E93">
      <w:pPr>
        <w:pStyle w:val="Normalfirstparagraph"/>
      </w:pPr>
      <w:r w:rsidRPr="00357DCE">
        <w:t>In May 2010, office-holding Spanish Socialist Party (PSOE) radically changed its main economic and welfare policies from what they had been doing and also was stated in their electoral program that took them to win the general election in 2008. This change consisted in a set of new policies that, following an austerity rule apparently imposed from outside, were implemented and wi</w:t>
      </w:r>
      <w:r w:rsidRPr="00357DCE">
        <w:t>d</w:t>
      </w:r>
      <w:r w:rsidRPr="00357DCE">
        <w:t>ened in the following eighteen months, until 20 November 2011, when PSOE lost a new general election against right-wing Popular Party (PP).</w:t>
      </w:r>
    </w:p>
    <w:p w14:paraId="70E8F772" w14:textId="28089985" w:rsidR="006237CD" w:rsidRDefault="006237CD" w:rsidP="006237CD">
      <w:r w:rsidRPr="006237CD">
        <w:t>How and why did this shift happen? It was not consistent with their id</w:t>
      </w:r>
      <w:r w:rsidRPr="006237CD">
        <w:t>e</w:t>
      </w:r>
      <w:r w:rsidRPr="006237CD">
        <w:t>ology, or with the voters’ preferences. Plus, on a first sight, there were few or none formal tools for the external actor to force them to this policy change. The story of why this event took place is in fact the story of the beginning and subsequent development of the European sovereign debt crisis. In late 2009, the Old Continent was deep into recession. The financial crisis that started o</w:t>
      </w:r>
      <w:r w:rsidRPr="006237CD">
        <w:t>f</w:t>
      </w:r>
      <w:r w:rsidRPr="006237CD">
        <w:t>ficially with the collapse of Lehman Brothers investment bank in September 2008 (and ‘less officially’ with the subprime crisis in the US during the summer of 2007) had left the world with the worst loss of wealth since the Great D</w:t>
      </w:r>
      <w:r w:rsidRPr="006237CD">
        <w:t>e</w:t>
      </w:r>
      <w:r w:rsidRPr="006237CD">
        <w:t>pression. This situation uncovered a number of macroeconomic problems generated during the ‘boom’ period (1998-2007) in Spain and other countries. The availability of ‘cheap’ credit was mainly channelled to construction, gene</w:t>
      </w:r>
      <w:r w:rsidRPr="006237CD">
        <w:t>r</w:t>
      </w:r>
      <w:r w:rsidRPr="006237CD">
        <w:t>ating a housing bubble that deepened the already endogamic competitiveness problem, reflected in the current account deficit. In Spain, the current account balance went from -0.6 in 1993 to -7.0 in 2007, showing a clear imbalance (Wyplosz, 2006). Meanwhile, private borrowing from the private sector went in Spain from 80.8% over GDP in 1998 to 168.5% in 2007 (Lane, 2012).</w:t>
      </w:r>
    </w:p>
    <w:p w14:paraId="6611FEA7" w14:textId="7C0A8A4A" w:rsidR="007539A7" w:rsidRDefault="007539A7" w:rsidP="006237CD">
      <w:r w:rsidRPr="007539A7">
        <w:t>When the credit flow dramatically ceased in late 2008, the main engine for Spanish economy, the building sector, became out of fuel. This is why the e</w:t>
      </w:r>
      <w:r w:rsidRPr="007539A7">
        <w:t>f</w:t>
      </w:r>
      <w:r w:rsidRPr="007539A7">
        <w:t>fect was even deeper for Spain: having a financial sector in a rather weak situ</w:t>
      </w:r>
      <w:r w:rsidRPr="007539A7">
        <w:t>a</w:t>
      </w:r>
      <w:r w:rsidRPr="007539A7">
        <w:t>tions with an excess of housing assets in their imbalances and an economy that extensively relied on the building sector for growing (which is strongly credit-dependent), the shock was deep, intense and long-lasting. No figure tells this</w:t>
      </w:r>
      <w:r w:rsidR="002E4A59">
        <w:t xml:space="preserve"> story</w:t>
      </w:r>
      <w:r w:rsidRPr="007539A7">
        <w:t xml:space="preserve"> as </w:t>
      </w:r>
      <w:r w:rsidR="002E4A59">
        <w:t>clearly</w:t>
      </w:r>
      <w:r w:rsidRPr="007539A7">
        <w:t xml:space="preserve"> as the unemployment rate: following the National Statistics I</w:t>
      </w:r>
      <w:r w:rsidRPr="007539A7">
        <w:t>n</w:t>
      </w:r>
      <w:r w:rsidRPr="007539A7">
        <w:t xml:space="preserve">stitute official data, in </w:t>
      </w:r>
      <w:r w:rsidR="00EA2F62">
        <w:t>the third quarter of 2007 only</w:t>
      </w:r>
      <w:r w:rsidR="00080EA5">
        <w:rPr>
          <w:rStyle w:val="FootnoteReference"/>
        </w:rPr>
        <w:footnoteReference w:id="3"/>
      </w:r>
      <w:r w:rsidR="00EA2F62">
        <w:t xml:space="preserve"> </w:t>
      </w:r>
      <w:r w:rsidRPr="007539A7">
        <w:t>7.9% of the people wil</w:t>
      </w:r>
      <w:r w:rsidRPr="007539A7">
        <w:t>l</w:t>
      </w:r>
      <w:r w:rsidRPr="007539A7">
        <w:t>ing to work could not find a job. A year later, the increase was significant, to 11.3%. But in the first quarter of 2009 the figures reached the stunning amount of 17.8%</w:t>
      </w:r>
      <w:r w:rsidR="002F1F1F">
        <w:t xml:space="preserve"> (figure in the next page)</w:t>
      </w:r>
      <w:r w:rsidRPr="007539A7">
        <w:t>.</w:t>
      </w:r>
    </w:p>
    <w:p w14:paraId="6B9685EC" w14:textId="77777777" w:rsidR="002A687F" w:rsidRDefault="002A687F" w:rsidP="002A687F"/>
    <w:p w14:paraId="089CAC18" w14:textId="77777777" w:rsidR="002A687F" w:rsidRPr="00306226" w:rsidRDefault="002A687F" w:rsidP="002A687F">
      <w:pPr>
        <w:pStyle w:val="Normalfirstparagraph"/>
        <w:rPr>
          <w:sz w:val="14"/>
          <w:szCs w:val="14"/>
        </w:rPr>
      </w:pPr>
    </w:p>
    <w:p w14:paraId="7D82C3D8" w14:textId="77777777" w:rsidR="002A687F" w:rsidRDefault="002A687F" w:rsidP="002A687F">
      <w:pPr>
        <w:pStyle w:val="Tablesourcenote"/>
      </w:pPr>
      <w:bookmarkStart w:id="37" w:name="_Toc267482648"/>
    </w:p>
    <w:bookmarkEnd w:id="37"/>
    <w:p w14:paraId="1CA03F57" w14:textId="77777777" w:rsidR="002A687F" w:rsidRDefault="002A687F" w:rsidP="002A687F"/>
    <w:p w14:paraId="4AAAA879" w14:textId="77777777" w:rsidR="002A687F" w:rsidRDefault="002A687F" w:rsidP="002A687F"/>
    <w:p w14:paraId="100E08D2" w14:textId="5A5FCB49" w:rsidR="002A687F" w:rsidRPr="008B3247" w:rsidRDefault="002A687F" w:rsidP="00BF1987">
      <w:pPr>
        <w:ind w:firstLine="0"/>
        <w:jc w:val="center"/>
      </w:pPr>
      <w:r>
        <w:rPr>
          <w:noProof/>
          <w:lang w:val="en-US" w:eastAsia="en-US"/>
        </w:rPr>
        <w:drawing>
          <wp:inline distT="0" distB="0" distL="0" distR="0" wp14:anchorId="623A840A" wp14:editId="2C7CB085">
            <wp:extent cx="4679950" cy="3055462"/>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0" cy="3055462"/>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60288" behindDoc="0" locked="0" layoutInCell="1" allowOverlap="1" wp14:anchorId="3ED2551F" wp14:editId="43ECE391">
                <wp:simplePos x="0" y="0"/>
                <wp:positionH relativeFrom="column">
                  <wp:posOffset>453390</wp:posOffset>
                </wp:positionH>
                <wp:positionV relativeFrom="paragraph">
                  <wp:posOffset>-222250</wp:posOffset>
                </wp:positionV>
                <wp:extent cx="3600450" cy="457200"/>
                <wp:effectExtent l="0" t="0" r="6350" b="0"/>
                <wp:wrapTopAndBottom/>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88156" w14:textId="1B304A30" w:rsidR="00694B29" w:rsidRPr="00C2257A" w:rsidRDefault="00694B29" w:rsidP="002A687F">
                            <w:pPr>
                              <w:pStyle w:val="Caption"/>
                              <w:rPr>
                                <w:rFonts w:ascii="Garamond" w:hAnsi="Garamond"/>
                                <w:noProof/>
                                <w:sz w:val="24"/>
                              </w:rPr>
                            </w:pPr>
                            <w:bookmarkStart w:id="38" w:name="_Toc318124970"/>
                            <w:r>
                              <w:t xml:space="preserve">Figure 2.1 </w:t>
                            </w:r>
                            <w:r>
                              <w:br/>
                            </w:r>
                            <w:bookmarkEnd w:id="38"/>
                            <w:r>
                              <w:t>Unemployment rate in Spain by quarters. 4Q2005-1Q2009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35.7pt;margin-top:-17.45pt;width:283.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" stroked="f">
                <v:textbox inset="0,0,0,0">
                  <w:txbxContent>
                    <w:p w14:paraId="0F488156" w14:textId="1B304A30" w:rsidR="00694B29" w:rsidRPr="00C2257A" w:rsidRDefault="00694B29" w:rsidP="002A687F">
                      <w:pPr>
                        <w:pStyle w:val="Caption"/>
                        <w:rPr>
                          <w:rFonts w:ascii="Garamond" w:hAnsi="Garamond"/>
                          <w:noProof/>
                          <w:sz w:val="24"/>
                        </w:rPr>
                      </w:pPr>
                      <w:bookmarkStart w:id="39" w:name="_Toc318124970"/>
                      <w:r>
                        <w:t xml:space="preserve">Figure 2.1 </w:t>
                      </w:r>
                      <w:r>
                        <w:br/>
                      </w:r>
                      <w:bookmarkEnd w:id="39"/>
                      <w:r>
                        <w:t>Unemployment rate in Spain by quarters. 4Q2005-1Q2009</w:t>
                      </w:r>
                    </w:p>
                  </w:txbxContent>
                </v:textbox>
                <w10:wrap type="topAndBottom"/>
              </v:shape>
            </w:pict>
          </mc:Fallback>
        </mc:AlternateContent>
      </w:r>
    </w:p>
    <w:p w14:paraId="0575121F" w14:textId="65328FDA" w:rsidR="002A687F" w:rsidRPr="00683498" w:rsidRDefault="002A687F" w:rsidP="002A687F">
      <w:pPr>
        <w:pStyle w:val="Tablesourcenote"/>
        <w:rPr>
          <w:i/>
        </w:rPr>
      </w:pPr>
      <w:r w:rsidRPr="00D34CE3">
        <w:rPr>
          <w:i/>
        </w:rPr>
        <w:t>Source</w:t>
      </w:r>
      <w:r>
        <w:rPr>
          <w:i/>
        </w:rPr>
        <w:t>:</w:t>
      </w:r>
      <w:r w:rsidRPr="00683498">
        <w:t xml:space="preserve"> </w:t>
      </w:r>
      <w:r w:rsidR="00E97419">
        <w:t>INE (</w:t>
      </w:r>
      <w:proofErr w:type="spellStart"/>
      <w:r w:rsidR="00E97419">
        <w:t>Instituto</w:t>
      </w:r>
      <w:proofErr w:type="spellEnd"/>
      <w:r w:rsidR="00E97419">
        <w:t xml:space="preserve"> </w:t>
      </w:r>
      <w:proofErr w:type="spellStart"/>
      <w:r w:rsidR="00E97419">
        <w:t>Nacional</w:t>
      </w:r>
      <w:proofErr w:type="spellEnd"/>
      <w:r w:rsidR="00E97419">
        <w:t xml:space="preserve"> de </w:t>
      </w:r>
      <w:proofErr w:type="spellStart"/>
      <w:r w:rsidR="00E97419">
        <w:t>Estadística</w:t>
      </w:r>
      <w:proofErr w:type="spellEnd"/>
      <w:r w:rsidR="00A76923">
        <w:t xml:space="preserve"> – National Statistics Institute</w:t>
      </w:r>
      <w:r w:rsidR="00E97419">
        <w:t>)</w:t>
      </w:r>
      <w:r w:rsidRPr="00683498">
        <w:t>.</w:t>
      </w:r>
    </w:p>
    <w:p w14:paraId="7744DAB8" w14:textId="77777777" w:rsidR="002A687F" w:rsidRDefault="002A687F" w:rsidP="002A687F"/>
    <w:p w14:paraId="2787AC2C" w14:textId="1193C20C" w:rsidR="002A687F" w:rsidRDefault="00080EA5" w:rsidP="002A687F">
      <w:r w:rsidRPr="00080EA5">
        <w:t xml:space="preserve">PSOE was in government since March 2004, and they were re-elected in March 2008 holding a simple majority in the Parliament. Initially, to face the crisis, the social-democrat government decided to go for what they </w:t>
      </w:r>
      <w:r w:rsidR="00AC458F">
        <w:t>labelled</w:t>
      </w:r>
      <w:r w:rsidRPr="00080EA5">
        <w:t xml:space="preserve"> as a ‘social way out of the crisis’. This slogan comprehended a set of high public spending-oriented policies, including a special help for unemployed people, a 2,500 EUR subsidy for each new born child, the promise of no cuts in pe</w:t>
      </w:r>
      <w:r w:rsidRPr="00080EA5">
        <w:t>n</w:t>
      </w:r>
      <w:r w:rsidRPr="00080EA5">
        <w:t>sions and public wages, and above all an integral plan of public investment in infrastructure, called ‘Plan E’ (for ‘</w:t>
      </w:r>
      <w:proofErr w:type="spellStart"/>
      <w:r w:rsidRPr="00080EA5">
        <w:t>España</w:t>
      </w:r>
      <w:proofErr w:type="spellEnd"/>
      <w:r w:rsidRPr="00080EA5">
        <w:t>’ [Spain] and ‘</w:t>
      </w:r>
      <w:proofErr w:type="spellStart"/>
      <w:r w:rsidRPr="00080EA5">
        <w:t>Estímulo</w:t>
      </w:r>
      <w:proofErr w:type="spellEnd"/>
      <w:r w:rsidRPr="00080EA5">
        <w:t>’ [stimulus]). 13 billions of euro were invested with the two phases of this plan beginning on January 2009. In sum, they decided to pursue a high level of public spending to develop a fiscal stimulus.</w:t>
      </w:r>
    </w:p>
    <w:p w14:paraId="089E5FEA" w14:textId="0568CBCB" w:rsidR="002A687F" w:rsidRDefault="00392422" w:rsidP="006237CD">
      <w:r w:rsidRPr="00392422">
        <w:t>For more than one year, Spain kept applying fiscal stimulus policies, but the macroeconomic problems did not seem to solve. Again, the clearest proof lies on the unemployment data</w:t>
      </w:r>
      <w:r w:rsidR="00AC458F">
        <w:t xml:space="preserve"> (</w:t>
      </w:r>
      <w:r w:rsidR="00471C54">
        <w:t xml:space="preserve">figure in the </w:t>
      </w:r>
      <w:r w:rsidR="00AC458F">
        <w:t>next page)</w:t>
      </w:r>
      <w:r w:rsidRPr="00392422">
        <w:t>:</w:t>
      </w:r>
    </w:p>
    <w:p w14:paraId="589B0648" w14:textId="77777777" w:rsidR="00A042DF" w:rsidRDefault="00A042DF" w:rsidP="00A042DF"/>
    <w:p w14:paraId="4E4CD2EE" w14:textId="77777777" w:rsidR="00A042DF" w:rsidRDefault="00A042DF" w:rsidP="00A042DF"/>
    <w:p w14:paraId="7444E3A7" w14:textId="0AD26DE1" w:rsidR="00A042DF" w:rsidRPr="008B3247" w:rsidRDefault="00A042DF" w:rsidP="00761D37">
      <w:pPr>
        <w:ind w:firstLine="0"/>
        <w:jc w:val="center"/>
      </w:pPr>
      <w:r>
        <w:rPr>
          <w:noProof/>
          <w:lang w:val="en-US" w:eastAsia="en-US"/>
        </w:rPr>
        <w:lastRenderedPageBreak/>
        <w:drawing>
          <wp:inline distT="0" distB="0" distL="0" distR="0" wp14:anchorId="45CDF959" wp14:editId="1AA73A5D">
            <wp:extent cx="4679950" cy="307209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0" cy="3072093"/>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62336" behindDoc="0" locked="0" layoutInCell="1" allowOverlap="1" wp14:anchorId="32F7E49E" wp14:editId="1DE59002">
                <wp:simplePos x="0" y="0"/>
                <wp:positionH relativeFrom="column">
                  <wp:posOffset>453390</wp:posOffset>
                </wp:positionH>
                <wp:positionV relativeFrom="paragraph">
                  <wp:posOffset>-222250</wp:posOffset>
                </wp:positionV>
                <wp:extent cx="3600450" cy="457200"/>
                <wp:effectExtent l="0" t="0" r="6350" b="0"/>
                <wp:wrapTopAndBottom/>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6EE92" w14:textId="110EDD46" w:rsidR="00694B29" w:rsidRPr="00C2257A" w:rsidRDefault="00694B29" w:rsidP="00A042DF">
                            <w:pPr>
                              <w:pStyle w:val="Caption"/>
                              <w:rPr>
                                <w:rFonts w:ascii="Garamond" w:hAnsi="Garamond"/>
                                <w:noProof/>
                                <w:sz w:val="24"/>
                              </w:rPr>
                            </w:pPr>
                            <w:r>
                              <w:t xml:space="preserve">Figure 2.2 </w:t>
                            </w:r>
                            <w:r>
                              <w:br/>
                              <w:t>Unemployment rate in Spain by quarters. 1Q2009-2Q2012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5.7pt;margin-top:-17.45pt;width:28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" stroked="f">
                <v:textbox inset="0,0,0,0">
                  <w:txbxContent>
                    <w:p w14:paraId="0826EE92" w14:textId="110EDD46" w:rsidR="00694B29" w:rsidRPr="00C2257A" w:rsidRDefault="00694B29" w:rsidP="00A042DF">
                      <w:pPr>
                        <w:pStyle w:val="Caption"/>
                        <w:rPr>
                          <w:rFonts w:ascii="Garamond" w:hAnsi="Garamond"/>
                          <w:noProof/>
                          <w:sz w:val="24"/>
                        </w:rPr>
                      </w:pPr>
                      <w:r>
                        <w:t xml:space="preserve">Figure 2.2 </w:t>
                      </w:r>
                      <w:r>
                        <w:br/>
                        <w:t>Unemployment rate in Spain by quarters. 1Q2009-2Q2012</w:t>
                      </w:r>
                    </w:p>
                  </w:txbxContent>
                </v:textbox>
                <w10:wrap type="topAndBottom"/>
              </v:shape>
            </w:pict>
          </mc:Fallback>
        </mc:AlternateContent>
      </w:r>
    </w:p>
    <w:p w14:paraId="37414FEE" w14:textId="77777777" w:rsidR="00A76923" w:rsidRPr="00683498" w:rsidRDefault="00A76923" w:rsidP="00A76923">
      <w:pPr>
        <w:pStyle w:val="Tablesourcenote"/>
        <w:rPr>
          <w:i/>
        </w:rPr>
      </w:pPr>
      <w:r w:rsidRPr="00D34CE3">
        <w:rPr>
          <w:i/>
        </w:rPr>
        <w:t>Source</w:t>
      </w:r>
      <w:r>
        <w:rPr>
          <w:i/>
        </w:rPr>
        <w:t>:</w:t>
      </w:r>
      <w:r w:rsidRPr="00683498">
        <w:t xml:space="preserve"> </w:t>
      </w:r>
      <w:r>
        <w:t>INE (</w:t>
      </w:r>
      <w:proofErr w:type="spellStart"/>
      <w:r>
        <w:t>Instituto</w:t>
      </w:r>
      <w:proofErr w:type="spellEnd"/>
      <w:r>
        <w:t xml:space="preserve"> </w:t>
      </w:r>
      <w:proofErr w:type="spellStart"/>
      <w:r>
        <w:t>Nacional</w:t>
      </w:r>
      <w:proofErr w:type="spellEnd"/>
      <w:r>
        <w:t xml:space="preserve"> de </w:t>
      </w:r>
      <w:proofErr w:type="spellStart"/>
      <w:r>
        <w:t>Estadística</w:t>
      </w:r>
      <w:proofErr w:type="spellEnd"/>
      <w:r>
        <w:t xml:space="preserve"> – National Statistics Institute)</w:t>
      </w:r>
      <w:r w:rsidRPr="00683498">
        <w:t>.</w:t>
      </w:r>
    </w:p>
    <w:p w14:paraId="13C859BA" w14:textId="77777777" w:rsidR="00A042DF" w:rsidRDefault="00A042DF" w:rsidP="00651B7F">
      <w:pPr>
        <w:ind w:firstLine="0"/>
      </w:pPr>
    </w:p>
    <w:p w14:paraId="1C56E70A" w14:textId="205ED010" w:rsidR="00651B7F" w:rsidRDefault="00651B7F" w:rsidP="006237CD">
      <w:r w:rsidRPr="00651B7F">
        <w:t>Also</w:t>
      </w:r>
      <w:r w:rsidR="00471C54">
        <w:t>,</w:t>
      </w:r>
      <w:r w:rsidRPr="00651B7F">
        <w:t xml:space="preserve"> GDP growth was not responding as expected:</w:t>
      </w:r>
    </w:p>
    <w:p w14:paraId="3DAE3E17" w14:textId="6A2FC498" w:rsidR="00651B7F" w:rsidRPr="008B3247" w:rsidRDefault="00651B7F" w:rsidP="00CE6C3B">
      <w:pPr>
        <w:ind w:firstLine="0"/>
        <w:jc w:val="center"/>
      </w:pPr>
      <w:r>
        <w:rPr>
          <w:noProof/>
          <w:lang w:val="en-US" w:eastAsia="en-US"/>
        </w:rPr>
        <w:drawing>
          <wp:inline distT="0" distB="0" distL="0" distR="0" wp14:anchorId="4595F56D" wp14:editId="1D4C1F7A">
            <wp:extent cx="4679950" cy="2579177"/>
            <wp:effectExtent l="0" t="0" r="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0" cy="2579177"/>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64384" behindDoc="0" locked="0" layoutInCell="1" allowOverlap="1" wp14:anchorId="68D406E8" wp14:editId="175670BD">
                <wp:simplePos x="0" y="0"/>
                <wp:positionH relativeFrom="column">
                  <wp:posOffset>453390</wp:posOffset>
                </wp:positionH>
                <wp:positionV relativeFrom="paragraph">
                  <wp:posOffset>-222250</wp:posOffset>
                </wp:positionV>
                <wp:extent cx="3600450" cy="457200"/>
                <wp:effectExtent l="0" t="0" r="6350" b="0"/>
                <wp:wrapTopAndBottom/>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49A8F" w14:textId="218E29F5" w:rsidR="00694B29" w:rsidRPr="00C2257A" w:rsidRDefault="00694B29" w:rsidP="00651B7F">
                            <w:pPr>
                              <w:pStyle w:val="Caption"/>
                              <w:rPr>
                                <w:rFonts w:ascii="Garamond" w:hAnsi="Garamond"/>
                                <w:noProof/>
                                <w:sz w:val="24"/>
                              </w:rPr>
                            </w:pPr>
                            <w:r>
                              <w:t xml:space="preserve">Figure 2.3 </w:t>
                            </w:r>
                            <w:r>
                              <w:br/>
                              <w:t>Real GDP growth rate in Spain. 2006-2011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5.7pt;margin-top:-17.45pt;width:283.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jSFn0CAAAI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" stroked="f">
                <v:textbox inset="0,0,0,0">
                  <w:txbxContent>
                    <w:p w14:paraId="60049A8F" w14:textId="218E29F5" w:rsidR="00694B29" w:rsidRPr="00C2257A" w:rsidRDefault="00694B29" w:rsidP="00651B7F">
                      <w:pPr>
                        <w:pStyle w:val="Caption"/>
                        <w:rPr>
                          <w:rFonts w:ascii="Garamond" w:hAnsi="Garamond"/>
                          <w:noProof/>
                          <w:sz w:val="24"/>
                        </w:rPr>
                      </w:pPr>
                      <w:r>
                        <w:t xml:space="preserve">Figure 2.3 </w:t>
                      </w:r>
                      <w:r>
                        <w:br/>
                        <w:t>Real GDP growth rate in Spain. 2006-2011</w:t>
                      </w:r>
                    </w:p>
                  </w:txbxContent>
                </v:textbox>
                <w10:wrap type="topAndBottom"/>
              </v:shape>
            </w:pict>
          </mc:Fallback>
        </mc:AlternateContent>
      </w:r>
    </w:p>
    <w:p w14:paraId="5FA43EDE" w14:textId="77777777" w:rsidR="00A76923" w:rsidRPr="00683498" w:rsidRDefault="00A76923" w:rsidP="00A76923">
      <w:pPr>
        <w:pStyle w:val="Tablesourcenote"/>
        <w:rPr>
          <w:i/>
        </w:rPr>
      </w:pPr>
      <w:r w:rsidRPr="00D34CE3">
        <w:rPr>
          <w:i/>
        </w:rPr>
        <w:t>Source</w:t>
      </w:r>
      <w:r>
        <w:rPr>
          <w:i/>
        </w:rPr>
        <w:t>:</w:t>
      </w:r>
      <w:r w:rsidRPr="00683498">
        <w:t xml:space="preserve"> </w:t>
      </w:r>
      <w:r>
        <w:t>INE (</w:t>
      </w:r>
      <w:proofErr w:type="spellStart"/>
      <w:r>
        <w:t>Instituto</w:t>
      </w:r>
      <w:proofErr w:type="spellEnd"/>
      <w:r>
        <w:t xml:space="preserve"> </w:t>
      </w:r>
      <w:proofErr w:type="spellStart"/>
      <w:r>
        <w:t>Nacional</w:t>
      </w:r>
      <w:proofErr w:type="spellEnd"/>
      <w:r>
        <w:t xml:space="preserve"> de </w:t>
      </w:r>
      <w:proofErr w:type="spellStart"/>
      <w:r>
        <w:t>Estadística</w:t>
      </w:r>
      <w:proofErr w:type="spellEnd"/>
      <w:r>
        <w:t xml:space="preserve"> – National Statistics Institute)</w:t>
      </w:r>
      <w:r w:rsidRPr="00683498">
        <w:t>.</w:t>
      </w:r>
    </w:p>
    <w:p w14:paraId="098AB93C" w14:textId="77777777" w:rsidR="00AD5C31" w:rsidRDefault="004D77A4" w:rsidP="006237CD">
      <w:r w:rsidRPr="004D77A4">
        <w:t xml:space="preserve">The consequences for public spending dynamics were clear: </w:t>
      </w:r>
      <w:proofErr w:type="gramStart"/>
      <w:r w:rsidRPr="004D77A4">
        <w:t>less revenues</w:t>
      </w:r>
      <w:proofErr w:type="gramEnd"/>
      <w:r w:rsidRPr="004D77A4">
        <w:t xml:space="preserve"> combined with higher spending took Spain down a road where public debt as a rate of GDP doubled (from 30% to 60%) in only two years (2008-2010), while</w:t>
      </w:r>
      <w:r w:rsidR="00AD5C31">
        <w:t>:</w:t>
      </w:r>
    </w:p>
    <w:p w14:paraId="02D1E1D9" w14:textId="7001B98C" w:rsidR="004D77A4" w:rsidRPr="00AD5C31" w:rsidRDefault="00AD5C31" w:rsidP="00AD5C31">
      <w:pPr>
        <w:ind w:left="426" w:firstLine="0"/>
        <w:rPr>
          <w:sz w:val="23"/>
          <w:szCs w:val="23"/>
        </w:rPr>
      </w:pPr>
      <w:r>
        <w:rPr>
          <w:sz w:val="23"/>
          <w:szCs w:val="23"/>
        </w:rPr>
        <w:t xml:space="preserve"> </w:t>
      </w:r>
      <w:r w:rsidRPr="00AD5C31">
        <w:rPr>
          <w:sz w:val="23"/>
          <w:szCs w:val="23"/>
        </w:rPr>
        <w:t xml:space="preserve">(…) </w:t>
      </w:r>
      <w:proofErr w:type="gramStart"/>
      <w:r w:rsidR="004D77A4" w:rsidRPr="00AD5C31">
        <w:rPr>
          <w:sz w:val="23"/>
          <w:szCs w:val="23"/>
        </w:rPr>
        <w:t>in</w:t>
      </w:r>
      <w:proofErr w:type="gramEnd"/>
      <w:r w:rsidR="004D77A4" w:rsidRPr="00AD5C31">
        <w:rPr>
          <w:sz w:val="23"/>
          <w:szCs w:val="23"/>
        </w:rPr>
        <w:t xml:space="preserve"> late 2009, a number of countries [including Spain] reported larger-than-expected increases in deficit/GDP ratios. For example, fiscal revenues in Ireland and Spain fell much more quickly than GDP, as a result of the high sensitivity of tax revenues to declines in construction activity and asset prices. In addition, the scale of the recession and rising estimates of prospective </w:t>
      </w:r>
      <w:r w:rsidR="004D77A4" w:rsidRPr="00AD5C31">
        <w:rPr>
          <w:sz w:val="23"/>
          <w:szCs w:val="23"/>
        </w:rPr>
        <w:lastRenderedPageBreak/>
        <w:t>banking-sector losses on bad loans in a number of countries also had a neg</w:t>
      </w:r>
      <w:r w:rsidR="004D77A4" w:rsidRPr="00AD5C31">
        <w:rPr>
          <w:sz w:val="23"/>
          <w:szCs w:val="23"/>
        </w:rPr>
        <w:t>a</w:t>
      </w:r>
      <w:r w:rsidR="004D77A4" w:rsidRPr="00AD5C31">
        <w:rPr>
          <w:sz w:val="23"/>
          <w:szCs w:val="23"/>
        </w:rPr>
        <w:t>tive indirect impact on sovereign bond values, since investors recognized that a deteriorating ban</w:t>
      </w:r>
      <w:r>
        <w:rPr>
          <w:sz w:val="23"/>
          <w:szCs w:val="23"/>
        </w:rPr>
        <w:t>king sector posted fiscal risks</w:t>
      </w:r>
      <w:r w:rsidR="004D77A4" w:rsidRPr="00AD5C31">
        <w:rPr>
          <w:sz w:val="23"/>
          <w:szCs w:val="23"/>
        </w:rPr>
        <w:t xml:space="preserve"> (Lane, 2012</w:t>
      </w:r>
      <w:r w:rsidR="006E2760">
        <w:rPr>
          <w:sz w:val="23"/>
          <w:szCs w:val="23"/>
        </w:rPr>
        <w:t>:56</w:t>
      </w:r>
      <w:r w:rsidR="004D77A4" w:rsidRPr="00AD5C31">
        <w:rPr>
          <w:sz w:val="23"/>
          <w:szCs w:val="23"/>
        </w:rPr>
        <w:t>).</w:t>
      </w:r>
    </w:p>
    <w:p w14:paraId="648E72EC" w14:textId="6CB133C3" w:rsidR="00474F73" w:rsidRDefault="00474F73" w:rsidP="006237CD">
      <w:r w:rsidRPr="00474F73">
        <w:t>In addition, all this process took place without any consistent solution to Spain’s productivity problems. Even when the imbalance in the current a</w:t>
      </w:r>
      <w:r w:rsidRPr="00474F73">
        <w:t>c</w:t>
      </w:r>
      <w:r w:rsidRPr="00474F73">
        <w:t>count corrected, this effect was a product of the weakness of the euro co</w:t>
      </w:r>
      <w:r w:rsidRPr="00474F73">
        <w:t>m</w:t>
      </w:r>
      <w:r w:rsidRPr="00474F73">
        <w:t>pared with other world currencies, and not the consequence of any internal adjustment. As a result, perspectives for growth in Spain were considerably pessimistic. This fact made debt repayment even more difficult, and is likely to have driven the fear of current and potential investors.</w:t>
      </w:r>
    </w:p>
    <w:p w14:paraId="15CB9F95" w14:textId="51C20D01" w:rsidR="00474F73" w:rsidRDefault="00474F73" w:rsidP="00474F73">
      <w:pPr>
        <w:pStyle w:val="Heading2"/>
      </w:pPr>
      <w:bookmarkStart w:id="39" w:name="_Toc208145607"/>
      <w:r>
        <w:t xml:space="preserve">2.2. </w:t>
      </w:r>
      <w:proofErr w:type="gramStart"/>
      <w:r>
        <w:t>The</w:t>
      </w:r>
      <w:proofErr w:type="gramEnd"/>
      <w:r>
        <w:t xml:space="preserve"> sovereign crisis appears on the stage</w:t>
      </w:r>
      <w:bookmarkEnd w:id="39"/>
    </w:p>
    <w:p w14:paraId="7DC30164" w14:textId="3D1951F7" w:rsidR="00474F73" w:rsidRDefault="00474F73" w:rsidP="00474F73">
      <w:pPr>
        <w:pStyle w:val="Normalfirstparagraph"/>
      </w:pPr>
      <w:r w:rsidRPr="00474F73">
        <w:t>This takes the story to late 2009, when the sovereign debt crisis unfolded. The signal that turned on the alarms was the rising of the interest rate for Spanish ten-year sovereign bonds in the secondary markets, parallel to the increase in other European countries with similar problems (Portugal, Greece, Italy, Ir</w:t>
      </w:r>
      <w:r w:rsidRPr="00474F73">
        <w:t>e</w:t>
      </w:r>
      <w:r w:rsidRPr="00474F73">
        <w:t>land). The following figure from Lane (2012) shows the clear evolution:</w:t>
      </w:r>
    </w:p>
    <w:p w14:paraId="1856FE2A" w14:textId="1F776AE8" w:rsidR="00BE074D" w:rsidRPr="00BE074D" w:rsidRDefault="00BE074D" w:rsidP="00BE074D"/>
    <w:p w14:paraId="7BCDC124" w14:textId="77777777" w:rsidR="00BE074D" w:rsidRPr="00C2257A" w:rsidRDefault="00BE074D" w:rsidP="00BE074D">
      <w:pPr>
        <w:pStyle w:val="Caption"/>
        <w:rPr>
          <w:rFonts w:ascii="Garamond" w:hAnsi="Garamond"/>
          <w:noProof/>
          <w:sz w:val="24"/>
        </w:rPr>
      </w:pPr>
      <w:r>
        <w:t xml:space="preserve">Figure 2.4 </w:t>
      </w:r>
      <w:r>
        <w:br/>
        <w:t>Evolution of the ten-year bond yield in selected EU countries</w:t>
      </w:r>
    </w:p>
    <w:p w14:paraId="540DDAC9" w14:textId="2887F514" w:rsidR="00474F73" w:rsidRPr="00474F73" w:rsidRDefault="00BE074D" w:rsidP="00BE074D">
      <w:r>
        <w:rPr>
          <w:noProof/>
          <w:lang w:val="en-US" w:eastAsia="en-US"/>
        </w:rPr>
        <w:drawing>
          <wp:anchor distT="0" distB="0" distL="114300" distR="114300" simplePos="0" relativeHeight="251665408" behindDoc="0" locked="0" layoutInCell="1" allowOverlap="1" wp14:anchorId="434CFE41" wp14:editId="45AC465F">
            <wp:simplePos x="0" y="0"/>
            <wp:positionH relativeFrom="column">
              <wp:posOffset>609600</wp:posOffset>
            </wp:positionH>
            <wp:positionV relativeFrom="paragraph">
              <wp:posOffset>181610</wp:posOffset>
            </wp:positionV>
            <wp:extent cx="3429635" cy="2673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635" cy="2673350"/>
                    </a:xfrm>
                    <a:prstGeom prst="rect">
                      <a:avLst/>
                    </a:prstGeom>
                    <a:noFill/>
                    <a:ln>
                      <a:noFill/>
                    </a:ln>
                  </pic:spPr>
                </pic:pic>
              </a:graphicData>
            </a:graphic>
          </wp:anchor>
        </w:drawing>
      </w:r>
    </w:p>
    <w:p w14:paraId="06BEDCCA" w14:textId="7D14846D" w:rsidR="00474F73" w:rsidRPr="008B3247" w:rsidRDefault="00BE074D" w:rsidP="00BE074D">
      <w:pPr>
        <w:ind w:firstLine="0"/>
        <w:jc w:val="center"/>
      </w:pPr>
      <w:r>
        <w:br w:type="textWrapping" w:clear="all"/>
      </w:r>
    </w:p>
    <w:p w14:paraId="6328E8FA" w14:textId="788B3970" w:rsidR="00474F73" w:rsidRDefault="00474F73" w:rsidP="00474F73">
      <w:pPr>
        <w:pStyle w:val="Tablesourcenote"/>
      </w:pPr>
      <w:r w:rsidRPr="00D34CE3">
        <w:rPr>
          <w:i/>
        </w:rPr>
        <w:t>Source</w:t>
      </w:r>
      <w:r>
        <w:rPr>
          <w:i/>
        </w:rPr>
        <w:t>:</w:t>
      </w:r>
      <w:r w:rsidRPr="00683498">
        <w:t xml:space="preserve"> </w:t>
      </w:r>
      <w:r>
        <w:t>Lane (2012)</w:t>
      </w:r>
      <w:bookmarkStart w:id="40" w:name="_GoBack"/>
      <w:bookmarkEnd w:id="40"/>
    </w:p>
    <w:p w14:paraId="1A14E419" w14:textId="24ACCE16" w:rsidR="008B0D45" w:rsidRDefault="008B0D45" w:rsidP="00AD5829">
      <w:pPr>
        <w:ind w:firstLine="720"/>
      </w:pPr>
      <w:r w:rsidRPr="008B0D45">
        <w:t>The evident rising was interpreted as a reflection of the lack of conf</w:t>
      </w:r>
      <w:r w:rsidRPr="008B0D45">
        <w:t>i</w:t>
      </w:r>
      <w:r w:rsidRPr="008B0D45">
        <w:t xml:space="preserve">dence of investors </w:t>
      </w:r>
      <w:proofErr w:type="gramStart"/>
      <w:r w:rsidRPr="008B0D45">
        <w:t>As</w:t>
      </w:r>
      <w:proofErr w:type="gramEnd"/>
      <w:r w:rsidRPr="008B0D45">
        <w:t xml:space="preserve"> it will appear obvious looking at the figure, Greece was the first country losing direct access to financial markets (Lane, 2012</w:t>
      </w:r>
      <w:r w:rsidR="00FB6CCC">
        <w:t>:57</w:t>
      </w:r>
      <w:r w:rsidRPr="008B0D45">
        <w:t>) in the beginning of 2010. From that moment, the debt crisis became public and not</w:t>
      </w:r>
      <w:r w:rsidRPr="008B0D45">
        <w:t>o</w:t>
      </w:r>
      <w:r w:rsidRPr="008B0D45">
        <w:t>rious for all the implied actors. While the interest rates at such high levels for Spain, PSOE started to signal to their voters the possibility of changing their fiscal and social policy orientation. Some relevant examples may be the negot</w:t>
      </w:r>
      <w:r w:rsidRPr="008B0D45">
        <w:t>i</w:t>
      </w:r>
      <w:r w:rsidRPr="008B0D45">
        <w:t>ations for a deep labo</w:t>
      </w:r>
      <w:r w:rsidR="00F4696C">
        <w:t>ur reform (El Paí</w:t>
      </w:r>
      <w:r w:rsidRPr="008B0D45">
        <w:t xml:space="preserve">s, 2010), the intention of conducting </w:t>
      </w:r>
      <w:r w:rsidRPr="008B0D45">
        <w:lastRenderedPageBreak/>
        <w:t>cuts in the healthcare system and other areas (Oppenheimer, 2010), and the declared decision of freezing public salaries (</w:t>
      </w:r>
      <w:proofErr w:type="spellStart"/>
      <w:r w:rsidRPr="008B0D45">
        <w:t>Abellán</w:t>
      </w:r>
      <w:proofErr w:type="spellEnd"/>
      <w:r w:rsidRPr="008B0D45">
        <w:t>, 2010).</w:t>
      </w:r>
    </w:p>
    <w:p w14:paraId="108672ED" w14:textId="0D080CE4" w:rsidR="00636BF7" w:rsidRDefault="008B0D45" w:rsidP="00636BF7">
      <w:bookmarkStart w:id="41" w:name="_Toc266283474"/>
      <w:bookmarkEnd w:id="35"/>
      <w:r w:rsidRPr="008B0D45">
        <w:t>On 10 May 2010, an agreement was met and the creation of the European Financial Stabilization Facility was announced as one of the milestones in E</w:t>
      </w:r>
      <w:r w:rsidRPr="008B0D45">
        <w:t>u</w:t>
      </w:r>
      <w:r w:rsidRPr="008B0D45">
        <w:t>ropean integration process (</w:t>
      </w:r>
      <w:proofErr w:type="spellStart"/>
      <w:r w:rsidRPr="008B0D45">
        <w:t>Missé</w:t>
      </w:r>
      <w:proofErr w:type="spellEnd"/>
      <w:r w:rsidRPr="008B0D45">
        <w:t>, 2010). The principal contributors to this fund were the countries from Northern Europe, headed by Germany. Only three days later, Spanish Prime Minister, José Luis Rodríguez Zapatero, co</w:t>
      </w:r>
      <w:r w:rsidRPr="008B0D45">
        <w:t>n</w:t>
      </w:r>
      <w:r w:rsidRPr="008B0D45">
        <w:t>firmed a shift to fiscal stabilization policy with a clearly defined set of measures: reducing a 5% on average the public wages, freezing public pe</w:t>
      </w:r>
      <w:r w:rsidRPr="008B0D45">
        <w:t>n</w:t>
      </w:r>
      <w:r w:rsidRPr="008B0D45">
        <w:t>sions, retiring the subsidy for families with new-born children. At the same time, he announced that more cuts would come in order to accomplish a s</w:t>
      </w:r>
      <w:r w:rsidRPr="008B0D45">
        <w:t>e</w:t>
      </w:r>
      <w:r w:rsidRPr="008B0D45">
        <w:t>vere deficit goal (</w:t>
      </w:r>
      <w:proofErr w:type="spellStart"/>
      <w:r w:rsidRPr="008B0D45">
        <w:t>Garea</w:t>
      </w:r>
      <w:proofErr w:type="spellEnd"/>
      <w:r w:rsidRPr="008B0D45">
        <w:t>, 2010). These measures constituted the core of the new low-spending policy. It was explicitly accepted by PSOE, particularly by the Finance Minister Elena Salgado, that this shift corresponded with the new Fund (</w:t>
      </w:r>
      <w:proofErr w:type="spellStart"/>
      <w:r w:rsidRPr="008B0D45">
        <w:t>Expansión</w:t>
      </w:r>
      <w:proofErr w:type="spellEnd"/>
      <w:r w:rsidRPr="008B0D45">
        <w:t>, 2010) in a quid pro quo manner.</w:t>
      </w:r>
    </w:p>
    <w:p w14:paraId="7E4BF800" w14:textId="5C89FE8A" w:rsidR="008B0D45" w:rsidRDefault="008B0D45" w:rsidP="00636BF7">
      <w:r w:rsidRPr="008B0D45">
        <w:t>Similar situations repeated at least twice in the following two years, with the same pattern. In September 2011, after specific and reiterated requests from Brussels and Berlin, Spanish Constitution was modified to include an e</w:t>
      </w:r>
      <w:r w:rsidRPr="008B0D45">
        <w:t>x</w:t>
      </w:r>
      <w:r w:rsidRPr="008B0D45">
        <w:t xml:space="preserve">plicit need to limit the public deficit. Two months later, in October 2011, the Eurogroup agreed on increasing the bailout common fund </w:t>
      </w:r>
      <w:r w:rsidR="00451EDF">
        <w:t>reaching the figure of a</w:t>
      </w:r>
      <w:r w:rsidRPr="008B0D45">
        <w:t xml:space="preserve"> trillion euro, as well as conducting a recapitalization of European banks, putting a number on Spanish financial system needs: 26 billion of euro. More clearly, in June and July 2012 Spain asked to the rest of the continent for help bailing out their banking system, executing the estimated needs and in the end multiplying the final figure per three. Help was provided under a set of cond</w:t>
      </w:r>
      <w:r w:rsidRPr="008B0D45">
        <w:t>i</w:t>
      </w:r>
      <w:r w:rsidRPr="008B0D45">
        <w:t>tions compiled in a memorandum delivered from their European partners.</w:t>
      </w:r>
    </w:p>
    <w:p w14:paraId="5912B8BE" w14:textId="5E14C96A" w:rsidR="008B0D45" w:rsidRDefault="008B0D45" w:rsidP="00636BF7">
      <w:r w:rsidRPr="008B0D45">
        <w:t>Thus, the relation between the exposed phenomena is as it follows: Spain as a state was losing its capacity to finance through debt as well as through ta</w:t>
      </w:r>
      <w:r w:rsidRPr="008B0D45">
        <w:t>x</w:t>
      </w:r>
      <w:r w:rsidRPr="008B0D45">
        <w:t>es. Given the fact that it forms part of a supra-national political union and the debt and financial shock has not affected equally to all its fellow members, transfers from the stronger nations become a feasible source of funds or, at least, a promise of help that will make to investors more credible their borro</w:t>
      </w:r>
      <w:r w:rsidRPr="008B0D45">
        <w:t>w</w:t>
      </w:r>
      <w:r w:rsidRPr="008B0D45">
        <w:t>ing profile. While the partners are willing to offer their help first as a promise and if needed as an a</w:t>
      </w:r>
      <w:r w:rsidR="0008069B">
        <w:t xml:space="preserve">ctual transfer defined as ‘bail </w:t>
      </w:r>
      <w:r w:rsidRPr="008B0D45">
        <w:t>out’, they have their own conditions for the borrowers. These conditions are nothing but policies that should be applied in order to get the help. The result is a bargaining process within an inter-government ‘supra-nation</w:t>
      </w:r>
      <w:r w:rsidR="0008069B">
        <w:t>al political union’, this is, a</w:t>
      </w:r>
      <w:r w:rsidRPr="008B0D45">
        <w:t xml:space="preserve"> ‘horizo</w:t>
      </w:r>
      <w:r w:rsidRPr="008B0D45">
        <w:t>n</w:t>
      </w:r>
      <w:r w:rsidRPr="008B0D45">
        <w:t>tal’ federation.</w:t>
      </w:r>
    </w:p>
    <w:p w14:paraId="07F618FE" w14:textId="02DDD71B" w:rsidR="008B0D45" w:rsidRDefault="008B0D45" w:rsidP="00636BF7">
      <w:r w:rsidRPr="008B0D45">
        <w:t>Portugal, Ireland, Italy and particularly Greece have gone through similar paths. And in all the situations the main interlocutor(s) for the bargaining pr</w:t>
      </w:r>
      <w:r w:rsidRPr="008B0D45">
        <w:t>o</w:t>
      </w:r>
      <w:r w:rsidRPr="008B0D45">
        <w:t xml:space="preserve">cess were Northern European countries, with Germany as the usual leader. All of them may be defined as the same similar situation in its essence: direct or indirect transfers, as well as the setup of ‘financial security devices’ in the form of common funds (that is nothing but the promise of a transfer if and when </w:t>
      </w:r>
      <w:r w:rsidRPr="008B0D45">
        <w:lastRenderedPageBreak/>
        <w:t>needed), are offered from stronger gove</w:t>
      </w:r>
      <w:r>
        <w:t>rnments to the weaker</w:t>
      </w:r>
      <w:r>
        <w:rPr>
          <w:rStyle w:val="FootnoteReference"/>
        </w:rPr>
        <w:footnoteReference w:id="4"/>
      </w:r>
      <w:r>
        <w:t xml:space="preserve"> </w:t>
      </w:r>
      <w:r w:rsidRPr="008B0D45">
        <w:t>ones in e</w:t>
      </w:r>
      <w:r w:rsidRPr="008B0D45">
        <w:t>x</w:t>
      </w:r>
      <w:r w:rsidRPr="008B0D45">
        <w:t>change of a set of conditions that address fiscal consolidation in the form of spending cuts and tax rises, as well as structural reforms to different areas li</w:t>
      </w:r>
      <w:r w:rsidRPr="008B0D45">
        <w:t>b</w:t>
      </w:r>
      <w:r w:rsidRPr="008B0D45">
        <w:t xml:space="preserve">eralization and </w:t>
      </w:r>
      <w:r w:rsidR="00451EDF">
        <w:t>labour</w:t>
      </w:r>
      <w:r w:rsidRPr="008B0D45">
        <w:t xml:space="preserve"> market being the most frequently mentioned.</w:t>
      </w:r>
    </w:p>
    <w:p w14:paraId="13E09B37" w14:textId="0F59430B" w:rsidR="00B26B4C" w:rsidRDefault="00B26B4C" w:rsidP="00636BF7">
      <w:r w:rsidRPr="00B26B4C">
        <w:t xml:space="preserve">It is under the institutional umbrella of the European Union that these events have </w:t>
      </w:r>
      <w:r w:rsidR="007F65C0">
        <w:t>taken place</w:t>
      </w:r>
      <w:r w:rsidRPr="00B26B4C">
        <w:t>: the agreements as well as the conditions are settled in European summits participated by the Heads of Government and the Finance Ministers. Only EU members have taken a relevant role in the process, and particularly Euro area members. At the same time the true shape of the Union and its main political agreements and mechanisms (essentially, the inter-government scheme) are mentioned and even put in question by policymakers, being a fundamental part of what is negotiated.</w:t>
      </w:r>
    </w:p>
    <w:p w14:paraId="6585EB6E" w14:textId="7EFBD992" w:rsidR="00B26B4C" w:rsidRDefault="00B26B4C" w:rsidP="00636BF7">
      <w:r w:rsidRPr="00B26B4C">
        <w:t>How shall we understand this situation? Is it possible to construct a fu</w:t>
      </w:r>
      <w:r w:rsidRPr="00B26B4C">
        <w:t>n</w:t>
      </w:r>
      <w:r w:rsidRPr="00B26B4C">
        <w:t xml:space="preserve">damental model of functioning for these bargaining processes? Can this model incorporate the fact that negotiation is not only about how much help shall the weak country get and how much conditioning shall they </w:t>
      </w:r>
      <w:r w:rsidR="00EF564A" w:rsidRPr="00B26B4C">
        <w:t>fulfil</w:t>
      </w:r>
      <w:r w:rsidRPr="00B26B4C">
        <w:t xml:space="preserve"> in return, but also about the actual shape of the bargain? And to what extent is this relevant for the European integration process?</w:t>
      </w:r>
    </w:p>
    <w:p w14:paraId="57FA98CE" w14:textId="3D152B26" w:rsidR="00B26B4C" w:rsidRDefault="00B26B4C" w:rsidP="00636BF7">
      <w:r w:rsidRPr="00B26B4C">
        <w:t xml:space="preserve">As stated in the former chapter, I argue that these events are as central for the EU building as the set-up of the European Monetary Union was more than a decade ago. Thus, we should look at them under the light of EU integration theories, and before considering any formal </w:t>
      </w:r>
      <w:r w:rsidR="00EF564A" w:rsidRPr="00B26B4C">
        <w:t>modelling</w:t>
      </w:r>
      <w:r w:rsidRPr="00B26B4C">
        <w:t xml:space="preserve"> including our ‘weak’ and ‘strong’ states bargaining for help, conditions and the federal form of the U</w:t>
      </w:r>
      <w:r w:rsidRPr="00B26B4C">
        <w:t>n</w:t>
      </w:r>
      <w:r w:rsidRPr="00B26B4C">
        <w:t>ion, these theoretical frameworks should be revised and a proposition should be chosen to proportionate a proper initial base for the model, drawing from what has been exposed so far: the current crisis is now, but not in its origins, a sovereign debt crisis that happens within an existing political union formed by sovereign (except in monetary terms) nation-states who depend to a certain extent to each other, and who bargain through already-established forums to find common solutions for the crisis. I then start the revision in order to make my own theoretical proposition, finding a way through to explain the present situation.</w:t>
      </w:r>
    </w:p>
    <w:p w14:paraId="4722F1E1" w14:textId="77777777" w:rsidR="00723147" w:rsidRDefault="00723147" w:rsidP="00636BF7"/>
    <w:p w14:paraId="22A612E4" w14:textId="77777777" w:rsidR="00723147" w:rsidRDefault="00723147" w:rsidP="00636BF7"/>
    <w:p w14:paraId="582F799C" w14:textId="77777777" w:rsidR="00723147" w:rsidRDefault="00723147" w:rsidP="00636BF7"/>
    <w:p w14:paraId="2DE22EB1" w14:textId="12D12D68" w:rsidR="00723147" w:rsidRDefault="00723147" w:rsidP="00723147">
      <w:pPr>
        <w:pStyle w:val="Heading1"/>
      </w:pPr>
      <w:r>
        <w:lastRenderedPageBreak/>
        <w:br/>
      </w:r>
      <w:bookmarkStart w:id="42" w:name="_Toc208145608"/>
      <w:r w:rsidRPr="00723147">
        <w:t>The existing explanations for the European integration process: finding a way through</w:t>
      </w:r>
      <w:bookmarkEnd w:id="42"/>
    </w:p>
    <w:p w14:paraId="77F311DB" w14:textId="6A8C63F8" w:rsidR="005C14D8" w:rsidRDefault="00723147" w:rsidP="00B030EC">
      <w:pPr>
        <w:ind w:firstLine="0"/>
      </w:pPr>
      <w:r w:rsidRPr="00723147">
        <w:t>From a strict academic point of view, it is possible to un</w:t>
      </w:r>
      <w:r w:rsidR="000B280A">
        <w:t>derstand this</w:t>
      </w:r>
      <w:r w:rsidRPr="00723147">
        <w:t xml:space="preserve"> section as a literature review in the topic that occupies us in the present work. Given to obvious space limitations, it is impossible to summarize every single paper (not even every single relevant paper) about European integration.</w:t>
      </w:r>
      <w:r w:rsidR="00B030EC">
        <w:t xml:space="preserve"> </w:t>
      </w:r>
      <w:r w:rsidR="005C14D8" w:rsidRPr="005C14D8">
        <w:t>The goal of the following exposition</w:t>
      </w:r>
      <w:r w:rsidR="006A2B37">
        <w:t>, then,</w:t>
      </w:r>
      <w:r w:rsidR="005C14D8" w:rsidRPr="005C14D8">
        <w:t xml:space="preserve"> is not to be exhaustive but </w:t>
      </w:r>
      <w:r w:rsidR="005C14D8" w:rsidRPr="00BF234F">
        <w:rPr>
          <w:i/>
        </w:rPr>
        <w:t>explanatory</w:t>
      </w:r>
      <w:r w:rsidR="005C14D8" w:rsidRPr="005C14D8">
        <w:t>. Explai</w:t>
      </w:r>
      <w:r w:rsidR="005C14D8" w:rsidRPr="005C14D8">
        <w:t>n</w:t>
      </w:r>
      <w:r w:rsidR="005C14D8" w:rsidRPr="005C14D8">
        <w:t>ing, specifically, how the main theoretical frameworks proposed to understand the integration process and the current situation of the EU are partial and i</w:t>
      </w:r>
      <w:r w:rsidR="005C14D8" w:rsidRPr="005C14D8">
        <w:t>n</w:t>
      </w:r>
      <w:r w:rsidR="005C14D8" w:rsidRPr="005C14D8">
        <w:t>complete if taken separately. This suggests a synthesis of perspectives. Such a synthesis has been proposed by the well-known ‘multi-level governance’ (MLG) approach. But I consider this alternative as a rather weak explanatory device. Instead of that, I propose my own synthetic framework drawing from the two main theoretical strands after a chronological and critical review of both, plus a brief comment on the MLG approach. Hopefully, this framework will facilitate the understanding of the exposed case study, that implies nothing but the main dilemma that the EU has confronted in their existence, as it will be shown.</w:t>
      </w:r>
    </w:p>
    <w:p w14:paraId="7BDB766B" w14:textId="6E797CC6" w:rsidR="005C14D8" w:rsidRDefault="005C14D8" w:rsidP="005C14D8">
      <w:pPr>
        <w:ind w:firstLine="426"/>
      </w:pPr>
      <w:r w:rsidRPr="005C14D8">
        <w:t xml:space="preserve">The major frameworks may be </w:t>
      </w:r>
      <w:r w:rsidR="00BF234F" w:rsidRPr="005C14D8">
        <w:t>labelled</w:t>
      </w:r>
      <w:r w:rsidRPr="005C14D8">
        <w:t xml:space="preserve"> as ‘supranational’ and ‘inter-governmental’. Under the first category fall all the neo-functionalist propos</w:t>
      </w:r>
      <w:r w:rsidRPr="005C14D8">
        <w:t>i</w:t>
      </w:r>
      <w:r w:rsidRPr="005C14D8">
        <w:t xml:space="preserve">tions, as well as the recent revival (‘neo-neo-functionalism’) of the work made mainly by </w:t>
      </w:r>
      <w:r w:rsidR="001E408D">
        <w:t xml:space="preserve">Ernst </w:t>
      </w:r>
      <w:r w:rsidRPr="005C14D8">
        <w:t xml:space="preserve">Haas in the </w:t>
      </w:r>
      <w:r w:rsidR="001E408D">
        <w:t xml:space="preserve">late 1950s and early </w:t>
      </w:r>
      <w:r w:rsidRPr="005C14D8">
        <w:t xml:space="preserve">1960s. </w:t>
      </w:r>
      <w:r w:rsidR="00BF27F2" w:rsidRPr="005C14D8">
        <w:t>Geoffrey Garrett and George Tsebelis built the bridge between these phases</w:t>
      </w:r>
      <w:r w:rsidRPr="005C14D8">
        <w:t xml:space="preserve"> in a series of analytical and empirical papers w</w:t>
      </w:r>
      <w:r w:rsidR="00BF234F">
        <w:t>ritten during the 1990s. All these</w:t>
      </w:r>
      <w:r w:rsidRPr="005C14D8">
        <w:t xml:space="preserve"> </w:t>
      </w:r>
      <w:r w:rsidR="00BF234F">
        <w:t>works</w:t>
      </w:r>
      <w:r w:rsidRPr="005C14D8">
        <w:t xml:space="preserve"> share a core explanation of what is the prime engine that keeps European integration wor</w:t>
      </w:r>
      <w:r w:rsidRPr="005C14D8">
        <w:t>k</w:t>
      </w:r>
      <w:r w:rsidRPr="005C14D8">
        <w:t>ing, and it out of</w:t>
      </w:r>
      <w:r w:rsidR="00E54146">
        <w:t xml:space="preserve"> the control of nation-states. C</w:t>
      </w:r>
      <w:r w:rsidRPr="005C14D8">
        <w:t xml:space="preserve">ross-national dynamics in the form of interest alliances </w:t>
      </w:r>
      <w:r w:rsidR="00E54146">
        <w:t>(</w:t>
      </w:r>
      <w:r w:rsidRPr="005C14D8">
        <w:t>or crystalized as supranational organizations and their bureaucrats</w:t>
      </w:r>
      <w:r w:rsidR="00E54146">
        <w:t>)</w:t>
      </w:r>
      <w:r w:rsidRPr="005C14D8">
        <w:t xml:space="preserve"> </w:t>
      </w:r>
      <w:r w:rsidR="00E54146">
        <w:t xml:space="preserve">are the key agents who </w:t>
      </w:r>
      <w:r w:rsidRPr="005C14D8">
        <w:t>overcome state barriers for integr</w:t>
      </w:r>
      <w:r w:rsidRPr="005C14D8">
        <w:t>a</w:t>
      </w:r>
      <w:r w:rsidRPr="005C14D8">
        <w:t>tion. And here is also where lies their fundamental difference with the other major framework. Inter-governmental propositions p</w:t>
      </w:r>
      <w:r w:rsidR="00E54146">
        <w:t>ut the nation-state at the cent</w:t>
      </w:r>
      <w:r w:rsidRPr="005C14D8">
        <w:t>r</w:t>
      </w:r>
      <w:r w:rsidR="00E54146">
        <w:t>e</w:t>
      </w:r>
      <w:r w:rsidRPr="005C14D8">
        <w:t xml:space="preserve"> of the integration process, assessing and predicting that every relevant move for further integration is nothing but a cession of sovereignty implying a conscious and interest-based decision from the governments.</w:t>
      </w:r>
    </w:p>
    <w:p w14:paraId="7FE2A1E0" w14:textId="2FCA6F22" w:rsidR="00A113AC" w:rsidRDefault="00A113AC" w:rsidP="005C14D8">
      <w:pPr>
        <w:ind w:firstLine="426"/>
      </w:pPr>
      <w:r w:rsidRPr="00A113AC">
        <w:t>The clash is evident. It is now moment to turn critical attention to them in order to find a way through this theoretical fight. It will not surprise to the reader that there is actually a clear parallel between this duality and the two forms of federal union commented above.</w:t>
      </w:r>
    </w:p>
    <w:p w14:paraId="39E3366E" w14:textId="77777777" w:rsidR="000C4686" w:rsidRDefault="000C4686" w:rsidP="005C14D8">
      <w:pPr>
        <w:ind w:firstLine="426"/>
      </w:pPr>
    </w:p>
    <w:p w14:paraId="38F64524" w14:textId="54314FAA" w:rsidR="00A113AC" w:rsidRDefault="00A113AC" w:rsidP="00A113AC">
      <w:pPr>
        <w:pStyle w:val="Heading2"/>
      </w:pPr>
      <w:bookmarkStart w:id="43" w:name="_Toc208145609"/>
      <w:r>
        <w:lastRenderedPageBreak/>
        <w:t>3.1. N</w:t>
      </w:r>
      <w:r w:rsidRPr="00A113AC">
        <w:t>eo-functionalist approach: EU studies are born as a separated discipline</w:t>
      </w:r>
      <w:bookmarkEnd w:id="43"/>
    </w:p>
    <w:p w14:paraId="45F50B60" w14:textId="161286F4" w:rsidR="005862FC" w:rsidRPr="005862FC" w:rsidRDefault="005862FC" w:rsidP="005862FC">
      <w:pPr>
        <w:pStyle w:val="Heading3"/>
      </w:pPr>
      <w:bookmarkStart w:id="44" w:name="_Toc120098266"/>
      <w:bookmarkStart w:id="45" w:name="_Toc208145610"/>
      <w:r>
        <w:t>3.1.1</w:t>
      </w:r>
      <w:r>
        <w:tab/>
      </w:r>
      <w:bookmarkEnd w:id="44"/>
      <w:proofErr w:type="gramStart"/>
      <w:r>
        <w:t>The</w:t>
      </w:r>
      <w:proofErr w:type="gramEnd"/>
      <w:r>
        <w:t xml:space="preserve"> essential traits of Neo-functionalism</w:t>
      </w:r>
      <w:bookmarkEnd w:id="45"/>
    </w:p>
    <w:p w14:paraId="1F8362B5" w14:textId="3CDFE7ED" w:rsidR="00BB7451" w:rsidRDefault="00A113AC" w:rsidP="005C14D8">
      <w:pPr>
        <w:ind w:firstLine="426"/>
      </w:pPr>
      <w:r w:rsidRPr="00A113AC">
        <w:t>It is generally accepted that the first serious attempts to explain the Eur</w:t>
      </w:r>
      <w:r w:rsidRPr="00A113AC">
        <w:t>o</w:t>
      </w:r>
      <w:r w:rsidRPr="00A113AC">
        <w:t>pean integration as a process of creating a polity and not simply interrelations between existing polities (going</w:t>
      </w:r>
      <w:r w:rsidR="007D34E9">
        <w:t xml:space="preserve"> </w:t>
      </w:r>
      <w:r w:rsidRPr="00A113AC">
        <w:t>further than International Relations) came from what has been label</w:t>
      </w:r>
      <w:r w:rsidR="00C6736D">
        <w:t>l</w:t>
      </w:r>
      <w:r w:rsidRPr="00A113AC">
        <w:t>ed as the neo-functionalist approach. In its essence, from this perspective the European integration is self-sustaining due to three essential factors that interact with each other: (a) economic interdependence grows between nations that lead to (b) the need of supranational market reg</w:t>
      </w:r>
      <w:r w:rsidRPr="00A113AC">
        <w:t>u</w:t>
      </w:r>
      <w:r w:rsidRPr="00A113AC">
        <w:t>lations and thus to (c) a international legal corpus that allow this regulation and the resolution of conflicts to function. And this is why the perspective is ‘fun</w:t>
      </w:r>
      <w:r w:rsidRPr="00A113AC">
        <w:t>c</w:t>
      </w:r>
      <w:r w:rsidRPr="00A113AC">
        <w:t>tionalist’: because it looks at the integration process as the consequence of a positive-sum game that benefits all the actors in the play even when uninten</w:t>
      </w:r>
      <w:r w:rsidRPr="00A113AC">
        <w:t>d</w:t>
      </w:r>
      <w:r w:rsidRPr="00A113AC">
        <w:t>ed consequences from actors’ strategies are fundamental for the integration. These consequ</w:t>
      </w:r>
      <w:r w:rsidR="00DA014F">
        <w:t>ences take the form of ‘spillove</w:t>
      </w:r>
      <w:r w:rsidRPr="00A113AC">
        <w:t>rs’ that escape states’ control and drive in fact the process. There are two types of spillovers (Caporaso and Keeler</w:t>
      </w:r>
      <w:r w:rsidR="00C6736D">
        <w:t>,</w:t>
      </w:r>
      <w:r w:rsidRPr="00A113AC">
        <w:t xml:space="preserve"> 1993): functional and political. The idea behind</w:t>
      </w:r>
      <w:r w:rsidR="00BB7451">
        <w:t xml:space="preserve"> functional spillovers is that: </w:t>
      </w:r>
    </w:p>
    <w:p w14:paraId="32F6593F" w14:textId="5D782BAA" w:rsidR="00BB7451" w:rsidRDefault="00BB7451" w:rsidP="00BB7451">
      <w:pPr>
        <w:ind w:left="426" w:firstLine="0"/>
      </w:pPr>
      <w:r>
        <w:t xml:space="preserve">(…) </w:t>
      </w:r>
      <w:proofErr w:type="gramStart"/>
      <w:r w:rsidR="00A113AC" w:rsidRPr="00A113AC">
        <w:t>some</w:t>
      </w:r>
      <w:proofErr w:type="gramEnd"/>
      <w:r w:rsidR="00A113AC" w:rsidRPr="00A113AC">
        <w:t xml:space="preserve"> sectors within industrial</w:t>
      </w:r>
      <w:r w:rsidR="00C6736D">
        <w:t xml:space="preserve"> economics are so interdependent</w:t>
      </w:r>
      <w:r w:rsidR="00A113AC" w:rsidRPr="00A113AC">
        <w:t xml:space="preserve"> that it is impossible to treat them in isolation. Hence, attempts to integrate ce</w:t>
      </w:r>
      <w:r w:rsidR="00A113AC" w:rsidRPr="00A113AC">
        <w:t>r</w:t>
      </w:r>
      <w:r w:rsidR="00A113AC" w:rsidRPr="00A113AC">
        <w:t xml:space="preserve">tain functional tasks will inevitably lead to </w:t>
      </w:r>
      <w:r w:rsidRPr="00A113AC">
        <w:t>problems that</w:t>
      </w:r>
      <w:r w:rsidR="00A113AC" w:rsidRPr="00A113AC">
        <w:t xml:space="preserve"> can only be solved by inte</w:t>
      </w:r>
      <w:r>
        <w:t>grating yet more tasks</w:t>
      </w:r>
      <w:r w:rsidR="00A113AC" w:rsidRPr="00A113AC">
        <w:t xml:space="preserve"> (Tranholm-Mikkelsen</w:t>
      </w:r>
      <w:r w:rsidR="00C6736D">
        <w:t>,</w:t>
      </w:r>
      <w:r w:rsidR="00A113AC" w:rsidRPr="00A113AC">
        <w:t xml:space="preserve"> 1991</w:t>
      </w:r>
      <w:r w:rsidR="00591CA4">
        <w:t>:3</w:t>
      </w:r>
      <w:r w:rsidR="00A113AC" w:rsidRPr="00A113AC">
        <w:t xml:space="preserve">). </w:t>
      </w:r>
    </w:p>
    <w:p w14:paraId="218CFDEE" w14:textId="2FCA83DB" w:rsidR="00A113AC" w:rsidRDefault="00A113AC" w:rsidP="005C14D8">
      <w:pPr>
        <w:ind w:firstLine="426"/>
      </w:pPr>
      <w:r w:rsidRPr="00A113AC">
        <w:t>And this was in fact the initial move of the founding father of the EU, Jean Monnet, when he engaged Italy, Germany, France, The Netherlands, Be</w:t>
      </w:r>
      <w:r w:rsidRPr="00A113AC">
        <w:t>l</w:t>
      </w:r>
      <w:r w:rsidRPr="00A113AC">
        <w:t>gium and Luxembourg in the European Coal and Steel Community.</w:t>
      </w:r>
    </w:p>
    <w:p w14:paraId="5FEE3FA7" w14:textId="77777777" w:rsidR="00720691" w:rsidRDefault="00720691" w:rsidP="007206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Political spillover, on the other hand, is parallel to the functional increase. </w:t>
      </w:r>
      <w:r w:rsidRPr="005A616F">
        <w:t>Tranholm-Mikkelsen</w:t>
      </w:r>
      <w:r>
        <w:t xml:space="preserve"> (1991) explains it clearly:</w:t>
      </w:r>
    </w:p>
    <w:p w14:paraId="58F71394" w14:textId="333EF297" w:rsidR="00720691" w:rsidRDefault="005F5179" w:rsidP="00720691">
      <w:pPr>
        <w:pStyle w:val="Quote"/>
      </w:pPr>
      <w:r w:rsidRPr="00720691">
        <w:t>Politics</w:t>
      </w:r>
      <w:r w:rsidR="00720691" w:rsidRPr="00720691">
        <w:t xml:space="preserve"> is based on conflict between groups, each of which </w:t>
      </w:r>
      <w:proofErr w:type="gramStart"/>
      <w:r w:rsidR="00720691" w:rsidRPr="00720691">
        <w:t>pursue</w:t>
      </w:r>
      <w:proofErr w:type="gramEnd"/>
      <w:r w:rsidR="00720691" w:rsidRPr="00720691">
        <w:t xml:space="preserve"> their own (welfare) aims. Moreover, these groups are represented by highly bureaucr</w:t>
      </w:r>
      <w:r w:rsidR="00720691" w:rsidRPr="00720691">
        <w:t>a</w:t>
      </w:r>
      <w:r w:rsidR="00720691" w:rsidRPr="00720691">
        <w:t>tized organizations, thus making it possible to confine the analytical focus to their leaders - the 'elites’ (…) [who] will undergo a learning process, develo</w:t>
      </w:r>
      <w:r w:rsidR="00720691" w:rsidRPr="00720691">
        <w:t>p</w:t>
      </w:r>
      <w:r w:rsidR="00720691" w:rsidRPr="00720691">
        <w:t>ing the perception that their interests are better served by seeking supran</w:t>
      </w:r>
      <w:r w:rsidR="00720691" w:rsidRPr="00720691">
        <w:t>a</w:t>
      </w:r>
      <w:r w:rsidR="00720691" w:rsidRPr="00720691">
        <w:t>tional rather than national solutions. They will therefore refocus their activ</w:t>
      </w:r>
      <w:r w:rsidR="00720691" w:rsidRPr="00720691">
        <w:t>i</w:t>
      </w:r>
      <w:r w:rsidR="00720691" w:rsidRPr="00720691">
        <w:t xml:space="preserve">ties, expectations and perhaps their loyalties to the new </w:t>
      </w:r>
      <w:r w:rsidR="005F7479">
        <w:t>centre</w:t>
      </w:r>
      <w:r w:rsidR="00720691" w:rsidRPr="00720691">
        <w:t>. Such reorientation will lead t</w:t>
      </w:r>
      <w:r w:rsidR="00AE4AB4">
        <w:t xml:space="preserve">o calls for further integration </w:t>
      </w:r>
      <w:r w:rsidR="00AE4AB4" w:rsidRPr="00A113AC">
        <w:t>(Tranholm-Mikkelsen</w:t>
      </w:r>
      <w:r w:rsidR="00AE4AB4">
        <w:t>,</w:t>
      </w:r>
      <w:r w:rsidR="00AE4AB4" w:rsidRPr="00A113AC">
        <w:t xml:space="preserve"> 1991</w:t>
      </w:r>
      <w:r w:rsidR="00AE4AB4">
        <w:t>:4</w:t>
      </w:r>
      <w:r w:rsidR="00AE4AB4" w:rsidRPr="00A113AC">
        <w:t>).</w:t>
      </w:r>
    </w:p>
    <w:p w14:paraId="5B3258A6" w14:textId="2E6C24DD" w:rsidR="005862FC" w:rsidRDefault="005F7479" w:rsidP="00720691">
      <w:pPr>
        <w:pStyle w:val="Heading1NOTchapter"/>
        <w:ind w:firstLine="426"/>
        <w:rPr>
          <w:b w:val="0"/>
          <w:kern w:val="0"/>
          <w:sz w:val="24"/>
          <w:szCs w:val="24"/>
        </w:rPr>
      </w:pPr>
      <w:bookmarkStart w:id="46" w:name="_Toc208070709"/>
      <w:bookmarkStart w:id="47" w:name="_Toc208117565"/>
      <w:bookmarkStart w:id="48" w:name="_Toc208133509"/>
      <w:bookmarkStart w:id="49" w:name="_Toc208145611"/>
      <w:r>
        <w:rPr>
          <w:b w:val="0"/>
          <w:kern w:val="0"/>
          <w:sz w:val="24"/>
          <w:szCs w:val="24"/>
        </w:rPr>
        <w:t>In essence, what Haas (1958</w:t>
      </w:r>
      <w:r w:rsidR="00720691" w:rsidRPr="00720691">
        <w:rPr>
          <w:b w:val="0"/>
          <w:kern w:val="0"/>
          <w:sz w:val="24"/>
          <w:szCs w:val="24"/>
        </w:rPr>
        <w:t>) assessed is that the EU advanced out of states’ limits and capacities because new international alliances of citizens, vo</w:t>
      </w:r>
      <w:r w:rsidR="00720691" w:rsidRPr="00720691">
        <w:rPr>
          <w:b w:val="0"/>
          <w:kern w:val="0"/>
          <w:sz w:val="24"/>
          <w:szCs w:val="24"/>
        </w:rPr>
        <w:t>t</w:t>
      </w:r>
      <w:r w:rsidR="00720691" w:rsidRPr="00720691">
        <w:rPr>
          <w:b w:val="0"/>
          <w:kern w:val="0"/>
          <w:sz w:val="24"/>
          <w:szCs w:val="24"/>
        </w:rPr>
        <w:t>ers or interest groups will be created. In their mind and their words one can find the idea, and almost the hope, of the reproduction of classical national political cleavages in the European level, ‘breaking’ the basic block that is the nation. This wi</w:t>
      </w:r>
      <w:r w:rsidR="00AE4AB4">
        <w:rPr>
          <w:b w:val="0"/>
          <w:kern w:val="0"/>
          <w:sz w:val="24"/>
          <w:szCs w:val="24"/>
        </w:rPr>
        <w:t>ll be crucially accompanied by “</w:t>
      </w:r>
      <w:r w:rsidR="00720691" w:rsidRPr="00720691">
        <w:rPr>
          <w:b w:val="0"/>
          <w:kern w:val="0"/>
          <w:sz w:val="24"/>
          <w:szCs w:val="24"/>
        </w:rPr>
        <w:t>te</w:t>
      </w:r>
      <w:r w:rsidR="00AE4AB4">
        <w:rPr>
          <w:b w:val="0"/>
          <w:kern w:val="0"/>
          <w:sz w:val="24"/>
          <w:szCs w:val="24"/>
        </w:rPr>
        <w:t xml:space="preserve">chnocratic </w:t>
      </w:r>
      <w:proofErr w:type="spellStart"/>
      <w:r w:rsidR="00AE4AB4">
        <w:rPr>
          <w:b w:val="0"/>
          <w:kern w:val="0"/>
          <w:sz w:val="24"/>
          <w:szCs w:val="24"/>
        </w:rPr>
        <w:t>automacity</w:t>
      </w:r>
      <w:proofErr w:type="spellEnd"/>
      <w:r w:rsidR="00AE4AB4">
        <w:rPr>
          <w:b w:val="0"/>
          <w:kern w:val="0"/>
          <w:sz w:val="24"/>
          <w:szCs w:val="24"/>
        </w:rPr>
        <w:t>”</w:t>
      </w:r>
      <w:r>
        <w:rPr>
          <w:b w:val="0"/>
          <w:kern w:val="0"/>
          <w:sz w:val="24"/>
          <w:szCs w:val="24"/>
        </w:rPr>
        <w:t xml:space="preserve"> (Haas, 1958</w:t>
      </w:r>
      <w:r w:rsidR="00720691" w:rsidRPr="00720691">
        <w:rPr>
          <w:b w:val="0"/>
          <w:kern w:val="0"/>
          <w:sz w:val="24"/>
          <w:szCs w:val="24"/>
        </w:rPr>
        <w:t>), or the fact that supranational institutions and their members, once e</w:t>
      </w:r>
      <w:r w:rsidR="00720691" w:rsidRPr="00720691">
        <w:rPr>
          <w:b w:val="0"/>
          <w:kern w:val="0"/>
          <w:sz w:val="24"/>
          <w:szCs w:val="24"/>
        </w:rPr>
        <w:t>s</w:t>
      </w:r>
      <w:r w:rsidR="00720691" w:rsidRPr="00720691">
        <w:rPr>
          <w:b w:val="0"/>
          <w:kern w:val="0"/>
          <w:sz w:val="24"/>
          <w:szCs w:val="24"/>
        </w:rPr>
        <w:t>tablished, will pursue for more integration and thus amplify the spillover e</w:t>
      </w:r>
      <w:r w:rsidR="00720691" w:rsidRPr="00720691">
        <w:rPr>
          <w:b w:val="0"/>
          <w:kern w:val="0"/>
          <w:sz w:val="24"/>
          <w:szCs w:val="24"/>
        </w:rPr>
        <w:t>f</w:t>
      </w:r>
      <w:r w:rsidR="00720691" w:rsidRPr="00720691">
        <w:rPr>
          <w:b w:val="0"/>
          <w:kern w:val="0"/>
          <w:sz w:val="24"/>
          <w:szCs w:val="24"/>
        </w:rPr>
        <w:t>fects.</w:t>
      </w:r>
      <w:bookmarkEnd w:id="46"/>
      <w:bookmarkEnd w:id="47"/>
      <w:bookmarkEnd w:id="48"/>
      <w:bookmarkEnd w:id="49"/>
    </w:p>
    <w:p w14:paraId="004C36D3" w14:textId="761CF190" w:rsidR="005862FC" w:rsidRPr="005862FC" w:rsidRDefault="007A5AF6" w:rsidP="005862FC">
      <w:pPr>
        <w:pStyle w:val="Heading3"/>
        <w:numPr>
          <w:ilvl w:val="0"/>
          <w:numId w:val="0"/>
        </w:numPr>
      </w:pPr>
      <w:bookmarkStart w:id="50" w:name="_Toc208145612"/>
      <w:r>
        <w:lastRenderedPageBreak/>
        <w:t>3.1.2</w:t>
      </w:r>
      <w:r w:rsidR="005862FC">
        <w:tab/>
        <w:t xml:space="preserve">Why dismissing </w:t>
      </w:r>
      <w:r w:rsidR="00B30E46">
        <w:t>classical neo-functionalism</w:t>
      </w:r>
      <w:r w:rsidR="005862FC">
        <w:t>?</w:t>
      </w:r>
      <w:bookmarkEnd w:id="50"/>
    </w:p>
    <w:p w14:paraId="4DED1AAD" w14:textId="32957DB2" w:rsidR="004E6416" w:rsidRDefault="004E6416" w:rsidP="004E6416">
      <w:pPr>
        <w:ind w:firstLine="426"/>
      </w:pPr>
      <w:r w:rsidRPr="004E6416">
        <w:t>But, and here I begin my critique to neo-functionalism, do European s</w:t>
      </w:r>
      <w:r w:rsidRPr="004E6416">
        <w:t>u</w:t>
      </w:r>
      <w:r w:rsidRPr="004E6416">
        <w:t>pranational institutions (European Parliament, European Commission, Eur</w:t>
      </w:r>
      <w:r w:rsidRPr="004E6416">
        <w:t>o</w:t>
      </w:r>
      <w:r w:rsidRPr="004E6416">
        <w:t>pean Criminal Court) and the bureaucrats that form them have enough auto</w:t>
      </w:r>
      <w:r w:rsidRPr="004E6416">
        <w:t>n</w:t>
      </w:r>
      <w:r w:rsidRPr="004E6416">
        <w:t>omy to condition the development of the union? It does not seem to be a plausible assumption when we are under a model of pooled sovereignty and not delegated, as happens within the EU with most of the policy areas, still in hands of the nation-state. When there is no delegation of authority, bureaucrats and supranational institutions may post ideas and restrict some decisions (change some payoffs to negative and privilege others) through information, but do not have any clear enforcement mechanism. Plus, unlike Bulmer (1993) asserts, their creativity is more limited when decisions become more and more subjected to national voters, this is, when the policy areas are more relevant for the public. We have seen this in the development of the crisis: in the beginning the (at least publicly) role of bureaucrats and reports was higher, but as the consequences of every decision become more crucial and salient in the media, national policymakers have taken over the forums. Even within the supran</w:t>
      </w:r>
      <w:r w:rsidRPr="004E6416">
        <w:t>a</w:t>
      </w:r>
      <w:r w:rsidRPr="004E6416">
        <w:t xml:space="preserve">tional institutions, given the </w:t>
      </w:r>
      <w:r w:rsidR="00A34636" w:rsidRPr="004E6416">
        <w:t>pre-eminence</w:t>
      </w:r>
      <w:r w:rsidRPr="004E6416">
        <w:t xml:space="preserve"> of national coalitions of voters (the fact that every single policymaker is subject to citizens’ evaluation of their dec</w:t>
      </w:r>
      <w:r w:rsidRPr="004E6416">
        <w:t>i</w:t>
      </w:r>
      <w:r w:rsidRPr="004E6416">
        <w:t>sions), “Commission cannot expect to pass proposals that ignore the prefe</w:t>
      </w:r>
      <w:r w:rsidRPr="004E6416">
        <w:t>r</w:t>
      </w:r>
      <w:r w:rsidRPr="004E6416">
        <w:t>ences of member states” (Pierson, 1996</w:t>
      </w:r>
      <w:r w:rsidR="00AE4AB4">
        <w:t>:133</w:t>
      </w:r>
      <w:r w:rsidRPr="004E6416">
        <w:t>).</w:t>
      </w:r>
    </w:p>
    <w:p w14:paraId="33489008" w14:textId="7E7AEA00" w:rsidR="004E6416" w:rsidRDefault="004E6416" w:rsidP="004E6416">
      <w:pPr>
        <w:pStyle w:val="Heading1NOTchapter"/>
        <w:ind w:firstLine="426"/>
        <w:rPr>
          <w:b w:val="0"/>
          <w:kern w:val="0"/>
          <w:sz w:val="24"/>
          <w:szCs w:val="24"/>
        </w:rPr>
      </w:pPr>
      <w:bookmarkStart w:id="51" w:name="_Toc208070711"/>
      <w:bookmarkStart w:id="52" w:name="_Toc208117567"/>
      <w:bookmarkStart w:id="53" w:name="_Toc208133511"/>
      <w:bookmarkStart w:id="54" w:name="_Toc208145613"/>
      <w:r>
        <w:rPr>
          <w:b w:val="0"/>
          <w:kern w:val="0"/>
          <w:sz w:val="24"/>
          <w:szCs w:val="24"/>
        </w:rPr>
        <w:t>The move</w:t>
      </w:r>
      <w:r w:rsidRPr="004E6416">
        <w:rPr>
          <w:b w:val="0"/>
          <w:kern w:val="0"/>
          <w:sz w:val="24"/>
          <w:szCs w:val="24"/>
        </w:rPr>
        <w:t xml:space="preserve"> towards integration is then</w:t>
      </w:r>
      <w:r w:rsidR="00A60176">
        <w:rPr>
          <w:b w:val="0"/>
          <w:kern w:val="0"/>
          <w:sz w:val="24"/>
          <w:szCs w:val="24"/>
        </w:rPr>
        <w:t xml:space="preserve"> seen as</w:t>
      </w:r>
      <w:r w:rsidRPr="004E6416">
        <w:rPr>
          <w:b w:val="0"/>
          <w:kern w:val="0"/>
          <w:sz w:val="24"/>
          <w:szCs w:val="24"/>
        </w:rPr>
        <w:t xml:space="preserve"> gradual, incremental, fun</w:t>
      </w:r>
      <w:r w:rsidRPr="004E6416">
        <w:rPr>
          <w:b w:val="0"/>
          <w:kern w:val="0"/>
          <w:sz w:val="24"/>
          <w:szCs w:val="24"/>
        </w:rPr>
        <w:t>c</w:t>
      </w:r>
      <w:r w:rsidRPr="004E6416">
        <w:rPr>
          <w:b w:val="0"/>
          <w:kern w:val="0"/>
          <w:sz w:val="24"/>
          <w:szCs w:val="24"/>
        </w:rPr>
        <w:t>tional and virtually irre</w:t>
      </w:r>
      <w:r w:rsidR="005F7479">
        <w:rPr>
          <w:b w:val="0"/>
          <w:kern w:val="0"/>
          <w:sz w:val="24"/>
          <w:szCs w:val="24"/>
        </w:rPr>
        <w:t>versible. But facts proved Haas</w:t>
      </w:r>
      <w:r w:rsidRPr="004E6416">
        <w:rPr>
          <w:b w:val="0"/>
          <w:kern w:val="0"/>
          <w:sz w:val="24"/>
          <w:szCs w:val="24"/>
        </w:rPr>
        <w:t xml:space="preserve"> wrong during the well-known ‘empty chair’ crisis that French President Charles De Gaulle provoked during the negotiations of the Common Agricultural Policy in 1965-1966: his withdrawal of French representatives from the European Commission blocked the executive organ until De Gaulle’s demand were fulfilled. Even more i</w:t>
      </w:r>
      <w:r w:rsidRPr="004E6416">
        <w:rPr>
          <w:b w:val="0"/>
          <w:kern w:val="0"/>
          <w:sz w:val="24"/>
          <w:szCs w:val="24"/>
        </w:rPr>
        <w:t>m</w:t>
      </w:r>
      <w:r w:rsidRPr="004E6416">
        <w:rPr>
          <w:b w:val="0"/>
          <w:kern w:val="0"/>
          <w:sz w:val="24"/>
          <w:szCs w:val="24"/>
        </w:rPr>
        <w:t>portant than that is the fact that it was not only the Agricultural Policy what was being negotiated, but also a switch from unanimity to qualified-majority voting in the Commission. Unanimity is, as shown by Garrett and Tsebelis (2001), a fundamental requirement to protect national sovereignty in any inte</w:t>
      </w:r>
      <w:r w:rsidRPr="004E6416">
        <w:rPr>
          <w:b w:val="0"/>
          <w:kern w:val="0"/>
          <w:sz w:val="24"/>
          <w:szCs w:val="24"/>
        </w:rPr>
        <w:t>r</w:t>
      </w:r>
      <w:r w:rsidRPr="004E6416">
        <w:rPr>
          <w:b w:val="0"/>
          <w:kern w:val="0"/>
          <w:sz w:val="24"/>
          <w:szCs w:val="24"/>
        </w:rPr>
        <w:t>national bargaining process: when every single nation should agree to decide, this means that the final decision will be closer to the minimum accepted by all of them. If any system of majority is incorporated, it will be possible for some nations to impose their rule on others, with the consequent loss of sovereignty. De Gaulle was actually making a strong move against this, and then showing how the nation-state was still able to determine the pace and form of Europ</w:t>
      </w:r>
      <w:r w:rsidRPr="004E6416">
        <w:rPr>
          <w:b w:val="0"/>
          <w:kern w:val="0"/>
          <w:sz w:val="24"/>
          <w:szCs w:val="24"/>
        </w:rPr>
        <w:t>e</w:t>
      </w:r>
      <w:r w:rsidRPr="004E6416">
        <w:rPr>
          <w:b w:val="0"/>
          <w:kern w:val="0"/>
          <w:sz w:val="24"/>
          <w:szCs w:val="24"/>
        </w:rPr>
        <w:t>an integration. It also shows how early neo-functionalism had a rather i</w:t>
      </w:r>
      <w:r w:rsidRPr="004E6416">
        <w:rPr>
          <w:b w:val="0"/>
          <w:kern w:val="0"/>
          <w:sz w:val="24"/>
          <w:szCs w:val="24"/>
        </w:rPr>
        <w:t>m</w:t>
      </w:r>
      <w:r w:rsidRPr="004E6416">
        <w:rPr>
          <w:b w:val="0"/>
          <w:kern w:val="0"/>
          <w:sz w:val="24"/>
          <w:szCs w:val="24"/>
        </w:rPr>
        <w:t>portant charge of normative ideas built-in, as any functionalism does, conside</w:t>
      </w:r>
      <w:r w:rsidRPr="004E6416">
        <w:rPr>
          <w:b w:val="0"/>
          <w:kern w:val="0"/>
          <w:sz w:val="24"/>
          <w:szCs w:val="24"/>
        </w:rPr>
        <w:t>r</w:t>
      </w:r>
      <w:r w:rsidRPr="004E6416">
        <w:rPr>
          <w:b w:val="0"/>
          <w:kern w:val="0"/>
          <w:sz w:val="24"/>
          <w:szCs w:val="24"/>
        </w:rPr>
        <w:t>ing the observed outcome and its predicted continuation as the desired one (by the actors). The lack of a clearer difference between positive and normative propositions seriously harmed this framework, and biased the intended pos</w:t>
      </w:r>
      <w:r w:rsidRPr="004E6416">
        <w:rPr>
          <w:b w:val="0"/>
          <w:kern w:val="0"/>
          <w:sz w:val="24"/>
          <w:szCs w:val="24"/>
        </w:rPr>
        <w:t>i</w:t>
      </w:r>
      <w:r w:rsidRPr="004E6416">
        <w:rPr>
          <w:b w:val="0"/>
          <w:kern w:val="0"/>
          <w:sz w:val="24"/>
          <w:szCs w:val="24"/>
        </w:rPr>
        <w:t>tive considerations towards the construction of a ‘vertical federal union’ with delegated s</w:t>
      </w:r>
      <w:r w:rsidR="00B30E46">
        <w:rPr>
          <w:b w:val="0"/>
          <w:kern w:val="0"/>
          <w:sz w:val="24"/>
          <w:szCs w:val="24"/>
        </w:rPr>
        <w:t>overeignty to a political centre</w:t>
      </w:r>
      <w:r w:rsidRPr="004E6416">
        <w:rPr>
          <w:b w:val="0"/>
          <w:kern w:val="0"/>
          <w:sz w:val="24"/>
          <w:szCs w:val="24"/>
        </w:rPr>
        <w:t xml:space="preserve"> instead of a ‘horizontal union’ with pooled sovereignty and no delegation.</w:t>
      </w:r>
      <w:bookmarkEnd w:id="51"/>
      <w:bookmarkEnd w:id="52"/>
      <w:bookmarkEnd w:id="53"/>
      <w:bookmarkEnd w:id="54"/>
    </w:p>
    <w:p w14:paraId="2D349871" w14:textId="7ECDBF0C" w:rsidR="00B30E46" w:rsidRPr="005862FC" w:rsidRDefault="007A5AF6" w:rsidP="00B30E46">
      <w:pPr>
        <w:pStyle w:val="Heading3"/>
        <w:numPr>
          <w:ilvl w:val="0"/>
          <w:numId w:val="0"/>
        </w:numPr>
      </w:pPr>
      <w:bookmarkStart w:id="55" w:name="_Toc208145614"/>
      <w:r>
        <w:t>3.1.3</w:t>
      </w:r>
      <w:r w:rsidR="00B30E46">
        <w:tab/>
      </w:r>
      <w:proofErr w:type="gramStart"/>
      <w:r w:rsidR="00B30E46">
        <w:t>The</w:t>
      </w:r>
      <w:proofErr w:type="gramEnd"/>
      <w:r w:rsidR="00B30E46">
        <w:t xml:space="preserve"> comparativist turn</w:t>
      </w:r>
      <w:bookmarkEnd w:id="55"/>
    </w:p>
    <w:p w14:paraId="382CE406" w14:textId="582929C8" w:rsidR="00B30E46" w:rsidRDefault="00B30E46" w:rsidP="00B50BF3">
      <w:pPr>
        <w:pStyle w:val="Heading1NOTchapter"/>
        <w:spacing w:after="100"/>
        <w:ind w:firstLine="425"/>
        <w:rPr>
          <w:b w:val="0"/>
          <w:kern w:val="0"/>
          <w:sz w:val="24"/>
          <w:szCs w:val="24"/>
        </w:rPr>
      </w:pPr>
      <w:bookmarkStart w:id="56" w:name="_Toc208070713"/>
      <w:bookmarkStart w:id="57" w:name="_Toc208117569"/>
      <w:bookmarkStart w:id="58" w:name="_Toc208133513"/>
      <w:bookmarkStart w:id="59" w:name="_Toc208145615"/>
      <w:r w:rsidRPr="00B30E46">
        <w:rPr>
          <w:b w:val="0"/>
          <w:kern w:val="0"/>
          <w:sz w:val="24"/>
          <w:szCs w:val="24"/>
        </w:rPr>
        <w:t>Given to this and other facts, Haas declared his own theory as ‘obsolete’ in the 1970s, and many other authors, mainly Moravksic (1993), dismissed neo-</w:t>
      </w:r>
      <w:r w:rsidRPr="00B30E46">
        <w:rPr>
          <w:b w:val="0"/>
          <w:kern w:val="0"/>
          <w:sz w:val="24"/>
          <w:szCs w:val="24"/>
        </w:rPr>
        <w:lastRenderedPageBreak/>
        <w:t xml:space="preserve">functionalism as empirically poor. This is what drew Tsebelis (1994) ‘call to arms to </w:t>
      </w:r>
      <w:proofErr w:type="spellStart"/>
      <w:r w:rsidRPr="00B30E46">
        <w:rPr>
          <w:b w:val="0"/>
          <w:kern w:val="0"/>
          <w:sz w:val="24"/>
          <w:szCs w:val="24"/>
        </w:rPr>
        <w:t>comparativists</w:t>
      </w:r>
      <w:proofErr w:type="spellEnd"/>
      <w:r w:rsidRPr="00B30E46">
        <w:rPr>
          <w:b w:val="0"/>
          <w:kern w:val="0"/>
          <w:sz w:val="24"/>
          <w:szCs w:val="24"/>
        </w:rPr>
        <w:t>’ into EU analysis. Their attempt to find a new path within supranational perspectives crystallized in Garrett and Tsebelis (2001), where they start by showing an empirically-tested change of the balance of powers among the four principal European institutions: the Commission, the Court and the Parliament as the basic supranational organs, and the Council as the place where states retain the control. After their analysis, they show how the shift from unanimity to qualified-majority voting in the European Council and the incorporation of the co-decision procedure (according to what the Pa</w:t>
      </w:r>
      <w:r w:rsidRPr="00B30E46">
        <w:rPr>
          <w:b w:val="0"/>
          <w:kern w:val="0"/>
          <w:sz w:val="24"/>
          <w:szCs w:val="24"/>
        </w:rPr>
        <w:t>r</w:t>
      </w:r>
      <w:r w:rsidRPr="00B30E46">
        <w:rPr>
          <w:b w:val="0"/>
          <w:kern w:val="0"/>
          <w:sz w:val="24"/>
          <w:szCs w:val="24"/>
        </w:rPr>
        <w:t>liament and the Council should agree on every new piece of major legislation) erode the power of the Council and increase the capacity of the other organs. Even when the work made by Garrett and Tsebelis is truly valuable, I believe they have a fundamental shortage of theoretical potency that is well explained in this passage:</w:t>
      </w:r>
      <w:bookmarkEnd w:id="56"/>
      <w:bookmarkEnd w:id="57"/>
      <w:bookmarkEnd w:id="58"/>
      <w:bookmarkEnd w:id="59"/>
    </w:p>
    <w:p w14:paraId="49F66F1A" w14:textId="61B8467D" w:rsidR="00B30E46" w:rsidRPr="00875DA6" w:rsidRDefault="00B30E46" w:rsidP="00B50BF3">
      <w:pPr>
        <w:pStyle w:val="Normalfirstparagraph"/>
        <w:ind w:left="425"/>
        <w:rPr>
          <w:sz w:val="23"/>
          <w:szCs w:val="23"/>
        </w:rPr>
      </w:pPr>
      <w:r w:rsidRPr="00875DA6">
        <w:rPr>
          <w:sz w:val="23"/>
          <w:szCs w:val="23"/>
        </w:rPr>
        <w:t xml:space="preserve">Tsebelis and Garrett, using game theoretic and principal-agent frameworks, propose a model of how EU organizations interact in legislative processes to produce specific treaty revisions and pieces of secondary legislation (Tsebelis and Garrett 2001). But (…) </w:t>
      </w:r>
      <w:r w:rsidR="00125763" w:rsidRPr="00875DA6">
        <w:rPr>
          <w:sz w:val="23"/>
          <w:szCs w:val="23"/>
        </w:rPr>
        <w:t>their</w:t>
      </w:r>
      <w:r w:rsidRPr="00875DA6">
        <w:rPr>
          <w:sz w:val="23"/>
          <w:szCs w:val="23"/>
        </w:rPr>
        <w:t xml:space="preserve"> model does not explain the evolution of the EU’s organizations and institutions; instead, Tsebelis and Garrett offer a comparative statics view of legislative processes. Tsebelis and Garrett notice that the rules that govern legislating in the EU have changed, and they e</w:t>
      </w:r>
      <w:r w:rsidRPr="00875DA6">
        <w:rPr>
          <w:sz w:val="23"/>
          <w:szCs w:val="23"/>
        </w:rPr>
        <w:t>x</w:t>
      </w:r>
      <w:r w:rsidRPr="00875DA6">
        <w:rPr>
          <w:sz w:val="23"/>
          <w:szCs w:val="23"/>
        </w:rPr>
        <w:t>plore some of the consequences of those changes for the production of legi</w:t>
      </w:r>
      <w:r w:rsidRPr="00875DA6">
        <w:rPr>
          <w:sz w:val="23"/>
          <w:szCs w:val="23"/>
        </w:rPr>
        <w:t>s</w:t>
      </w:r>
      <w:r w:rsidRPr="00875DA6">
        <w:rPr>
          <w:sz w:val="23"/>
          <w:szCs w:val="23"/>
        </w:rPr>
        <w:t>lation. But they say very little about why EU institutions changed, or why the EU has steadily evolved toward s</w:t>
      </w:r>
      <w:r w:rsidR="0044607F">
        <w:rPr>
          <w:sz w:val="23"/>
          <w:szCs w:val="23"/>
        </w:rPr>
        <w:t>omething like a federal polity</w:t>
      </w:r>
      <w:r w:rsidRPr="00875DA6">
        <w:rPr>
          <w:sz w:val="23"/>
          <w:szCs w:val="23"/>
        </w:rPr>
        <w:t xml:space="preserve"> (Sandholtz and Stone Sweet, 2008</w:t>
      </w:r>
      <w:r w:rsidR="00714CF9">
        <w:rPr>
          <w:sz w:val="23"/>
          <w:szCs w:val="23"/>
        </w:rPr>
        <w:t>:28</w:t>
      </w:r>
      <w:r w:rsidRPr="00875DA6">
        <w:rPr>
          <w:sz w:val="23"/>
          <w:szCs w:val="23"/>
        </w:rPr>
        <w:t>)</w:t>
      </w:r>
      <w:r w:rsidR="0044607F">
        <w:rPr>
          <w:sz w:val="23"/>
          <w:szCs w:val="23"/>
        </w:rPr>
        <w:t>.</w:t>
      </w:r>
    </w:p>
    <w:p w14:paraId="10DB101A" w14:textId="1398D081" w:rsidR="00B30E46" w:rsidRDefault="00B30E46" w:rsidP="00B30E46">
      <w:r w:rsidRPr="00B30E46">
        <w:t xml:space="preserve">The essential problem of their approach is, then, that in their attempt to build a strongly empirical (almost inductive) </w:t>
      </w:r>
      <w:r>
        <w:t>proposition</w:t>
      </w:r>
      <w:r w:rsidRPr="00B30E46">
        <w:t>, the basic thesis fo</w:t>
      </w:r>
      <w:r w:rsidRPr="00B30E46">
        <w:t>s</w:t>
      </w:r>
      <w:r w:rsidRPr="00B30E46">
        <w:t xml:space="preserve">tered by neo-functionalism (‘nation-states are losing control over European integration’) </w:t>
      </w:r>
      <w:r w:rsidR="002E7315">
        <w:t>is seriously deluded</w:t>
      </w:r>
      <w:r w:rsidRPr="00B30E46">
        <w:t>. As a consequence, they don’t explicitly a</w:t>
      </w:r>
      <w:r w:rsidRPr="00B30E46">
        <w:t>d</w:t>
      </w:r>
      <w:r w:rsidRPr="00B30E46">
        <w:t>dress the ‘why’ question, but look for evidence of the increasing capacities of supranational entities. The vertical federal union and the delegated authority is not any more a matter of normative proposition, but it does not become a goal that, consciously or unconsciously, the EU may achieve.</w:t>
      </w:r>
    </w:p>
    <w:p w14:paraId="688395A4" w14:textId="44DAD07B" w:rsidR="006048EF" w:rsidRDefault="006048EF" w:rsidP="008E24CD">
      <w:r w:rsidRPr="006048EF">
        <w:t xml:space="preserve">Still, some deeper insights may be recovered from their work. The </w:t>
      </w:r>
      <w:r w:rsidR="00036ACE">
        <w:t>fund</w:t>
      </w:r>
      <w:r w:rsidR="00036ACE">
        <w:t>a</w:t>
      </w:r>
      <w:r w:rsidR="00036ACE">
        <w:t>mental</w:t>
      </w:r>
      <w:r w:rsidRPr="006048EF">
        <w:t xml:space="preserve"> one is how to consider institutions within the European integration process. From their point of view, “Institutions determine the sequences of moves, the choices of actors, and the information they control” (Garrett and Tsebelis, 2001</w:t>
      </w:r>
      <w:r w:rsidR="00161DF0">
        <w:t>:384</w:t>
      </w:r>
      <w:r w:rsidRPr="006048EF">
        <w:t>). Moreover, “it is</w:t>
      </w:r>
      <w:r w:rsidR="00161DF0">
        <w:t xml:space="preserve"> simply</w:t>
      </w:r>
      <w:r w:rsidRPr="006048EF">
        <w:t xml:space="preserve"> impossible to </w:t>
      </w:r>
      <w:r w:rsidR="00036ACE">
        <w:t>analyse</w:t>
      </w:r>
      <w:r w:rsidRPr="006048EF">
        <w:t xml:space="preserve"> institutional choice without first understanding institutional consequences” (Garrett and Tsebelis, 2001</w:t>
      </w:r>
      <w:r w:rsidR="00161DF0">
        <w:t>:386</w:t>
      </w:r>
      <w:r w:rsidRPr="006048EF">
        <w:t>). Actually, th</w:t>
      </w:r>
      <w:r w:rsidR="00161DF0">
        <w:t>is is what may be defined as a ‘</w:t>
      </w:r>
      <w:r w:rsidRPr="006048EF">
        <w:t>t</w:t>
      </w:r>
      <w:r w:rsidR="00161DF0">
        <w:t>-1’</w:t>
      </w:r>
      <w:r w:rsidR="00B260C5">
        <w:t xml:space="preserve"> or ‘what was before?’ </w:t>
      </w:r>
      <w:r w:rsidR="00B260C5" w:rsidRPr="006048EF">
        <w:t>p</w:t>
      </w:r>
      <w:r w:rsidR="00B260C5">
        <w:t>roblem</w:t>
      </w:r>
      <w:r w:rsidR="00B260C5">
        <w:t>.</w:t>
      </w:r>
      <w:r w:rsidRPr="006048EF">
        <w:t xml:space="preserve"> From them, institutions should not be treated as the issue under bargain, as the dependent variable, as inter-governmental propos</w:t>
      </w:r>
      <w:r w:rsidRPr="006048EF">
        <w:t>i</w:t>
      </w:r>
      <w:r w:rsidRPr="006048EF">
        <w:t>tions do, but as actors in the game.</w:t>
      </w:r>
    </w:p>
    <w:p w14:paraId="4385AA6B" w14:textId="39A24B97" w:rsidR="006048EF" w:rsidRDefault="006048EF" w:rsidP="00B30E46">
      <w:r w:rsidRPr="006048EF">
        <w:t>But this lacks of analytical precision and, through a sort of ‘structural fall</w:t>
      </w:r>
      <w:r w:rsidRPr="006048EF">
        <w:t>a</w:t>
      </w:r>
      <w:r w:rsidRPr="006048EF">
        <w:t xml:space="preserve">cy’ that avoids deep historical analysis, hampers any possibility to solve the ‘why’ question. Take, for example, the case for codecision as an </w:t>
      </w:r>
      <w:r w:rsidR="00FF304F">
        <w:t>eroding force</w:t>
      </w:r>
      <w:r w:rsidRPr="006048EF">
        <w:t xml:space="preserve"> of national sovereignty. At a given moment, codecision was decided and i</w:t>
      </w:r>
      <w:r w:rsidRPr="006048EF">
        <w:t>m</w:t>
      </w:r>
      <w:r w:rsidRPr="006048EF">
        <w:t xml:space="preserve">plemented by the states. This is an active choose of the rules of the game. If this is not a conscious choice of institutions, what is, then? Codecision method is actually applied to a limited set of policy areas, and not to all. These areas are </w:t>
      </w:r>
      <w:r w:rsidRPr="006048EF">
        <w:lastRenderedPageBreak/>
        <w:t>already under the Commission’s umbrella. This means that no actual shift in the fundamental rules of the game have happened, as states have decided only to make easier to pass legislation on issues whose competence was already de</w:t>
      </w:r>
      <w:r w:rsidRPr="006048EF">
        <w:t>l</w:t>
      </w:r>
      <w:r w:rsidRPr="006048EF">
        <w:t>egated to the supranational organ, but not to the rest. Regarding to the present crisis, neither qualified-majority voting nor codecision have any effect in the choice for more or less Europe.</w:t>
      </w:r>
    </w:p>
    <w:p w14:paraId="06BDBED5" w14:textId="6F8D7FFD" w:rsidR="006048EF" w:rsidRDefault="006048EF" w:rsidP="00B30E46">
      <w:r w:rsidRPr="006048EF">
        <w:t>Garrett and Tsebelis</w:t>
      </w:r>
      <w:r w:rsidR="0094280B">
        <w:t>’</w:t>
      </w:r>
      <w:r w:rsidRPr="006048EF">
        <w:t xml:space="preserve"> propositions, then, remain as a useful toolkit for u</w:t>
      </w:r>
      <w:r w:rsidRPr="006048EF">
        <w:t>n</w:t>
      </w:r>
      <w:r w:rsidRPr="006048EF">
        <w:t>derstanding how institutions distribute their legislative, executive and judicial power within the EU when it comes to policy areas where the Commission and the Parliament have effective and explicit powers delegated from the states, but tells us nothing about why these issues and not other have become part, in Persson and Tabellini’s terms, of a ‘vertical federal authority’, while others have not, and remain in the horizontal, inter-governmental level.</w:t>
      </w:r>
    </w:p>
    <w:p w14:paraId="2A3BEA4C" w14:textId="5CEA1925" w:rsidR="006048EF" w:rsidRPr="005862FC" w:rsidRDefault="00B5060B" w:rsidP="006048EF">
      <w:pPr>
        <w:pStyle w:val="Heading3"/>
        <w:numPr>
          <w:ilvl w:val="0"/>
          <w:numId w:val="0"/>
        </w:numPr>
      </w:pPr>
      <w:bookmarkStart w:id="60" w:name="_Toc208145616"/>
      <w:r>
        <w:t>3.1.4</w:t>
      </w:r>
      <w:r w:rsidR="006048EF">
        <w:tab/>
        <w:t>Neo-neofunctionalism(s)</w:t>
      </w:r>
      <w:bookmarkEnd w:id="60"/>
    </w:p>
    <w:p w14:paraId="57981FD4" w14:textId="05FF7DF0" w:rsidR="006048EF" w:rsidRDefault="00D54C9D" w:rsidP="006048EF">
      <w:pPr>
        <w:ind w:firstLine="426"/>
      </w:pPr>
      <w:r w:rsidRPr="00D54C9D">
        <w:t>In the last decade, a handful of scholars are trying to build supranational arguments with a stronger theoretical form recovering some of the insights proportioned by the neo-functionalists, and definitely keeping its central thesis based on the idea of spillovers. From my point of view, the main contributions to this attempt are better understood if divided in two sub-categories, that u</w:t>
      </w:r>
      <w:r w:rsidRPr="00D54C9D">
        <w:t>n</w:t>
      </w:r>
      <w:r w:rsidRPr="00D54C9D">
        <w:t>surprisingly match with a division of superior (ontological) order that have lat</w:t>
      </w:r>
      <w:r w:rsidRPr="00D54C9D">
        <w:t>e</w:t>
      </w:r>
      <w:r w:rsidRPr="00D54C9D">
        <w:t xml:space="preserve">ly taken place in the functionalist thought within the social sciences. On one hand, </w:t>
      </w:r>
      <w:r w:rsidR="0094280B">
        <w:t xml:space="preserve">Carl </w:t>
      </w:r>
      <w:r w:rsidRPr="00D54C9D">
        <w:t xml:space="preserve">Schmitter, one of the founding fathers of neo-functionalism, have been developing a ‘neo-neo-functionalist approach’ to the EU that represents the incorporation of system theory to this field. In Schmitter (2002), the author explains the European integration process as a series of crisis cycles that are generated by either endogenous contradictions and/or exogenous tensions. </w:t>
      </w:r>
      <w:proofErr w:type="gramStart"/>
      <w:r w:rsidRPr="00D54C9D">
        <w:t>These crisis l</w:t>
      </w:r>
      <w:r w:rsidR="00257835">
        <w:t>ead to “</w:t>
      </w:r>
      <w:r w:rsidRPr="00D54C9D">
        <w:t>unexpected performance in the pursuit of agreed-upon objectives”</w:t>
      </w:r>
      <w:r w:rsidR="00941376" w:rsidRPr="00941376">
        <w:t xml:space="preserve"> </w:t>
      </w:r>
      <w:r w:rsidR="00941376">
        <w:t xml:space="preserve">(Schmitter, </w:t>
      </w:r>
      <w:r w:rsidR="00941376" w:rsidRPr="00D54C9D">
        <w:t>2002</w:t>
      </w:r>
      <w:r w:rsidR="00D77622">
        <w:t>:21</w:t>
      </w:r>
      <w:r w:rsidR="00941376" w:rsidRPr="00D54C9D">
        <w:t>)</w:t>
      </w:r>
      <w:r w:rsidRPr="00D54C9D">
        <w:t>.</w:t>
      </w:r>
      <w:proofErr w:type="gramEnd"/>
      <w:r w:rsidRPr="00D54C9D">
        <w:t xml:space="preserve"> This is, spillovers. He attributes a higher probability to a reinforcement of the union after each crisis, but accepting the possibility of the reverse effect. The key empirical insight would be that stronger positive (for integration) spillovers find stronger opposition, and the transn</w:t>
      </w:r>
      <w:r w:rsidRPr="00D54C9D">
        <w:t>a</w:t>
      </w:r>
      <w:r w:rsidRPr="00D54C9D">
        <w:t>tional alliances/coalitions respond wi</w:t>
      </w:r>
      <w:r w:rsidR="00174BA5">
        <w:t>th a deeper loyalty to the cent</w:t>
      </w:r>
      <w:r w:rsidRPr="00D54C9D">
        <w:t>r</w:t>
      </w:r>
      <w:r w:rsidR="00174BA5">
        <w:t>e</w:t>
      </w:r>
      <w:r w:rsidRPr="00D54C9D">
        <w:t>. The sy</w:t>
      </w:r>
      <w:r w:rsidRPr="00D54C9D">
        <w:t>s</w:t>
      </w:r>
      <w:r w:rsidRPr="00D54C9D">
        <w:t>temic flavo</w:t>
      </w:r>
      <w:r w:rsidR="00174BA5">
        <w:t>u</w:t>
      </w:r>
      <w:r w:rsidRPr="00D54C9D">
        <w:t>r is evident, and with it comes the usual criticisms to these theoretical perspectives: lack of explanatory power, falling into tautological d</w:t>
      </w:r>
      <w:r w:rsidRPr="00D54C9D">
        <w:t>e</w:t>
      </w:r>
      <w:r w:rsidRPr="00D54C9D">
        <w:t>scriptions where the system can only be explained by the system. Together with this effect, the loss of parsimony in the quest for grasping the whole complexity of the European process is such that any model becomes impract</w:t>
      </w:r>
      <w:r w:rsidRPr="00D54C9D">
        <w:t>i</w:t>
      </w:r>
      <w:r w:rsidRPr="00D54C9D">
        <w:t>cable.</w:t>
      </w:r>
    </w:p>
    <w:p w14:paraId="0065CFC0" w14:textId="6D67582F" w:rsidR="008E24CD" w:rsidRDefault="006048EF" w:rsidP="008E24CD">
      <w:pPr>
        <w:pStyle w:val="Heading1NOTchapter"/>
        <w:spacing w:after="100"/>
        <w:ind w:firstLine="425"/>
        <w:rPr>
          <w:b w:val="0"/>
          <w:kern w:val="0"/>
          <w:sz w:val="24"/>
          <w:szCs w:val="24"/>
        </w:rPr>
      </w:pPr>
      <w:bookmarkStart w:id="61" w:name="_Toc208070715"/>
      <w:bookmarkStart w:id="62" w:name="_Toc208117571"/>
      <w:bookmarkStart w:id="63" w:name="_Toc208133515"/>
      <w:bookmarkStart w:id="64" w:name="_Toc208145617"/>
      <w:r>
        <w:rPr>
          <w:b w:val="0"/>
          <w:kern w:val="0"/>
          <w:sz w:val="24"/>
          <w:szCs w:val="24"/>
        </w:rPr>
        <w:t xml:space="preserve">The </w:t>
      </w:r>
      <w:r w:rsidR="00D54C9D" w:rsidRPr="00D54C9D">
        <w:rPr>
          <w:b w:val="0"/>
          <w:kern w:val="0"/>
          <w:sz w:val="24"/>
          <w:szCs w:val="24"/>
        </w:rPr>
        <w:t>other subcategory within the last advances in neo-func</w:t>
      </w:r>
      <w:r w:rsidR="00446D7F">
        <w:rPr>
          <w:b w:val="0"/>
          <w:kern w:val="0"/>
          <w:sz w:val="24"/>
          <w:szCs w:val="24"/>
        </w:rPr>
        <w:t>t</w:t>
      </w:r>
      <w:r w:rsidR="00D54C9D" w:rsidRPr="00D54C9D">
        <w:rPr>
          <w:b w:val="0"/>
          <w:kern w:val="0"/>
          <w:sz w:val="24"/>
          <w:szCs w:val="24"/>
        </w:rPr>
        <w:t>ionalism is comparatively more promising. Instead of taking the systemic path, it is instit</w:t>
      </w:r>
      <w:r w:rsidR="00D54C9D" w:rsidRPr="00D54C9D">
        <w:rPr>
          <w:b w:val="0"/>
          <w:kern w:val="0"/>
          <w:sz w:val="24"/>
          <w:szCs w:val="24"/>
        </w:rPr>
        <w:t>u</w:t>
      </w:r>
      <w:r w:rsidR="00D54C9D" w:rsidRPr="00D54C9D">
        <w:rPr>
          <w:b w:val="0"/>
          <w:kern w:val="0"/>
          <w:sz w:val="24"/>
          <w:szCs w:val="24"/>
        </w:rPr>
        <w:t>tions and the way they interact what matters for these theorists. This is an a</w:t>
      </w:r>
      <w:r w:rsidR="00D54C9D" w:rsidRPr="00D54C9D">
        <w:rPr>
          <w:b w:val="0"/>
          <w:kern w:val="0"/>
          <w:sz w:val="24"/>
          <w:szCs w:val="24"/>
        </w:rPr>
        <w:t>c</w:t>
      </w:r>
      <w:r w:rsidR="00D54C9D" w:rsidRPr="00D54C9D">
        <w:rPr>
          <w:b w:val="0"/>
          <w:kern w:val="0"/>
          <w:sz w:val="24"/>
          <w:szCs w:val="24"/>
        </w:rPr>
        <w:t>curate summary of their model for European integratio</w:t>
      </w:r>
      <w:bookmarkEnd w:id="41"/>
      <w:r w:rsidR="008E24CD">
        <w:rPr>
          <w:b w:val="0"/>
          <w:kern w:val="0"/>
          <w:sz w:val="24"/>
          <w:szCs w:val="24"/>
        </w:rPr>
        <w:t>n:</w:t>
      </w:r>
      <w:bookmarkEnd w:id="61"/>
      <w:bookmarkEnd w:id="62"/>
      <w:bookmarkEnd w:id="63"/>
      <w:bookmarkEnd w:id="64"/>
    </w:p>
    <w:p w14:paraId="7100F269" w14:textId="7DA40601" w:rsidR="008E24CD" w:rsidRPr="00446D7F" w:rsidRDefault="008E24CD" w:rsidP="008E24CD">
      <w:pPr>
        <w:pStyle w:val="Normalfirstparagraph"/>
        <w:ind w:left="426"/>
        <w:rPr>
          <w:sz w:val="23"/>
          <w:szCs w:val="23"/>
        </w:rPr>
      </w:pPr>
      <w:r w:rsidRPr="00446D7F">
        <w:rPr>
          <w:sz w:val="23"/>
          <w:szCs w:val="23"/>
        </w:rPr>
        <w:t xml:space="preserve">European integration is largely the product of a basic kind of </w:t>
      </w:r>
      <w:proofErr w:type="spellStart"/>
      <w:r w:rsidRPr="00446D7F">
        <w:rPr>
          <w:sz w:val="23"/>
          <w:szCs w:val="23"/>
        </w:rPr>
        <w:t>Haasian</w:t>
      </w:r>
      <w:proofErr w:type="spellEnd"/>
      <w:r w:rsidRPr="00446D7F">
        <w:rPr>
          <w:sz w:val="23"/>
          <w:szCs w:val="23"/>
        </w:rPr>
        <w:t xml:space="preserve"> fee</w:t>
      </w:r>
      <w:r w:rsidRPr="00446D7F">
        <w:rPr>
          <w:sz w:val="23"/>
          <w:szCs w:val="23"/>
        </w:rPr>
        <w:t>d</w:t>
      </w:r>
      <w:r w:rsidRPr="00446D7F">
        <w:rPr>
          <w:sz w:val="23"/>
          <w:szCs w:val="23"/>
        </w:rPr>
        <w:t>back loop: (a) increasing cross-border transactions activates (b) supranational governance (dispute resolution and rule-making), which facilitate (c) a subs</w:t>
      </w:r>
      <w:r w:rsidRPr="00446D7F">
        <w:rPr>
          <w:sz w:val="23"/>
          <w:szCs w:val="23"/>
        </w:rPr>
        <w:t>e</w:t>
      </w:r>
      <w:r w:rsidRPr="00446D7F">
        <w:rPr>
          <w:sz w:val="23"/>
          <w:szCs w:val="23"/>
        </w:rPr>
        <w:t>quent expansion of cross-border transactions, which translates into greater social demand for new forms of supran</w:t>
      </w:r>
      <w:r w:rsidR="002D15F5" w:rsidRPr="00446D7F">
        <w:rPr>
          <w:sz w:val="23"/>
          <w:szCs w:val="23"/>
        </w:rPr>
        <w:t xml:space="preserve">ational governance (spillover). </w:t>
      </w:r>
      <w:r w:rsidRPr="00446D7F">
        <w:rPr>
          <w:sz w:val="23"/>
          <w:szCs w:val="23"/>
        </w:rPr>
        <w:t>(San</w:t>
      </w:r>
      <w:r w:rsidRPr="00446D7F">
        <w:rPr>
          <w:sz w:val="23"/>
          <w:szCs w:val="23"/>
        </w:rPr>
        <w:t>d</w:t>
      </w:r>
      <w:r w:rsidRPr="00446D7F">
        <w:rPr>
          <w:sz w:val="23"/>
          <w:szCs w:val="23"/>
        </w:rPr>
        <w:t>holtz and Stone Sweet, 2008)</w:t>
      </w:r>
    </w:p>
    <w:p w14:paraId="4F3AA311" w14:textId="15B5FF45" w:rsidR="0021495E" w:rsidRDefault="0021495E" w:rsidP="0021495E">
      <w:r w:rsidRPr="0021495E">
        <w:lastRenderedPageBreak/>
        <w:t>Deriving from this, their fundamental hypothesis would be that</w:t>
      </w:r>
      <w:r>
        <w:t>:</w:t>
      </w:r>
    </w:p>
    <w:p w14:paraId="2A3A32A7" w14:textId="61B0F1FD" w:rsidR="0021495E" w:rsidRPr="00446D7F" w:rsidRDefault="0021495E" w:rsidP="00446D7F">
      <w:pPr>
        <w:ind w:left="426" w:firstLine="0"/>
        <w:rPr>
          <w:sz w:val="23"/>
          <w:szCs w:val="23"/>
        </w:rPr>
      </w:pPr>
      <w:r w:rsidRPr="00446D7F">
        <w:rPr>
          <w:sz w:val="23"/>
          <w:szCs w:val="23"/>
        </w:rPr>
        <w:t>Increasing cross-border transactions will lead to greater activity on the part of supranational organizations, and to the expansion of supranational rules. (Sandholtz and Stone Sweet, 2008)</w:t>
      </w:r>
    </w:p>
    <w:p w14:paraId="5C4061AE" w14:textId="76AE3134" w:rsidR="0021495E" w:rsidRDefault="0021495E" w:rsidP="0021495E">
      <w:pPr>
        <w:ind w:left="426" w:firstLine="0"/>
      </w:pPr>
      <w:r w:rsidRPr="0021495E">
        <w:t>And the empirical support for that thesis would be found in the fact that</w:t>
      </w:r>
      <w:r w:rsidR="008C4028">
        <w:t>:</w:t>
      </w:r>
    </w:p>
    <w:p w14:paraId="188762BB" w14:textId="6C0B426F" w:rsidR="002D15F5" w:rsidRPr="00446D7F" w:rsidRDefault="002D15F5" w:rsidP="0021495E">
      <w:pPr>
        <w:ind w:left="426" w:firstLine="0"/>
        <w:rPr>
          <w:sz w:val="23"/>
          <w:szCs w:val="23"/>
        </w:rPr>
      </w:pPr>
      <w:r w:rsidRPr="00446D7F">
        <w:rPr>
          <w:sz w:val="23"/>
          <w:szCs w:val="23"/>
        </w:rPr>
        <w:t xml:space="preserve">(…) </w:t>
      </w:r>
      <w:proofErr w:type="gramStart"/>
      <w:r w:rsidRPr="00446D7F">
        <w:rPr>
          <w:sz w:val="23"/>
          <w:szCs w:val="23"/>
        </w:rPr>
        <w:t>in</w:t>
      </w:r>
      <w:proofErr w:type="gramEnd"/>
      <w:r w:rsidRPr="00446D7F">
        <w:rPr>
          <w:sz w:val="23"/>
          <w:szCs w:val="23"/>
        </w:rPr>
        <w:t xml:space="preserve"> sectors where the intensity and value of cross-national transactions were relatively low, the supply of EU-level rules and dispute resolution was correspondingly low. Conversely, in policy areas where the number and value of cross-border transactions rose, so did the supply of EU-level rules, and so did the investment of interest groups in Brussels, compared to policy areas in which transnational activity was low. (Sandholtz and Stone Sweet, 2008</w:t>
      </w:r>
      <w:r w:rsidR="00C11515">
        <w:rPr>
          <w:sz w:val="23"/>
          <w:szCs w:val="23"/>
        </w:rPr>
        <w:t>:11</w:t>
      </w:r>
      <w:r w:rsidRPr="00446D7F">
        <w:rPr>
          <w:sz w:val="23"/>
          <w:szCs w:val="23"/>
        </w:rPr>
        <w:t>)</w:t>
      </w:r>
    </w:p>
    <w:p w14:paraId="61BAE165" w14:textId="7D2EE785" w:rsidR="002D15F5" w:rsidRDefault="002D15F5" w:rsidP="002D15F5">
      <w:pPr>
        <w:ind w:firstLine="426"/>
      </w:pPr>
      <w:r w:rsidRPr="002D15F5">
        <w:t>This is indeed an interesting insight. But what we have to question is if, as asserted by the authors, this is an explanation of “why, and how, that expa</w:t>
      </w:r>
      <w:r w:rsidRPr="002D15F5">
        <w:t>n</w:t>
      </w:r>
      <w:r w:rsidRPr="002D15F5">
        <w:t>sion occurred”</w:t>
      </w:r>
      <w:r w:rsidR="00D03CBF">
        <w:t xml:space="preserve"> </w:t>
      </w:r>
      <w:r w:rsidR="00D03CBF" w:rsidRPr="00446D7F">
        <w:rPr>
          <w:sz w:val="23"/>
          <w:szCs w:val="23"/>
        </w:rPr>
        <w:t>(Sandholtz and Stone Sweet, 2008</w:t>
      </w:r>
      <w:r w:rsidR="00D03CBF">
        <w:rPr>
          <w:sz w:val="23"/>
          <w:szCs w:val="23"/>
        </w:rPr>
        <w:t>:28</w:t>
      </w:r>
      <w:r w:rsidR="00D03CBF" w:rsidRPr="00446D7F">
        <w:rPr>
          <w:sz w:val="23"/>
          <w:szCs w:val="23"/>
        </w:rPr>
        <w:t>)</w:t>
      </w:r>
      <w:r w:rsidRPr="002D15F5">
        <w:t>. I claim that there is no answer to the ‘why’ question as there is no clear actor (either individual or co</w:t>
      </w:r>
      <w:r w:rsidRPr="002D15F5">
        <w:t>l</w:t>
      </w:r>
      <w:r w:rsidRPr="002D15F5">
        <w:t>lective) activating the mentioned mechanism under any defined circumstances. Moreover, the mechanism is a self-fed process without any identified initial point. When an economist localizes an externality or a spillover, it is a causal chain with a defined beginning. For Sandholtz and Stone Sweet, and instit</w:t>
      </w:r>
      <w:r w:rsidRPr="002D15F5">
        <w:t>u</w:t>
      </w:r>
      <w:r w:rsidRPr="002D15F5">
        <w:t>tional neo-functionalism in general, the fundamental hypothesis is that the more alliances are built between countries, the more these alliances will conso</w:t>
      </w:r>
      <w:r w:rsidRPr="002D15F5">
        <w:t>l</w:t>
      </w:r>
      <w:r w:rsidRPr="002D15F5">
        <w:t>idate into institutions different from the nation-state. It seems like a rather o</w:t>
      </w:r>
      <w:r w:rsidRPr="002D15F5">
        <w:t>b</w:t>
      </w:r>
      <w:r w:rsidRPr="002D15F5">
        <w:t>vious conclusion that does not explain why these alliances are generated at some moment and how nation-states actually lose power in the process. The given empirical evidence follows the same flawed pattern.</w:t>
      </w:r>
    </w:p>
    <w:p w14:paraId="6CE904D1" w14:textId="5C3726EA" w:rsidR="0070541F" w:rsidRDefault="0070541F" w:rsidP="002D15F5">
      <w:pPr>
        <w:ind w:firstLine="426"/>
      </w:pPr>
      <w:r w:rsidRPr="0070541F">
        <w:t>Still, applying some epistemological deduction to these propositions, an u</w:t>
      </w:r>
      <w:r w:rsidRPr="0070541F">
        <w:t>l</w:t>
      </w:r>
      <w:r w:rsidRPr="0070541F">
        <w:t>timate cause for movements towards delegated authority may be found: it rises due to the fact that is efficient. As it has been already cited in the present work, Persson and Tabellini (1996) show how vertical federal unions tend to deal more efficiently with the trade-off between moral hazard and risk sharing. Cit</w:t>
      </w:r>
      <w:r w:rsidRPr="0070541F">
        <w:t>i</w:t>
      </w:r>
      <w:r w:rsidRPr="0070541F">
        <w:t>zens, either as elites or as voters, would perceive that and transnational coal</w:t>
      </w:r>
      <w:r w:rsidRPr="0070541F">
        <w:t>i</w:t>
      </w:r>
      <w:r w:rsidRPr="0070541F">
        <w:t>tions would appear and consolidate. But if we accept this turn, the question of how do states decide to lose the power remains unanswered. The power of b</w:t>
      </w:r>
      <w:r w:rsidRPr="0070541F">
        <w:t>u</w:t>
      </w:r>
      <w:r w:rsidRPr="0070541F">
        <w:t>reaucrats and the organs of the EU with a supranational nature has been di</w:t>
      </w:r>
      <w:r w:rsidRPr="0070541F">
        <w:t>s</w:t>
      </w:r>
      <w:r w:rsidRPr="0070541F">
        <w:t>cussed and discarded. There is no evidence of any relevant voters’ or elite movements towards a centralized political union in Europe. Thus, while neo-functionalism is able to explain how does Brussels increase its powers on these areas where decision powers have been already transferred, and then voters and in</w:t>
      </w:r>
      <w:r>
        <w:t>terest groups look to the centre</w:t>
      </w:r>
      <w:r w:rsidRPr="0070541F">
        <w:t xml:space="preserve"> and create indeed cross-national alliances (being the Common Agricultural Policy one of the clearest cases of it), it is the jump from pooled to delegated sovereignty in a given policy area what remains unexplained. In the current crisis, neither the so-called ‘eurocrats’ (mainly re</w:t>
      </w:r>
      <w:r w:rsidRPr="0070541F">
        <w:t>p</w:t>
      </w:r>
      <w:r w:rsidRPr="0070541F">
        <w:t xml:space="preserve">resented by the Commission) nor the mild cross-national movements on common economic policy have played a crucial role in the bargaining events described in our case study. It has been the states </w:t>
      </w:r>
      <w:r w:rsidR="000723A8" w:rsidRPr="0070541F">
        <w:t>that</w:t>
      </w:r>
      <w:r w:rsidRPr="0070541F">
        <w:t xml:space="preserve"> have occupied the cen</w:t>
      </w:r>
      <w:r w:rsidR="006C0338">
        <w:t>t</w:t>
      </w:r>
      <w:r w:rsidRPr="0070541F">
        <w:t>r</w:t>
      </w:r>
      <w:r w:rsidR="006C0338">
        <w:t>e</w:t>
      </w:r>
      <w:r w:rsidRPr="0070541F">
        <w:t xml:space="preserve"> of the stage. Thus, moment has come to turn our attention to the second main theoretical framework to understand why do we have the EU that we have.</w:t>
      </w:r>
    </w:p>
    <w:p w14:paraId="6B58D0C5" w14:textId="57CAB13E" w:rsidR="004F7571" w:rsidRDefault="004F7571" w:rsidP="004F7571">
      <w:pPr>
        <w:pStyle w:val="Heading2"/>
      </w:pPr>
      <w:bookmarkStart w:id="65" w:name="_Toc208145618"/>
      <w:r>
        <w:lastRenderedPageBreak/>
        <w:t>3.2 Rationalist approach</w:t>
      </w:r>
      <w:bookmarkEnd w:id="65"/>
    </w:p>
    <w:p w14:paraId="494E061C" w14:textId="15FE6FCB" w:rsidR="004F7571" w:rsidRPr="005862FC" w:rsidRDefault="004F7571" w:rsidP="004F7571">
      <w:pPr>
        <w:pStyle w:val="Heading3"/>
      </w:pPr>
      <w:bookmarkStart w:id="66" w:name="_Toc208145619"/>
      <w:r>
        <w:t>3.2.1</w:t>
      </w:r>
      <w:r>
        <w:tab/>
      </w:r>
      <w:proofErr w:type="gramStart"/>
      <w:r>
        <w:t>An</w:t>
      </w:r>
      <w:proofErr w:type="gramEnd"/>
      <w:r>
        <w:t xml:space="preserve"> alternative to neo-functionalism</w:t>
      </w:r>
      <w:bookmarkEnd w:id="66"/>
    </w:p>
    <w:p w14:paraId="0C4E993F" w14:textId="6C54C9BB" w:rsidR="00C4358B" w:rsidRDefault="00C4358B" w:rsidP="004F7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C4358B">
        <w:t>Liberal intergovernmentalism was a pure reaction against n</w:t>
      </w:r>
      <w:r w:rsidR="009B618B">
        <w:t>eo-functionalism. Hoffmann (1966</w:t>
      </w:r>
      <w:r w:rsidRPr="00C4358B">
        <w:t>) perceived two major weaknesses in this the</w:t>
      </w:r>
      <w:r w:rsidRPr="00C4358B">
        <w:t>o</w:t>
      </w:r>
      <w:r w:rsidRPr="00C4358B">
        <w:t xml:space="preserve">ry: first, the </w:t>
      </w:r>
      <w:r w:rsidR="000723A8">
        <w:t>hidden</w:t>
      </w:r>
      <w:r w:rsidRPr="00C4358B">
        <w:t xml:space="preserve"> hypothesis of considering international background as st</w:t>
      </w:r>
      <w:r w:rsidRPr="00C4358B">
        <w:t>a</w:t>
      </w:r>
      <w:r w:rsidRPr="00C4358B">
        <w:t>ble during the integration process.  Second, the fact that any initial move t</w:t>
      </w:r>
      <w:r w:rsidRPr="00C4358B">
        <w:t>o</w:t>
      </w:r>
      <w:r w:rsidRPr="00C4358B">
        <w:t>wards integration comes in the end from a government in pursue of what he defines as ‘national interest’. Thus, it is the government(s) the ones who co</w:t>
      </w:r>
      <w:r w:rsidRPr="00C4358B">
        <w:t>n</w:t>
      </w:r>
      <w:r w:rsidRPr="00C4358B">
        <w:t>trol the speed and intensity of integration.</w:t>
      </w:r>
    </w:p>
    <w:p w14:paraId="358C8861" w14:textId="7150A5FA" w:rsidR="004F7571" w:rsidRDefault="00C4358B" w:rsidP="002D15F5">
      <w:pPr>
        <w:ind w:firstLine="426"/>
      </w:pPr>
      <w:r w:rsidRPr="00C4358B">
        <w:t>Hoffmann’s criticism evolved and found a final articulation through A</w:t>
      </w:r>
      <w:r w:rsidRPr="00C4358B">
        <w:t>n</w:t>
      </w:r>
      <w:r w:rsidRPr="00C4358B">
        <w:t xml:space="preserve">drew </w:t>
      </w:r>
      <w:r w:rsidR="000C6626" w:rsidRPr="00F50154">
        <w:t>Moravcsik</w:t>
      </w:r>
      <w:r w:rsidRPr="00C4358B">
        <w:t>. He was who finally built an alternative framework, defined by himself as ‘rationalist’, that is now considered as the pure intergovernmentalist approach. Before engaging with his proposition, it is useful to consider the classic paper by Putnam (1988) as a fundamental and necessary previous step. Putnam’s view of inter-government relations is, in a nutshell:</w:t>
      </w:r>
    </w:p>
    <w:p w14:paraId="178F0EB4" w14:textId="55943045" w:rsidR="00C4358B" w:rsidRPr="00DD63AC" w:rsidRDefault="00C4358B" w:rsidP="00C4358B">
      <w:pPr>
        <w:ind w:left="426" w:firstLine="0"/>
        <w:rPr>
          <w:sz w:val="23"/>
          <w:szCs w:val="23"/>
        </w:rPr>
      </w:pPr>
      <w:r w:rsidRPr="00DD63AC">
        <w:rPr>
          <w:sz w:val="23"/>
          <w:szCs w:val="23"/>
        </w:rPr>
        <w:t xml:space="preserve">The politics of many international negotiations can usefully be conceived as a two-level game. At the national level, domestic groups pursue their interests by pressuring the government to adopt </w:t>
      </w:r>
      <w:r w:rsidR="0027267B" w:rsidRPr="00DD63AC">
        <w:rPr>
          <w:sz w:val="23"/>
          <w:szCs w:val="23"/>
        </w:rPr>
        <w:t>favourable</w:t>
      </w:r>
      <w:r w:rsidRPr="00DD63AC">
        <w:rPr>
          <w:sz w:val="23"/>
          <w:szCs w:val="23"/>
        </w:rPr>
        <w:t xml:space="preserve"> policies, and politicians seek power by constructing coalitions among those groups. At the intern</w:t>
      </w:r>
      <w:r w:rsidRPr="00DD63AC">
        <w:rPr>
          <w:sz w:val="23"/>
          <w:szCs w:val="23"/>
        </w:rPr>
        <w:t>a</w:t>
      </w:r>
      <w:r w:rsidRPr="00DD63AC">
        <w:rPr>
          <w:sz w:val="23"/>
          <w:szCs w:val="23"/>
        </w:rPr>
        <w:t>tional level, national governments seek to maximize their own ability to sati</w:t>
      </w:r>
      <w:r w:rsidRPr="00DD63AC">
        <w:rPr>
          <w:sz w:val="23"/>
          <w:szCs w:val="23"/>
        </w:rPr>
        <w:t>s</w:t>
      </w:r>
      <w:r w:rsidRPr="00DD63AC">
        <w:rPr>
          <w:sz w:val="23"/>
          <w:szCs w:val="23"/>
        </w:rPr>
        <w:t>fy domestic pressures, while minimizing the adverse consequences of foreign developments. (Putnam, 1988)</w:t>
      </w:r>
    </w:p>
    <w:p w14:paraId="7835972E" w14:textId="1D025C81" w:rsidR="002A6D04" w:rsidRDefault="00F50154" w:rsidP="00F50154">
      <w:pPr>
        <w:ind w:firstLine="426"/>
      </w:pPr>
      <w:r w:rsidRPr="00F50154">
        <w:t>Moravcsik (1998) draws from Hoffmann and Putnam to state that the process of European integration has three clear phases: firstly, there is a m</w:t>
      </w:r>
      <w:r w:rsidRPr="00F50154">
        <w:t>o</w:t>
      </w:r>
      <w:r w:rsidRPr="00F50154">
        <w:t>ment of national preference formation, the first-level game of Putnam. Se</w:t>
      </w:r>
      <w:r w:rsidRPr="00F50154">
        <w:t>c</w:t>
      </w:r>
      <w:r w:rsidRPr="00F50154">
        <w:t>ondly, the international negotiation comes in. In this negotiation national pre</w:t>
      </w:r>
      <w:r w:rsidRPr="00F50154">
        <w:t>f</w:t>
      </w:r>
      <w:r w:rsidRPr="00F50154">
        <w:t>erences are already set and maximized by the bargaining with other governments who, of course, have followed the same process. In the end, the result of the bargaining results on a choice for a specific form of international institution, in the sense of arrangement between governments.</w:t>
      </w:r>
    </w:p>
    <w:p w14:paraId="08E18DF8" w14:textId="1B71EBF7" w:rsidR="00F50154" w:rsidRDefault="00F50154" w:rsidP="00F50154">
      <w:pPr>
        <w:ind w:firstLine="426"/>
      </w:pPr>
      <w:r w:rsidRPr="00F50154">
        <w:t>Put in a causal manner, Moravcsik (1998) states that European integration is the product of rational choices made by national leaders, responding to co</w:t>
      </w:r>
      <w:r w:rsidRPr="00F50154">
        <w:t>n</w:t>
      </w:r>
      <w:r w:rsidRPr="00F50154">
        <w:t>straints and opportunities from the economic interests of domestic constit</w:t>
      </w:r>
      <w:r w:rsidRPr="00F50154">
        <w:t>u</w:t>
      </w:r>
      <w:r w:rsidRPr="00F50154">
        <w:t>ents (first phase, preference formation). “Cooperation would be a means for governments to restructure the pattern of economic policy externalities (…) to their mutual benefit”, and, as a consequence, “changes in European policy should correlate with major changes in economic circumstances”</w:t>
      </w:r>
      <w:r w:rsidR="00E00E0A" w:rsidRPr="00E00E0A">
        <w:t xml:space="preserve"> </w:t>
      </w:r>
      <w:r w:rsidR="00E00E0A">
        <w:t xml:space="preserve">(Moravcsik, </w:t>
      </w:r>
      <w:r w:rsidR="00E00E0A" w:rsidRPr="00F50154">
        <w:t>1998</w:t>
      </w:r>
      <w:r w:rsidR="003D7AD1">
        <w:t>:50</w:t>
      </w:r>
      <w:r w:rsidR="00E00E0A" w:rsidRPr="00F50154">
        <w:t>)</w:t>
      </w:r>
      <w:r w:rsidRPr="00F50154">
        <w:t>. When “mutual benefit” is put as an ultimate goal, it is not only eff</w:t>
      </w:r>
      <w:r w:rsidRPr="00F50154">
        <w:t>i</w:t>
      </w:r>
      <w:r w:rsidRPr="00F50154">
        <w:t>ciency what the governments take into account, but also distributional cons</w:t>
      </w:r>
      <w:r w:rsidRPr="00F50154">
        <w:t>e</w:t>
      </w:r>
      <w:r w:rsidRPr="00F50154">
        <w:t>quences. This means that we can expect to see reproduced internationally the policy that every government is pursuing within its own polity.</w:t>
      </w:r>
    </w:p>
    <w:p w14:paraId="1488E166" w14:textId="04FE9F5F" w:rsidR="00F50154" w:rsidRDefault="00F50154" w:rsidP="00F50154">
      <w:pPr>
        <w:ind w:firstLine="426"/>
      </w:pPr>
      <w:r w:rsidRPr="00F50154">
        <w:t>Moravcsik’s approach has attracted much attention in the field of EU studies, to the point of being considered a standard framework to understand European integration together (or in dispute) with MLG, which I will discuss later in this work. Its success lies on the capacity of offering a powerful causal mechanism that apparently fits at the same time with the observed evidence and with the dominating theoretical perspective on comparative political sc</w:t>
      </w:r>
      <w:r w:rsidRPr="00F50154">
        <w:t>i</w:t>
      </w:r>
      <w:r w:rsidRPr="00F50154">
        <w:lastRenderedPageBreak/>
        <w:t>ence, drawing from methodological individualism in order to proportionate micro-foundations to states’ decisions and IOs’ formation.</w:t>
      </w:r>
    </w:p>
    <w:p w14:paraId="07B5A4BE" w14:textId="1601E25C" w:rsidR="00F50154" w:rsidRPr="005862FC" w:rsidRDefault="009B618B" w:rsidP="00F50154">
      <w:pPr>
        <w:pStyle w:val="Heading3"/>
      </w:pPr>
      <w:bookmarkStart w:id="67" w:name="_Toc208145620"/>
      <w:r>
        <w:t>3.2.2</w:t>
      </w:r>
      <w:r w:rsidR="00F50154">
        <w:tab/>
        <w:t>Criticizing Moravksic</w:t>
      </w:r>
      <w:bookmarkEnd w:id="67"/>
    </w:p>
    <w:p w14:paraId="3DD3F6F3" w14:textId="6CEA21D5" w:rsidR="00F50154" w:rsidRDefault="00F50154" w:rsidP="00F50154">
      <w:pPr>
        <w:ind w:firstLine="426"/>
      </w:pPr>
      <w:r w:rsidRPr="00F50154">
        <w:t>Neo-functionalist’s response to liberal intergovernmentalism has had two different fronts, an empirical one and a theoretical one. For the empirical cr</w:t>
      </w:r>
      <w:r w:rsidRPr="00F50154">
        <w:t>i</w:t>
      </w:r>
      <w:r w:rsidRPr="00F50154">
        <w:t>tique, neo-functionalist simply argue that their model fits the data better, sho</w:t>
      </w:r>
      <w:r w:rsidRPr="00F50154">
        <w:t>w</w:t>
      </w:r>
      <w:r w:rsidRPr="00F50154">
        <w:t>ing that they are many advances in the integration process that can only be tracked down as spillovers driven by international alliances. Thus, inter-government negotiations cannot fully explain the moves towards a deeper EU.</w:t>
      </w:r>
    </w:p>
    <w:p w14:paraId="5C4DB218" w14:textId="651E3000" w:rsidR="00C04B74" w:rsidRDefault="00C04B74" w:rsidP="00F50154">
      <w:pPr>
        <w:ind w:firstLine="426"/>
      </w:pPr>
      <w:r w:rsidRPr="00C04B74">
        <w:t xml:space="preserve">But probably </w:t>
      </w:r>
      <w:r w:rsidR="0014118D" w:rsidRPr="00C04B74">
        <w:t>S</w:t>
      </w:r>
      <w:r w:rsidR="0014118D">
        <w:t xml:space="preserve">andholtz and Stone Sweet (2008) articulated </w:t>
      </w:r>
      <w:r w:rsidRPr="00C04B74">
        <w:t xml:space="preserve">the strongest argument against </w:t>
      </w:r>
      <w:r w:rsidR="0014118D">
        <w:t>the rationalist framework:</w:t>
      </w:r>
    </w:p>
    <w:p w14:paraId="22222F57" w14:textId="3EA12E39" w:rsidR="00C04B74" w:rsidRPr="00DD63AC" w:rsidRDefault="00C04B74" w:rsidP="00C04B74">
      <w:pPr>
        <w:ind w:left="426" w:firstLine="0"/>
        <w:rPr>
          <w:sz w:val="23"/>
          <w:szCs w:val="23"/>
        </w:rPr>
      </w:pPr>
      <w:r w:rsidRPr="00DD63AC">
        <w:rPr>
          <w:sz w:val="23"/>
          <w:szCs w:val="23"/>
        </w:rPr>
        <w:t>[Rationalist framework] is non-falsifiable. When EU organizations carry out the preferences of the powerful member states, they supposedly confirm the theory that governments control EU development. But when EU organiz</w:t>
      </w:r>
      <w:r w:rsidRPr="00DD63AC">
        <w:rPr>
          <w:sz w:val="23"/>
          <w:szCs w:val="23"/>
        </w:rPr>
        <w:t>a</w:t>
      </w:r>
      <w:r w:rsidRPr="00DD63AC">
        <w:rPr>
          <w:sz w:val="23"/>
          <w:szCs w:val="23"/>
        </w:rPr>
        <w:t>tions do not adhere to the preferences of member governments, they also supposedly confirm the theory (by carrying out member state desires for EU-level enforcement of incomplete contracts). Any possible outcome would “fit” the theory, rendering it immune to falsification. (Sandholtz and Stone Sweet, 2008</w:t>
      </w:r>
      <w:r w:rsidR="00BB38E0">
        <w:rPr>
          <w:sz w:val="23"/>
          <w:szCs w:val="23"/>
        </w:rPr>
        <w:t>:31</w:t>
      </w:r>
      <w:r w:rsidRPr="00DD63AC">
        <w:rPr>
          <w:sz w:val="23"/>
          <w:szCs w:val="23"/>
        </w:rPr>
        <w:t>)</w:t>
      </w:r>
    </w:p>
    <w:p w14:paraId="67171B23" w14:textId="040A6C08" w:rsidR="00C04B74" w:rsidRDefault="00C04B74" w:rsidP="00C04B74">
      <w:pPr>
        <w:ind w:firstLine="426"/>
      </w:pPr>
      <w:r w:rsidRPr="00C04B74">
        <w:t xml:space="preserve">This may be actually a problem if and only if the analytical process takes a pure ‘revealed preferences’ </w:t>
      </w:r>
      <w:r w:rsidR="007819AE" w:rsidRPr="00C04B74">
        <w:t>approach;</w:t>
      </w:r>
      <w:r w:rsidRPr="00C04B74">
        <w:t xml:space="preserve"> this is, if preferences within the nation-states are not explained. But, and here is when we are getting to the core of the conflict between the two major approaches, Moravcsik’s proposition should not be understood as much a theory as a framework to test other theories. And these theories should answer the question of why do states choose to integrate. In that sense, the framework explicitly leaves the door open for endogenous preference-formation propositions. When neo-functionalism confront Mor</w:t>
      </w:r>
      <w:r w:rsidRPr="00C04B74">
        <w:t>a</w:t>
      </w:r>
      <w:r w:rsidRPr="00C04B74">
        <w:t>vcsi</w:t>
      </w:r>
      <w:r w:rsidR="00D547F5">
        <w:t xml:space="preserve">k’s work, the answer seem to be that </w:t>
      </w:r>
      <w:r w:rsidRPr="00C04B74">
        <w:t>states do not choose to integrate, i</w:t>
      </w:r>
      <w:r w:rsidRPr="00C04B74">
        <w:t>n</w:t>
      </w:r>
      <w:r w:rsidRPr="00C04B74">
        <w:t>tegration happens even when it is n</w:t>
      </w:r>
      <w:r w:rsidR="00D547F5">
        <w:t>ot profitable for nation-states</w:t>
      </w:r>
      <w:r w:rsidRPr="00C04B74">
        <w:t>. This takes directly any neo-functionalist proposal out of the rationalist framework. But, again, while the concept of spillover may account for integration dynamics once power is delegated in a certain</w:t>
      </w:r>
      <w:r w:rsidR="0077224D">
        <w:t xml:space="preserve"> policy area to a superior cent</w:t>
      </w:r>
      <w:r w:rsidRPr="00C04B74">
        <w:t>r</w:t>
      </w:r>
      <w:r w:rsidR="0077224D">
        <w:t>e</w:t>
      </w:r>
      <w:r w:rsidRPr="00C04B74">
        <w:t>, it is not able to explain why this power was delegated in the first term. Neither fun</w:t>
      </w:r>
      <w:r w:rsidRPr="00C04B74">
        <w:t>c</w:t>
      </w:r>
      <w:r w:rsidRPr="00C04B74">
        <w:t>tional nor political spillovers can account for the ‘grand bargaining moment’ that is witnessed in every policy transfer, either in the EU o</w:t>
      </w:r>
      <w:r>
        <w:t>r in any other poli</w:t>
      </w:r>
      <w:r>
        <w:t>t</w:t>
      </w:r>
      <w:r>
        <w:t>ical union.</w:t>
      </w:r>
    </w:p>
    <w:p w14:paraId="2A81E9C6" w14:textId="5808A3D5" w:rsidR="00C04B74" w:rsidRDefault="00C04B74" w:rsidP="00C04B74">
      <w:pPr>
        <w:ind w:firstLine="426"/>
      </w:pPr>
      <w:r w:rsidRPr="00C04B74">
        <w:t>Still, these theoretical concepts may and are in fact useful if considered as preference formation mechanisms that condition the behavio</w:t>
      </w:r>
      <w:r w:rsidR="00921451">
        <w:t>u</w:t>
      </w:r>
      <w:r w:rsidRPr="00C04B74">
        <w:t>r of the go</w:t>
      </w:r>
      <w:r w:rsidRPr="00C04B74">
        <w:t>v</w:t>
      </w:r>
      <w:r w:rsidRPr="00C04B74">
        <w:t>ernments as well as determine the policymaking dynamics. This would mean an attempt to merge both paradigms but considering nation-states and their co</w:t>
      </w:r>
      <w:r w:rsidRPr="00C04B74">
        <w:t>n</w:t>
      </w:r>
      <w:r w:rsidRPr="00C04B74">
        <w:t>stituents as the ultimate actor for integration, thus putting liberal intergov</w:t>
      </w:r>
      <w:r w:rsidR="0077224D">
        <w:t>er</w:t>
      </w:r>
      <w:r w:rsidR="0077224D">
        <w:t>n</w:t>
      </w:r>
      <w:r w:rsidR="0077224D">
        <w:t>me</w:t>
      </w:r>
      <w:r w:rsidRPr="00C04B74">
        <w:t>ntalism in a superior level. And that is actually the starting point of my the</w:t>
      </w:r>
      <w:r w:rsidRPr="00C04B74">
        <w:t>o</w:t>
      </w:r>
      <w:r w:rsidRPr="00C04B74">
        <w:t xml:space="preserve">retical proposition. But before engaging into this, it is necessary to account for a previous attempt of theory integration, even when it will be only in order to </w:t>
      </w:r>
      <w:r>
        <w:t>see why shall I</w:t>
      </w:r>
      <w:r w:rsidRPr="00C04B74">
        <w:t xml:space="preserve"> </w:t>
      </w:r>
      <w:r w:rsidR="000F3E98">
        <w:t>not</w:t>
      </w:r>
      <w:r w:rsidRPr="00C04B74">
        <w:t xml:space="preserve"> </w:t>
      </w:r>
      <w:r w:rsidR="000F3E98">
        <w:t xml:space="preserve">take </w:t>
      </w:r>
      <w:r w:rsidRPr="00C04B74">
        <w:t>it</w:t>
      </w:r>
      <w:r w:rsidR="000F3E98">
        <w:t xml:space="preserve"> into consideration</w:t>
      </w:r>
      <w:r w:rsidRPr="00C04B74">
        <w:t>.</w:t>
      </w:r>
    </w:p>
    <w:p w14:paraId="6CB5717E" w14:textId="2647BBD8" w:rsidR="0077282B" w:rsidRDefault="0077282B" w:rsidP="0077282B">
      <w:pPr>
        <w:pStyle w:val="Heading2"/>
      </w:pPr>
      <w:bookmarkStart w:id="68" w:name="_Toc208145621"/>
      <w:r>
        <w:lastRenderedPageBreak/>
        <w:t xml:space="preserve">3.3 </w:t>
      </w:r>
      <w:r w:rsidRPr="0077282B">
        <w:t xml:space="preserve">Multi-level governance: where is the theoretical </w:t>
      </w:r>
      <w:r w:rsidR="00E9256A">
        <w:t>significance</w:t>
      </w:r>
      <w:r w:rsidRPr="0077282B">
        <w:t>?</w:t>
      </w:r>
      <w:bookmarkEnd w:id="68"/>
    </w:p>
    <w:p w14:paraId="57D04A0B" w14:textId="0FC43250" w:rsidR="0077282B" w:rsidRDefault="00E9256A" w:rsidP="00C04B74">
      <w:pPr>
        <w:ind w:firstLine="426"/>
      </w:pPr>
      <w:r w:rsidRPr="00E9256A">
        <w:t>The most relevant attempt to find an alternative path through the theore</w:t>
      </w:r>
      <w:r w:rsidRPr="00E9256A">
        <w:t>t</w:t>
      </w:r>
      <w:r w:rsidRPr="00E9256A">
        <w:t>ical dilemma starred by neo-fun</w:t>
      </w:r>
      <w:r w:rsidR="00BD3464">
        <w:t xml:space="preserve">ctionalists and liberal </w:t>
      </w:r>
      <w:r w:rsidR="00EE27CF">
        <w:t>intergover</w:t>
      </w:r>
      <w:r w:rsidR="00EE27CF" w:rsidRPr="00E9256A">
        <w:t>n</w:t>
      </w:r>
      <w:r w:rsidR="00EE27CF">
        <w:t>mentalists</w:t>
      </w:r>
      <w:r w:rsidRPr="00E9256A">
        <w:t xml:space="preserve"> is the so-called Multi-level Governance (MLG) approach. Gary Marks coined the term in 1993, defining it as</w:t>
      </w:r>
      <w:r>
        <w:t>:</w:t>
      </w:r>
    </w:p>
    <w:p w14:paraId="56CAA56C" w14:textId="4F389538" w:rsidR="00E9256A" w:rsidRPr="00821455" w:rsidRDefault="00E9256A" w:rsidP="00E9256A">
      <w:pPr>
        <w:ind w:left="426" w:firstLine="0"/>
        <w:rPr>
          <w:sz w:val="23"/>
          <w:szCs w:val="23"/>
        </w:rPr>
      </w:pPr>
      <w:r w:rsidRPr="00821455">
        <w:rPr>
          <w:sz w:val="23"/>
          <w:szCs w:val="23"/>
        </w:rPr>
        <w:t>A system of continuous negotiation among nested governments at several territorial tiers (Marks, 1993)</w:t>
      </w:r>
    </w:p>
    <w:p w14:paraId="48C15B83" w14:textId="08414223" w:rsidR="00E9256A" w:rsidRDefault="00E9256A" w:rsidP="00E9256A">
      <w:pPr>
        <w:ind w:firstLine="426"/>
      </w:pPr>
      <w:r w:rsidRPr="00E9256A">
        <w:t>The EU would follow a MLG structure with three primary layers: the s</w:t>
      </w:r>
      <w:r w:rsidRPr="00E9256A">
        <w:t>u</w:t>
      </w:r>
      <w:r w:rsidRPr="00E9256A">
        <w:t>pranational level, the national level and the regional level. Each of them would have an influence and veto power on the immediately following level. In fact, MLG framework derives from the idea of joint-decision trap (Scharpf, 1988), summarized in the existence of a veto capacity of the lower level as it has re</w:t>
      </w:r>
      <w:r w:rsidRPr="00E9256A">
        <w:t>p</w:t>
      </w:r>
      <w:r w:rsidRPr="00E9256A">
        <w:t>resentation i</w:t>
      </w:r>
      <w:r w:rsidR="00025038">
        <w:t>n the cent</w:t>
      </w:r>
      <w:r w:rsidRPr="00E9256A">
        <w:t>r</w:t>
      </w:r>
      <w:r w:rsidR="00025038">
        <w:t>e</w:t>
      </w:r>
      <w:r w:rsidRPr="00E9256A">
        <w:t xml:space="preserve"> and unanimity is required. This implies an interco</w:t>
      </w:r>
      <w:r w:rsidRPr="00E9256A">
        <w:t>n</w:t>
      </w:r>
      <w:r w:rsidRPr="00E9256A">
        <w:t>nection rather than a nested pattern for each level of government (Marks, 1996), and trans-level as well as trans-national associations exist.</w:t>
      </w:r>
    </w:p>
    <w:p w14:paraId="3B5235E9" w14:textId="732A7A67" w:rsidR="00E9256A" w:rsidRDefault="00E9256A" w:rsidP="00E9256A">
      <w:pPr>
        <w:ind w:firstLine="426"/>
      </w:pPr>
      <w:r w:rsidRPr="00E9256A">
        <w:t>When one approaches MLG from a comparative political economy pe</w:t>
      </w:r>
      <w:r w:rsidRPr="00E9256A">
        <w:t>r</w:t>
      </w:r>
      <w:r w:rsidRPr="00E9256A">
        <w:t>spective, the first question that comes up is in which way is a MLG system di</w:t>
      </w:r>
      <w:r w:rsidRPr="00E9256A">
        <w:t>f</w:t>
      </w:r>
      <w:r w:rsidRPr="00E9256A">
        <w:t>ferent from a federal union, with either pooled or delegated authority. In which sense does MLG capture a reality, for example the EU, better than the current descriptive tools available in our discipline? The essential problem with MLG is that there is little explanatory power in its p</w:t>
      </w:r>
      <w:r w:rsidR="005E7D07">
        <w:t>ropositions. As the concept of ‘federal union’</w:t>
      </w:r>
      <w:r w:rsidRPr="00E9256A">
        <w:t xml:space="preserve"> is merely descriptive, a MLG system is just a statement about a specific governance structure. In fact, as Stein (2008) states, MLG “can d</w:t>
      </w:r>
      <w:r w:rsidRPr="00E9256A">
        <w:t>e</w:t>
      </w:r>
      <w:r w:rsidRPr="00E9256A">
        <w:t>scribe indiscriminately any complex and multifaceted political process”</w:t>
      </w:r>
      <w:r w:rsidR="005E7D07">
        <w:t xml:space="preserve"> (Stein, 2008:11)</w:t>
      </w:r>
      <w:r w:rsidRPr="00E9256A">
        <w:t xml:space="preserve">. Thus, there is no capacity to offer explanations. Actually, even its potential as a framework, similar to Moravcsik’s proposition, should be put into </w:t>
      </w:r>
      <w:r w:rsidR="0087532C" w:rsidRPr="00E9256A">
        <w:t>question,</w:t>
      </w:r>
      <w:r w:rsidRPr="00E9256A">
        <w:t xml:space="preserve"> as there are no actors or interactions defined. The most co</w:t>
      </w:r>
      <w:r w:rsidRPr="00E9256A">
        <w:t>m</w:t>
      </w:r>
      <w:r w:rsidRPr="00E9256A">
        <w:t>plete and articulated offer of a MLG framework is made in Marks (1996). And, surprisingly, it is possible to track its main characteristic back to Moravcsik’s rationalist framework: the fact that states are not closed actors in the intern</w:t>
      </w:r>
      <w:r w:rsidRPr="00E9256A">
        <w:t>a</w:t>
      </w:r>
      <w:r w:rsidRPr="00E9256A">
        <w:t>tional arena but ‘elected politicians’ who depend on their internal constraints. Most of the time, MLG authors misunderstand liberal intergovernmentalism and relate it with neorealist theory only because it defines nation-states as the central actors for any integration process. For intergovernmentalists this is an instrumental assumption conditioned by the fact that it is at the national level where most policymaking locates and thus where voting and influencing elec</w:t>
      </w:r>
      <w:r w:rsidRPr="00E9256A">
        <w:t>t</w:t>
      </w:r>
      <w:r w:rsidRPr="00E9256A">
        <w:t>ed officials is more relevant.</w:t>
      </w:r>
    </w:p>
    <w:p w14:paraId="4F7D5C43" w14:textId="4709D60A" w:rsidR="00E9256A" w:rsidRDefault="00E9256A" w:rsidP="00E9256A">
      <w:pPr>
        <w:ind w:firstLine="426"/>
      </w:pPr>
      <w:r w:rsidRPr="00E9256A">
        <w:t xml:space="preserve">Apart from the (flawed) attack to a state-centric approach, the rest of the MLG framework focuses on policy-making. But </w:t>
      </w:r>
      <w:r w:rsidRPr="00BA6B02">
        <w:rPr>
          <w:i/>
        </w:rPr>
        <w:t>policy-making is not integration</w:t>
      </w:r>
      <w:r w:rsidRPr="00E9256A">
        <w:t>. The assumption of the existence of interconnected patterns with joint-decision traps, while remains explicative for how certain policy decisions are made, is rather irrelevant when it comes to the institutional choice, this is, the integr</w:t>
      </w:r>
      <w:r w:rsidRPr="00E9256A">
        <w:t>a</w:t>
      </w:r>
      <w:r w:rsidRPr="00E9256A">
        <w:t>tion (or not) of existing nation-states. If one follows the rest of Marks (1996), it is mostly a story of how policy decisions are taken, and not of how institutio</w:t>
      </w:r>
      <w:r w:rsidRPr="00E9256A">
        <w:t>n</w:t>
      </w:r>
      <w:r w:rsidRPr="00E9256A">
        <w:t xml:space="preserve">al, or better said, organizational choices are made. This is, from my point of view, the fundamental misunderstanding between theoretical frameworks for </w:t>
      </w:r>
      <w:r w:rsidRPr="00E9256A">
        <w:lastRenderedPageBreak/>
        <w:t>the European integration. And thus it should be my departure point to make an alternative proposition.</w:t>
      </w:r>
    </w:p>
    <w:p w14:paraId="28FE13D4" w14:textId="3B957148" w:rsidR="00E9256A" w:rsidRDefault="00E9256A" w:rsidP="00E9256A">
      <w:pPr>
        <w:pStyle w:val="Heading2"/>
      </w:pPr>
      <w:bookmarkStart w:id="69" w:name="_Toc208145622"/>
      <w:r>
        <w:t xml:space="preserve">3.4 </w:t>
      </w:r>
      <w:r w:rsidRPr="00E9256A">
        <w:t>A combined, two-level solution</w:t>
      </w:r>
      <w:bookmarkEnd w:id="69"/>
    </w:p>
    <w:p w14:paraId="436BAB63" w14:textId="1358D4CA" w:rsidR="0077282B" w:rsidRDefault="00E9256A" w:rsidP="00E9256A">
      <w:r w:rsidRPr="00E9256A">
        <w:t>There is an essential difference between a policy decision and an instit</w:t>
      </w:r>
      <w:r w:rsidRPr="00E9256A">
        <w:t>u</w:t>
      </w:r>
      <w:r w:rsidRPr="00E9256A">
        <w:t>tional arrangement. This difference is of course analytical, and may be summ</w:t>
      </w:r>
      <w:r w:rsidRPr="00E9256A">
        <w:t>a</w:t>
      </w:r>
      <w:r w:rsidRPr="00E9256A">
        <w:t>rized in the following statement: policy choices are about what to do, while institutional choices are about how and who is going to decide what to do. The distinction is important even when both dimensions are obviously related: ev</w:t>
      </w:r>
      <w:r w:rsidRPr="00E9256A">
        <w:t>e</w:t>
      </w:r>
      <w:r w:rsidRPr="00E9256A">
        <w:t>ry decision on what to do may or may not imply a reconsideration of how is this decision taken. But the difference should be kept for the sake of the anal</w:t>
      </w:r>
      <w:r w:rsidRPr="00E9256A">
        <w:t>y</w:t>
      </w:r>
      <w:r w:rsidRPr="00E9256A">
        <w:t>sis.</w:t>
      </w:r>
    </w:p>
    <w:p w14:paraId="51E81223" w14:textId="0363ECAE" w:rsidR="00E9256A" w:rsidRDefault="002A09A9" w:rsidP="00E9256A">
      <w:r w:rsidRPr="002A09A9">
        <w:t>At first sight, what seems to be at the core discussion between neo-functionalists, MLG and intergovernmentalists is the question of which is the role of the nation-state in the European integration process. This is a debate about how and who makes the policy decisions. A framework wanting to be fully functional and productive needs to answer to this question in order to avoid analytical emptiness. The tricky part is to do so without compromising too much, without making a theory beforehand. Enough room should be given for creating models that consider different degrees of power and relevance for the nation-states. But its role should be clarified in the causal chain of events.</w:t>
      </w:r>
    </w:p>
    <w:p w14:paraId="5C807318" w14:textId="200261F2" w:rsidR="00466ECF" w:rsidRDefault="00466ECF" w:rsidP="00E9256A">
      <w:r w:rsidRPr="00466ECF">
        <w:t>Both MLG and neo-functionalists aim to answer the ‘who’ question but at the same time they try to give a model of how policy choices are made. Co</w:t>
      </w:r>
      <w:r w:rsidRPr="00466ECF">
        <w:t>n</w:t>
      </w:r>
      <w:r w:rsidRPr="00466ECF">
        <w:t>versely, for intergovernmentalists, it is mostly about who takes the decision and why does the power move or n</w:t>
      </w:r>
      <w:r>
        <w:t>ot from one centre</w:t>
      </w:r>
      <w:r w:rsidRPr="00466ECF">
        <w:t xml:space="preserve"> to another. Let’s </w:t>
      </w:r>
      <w:r w:rsidR="007437E8">
        <w:t>go</w:t>
      </w:r>
      <w:r w:rsidRPr="00466ECF">
        <w:t xml:space="preserve"> back to Moravcsik’s proposition. The three phases of integration are fairly clear: first, preferences are formed within a nation-state. These preferences are </w:t>
      </w:r>
      <w:r w:rsidR="00BB5BDB">
        <w:t>aggregated and constitute what he</w:t>
      </w:r>
      <w:r w:rsidRPr="00466ECF">
        <w:t xml:space="preserve"> call</w:t>
      </w:r>
      <w:r w:rsidR="00BB5BDB">
        <w:t>s</w:t>
      </w:r>
      <w:r w:rsidR="002A5F6A">
        <w:t xml:space="preserve"> ‘national interest’</w:t>
      </w:r>
      <w:r w:rsidRPr="00466ECF">
        <w:t>. National interest is nothing but the position that the government will take in any international bargaining. When this happens, every single nation-state has a national interest to defend. The result will be a certain form of the arrangement maximizing each national interest within the available strategies and the feasible interaction. There is no attempt to explain why certain policies are chosen instead of others, but why does or does not interaction arise. Of course, it includes preference about the policies to make because the maximization of it will determine the likeliness of integration, but is not worried about the probability of these goals to finally be accomplished.</w:t>
      </w:r>
    </w:p>
    <w:p w14:paraId="059C5F9F" w14:textId="6F83DBD7" w:rsidR="00CB6990" w:rsidRDefault="00CB6990" w:rsidP="00E9256A">
      <w:r w:rsidRPr="00CB6990">
        <w:t xml:space="preserve">If we unpack the preference formation process, what we actually observe is a </w:t>
      </w:r>
      <w:r w:rsidR="00135B20">
        <w:t>mere preference aggregation</w:t>
      </w:r>
      <w:r w:rsidRPr="00CB6990">
        <w:t>. This process may take many forms (actual voting, public opinion and discussion, polls, mediation by mid-range org</w:t>
      </w:r>
      <w:r w:rsidR="007437E8">
        <w:t>aniz</w:t>
      </w:r>
      <w:r w:rsidR="007437E8">
        <w:t>a</w:t>
      </w:r>
      <w:r w:rsidR="007437E8">
        <w:t>tions such as trade unions</w:t>
      </w:r>
      <w:r w:rsidRPr="00CB6990">
        <w:t>), but in the end it is voting in the sense that the go</w:t>
      </w:r>
      <w:r w:rsidRPr="00CB6990">
        <w:t>v</w:t>
      </w:r>
      <w:r w:rsidRPr="00CB6990">
        <w:t>erning party will take a policy position within a median voter-like axis. It is not the work of analysts of international int</w:t>
      </w:r>
      <w:r w:rsidR="00135B20">
        <w:t>egration to understand or analys</w:t>
      </w:r>
      <w:r w:rsidRPr="00CB6990">
        <w:t>e this process further than how does this condition the formation of supranational arrangements, so this explanation should provide enough analytical power.</w:t>
      </w:r>
    </w:p>
    <w:p w14:paraId="746D7564" w14:textId="7982AA58" w:rsidR="00CB6990" w:rsidRDefault="00CB6990" w:rsidP="00E9256A">
      <w:r w:rsidRPr="00CB6990">
        <w:t>The core argument for d</w:t>
      </w:r>
      <w:r w:rsidR="00D15442">
        <w:t>efending functional spillovers relies on</w:t>
      </w:r>
      <w:r w:rsidRPr="00CB6990">
        <w:t xml:space="preserve"> the fact that these voting processes become actually supranational. Alliances would be created between citizens, organizations, companies, elites, etc. from different </w:t>
      </w:r>
      <w:r w:rsidRPr="00CB6990">
        <w:lastRenderedPageBreak/>
        <w:t xml:space="preserve">countries and thus ‘national interest’ would be surpassed by ‘class interest’, ‘ideological interest’, ‘sectorial interest’ or any other form of aggregation. These coalitions would push for a supranational solution if this </w:t>
      </w:r>
      <w:r w:rsidR="006E4635" w:rsidRPr="00CB6990">
        <w:t>were</w:t>
      </w:r>
      <w:r w:rsidRPr="00CB6990">
        <w:t xml:space="preserve"> non-existent, given the fact that </w:t>
      </w:r>
      <w:r w:rsidR="006E4635" w:rsidRPr="00CB6990">
        <w:t>the voters would regard such an option as more efficient</w:t>
      </w:r>
      <w:r w:rsidRPr="00CB6990">
        <w:t>. And here is where the decision-making process is faulty mixed with the instit</w:t>
      </w:r>
      <w:r w:rsidRPr="00CB6990">
        <w:t>u</w:t>
      </w:r>
      <w:r w:rsidRPr="00CB6990">
        <w:t>tional arrangement choice. Because how does this coalition for new policy goals arise in the first moment? Why in some areas and not in other? Which mechanisms do explain the shift (because it is a shift) from national interest to supranational action, or the other way around? What does explain even the deepening of any of these forms of integration without any shift?</w:t>
      </w:r>
    </w:p>
    <w:p w14:paraId="4A451A93" w14:textId="3EF9F2D3" w:rsidR="00720A67" w:rsidRDefault="00720A67" w:rsidP="00E9256A">
      <w:r w:rsidRPr="00720A67">
        <w:t xml:space="preserve">Paradoxically, the gatekeepers of the loss of sovereignty (the institutional choice) identified by spillovers are the </w:t>
      </w:r>
      <w:r w:rsidR="00624BB5">
        <w:t>nations</w:t>
      </w:r>
      <w:r w:rsidRPr="00720A67">
        <w:t>, or more specifically, their go</w:t>
      </w:r>
      <w:r w:rsidRPr="00720A67">
        <w:t>v</w:t>
      </w:r>
      <w:r w:rsidRPr="00720A67">
        <w:t>ernments, as stated. And if we consider them as fairly good aggregators of vo</w:t>
      </w:r>
      <w:r w:rsidRPr="00720A67">
        <w:t>t</w:t>
      </w:r>
      <w:r w:rsidRPr="00720A67">
        <w:t xml:space="preserve">ers’ preferences, then it is the constituents who finally decide. Thus, any theory aiming to explain an integration process should start from </w:t>
      </w:r>
      <w:r w:rsidR="006D3A11">
        <w:t>considering</w:t>
      </w:r>
      <w:r w:rsidRPr="00720A67">
        <w:t xml:space="preserve"> the cu</w:t>
      </w:r>
      <w:r w:rsidRPr="00720A67">
        <w:t>r</w:t>
      </w:r>
      <w:r w:rsidRPr="00720A67">
        <w:t>rent role of the nation-states regarding the policy areas that still retain within their sovereignty, as well as which ones, if any, have been moved to a supran</w:t>
      </w:r>
      <w:r w:rsidRPr="00720A67">
        <w:t>a</w:t>
      </w:r>
      <w:r w:rsidRPr="00720A67">
        <w:t>tional institution. This establishes a central, qualitative difference, and not i</w:t>
      </w:r>
      <w:r w:rsidRPr="00720A67">
        <w:t>n</w:t>
      </w:r>
      <w:r w:rsidRPr="00720A67">
        <w:t>cremental, between the existence or not of a delegated authority. The appar</w:t>
      </w:r>
      <w:r w:rsidRPr="00720A67">
        <w:t>i</w:t>
      </w:r>
      <w:r w:rsidRPr="00720A67">
        <w:t>tion of spillovers is then considered, but their beginning can only come from a ‘grand bargain’ between nation-states. It is actually a choice of institutional form, as what is being decided is how to decide and to whom direct the votes, the pressure and the complaints. Spillovers are relevant within these policy ar</w:t>
      </w:r>
      <w:r w:rsidRPr="00720A67">
        <w:t>e</w:t>
      </w:r>
      <w:r w:rsidRPr="00720A67">
        <w:t>as where the last resort has been passed to delegated authority.</w:t>
      </w:r>
      <w:r w:rsidR="00665D23">
        <w:t xml:space="preserve"> This is how and why</w:t>
      </w:r>
      <w:r w:rsidR="007437E8">
        <w:t xml:space="preserve"> </w:t>
      </w:r>
      <w:r w:rsidR="00A91322">
        <w:rPr>
          <w:b/>
        </w:rPr>
        <w:t>the i</w:t>
      </w:r>
      <w:r w:rsidR="00A91322" w:rsidRPr="00665D23">
        <w:rPr>
          <w:b/>
        </w:rPr>
        <w:t>ntergovernmental</w:t>
      </w:r>
      <w:r w:rsidR="00A91322">
        <w:rPr>
          <w:b/>
        </w:rPr>
        <w:t xml:space="preserve"> mechanism</w:t>
      </w:r>
      <w:r w:rsidR="00665D23" w:rsidRPr="00665D23">
        <w:rPr>
          <w:b/>
        </w:rPr>
        <w:t xml:space="preserve"> is locked in by itself</w:t>
      </w:r>
      <w:r w:rsidR="00665D23">
        <w:t>.</w:t>
      </w:r>
    </w:p>
    <w:p w14:paraId="6A4051C2" w14:textId="57643DE5" w:rsidR="00AE100F" w:rsidRDefault="00832140" w:rsidP="00AE100F">
      <w:r w:rsidRPr="00832140">
        <w:t>It will not be surprising if it’s shown how a parallel can be drawn between forms of sovereignty, Persson and Tabellini’s types of federal structure and the institutions that represent all of them within t</w:t>
      </w:r>
      <w:r>
        <w:t>he European integration process:</w:t>
      </w:r>
    </w:p>
    <w:p w14:paraId="408D5CC3" w14:textId="71D9C878" w:rsidR="00AE100F" w:rsidRDefault="00AE100F" w:rsidP="00AE100F">
      <w:pPr>
        <w:pStyle w:val="Caption"/>
        <w:keepNext/>
      </w:pPr>
      <w:bookmarkStart w:id="70" w:name="_Toc208070850"/>
      <w:proofErr w:type="gramStart"/>
      <w:r>
        <w:t xml:space="preserve">Table </w:t>
      </w:r>
      <w:r>
        <w:fldChar w:fldCharType="begin"/>
      </w:r>
      <w:r>
        <w:instrText xml:space="preserve"> STYLEREF 1 \s </w:instrText>
      </w:r>
      <w:r>
        <w:fldChar w:fldCharType="separate"/>
      </w:r>
      <w:r>
        <w:rPr>
          <w:noProof/>
        </w:rPr>
        <w:t>3</w:t>
      </w:r>
      <w:r>
        <w:fldChar w:fldCharType="end"/>
      </w:r>
      <w:r>
        <w:t>.</w:t>
      </w:r>
      <w:proofErr w:type="gramEnd"/>
      <w:r>
        <w:fldChar w:fldCharType="begin"/>
      </w:r>
      <w:r>
        <w:instrText xml:space="preserve"> SEQ Table \* ARABIC \s 1 </w:instrText>
      </w:r>
      <w:r>
        <w:fldChar w:fldCharType="separate"/>
      </w:r>
      <w:r>
        <w:rPr>
          <w:noProof/>
        </w:rPr>
        <w:t>1</w:t>
      </w:r>
      <w:r>
        <w:fldChar w:fldCharType="end"/>
      </w:r>
      <w:r>
        <w:br/>
      </w:r>
      <w:r w:rsidR="0089767D">
        <w:t>Forms of sovereignty and its correspondence with EU actors</w:t>
      </w:r>
      <w:bookmarkEnd w:id="70"/>
    </w:p>
    <w:tbl>
      <w:tblPr>
        <w:tblW w:w="0" w:type="auto"/>
        <w:jc w:val="center"/>
        <w:tblLook w:val="0000" w:firstRow="0" w:lastRow="0" w:firstColumn="0" w:lastColumn="0" w:noHBand="0" w:noVBand="0"/>
      </w:tblPr>
      <w:tblGrid>
        <w:gridCol w:w="2024"/>
        <w:gridCol w:w="2003"/>
        <w:gridCol w:w="2003"/>
      </w:tblGrid>
      <w:tr w:rsidR="00AE100F" w:rsidRPr="000F2F22" w14:paraId="4E3083CD" w14:textId="77777777" w:rsidTr="008F53AF">
        <w:trPr>
          <w:jc w:val="center"/>
        </w:trPr>
        <w:tc>
          <w:tcPr>
            <w:tcW w:w="2024" w:type="dxa"/>
            <w:tcBorders>
              <w:top w:val="single" w:sz="4" w:space="0" w:color="auto"/>
            </w:tcBorders>
            <w:vAlign w:val="bottom"/>
          </w:tcPr>
          <w:p w14:paraId="0A2C8427" w14:textId="20B3F3BA" w:rsidR="00AE100F" w:rsidRPr="000F2F22" w:rsidRDefault="00C67E5A" w:rsidP="008F53AF">
            <w:pPr>
              <w:spacing w:before="60"/>
              <w:ind w:firstLine="0"/>
              <w:rPr>
                <w:rFonts w:ascii="Trebuchet MS" w:hAnsi="Trebuchet MS" w:cs="Arial"/>
                <w:b/>
                <w:bCs/>
                <w:sz w:val="16"/>
                <w:szCs w:val="16"/>
              </w:rPr>
            </w:pPr>
            <w:r>
              <w:rPr>
                <w:rFonts w:ascii="Trebuchet MS" w:hAnsi="Trebuchet MS" w:cs="Arial"/>
                <w:b/>
                <w:bCs/>
                <w:sz w:val="16"/>
                <w:szCs w:val="16"/>
              </w:rPr>
              <w:t>Form of sovereignty</w:t>
            </w:r>
          </w:p>
        </w:tc>
        <w:tc>
          <w:tcPr>
            <w:tcW w:w="2003" w:type="dxa"/>
            <w:tcBorders>
              <w:top w:val="single" w:sz="4" w:space="0" w:color="auto"/>
            </w:tcBorders>
            <w:vAlign w:val="bottom"/>
          </w:tcPr>
          <w:p w14:paraId="68D68171" w14:textId="558DB62A" w:rsidR="00AE100F" w:rsidRPr="007B0DDE" w:rsidRDefault="00C67E5A" w:rsidP="008F53AF">
            <w:pPr>
              <w:pStyle w:val="Tableheader"/>
              <w:rPr>
                <w:rFonts w:cs="Arial"/>
                <w:b/>
              </w:rPr>
            </w:pPr>
            <w:r>
              <w:rPr>
                <w:b/>
              </w:rPr>
              <w:t>Pooled</w:t>
            </w:r>
          </w:p>
        </w:tc>
        <w:tc>
          <w:tcPr>
            <w:tcW w:w="2003" w:type="dxa"/>
            <w:tcBorders>
              <w:top w:val="single" w:sz="4" w:space="0" w:color="auto"/>
            </w:tcBorders>
            <w:vAlign w:val="bottom"/>
          </w:tcPr>
          <w:p w14:paraId="0830AB83" w14:textId="610A8663" w:rsidR="00AE100F" w:rsidRPr="000F2F22" w:rsidRDefault="00C67E5A" w:rsidP="008F53AF">
            <w:pPr>
              <w:pStyle w:val="Tableheader"/>
              <w:rPr>
                <w:rFonts w:cs="Arial"/>
              </w:rPr>
            </w:pPr>
            <w:r>
              <w:rPr>
                <w:b/>
              </w:rPr>
              <w:t>Delegated</w:t>
            </w:r>
          </w:p>
        </w:tc>
      </w:tr>
      <w:tr w:rsidR="00AE100F" w:rsidRPr="000F2F22" w14:paraId="4429F816" w14:textId="77777777" w:rsidTr="008F53AF">
        <w:trPr>
          <w:jc w:val="center"/>
        </w:trPr>
        <w:tc>
          <w:tcPr>
            <w:tcW w:w="2024" w:type="dxa"/>
            <w:vAlign w:val="bottom"/>
          </w:tcPr>
          <w:p w14:paraId="4BC31E93" w14:textId="6DE73CE2" w:rsidR="00AE100F" w:rsidRPr="000F2F22" w:rsidRDefault="00C67E5A" w:rsidP="00C67E5A">
            <w:pPr>
              <w:pStyle w:val="Tabletext"/>
              <w:ind w:left="215" w:hanging="215"/>
            </w:pPr>
            <w:r>
              <w:t>Type of federal structure</w:t>
            </w:r>
          </w:p>
        </w:tc>
        <w:tc>
          <w:tcPr>
            <w:tcW w:w="2003" w:type="dxa"/>
            <w:vAlign w:val="bottom"/>
          </w:tcPr>
          <w:p w14:paraId="1778C632" w14:textId="453EE00A" w:rsidR="00AE100F" w:rsidRPr="00233EB3" w:rsidRDefault="008F53AF" w:rsidP="008F53AF">
            <w:pPr>
              <w:pStyle w:val="Tabletext"/>
              <w:ind w:right="-89"/>
            </w:pPr>
            <w:r w:rsidRPr="008F53AF">
              <w:t>Inter-government bargain (horizontal)</w:t>
            </w:r>
          </w:p>
        </w:tc>
        <w:tc>
          <w:tcPr>
            <w:tcW w:w="2003" w:type="dxa"/>
            <w:vAlign w:val="bottom"/>
          </w:tcPr>
          <w:p w14:paraId="0F582902" w14:textId="2F1B83B1" w:rsidR="00AE100F" w:rsidRPr="00233EB3" w:rsidRDefault="008F53AF" w:rsidP="008F53AF">
            <w:pPr>
              <w:pStyle w:val="Tabletext"/>
              <w:ind w:right="71"/>
            </w:pPr>
            <w:r w:rsidRPr="008F53AF">
              <w:t>Centralized (vertical)</w:t>
            </w:r>
          </w:p>
        </w:tc>
      </w:tr>
      <w:tr w:rsidR="00AE100F" w:rsidRPr="000F2F22" w14:paraId="15998E96" w14:textId="77777777" w:rsidTr="008F53AF">
        <w:trPr>
          <w:jc w:val="center"/>
        </w:trPr>
        <w:tc>
          <w:tcPr>
            <w:tcW w:w="2024" w:type="dxa"/>
            <w:tcBorders>
              <w:bottom w:val="single" w:sz="4" w:space="0" w:color="auto"/>
            </w:tcBorders>
            <w:vAlign w:val="bottom"/>
          </w:tcPr>
          <w:p w14:paraId="17F1BC7D" w14:textId="3F1663D2" w:rsidR="00AE100F" w:rsidRPr="000F2F22" w:rsidRDefault="00C67E5A" w:rsidP="00C67E5A">
            <w:pPr>
              <w:pStyle w:val="Tabletext"/>
              <w:ind w:left="215" w:hanging="215"/>
            </w:pPr>
            <w:r>
              <w:t>Key actors</w:t>
            </w:r>
          </w:p>
        </w:tc>
        <w:tc>
          <w:tcPr>
            <w:tcW w:w="2003" w:type="dxa"/>
            <w:tcBorders>
              <w:bottom w:val="single" w:sz="4" w:space="0" w:color="auto"/>
            </w:tcBorders>
          </w:tcPr>
          <w:p w14:paraId="2FD8CF1E" w14:textId="7141B94E" w:rsidR="00AE100F" w:rsidRPr="00233EB3" w:rsidRDefault="008F53AF" w:rsidP="008F53AF">
            <w:pPr>
              <w:pStyle w:val="Tabletext"/>
              <w:ind w:right="-89"/>
            </w:pPr>
            <w:r w:rsidRPr="008F53AF">
              <w:t>Nation-state forums: Council of Ministers, E</w:t>
            </w:r>
            <w:r w:rsidRPr="008F53AF">
              <w:t>u</w:t>
            </w:r>
            <w:r w:rsidRPr="008F53AF">
              <w:t>ropean Council</w:t>
            </w:r>
          </w:p>
        </w:tc>
        <w:tc>
          <w:tcPr>
            <w:tcW w:w="2003" w:type="dxa"/>
            <w:tcBorders>
              <w:bottom w:val="single" w:sz="4" w:space="0" w:color="auto"/>
            </w:tcBorders>
          </w:tcPr>
          <w:p w14:paraId="2B8E8538" w14:textId="488E336B" w:rsidR="00AE100F" w:rsidRPr="00233EB3" w:rsidRDefault="00350825" w:rsidP="00350825">
            <w:pPr>
              <w:pStyle w:val="Tabletext"/>
              <w:ind w:right="-71"/>
            </w:pPr>
            <w:r w:rsidRPr="00350825">
              <w:t>Supranational organiz</w:t>
            </w:r>
            <w:r w:rsidRPr="00350825">
              <w:t>a</w:t>
            </w:r>
            <w:r w:rsidRPr="00350825">
              <w:t xml:space="preserve">tions: </w:t>
            </w:r>
            <w:r>
              <w:t>EC, EP, ECB</w:t>
            </w:r>
          </w:p>
        </w:tc>
      </w:tr>
    </w:tbl>
    <w:p w14:paraId="3EFFD0C8" w14:textId="77777777" w:rsidR="00AE100F" w:rsidRDefault="00AE100F" w:rsidP="00AE100F">
      <w:pPr>
        <w:pStyle w:val="Tablesourcenote"/>
      </w:pPr>
    </w:p>
    <w:p w14:paraId="76F95CA6" w14:textId="289D74E7" w:rsidR="00AE100F" w:rsidRPr="00683498" w:rsidRDefault="00AE100F" w:rsidP="00AE100F">
      <w:pPr>
        <w:pStyle w:val="Tablesourcenote"/>
      </w:pPr>
      <w:r w:rsidRPr="00D34CE3">
        <w:rPr>
          <w:i/>
        </w:rPr>
        <w:t>Source:</w:t>
      </w:r>
      <w:r w:rsidRPr="00D34CE3">
        <w:t xml:space="preserve"> </w:t>
      </w:r>
      <w:r w:rsidR="0089767D">
        <w:t>the author</w:t>
      </w:r>
    </w:p>
    <w:p w14:paraId="538E78A7" w14:textId="2CA768EC" w:rsidR="00AE100F" w:rsidRDefault="008A5575" w:rsidP="00E9256A">
      <w:r>
        <w:t>Within</w:t>
      </w:r>
      <w:r w:rsidR="00F46388" w:rsidRPr="00F46388">
        <w:t xml:space="preserve"> a pooled sovereignty scheme, policy decisions (what to do) are ta</w:t>
      </w:r>
      <w:r w:rsidR="00F46388" w:rsidRPr="00F46388">
        <w:t>k</w:t>
      </w:r>
      <w:r w:rsidR="00F46388" w:rsidRPr="00F46388">
        <w:t>en under the intergovernmental bargaining form. But when we are in a delega</w:t>
      </w:r>
      <w:r w:rsidR="00F46388" w:rsidRPr="00F46388">
        <w:t>t</w:t>
      </w:r>
      <w:r w:rsidR="00F46388" w:rsidRPr="00F46388">
        <w:t>ed scheme with a central decision point, spillovers are activated through the formation of transnational voters’ coalitions. If the division between both lines is trespassed this would constitute a ‘shift moment’ (an institutional change) that can only be explained as a constituents’ decision through the nation-state if the departing point is an inter-government scheme. The analytical implic</w:t>
      </w:r>
      <w:r w:rsidR="00F46388" w:rsidRPr="00F46388">
        <w:t>a</w:t>
      </w:r>
      <w:r w:rsidR="00F46388" w:rsidRPr="00F46388">
        <w:t xml:space="preserve">tions of this fact is that rationalist framework models </w:t>
      </w:r>
      <w:r w:rsidR="00F46388" w:rsidRPr="00D84BD5">
        <w:rPr>
          <w:i/>
        </w:rPr>
        <w:t>a la</w:t>
      </w:r>
      <w:r w:rsidR="00F46388" w:rsidRPr="00F46388">
        <w:t xml:space="preserve"> Moravksic should be used both for understanding policy decisions when taken under a inter-government structure and for explaining any possible ‘shift’ towards a different form of integration. Spillover dynamics will suit better the policy decisions and </w:t>
      </w:r>
      <w:r w:rsidR="00F46388" w:rsidRPr="00F46388">
        <w:lastRenderedPageBreak/>
        <w:t>any hypothetical increase or decrease in within policy areas with delegated a</w:t>
      </w:r>
      <w:r w:rsidR="00F46388" w:rsidRPr="00F46388">
        <w:t>u</w:t>
      </w:r>
      <w:r w:rsidR="00F46388" w:rsidRPr="00F46388">
        <w:t>thority</w:t>
      </w:r>
      <w:r w:rsidR="00F46388">
        <w:rPr>
          <w:rStyle w:val="FootnoteReference"/>
        </w:rPr>
        <w:footnoteReference w:id="5"/>
      </w:r>
      <w:r w:rsidR="00F46388">
        <w:t>.</w:t>
      </w:r>
    </w:p>
    <w:p w14:paraId="0A29BA7B" w14:textId="50484DBF" w:rsidR="00D214F4" w:rsidRDefault="00D214F4" w:rsidP="00E9256A">
      <w:r w:rsidRPr="00D214F4">
        <w:t xml:space="preserve">In absolute terms, these </w:t>
      </w:r>
      <w:r w:rsidR="00432D07">
        <w:t>may seem to be</w:t>
      </w:r>
      <w:r w:rsidRPr="00D214F4">
        <w:t xml:space="preserve"> two competing, different models of integration. In reality it is possible to witness a combination of both within the same polity union, and even applied to the same policy area. But the long-term tendency will always be towards one, the other, or the ‘point 0’ for both options, meaning total national sovereignty. And what worries us here is the direction of this tendency given the preferences and strategies of constituents. In the EU, the fact is that both models explain different policies. Agricultural, environmental, and monetary are three relevant examples of delegated policies d</w:t>
      </w:r>
      <w:r w:rsidR="00B64B6C">
        <w:t>ecided at a supranational centre</w:t>
      </w:r>
      <w:r w:rsidRPr="00D214F4">
        <w:t xml:space="preserve"> that generate transnational alliances of co</w:t>
      </w:r>
      <w:r w:rsidRPr="00D214F4">
        <w:t>n</w:t>
      </w:r>
      <w:r w:rsidRPr="00D214F4">
        <w:t>stituents, particularly clear and graphic when any modification of agricultural subsidies appears. But security policy, fiscal policy, (most of) international rel</w:t>
      </w:r>
      <w:r w:rsidRPr="00D214F4">
        <w:t>a</w:t>
      </w:r>
      <w:r w:rsidRPr="00D214F4">
        <w:t>tions, education, health and most of the usual areas controlled by the public sector follow a pooled sovereignty scheme, with goals and means only ba</w:t>
      </w:r>
      <w:r w:rsidRPr="00D214F4">
        <w:t>r</w:t>
      </w:r>
      <w:r w:rsidRPr="00D214F4">
        <w:t>gained when needed. This division may be defined as a ‘two-level’ union. U</w:t>
      </w:r>
      <w:r w:rsidRPr="00D214F4">
        <w:t>n</w:t>
      </w:r>
      <w:r w:rsidRPr="00D214F4">
        <w:t xml:space="preserve">like MLG schemes, here ‘levels’ </w:t>
      </w:r>
      <w:r w:rsidR="00B302FE">
        <w:t>neither</w:t>
      </w:r>
      <w:r w:rsidRPr="00D214F4">
        <w:t xml:space="preserve"> parallel </w:t>
      </w:r>
      <w:r w:rsidR="00B302FE">
        <w:t>nor</w:t>
      </w:r>
      <w:r w:rsidRPr="00D214F4">
        <w:t xml:space="preserve"> interconnected</w:t>
      </w:r>
      <w:r w:rsidR="00B302FE">
        <w:t>, and inter-</w:t>
      </w:r>
      <w:r w:rsidR="00B64B6C">
        <w:t>governmental</w:t>
      </w:r>
      <w:r w:rsidR="00B302FE">
        <w:t xml:space="preserve"> mechanism has a hierarchical superiority in terms of explaining how decisions are made</w:t>
      </w:r>
      <w:r w:rsidRPr="00D214F4">
        <w:t>. As we will see later, this two-level situation has been evolving with the story of European integration, but the existence of such a difference has remained stable from the very beginning of the process.</w:t>
      </w:r>
    </w:p>
    <w:p w14:paraId="3A026B04" w14:textId="2B4DAD00" w:rsidR="00D214F4" w:rsidRDefault="00D214F4" w:rsidP="00E9256A">
      <w:r w:rsidRPr="00D214F4">
        <w:t xml:space="preserve">Intuitively, different tools should be used when analysing the behaviour in each level. If this work would be about </w:t>
      </w:r>
      <w:r>
        <w:t>analysing</w:t>
      </w:r>
      <w:r w:rsidRPr="00D214F4">
        <w:t xml:space="preserve"> the developments on Co</w:t>
      </w:r>
      <w:r w:rsidRPr="00D214F4">
        <w:t>m</w:t>
      </w:r>
      <w:r w:rsidRPr="00D214F4">
        <w:t xml:space="preserve">mon Agricultural Policy and how a delegated </w:t>
      </w:r>
      <w:r>
        <w:t>centre</w:t>
      </w:r>
      <w:r w:rsidRPr="00D214F4">
        <w:t xml:space="preserve"> has increasingly been gai</w:t>
      </w:r>
      <w:r w:rsidRPr="00D214F4">
        <w:t>n</w:t>
      </w:r>
      <w:r w:rsidRPr="00D214F4">
        <w:t>ing power on these areas during the last years or decades, the role of the n</w:t>
      </w:r>
      <w:r w:rsidRPr="00D214F4">
        <w:t>a</w:t>
      </w:r>
      <w:r w:rsidRPr="00D214F4">
        <w:t xml:space="preserve">tion-state would be taken for granted and focus would move to supra-national organizations and how the transnational coalitions act or not in </w:t>
      </w:r>
      <w:r>
        <w:t>favour</w:t>
      </w:r>
      <w:r w:rsidRPr="00D214F4">
        <w:t xml:space="preserve"> both for more integration and the pursue of determined policy goals.</w:t>
      </w:r>
    </w:p>
    <w:p w14:paraId="2BED4C1B" w14:textId="32D43B5C" w:rsidR="00432D07" w:rsidRDefault="00EC4C39" w:rsidP="00E9256A">
      <w:r>
        <w:t>W</w:t>
      </w:r>
      <w:r w:rsidR="00432D07">
        <w:t>hen a solution to a grand barga</w:t>
      </w:r>
      <w:r>
        <w:t xml:space="preserve">in is reached, the move </w:t>
      </w:r>
      <w:r w:rsidR="00432D07">
        <w:t>towards a diffe</w:t>
      </w:r>
      <w:r w:rsidR="00432D07">
        <w:t>r</w:t>
      </w:r>
      <w:r w:rsidR="00432D07">
        <w:t>ent form of integration won’t be obvious. What we need to do is to understand first if this solution, if the new equilibrium, set the missing condition for act</w:t>
      </w:r>
      <w:r w:rsidR="00432D07">
        <w:t>i</w:t>
      </w:r>
      <w:r w:rsidR="00432D07">
        <w:t>vating the institutional process that will provoke the shift. Which is this cond</w:t>
      </w:r>
      <w:r w:rsidR="00432D07">
        <w:t>i</w:t>
      </w:r>
      <w:r w:rsidR="00432D07">
        <w:t xml:space="preserve">tion? </w:t>
      </w:r>
      <w:r w:rsidR="00432D07" w:rsidRPr="00FD79F4">
        <w:rPr>
          <w:b/>
        </w:rPr>
        <w:t>Once total integration throug</w:t>
      </w:r>
      <w:r w:rsidR="004E61FF" w:rsidRPr="00FD79F4">
        <w:rPr>
          <w:b/>
        </w:rPr>
        <w:t>h inter-government is achieved and it is proven that no more sovereignty can be lost, governments will be in disposition to take</w:t>
      </w:r>
      <w:r w:rsidR="00BA0DCF" w:rsidRPr="00FD79F4">
        <w:rPr>
          <w:b/>
        </w:rPr>
        <w:t xml:space="preserve"> the step for delegation</w:t>
      </w:r>
      <w:r w:rsidR="00BA0DCF">
        <w:t>.</w:t>
      </w:r>
    </w:p>
    <w:p w14:paraId="4D27F601" w14:textId="1959418D" w:rsidR="00850D3F" w:rsidRDefault="003651EA" w:rsidP="00850D3F">
      <w:pPr>
        <w:pStyle w:val="Numberedtext"/>
        <w:numPr>
          <w:ilvl w:val="0"/>
          <w:numId w:val="0"/>
        </w:numPr>
        <w:tabs>
          <w:tab w:val="clear" w:pos="425"/>
          <w:tab w:val="left" w:pos="720"/>
        </w:tabs>
        <w:ind w:firstLine="426"/>
      </w:pPr>
      <w:r>
        <w:t xml:space="preserve">According with </w:t>
      </w:r>
      <w:r w:rsidR="00850D3F" w:rsidRPr="00850D3F">
        <w:t xml:space="preserve">the previous reasoning, is considering ‘national interest’ composed by intra-nation voters’ and elites’ alliances as the key gatekeeper for </w:t>
      </w:r>
      <w:r w:rsidR="00850D3F" w:rsidRPr="00850D3F">
        <w:lastRenderedPageBreak/>
        <w:t xml:space="preserve">more or less integration. Thus, we will adopt </w:t>
      </w:r>
      <w:r w:rsidR="00B64B6C" w:rsidRPr="00850D3F">
        <w:t>Moravcsik’s</w:t>
      </w:r>
      <w:r w:rsidR="00850D3F" w:rsidRPr="00850D3F">
        <w:t xml:space="preserve"> rationalist framework in order to follow the specified steps, </w:t>
      </w:r>
      <w:r w:rsidR="00FD79F4">
        <w:t>but</w:t>
      </w:r>
      <w:r w:rsidR="00CB0ECC">
        <w:t xml:space="preserve"> acknowledging the fact th</w:t>
      </w:r>
      <w:r w:rsidR="00B81D5C">
        <w:t>at the res</w:t>
      </w:r>
      <w:r w:rsidR="00B81D5C">
        <w:t>o</w:t>
      </w:r>
      <w:r w:rsidR="00B81D5C">
        <w:t>lution for the game is not by itself a shift or a permanency within the inter-governmental framework</w:t>
      </w:r>
      <w:r w:rsidR="00850D3F" w:rsidRPr="00850D3F">
        <w:t>.</w:t>
      </w:r>
      <w:r w:rsidR="00B81D5C">
        <w:t xml:space="preserve"> </w:t>
      </w:r>
      <w:r w:rsidR="006E1CDF">
        <w:t>A game cannot change the rules under it works, but can show that the actors are in the right situation for changing them</w:t>
      </w:r>
    </w:p>
    <w:p w14:paraId="55B5DE4D" w14:textId="729401BE" w:rsidR="00840754" w:rsidRDefault="00840754" w:rsidP="00850D3F">
      <w:pPr>
        <w:pStyle w:val="Numberedtext"/>
        <w:numPr>
          <w:ilvl w:val="0"/>
          <w:numId w:val="0"/>
        </w:numPr>
        <w:tabs>
          <w:tab w:val="clear" w:pos="425"/>
          <w:tab w:val="left" w:pos="720"/>
        </w:tabs>
        <w:ind w:firstLine="426"/>
      </w:pPr>
      <w:r w:rsidRPr="00840754">
        <w:t xml:space="preserve">As this will appear clear to the </w:t>
      </w:r>
      <w:r w:rsidR="00B64B6C" w:rsidRPr="00840754">
        <w:t>epistemologically aware</w:t>
      </w:r>
      <w:r w:rsidRPr="00840754">
        <w:t xml:space="preserve"> reader, mine is a r</w:t>
      </w:r>
      <w:r w:rsidRPr="00840754">
        <w:t>a</w:t>
      </w:r>
      <w:r w:rsidRPr="00840754">
        <w:t>ther clear rational-choice institutionalist (RCI) approach that will end up pr</w:t>
      </w:r>
      <w:r w:rsidRPr="00840754">
        <w:t>o</w:t>
      </w:r>
      <w:r w:rsidRPr="00840754">
        <w:t xml:space="preserve">ducing a complete information game where states will play their strategies as synthesis of voters’ preferences. </w:t>
      </w:r>
      <w:r w:rsidR="00223E0C">
        <w:t>The equilibrium solution will show the cond</w:t>
      </w:r>
      <w:r w:rsidR="00223E0C">
        <w:t>i</w:t>
      </w:r>
      <w:r w:rsidR="00223E0C">
        <w:t xml:space="preserve">tions for the shift towards a centralized union, but nothing else. </w:t>
      </w:r>
      <w:r w:rsidRPr="00840754">
        <w:t xml:space="preserve">So far, with the theoretical framework proposed, I have satisfied the definition of the two-level EU (one with pooled sovereignty mechanisms and other with delegated sovereignty methods) depending on which policy is on the spot. Regarding the fact that the present policy functions under pooled mechanisms, once the game is set up (section 5 of the present work), the ‘grand bargain’ about the </w:t>
      </w:r>
      <w:r w:rsidR="00223E0C">
        <w:t xml:space="preserve">conditions for a change in the </w:t>
      </w:r>
      <w:r w:rsidRPr="00840754">
        <w:t xml:space="preserve">institutional </w:t>
      </w:r>
      <w:r w:rsidR="00223E0C">
        <w:t>form</w:t>
      </w:r>
      <w:r w:rsidRPr="00840754">
        <w:t xml:space="preserve"> wil</w:t>
      </w:r>
      <w:r w:rsidR="00223E0C">
        <w:t xml:space="preserve">l be solved, equilibriums found, the comeback to theory will be possible and thus </w:t>
      </w:r>
      <w:r w:rsidRPr="00840754">
        <w:t xml:space="preserve">hypothesis for the shift to a delegated sovereignty structure </w:t>
      </w:r>
      <w:r w:rsidR="00223E0C">
        <w:t xml:space="preserve">will be </w:t>
      </w:r>
      <w:r w:rsidRPr="00840754">
        <w:t xml:space="preserve">tested. But before that, a step is missing. And </w:t>
      </w:r>
      <w:r w:rsidR="00CE5ECC" w:rsidRPr="00840754">
        <w:t>just using the usual methods of RCI cannot fulfil this step</w:t>
      </w:r>
      <w:r w:rsidR="00AE4B1B">
        <w:t xml:space="preserve">: how do we get to this lock-in </w:t>
      </w:r>
      <w:r w:rsidRPr="00840754">
        <w:t>point? What is the path followed by the Old Cont</w:t>
      </w:r>
      <w:r w:rsidRPr="00840754">
        <w:t>i</w:t>
      </w:r>
      <w:r w:rsidRPr="00840754">
        <w:t>nent that explains the institutional situation? And in which specific organiz</w:t>
      </w:r>
      <w:r w:rsidRPr="00840754">
        <w:t>a</w:t>
      </w:r>
      <w:r w:rsidRPr="00840754">
        <w:t>tions has this path crystallized?</w:t>
      </w:r>
    </w:p>
    <w:p w14:paraId="1D5B78F6" w14:textId="264112AB" w:rsidR="00840754" w:rsidRDefault="00840754" w:rsidP="00850D3F">
      <w:pPr>
        <w:pStyle w:val="Numberedtext"/>
        <w:numPr>
          <w:ilvl w:val="0"/>
          <w:numId w:val="0"/>
        </w:numPr>
        <w:tabs>
          <w:tab w:val="clear" w:pos="425"/>
          <w:tab w:val="left" w:pos="720"/>
        </w:tabs>
        <w:ind w:firstLine="426"/>
      </w:pPr>
      <w:r w:rsidRPr="00840754">
        <w:t xml:space="preserve">In a quest for deepening the context-aware analysis that we started in this last section, these questions will apparently take us out of the played game. </w:t>
      </w:r>
      <w:r w:rsidR="002A5F6A">
        <w:t>As “a</w:t>
      </w:r>
      <w:r w:rsidRPr="00840754">
        <w:t>ctors may be in a strong initial position, seek to maximize their interests, and nevertheless carry out institutional and policy reforms that fundamentally transform their own positions (or those of their successors) in ways that are unanticipated” (Pierson, 1996</w:t>
      </w:r>
      <w:r w:rsidR="00932190">
        <w:t>:7</w:t>
      </w:r>
      <w:r w:rsidRPr="00840754">
        <w:t>). And this happens towards constraints and definitions of new opportunities. Thus, “the current functioning of institutions cannot be [only] derived from the aspirations of the original designers” (Pierson, 1996</w:t>
      </w:r>
      <w:r w:rsidR="00897E12">
        <w:t>:6</w:t>
      </w:r>
      <w:r w:rsidRPr="00840754">
        <w:t xml:space="preserve">). This does not invalidate the rational choice framework. I would even argue that it </w:t>
      </w:r>
      <w:r w:rsidR="005D3061">
        <w:t xml:space="preserve">makes it </w:t>
      </w:r>
      <w:r w:rsidRPr="00840754">
        <w:t>stronger. A simple, weak form of bounded rationality as a starting point that takes seriously the role of time (previous ite</w:t>
      </w:r>
      <w:r w:rsidRPr="00840754">
        <w:t>r</w:t>
      </w:r>
      <w:r w:rsidRPr="00840754">
        <w:t>ations of the same or other games) in the way it shapes the available options. Then, this should not be understood as a contradiction with methodological individualism</w:t>
      </w:r>
      <w:r>
        <w:rPr>
          <w:rStyle w:val="FootnoteReference"/>
        </w:rPr>
        <w:footnoteReference w:id="6"/>
      </w:r>
      <w:r>
        <w:t>.</w:t>
      </w:r>
    </w:p>
    <w:p w14:paraId="55DB993F" w14:textId="30147F3B" w:rsidR="002A0626" w:rsidRDefault="002A0626" w:rsidP="00850D3F">
      <w:pPr>
        <w:pStyle w:val="Numberedtext"/>
        <w:numPr>
          <w:ilvl w:val="0"/>
          <w:numId w:val="0"/>
        </w:numPr>
        <w:tabs>
          <w:tab w:val="clear" w:pos="425"/>
          <w:tab w:val="left" w:pos="720"/>
        </w:tabs>
        <w:ind w:firstLine="426"/>
      </w:pPr>
      <w:r w:rsidRPr="002A0626">
        <w:lastRenderedPageBreak/>
        <w:t>Within this, an adequate analytical toolbox for my purposes is David Co</w:t>
      </w:r>
      <w:r w:rsidRPr="002A0626">
        <w:t>l</w:t>
      </w:r>
      <w:r w:rsidRPr="002A0626">
        <w:t>lier’s development of the idea of ‘critical juncture’, a key moment of transition for a political flow of events when decisions taken consolidate the course of the process making reversal difficult and/or costly. It is through a set of fu</w:t>
      </w:r>
      <w:r w:rsidRPr="002A0626">
        <w:t>n</w:t>
      </w:r>
      <w:r w:rsidRPr="002A0626">
        <w:t>damental mechanisms that this happens: lock-in (increasing cost of change), increasing returns (in every iteration repeating the strategy yields more ben</w:t>
      </w:r>
      <w:r w:rsidRPr="002A0626">
        <w:t>e</w:t>
      </w:r>
      <w:r w:rsidRPr="002A0626">
        <w:t>fits), positive feedback or self-reinforcement (an spiral loop where from a small change on the process is magnified through repetition). In the following se</w:t>
      </w:r>
      <w:r w:rsidRPr="002A0626">
        <w:t>c</w:t>
      </w:r>
      <w:r w:rsidRPr="002A0626">
        <w:t xml:space="preserve">tion I will briefly </w:t>
      </w:r>
      <w:r w:rsidR="00A46846" w:rsidRPr="002A0626">
        <w:t>analyse</w:t>
      </w:r>
      <w:r w:rsidRPr="002A0626">
        <w:t xml:space="preserve"> the consolidation of decision-making institutions du</w:t>
      </w:r>
      <w:r w:rsidRPr="002A0626">
        <w:t>r</w:t>
      </w:r>
      <w:r w:rsidRPr="002A0626">
        <w:t>ing the EU integration process using all these tools in order to complete the explanation of the</w:t>
      </w:r>
      <w:r w:rsidR="00AE4B1B">
        <w:t xml:space="preserve"> locked-in</w:t>
      </w:r>
      <w:r w:rsidRPr="002A0626">
        <w:t xml:space="preserve"> ‘rules of the game’ before the game (affecting th</w:t>
      </w:r>
      <w:r w:rsidRPr="002A0626">
        <w:t>e</w:t>
      </w:r>
      <w:r w:rsidRPr="002A0626">
        <w:t>se same rules) is played</w:t>
      </w:r>
      <w:r>
        <w:t>.</w:t>
      </w:r>
    </w:p>
    <w:p w14:paraId="44470626" w14:textId="6A2E38D0" w:rsidR="00AE396A" w:rsidRDefault="00AE396A" w:rsidP="00AE396A">
      <w:pPr>
        <w:pStyle w:val="Heading1"/>
      </w:pPr>
      <w:r>
        <w:lastRenderedPageBreak/>
        <w:br/>
      </w:r>
      <w:bookmarkStart w:id="71" w:name="_Toc208145623"/>
      <w:r w:rsidR="00650ABE" w:rsidRPr="00650ABE">
        <w:t>The historical reasons and the ideational path to the two-level EU</w:t>
      </w:r>
      <w:bookmarkEnd w:id="71"/>
    </w:p>
    <w:p w14:paraId="58BC20E6" w14:textId="176D45C8" w:rsidR="00AE396A" w:rsidRDefault="00650ABE" w:rsidP="00850D3F">
      <w:pPr>
        <w:pStyle w:val="Numberedtext"/>
        <w:numPr>
          <w:ilvl w:val="0"/>
          <w:numId w:val="0"/>
        </w:numPr>
        <w:tabs>
          <w:tab w:val="clear" w:pos="425"/>
          <w:tab w:val="left" w:pos="720"/>
        </w:tabs>
        <w:ind w:firstLine="426"/>
      </w:pPr>
      <w:r w:rsidRPr="00650ABE">
        <w:t>Critical junctures are the key moments that make the institutional order emerge and consolidate, becoming the framework, the rules for the game</w:t>
      </w:r>
      <w:r w:rsidR="00124671">
        <w:t xml:space="preserve"> (Co</w:t>
      </w:r>
      <w:r w:rsidR="00124671">
        <w:t>l</w:t>
      </w:r>
      <w:r w:rsidR="00124671">
        <w:t>lier and Collier, 1991)</w:t>
      </w:r>
      <w:r w:rsidRPr="00650ABE">
        <w:t>. This is visible through explicit organizational arrang</w:t>
      </w:r>
      <w:r w:rsidRPr="00650ABE">
        <w:t>e</w:t>
      </w:r>
      <w:r w:rsidRPr="00650ABE">
        <w:t>ments that consolidate the dual structure of the EU. The two acting mech</w:t>
      </w:r>
      <w:r w:rsidRPr="00650ABE">
        <w:t>a</w:t>
      </w:r>
      <w:r w:rsidRPr="00650ABE">
        <w:t>nisms are apparently contradictory, but as I will show they reinforce each other through parallel interaction: inter-governmental method has become locked-in as the fundamental bargaining system for deciding policies as well as the rules of the negotiation.</w:t>
      </w:r>
      <w:r w:rsidR="00AE4B1B">
        <w:t xml:space="preserve"> This tend</w:t>
      </w:r>
      <w:r w:rsidR="00447329">
        <w:t>s</w:t>
      </w:r>
      <w:r w:rsidR="00AE4B1B">
        <w:t xml:space="preserve"> to lock the duality and particularly makes </w:t>
      </w:r>
      <w:r w:rsidR="00124671">
        <w:t>inte</w:t>
      </w:r>
      <w:r w:rsidR="00124671">
        <w:t>r</w:t>
      </w:r>
      <w:r w:rsidR="00124671">
        <w:t>governmental</w:t>
      </w:r>
      <w:r w:rsidR="00AE4B1B">
        <w:t xml:space="preserve"> bargain the key decision mechanism for both policymaking and institutional design.</w:t>
      </w:r>
      <w:r w:rsidRPr="00650ABE">
        <w:t xml:space="preserve"> At the same time positive feedback and increasing returns dynamics have allowed delegation in several policy areas to centralized instit</w:t>
      </w:r>
      <w:r w:rsidRPr="00650ABE">
        <w:t>u</w:t>
      </w:r>
      <w:r w:rsidRPr="00650ABE">
        <w:t>tions in Brussels that are improving their autonomy from inter-government decisions.</w:t>
      </w:r>
      <w:r w:rsidR="00835905">
        <w:t xml:space="preserve"> </w:t>
      </w:r>
    </w:p>
    <w:p w14:paraId="512F8387" w14:textId="479F4BD1" w:rsidR="00650ABE" w:rsidRDefault="00650ABE" w:rsidP="00850D3F">
      <w:pPr>
        <w:pStyle w:val="Numberedtext"/>
        <w:numPr>
          <w:ilvl w:val="0"/>
          <w:numId w:val="0"/>
        </w:numPr>
        <w:tabs>
          <w:tab w:val="clear" w:pos="425"/>
          <w:tab w:val="left" w:pos="720"/>
        </w:tabs>
        <w:ind w:firstLine="426"/>
      </w:pPr>
      <w:r w:rsidRPr="00650ABE">
        <w:t>It is of course not the goal of this section to give a complete account of EU’s history, but a tracing of the mentioned tension through the integration process. And the most effective way to do so is using the different Treaties that conform the fundamenta</w:t>
      </w:r>
      <w:r w:rsidR="00AE4B1B">
        <w:t xml:space="preserve">l legal </w:t>
      </w:r>
      <w:r w:rsidRPr="00650ABE">
        <w:t xml:space="preserve">body of the </w:t>
      </w:r>
      <w:r w:rsidR="00447329" w:rsidRPr="00650ABE">
        <w:t>Union,</w:t>
      </w:r>
      <w:r w:rsidRPr="00650ABE">
        <w:t xml:space="preserve"> as they are nothing but the most clear and basic compilation of both the outcome of bargaining and spillover processes and, at the same time, contain the definition of the agreed rules of the game.</w:t>
      </w:r>
    </w:p>
    <w:p w14:paraId="669910CD" w14:textId="77777777" w:rsidR="004000E0" w:rsidRDefault="004000E0" w:rsidP="004000E0">
      <w:pPr>
        <w:pStyle w:val="Heading2"/>
      </w:pPr>
      <w:bookmarkStart w:id="72" w:name="_Toc208145624"/>
      <w:r>
        <w:t>4.1 The (old) roots for the two-level EU: 1950s-1990s</w:t>
      </w:r>
      <w:bookmarkEnd w:id="72"/>
    </w:p>
    <w:p w14:paraId="19266802" w14:textId="14E11928" w:rsidR="004000E0" w:rsidRDefault="004000E0" w:rsidP="004000E0">
      <w:pPr>
        <w:pStyle w:val="Numberedtext"/>
        <w:numPr>
          <w:ilvl w:val="0"/>
          <w:numId w:val="0"/>
        </w:numPr>
        <w:tabs>
          <w:tab w:val="clear" w:pos="425"/>
          <w:tab w:val="left" w:pos="720"/>
        </w:tabs>
        <w:ind w:firstLine="426"/>
      </w:pPr>
      <w:r w:rsidRPr="00650ABE">
        <w:t>The policymakers known as the ‘founding fathers’ or principal architects of the European Union, with special mention for Jean Monnet (high rank French public servant) and Robert Schuman (French Finance Minister first and Foreign Minister later), had a publicly-recognized ‘pragmatic internationalist’ view on what International Relations are and should be, and they applied this view to solve the first main conflict that Germany and France addressed after the ending of the II World War: the control of the steel and coal resource</w:t>
      </w:r>
      <w:r w:rsidR="00447329">
        <w:t>s in the border Ruhr area. P</w:t>
      </w:r>
      <w:r w:rsidRPr="00650ABE">
        <w:t xml:space="preserve">ursue </w:t>
      </w:r>
      <w:r w:rsidR="00447329">
        <w:t>of</w:t>
      </w:r>
      <w:r w:rsidRPr="00650ABE">
        <w:t xml:space="preserve"> a peaceful solution to this issue was obviously conditioned by the huge costs confronted during the War by both countries. This declaration by Robert Schuman puts it in a clear way</w:t>
      </w:r>
      <w:r>
        <w:t>:</w:t>
      </w:r>
    </w:p>
    <w:p w14:paraId="7170DEE7" w14:textId="19EF6B3E" w:rsidR="004000E0" w:rsidRPr="00753605" w:rsidRDefault="004000E0" w:rsidP="004000E0">
      <w:pPr>
        <w:pStyle w:val="Numberedtext"/>
        <w:numPr>
          <w:ilvl w:val="0"/>
          <w:numId w:val="0"/>
        </w:numPr>
        <w:tabs>
          <w:tab w:val="clear" w:pos="425"/>
          <w:tab w:val="left" w:pos="720"/>
        </w:tabs>
        <w:ind w:left="426"/>
        <w:rPr>
          <w:sz w:val="23"/>
          <w:szCs w:val="23"/>
        </w:rPr>
      </w:pPr>
      <w:r w:rsidRPr="00753605">
        <w:rPr>
          <w:sz w:val="23"/>
          <w:szCs w:val="23"/>
        </w:rPr>
        <w:t>Five years, almost to the day, after the unconditional surrender of Germany, France is accomplishing the first decisive act for European construction and is associating Germany with this. Conditions in Europe are going to be e</w:t>
      </w:r>
      <w:r w:rsidRPr="00753605">
        <w:rPr>
          <w:sz w:val="23"/>
          <w:szCs w:val="23"/>
        </w:rPr>
        <w:t>n</w:t>
      </w:r>
      <w:r w:rsidRPr="00753605">
        <w:rPr>
          <w:sz w:val="23"/>
          <w:szCs w:val="23"/>
        </w:rPr>
        <w:t xml:space="preserve">tirely changed because of it. This transformation will facilitate other </w:t>
      </w:r>
      <w:proofErr w:type="gramStart"/>
      <w:r w:rsidRPr="00753605">
        <w:rPr>
          <w:sz w:val="23"/>
          <w:szCs w:val="23"/>
        </w:rPr>
        <w:t>action which</w:t>
      </w:r>
      <w:proofErr w:type="gramEnd"/>
      <w:r w:rsidRPr="00753605">
        <w:rPr>
          <w:sz w:val="23"/>
          <w:szCs w:val="23"/>
        </w:rPr>
        <w:t xml:space="preserve"> has been impossible until this day. Europe will be born from this, a Europe </w:t>
      </w:r>
      <w:proofErr w:type="gramStart"/>
      <w:r w:rsidRPr="00753605">
        <w:rPr>
          <w:sz w:val="23"/>
          <w:szCs w:val="23"/>
        </w:rPr>
        <w:t>which</w:t>
      </w:r>
      <w:proofErr w:type="gramEnd"/>
      <w:r w:rsidRPr="00753605">
        <w:rPr>
          <w:sz w:val="23"/>
          <w:szCs w:val="23"/>
        </w:rPr>
        <w:t xml:space="preserve"> is solidly united and constructed around a strong framework. (Schumann</w:t>
      </w:r>
      <w:r w:rsidR="004737C7">
        <w:rPr>
          <w:sz w:val="23"/>
          <w:szCs w:val="23"/>
        </w:rPr>
        <w:t>, 1950</w:t>
      </w:r>
      <w:r w:rsidRPr="00753605">
        <w:rPr>
          <w:sz w:val="23"/>
          <w:szCs w:val="23"/>
        </w:rPr>
        <w:t>)</w:t>
      </w:r>
    </w:p>
    <w:p w14:paraId="12243D61" w14:textId="09433187" w:rsidR="004000E0" w:rsidRDefault="004000E0" w:rsidP="004000E0">
      <w:pPr>
        <w:pStyle w:val="Numberedtext"/>
        <w:numPr>
          <w:ilvl w:val="0"/>
          <w:numId w:val="0"/>
        </w:numPr>
        <w:tabs>
          <w:tab w:val="clear" w:pos="425"/>
          <w:tab w:val="left" w:pos="720"/>
        </w:tabs>
        <w:ind w:firstLine="426"/>
      </w:pPr>
      <w:r w:rsidRPr="00650ABE">
        <w:t>And solution came as a Treaty in 1951, signed in Paris, constituting the European Coal and Steel Community, true antecedent for the Union. This text already created what would be later consolidated as the fundamental organiz</w:t>
      </w:r>
      <w:r w:rsidRPr="00650ABE">
        <w:t>a</w:t>
      </w:r>
      <w:r w:rsidRPr="00650ABE">
        <w:lastRenderedPageBreak/>
        <w:t>tions of the EU, although only in its seminal form and under different names: European Commission (called ‘High Authority’) and European Parliament (called Common Assembly) in the ‘delegated authority side’, and the Cou</w:t>
      </w:r>
      <w:r w:rsidR="008D078B">
        <w:t>ncil of Ministers in the ‘inter</w:t>
      </w:r>
      <w:r w:rsidRPr="00650ABE">
        <w:t>governmental side’. Obviously, this de</w:t>
      </w:r>
      <w:r w:rsidR="008D078B">
        <w:t>cision was taken under an inter</w:t>
      </w:r>
      <w:r w:rsidRPr="00650ABE">
        <w:t xml:space="preserve">governmental form in a conference created </w:t>
      </w:r>
      <w:r w:rsidRPr="00A54D42">
        <w:t>ad hoc</w:t>
      </w:r>
      <w:r w:rsidRPr="00650ABE">
        <w:t xml:space="preserve">. And this scheme perpetuated for the definition of what would be the first crucial step in the European integration: an explicit long-term arrangement for establishing a common legal framework to share policy areas and decisions. It was the Treaty of Rome in 1957, resulting from the so-called Intergovernmental Conference on the Common Market and </w:t>
      </w:r>
      <w:proofErr w:type="spellStart"/>
      <w:r w:rsidRPr="00650ABE">
        <w:t>Euratom</w:t>
      </w:r>
      <w:proofErr w:type="spellEnd"/>
      <w:r w:rsidRPr="00650ABE">
        <w:t xml:space="preserve"> that took place the former year. With the sign of this Treaty, the apparent paradox within the integration came in: while the essential goal was creating a common market without barriers b</w:t>
      </w:r>
      <w:r w:rsidRPr="00650ABE">
        <w:t>e</w:t>
      </w:r>
      <w:r w:rsidRPr="00650ABE">
        <w:t>tween the states, the path to this was through Member states’ decisions.</w:t>
      </w:r>
    </w:p>
    <w:p w14:paraId="135376A7" w14:textId="79249A3E" w:rsidR="004000E0" w:rsidRDefault="004000E0" w:rsidP="004000E0">
      <w:pPr>
        <w:pStyle w:val="Numberedtext"/>
        <w:numPr>
          <w:ilvl w:val="0"/>
          <w:numId w:val="0"/>
        </w:numPr>
        <w:tabs>
          <w:tab w:val="clear" w:pos="425"/>
          <w:tab w:val="left" w:pos="720"/>
        </w:tabs>
        <w:ind w:firstLine="426"/>
      </w:pPr>
      <w:r w:rsidRPr="00650ABE">
        <w:t xml:space="preserve">Put in another </w:t>
      </w:r>
      <w:r w:rsidR="004737C7" w:rsidRPr="00650ABE">
        <w:t>way;</w:t>
      </w:r>
      <w:r w:rsidRPr="00650ABE">
        <w:t xml:space="preserve"> was it feasible any other situation but the one that took place? A group of sovereign states took a specific decision based on their sovereignty. In this decision it was built-in the presence of future increasing returns and positive feedback loops: as neo-functionalists assert when they d</w:t>
      </w:r>
      <w:r w:rsidRPr="00650ABE">
        <w:t>e</w:t>
      </w:r>
      <w:r w:rsidRPr="00650ABE">
        <w:t xml:space="preserve">fine and identify functional spillovers, economic integration tend to reproduce itself as gains for more integration come by themselves. This should be not surprising for anyone familiar with classic and new trade theory. From David Ricardo to Paul Krugman, the fact of comparative advantage and the benefits for open economies are </w:t>
      </w:r>
      <w:proofErr w:type="gramStart"/>
      <w:r w:rsidRPr="00650ABE">
        <w:t>well-established</w:t>
      </w:r>
      <w:proofErr w:type="gramEnd"/>
      <w:r w:rsidRPr="00650ABE">
        <w:t xml:space="preserve"> and hardly challenged at least when we are dealing with regions having similar economic structures and wealth le</w:t>
      </w:r>
      <w:r w:rsidRPr="00650ABE">
        <w:t>v</w:t>
      </w:r>
      <w:r w:rsidRPr="00650ABE">
        <w:t>els. The implication is that every time a new sector opens itself, the nation will find more profitable to also open others. Positive feedback based on increasing returns is clear</w:t>
      </w:r>
      <w:r>
        <w:t>.</w:t>
      </w:r>
    </w:p>
    <w:p w14:paraId="03FB91EE" w14:textId="63475FC4" w:rsidR="004000E0" w:rsidRDefault="004000E0" w:rsidP="004000E0">
      <w:pPr>
        <w:pStyle w:val="Numberedtext"/>
        <w:numPr>
          <w:ilvl w:val="0"/>
          <w:numId w:val="0"/>
        </w:numPr>
        <w:tabs>
          <w:tab w:val="clear" w:pos="425"/>
          <w:tab w:val="left" w:pos="720"/>
        </w:tabs>
        <w:ind w:firstLine="426"/>
      </w:pPr>
      <w:r w:rsidRPr="00650ABE">
        <w:t>The regulation of such markets will have to move to a superior level, o</w:t>
      </w:r>
      <w:r w:rsidRPr="00650ABE">
        <w:t>p</w:t>
      </w:r>
      <w:r w:rsidRPr="00650ABE">
        <w:t xml:space="preserve">timally not implying an inter-government conference for every single decision. Thus, delegated authorities will tend to take this role (European Commission, European Parliament, European Court). These authorities need organizations to be effected, formed by policymakers (both elected and non-elected) that both take and execute decisions, and in the </w:t>
      </w:r>
      <w:r w:rsidR="00572A5A" w:rsidRPr="00650ABE">
        <w:t>long run</w:t>
      </w:r>
      <w:r w:rsidRPr="00650ABE">
        <w:t xml:space="preserve"> they start to have their own goals and performing routines that reinforce the positive feedback in the economic side, as interests become aligned.</w:t>
      </w:r>
    </w:p>
    <w:p w14:paraId="6519FFD8" w14:textId="77777777" w:rsidR="004000E0" w:rsidRDefault="004000E0" w:rsidP="004000E0">
      <w:pPr>
        <w:pStyle w:val="Numberedtext"/>
        <w:numPr>
          <w:ilvl w:val="0"/>
          <w:numId w:val="0"/>
        </w:numPr>
        <w:tabs>
          <w:tab w:val="clear" w:pos="425"/>
          <w:tab w:val="left" w:pos="720"/>
        </w:tabs>
        <w:ind w:firstLine="426"/>
      </w:pPr>
      <w:r w:rsidRPr="00C37C43">
        <w:t>But where does the ultimate decision capacity for integration remains? Is the Commission, the Parliament or the Court able to impose their criteria to the states out of the policy areas that have been already transferred to these entities by the same states? The answer is, of course, no. The well-known ep</w:t>
      </w:r>
      <w:r w:rsidRPr="00C37C43">
        <w:t>i</w:t>
      </w:r>
      <w:r w:rsidRPr="00C37C43">
        <w:t>sode of the ‘empty chair crisis’, already referred in the present paper, is an e</w:t>
      </w:r>
      <w:r w:rsidRPr="00C37C43">
        <w:t>x</w:t>
      </w:r>
      <w:r w:rsidRPr="00C37C43">
        <w:t>cellent example of how a specific nation-state (France) could impose its inte</w:t>
      </w:r>
      <w:r w:rsidRPr="00C37C43">
        <w:t>r</w:t>
      </w:r>
      <w:r w:rsidRPr="00C37C43">
        <w:t>est to the centralized authority.</w:t>
      </w:r>
    </w:p>
    <w:p w14:paraId="3178FE00" w14:textId="00CB58ED" w:rsidR="004000E0" w:rsidRDefault="004000E0" w:rsidP="004000E0">
      <w:pPr>
        <w:pStyle w:val="Numberedtext"/>
        <w:numPr>
          <w:ilvl w:val="0"/>
          <w:numId w:val="0"/>
        </w:numPr>
        <w:tabs>
          <w:tab w:val="clear" w:pos="425"/>
          <w:tab w:val="left" w:pos="720"/>
        </w:tabs>
        <w:ind w:firstLine="426"/>
      </w:pPr>
      <w:r w:rsidRPr="00635014">
        <w:t>In its essence, this situation did not change until Maastricht Treaty was d</w:t>
      </w:r>
      <w:r w:rsidRPr="00635014">
        <w:t>e</w:t>
      </w:r>
      <w:r w:rsidRPr="00635014">
        <w:t>cided and signed in 1992. It was then that the creation of the European Mon</w:t>
      </w:r>
      <w:r w:rsidRPr="00635014">
        <w:t>e</w:t>
      </w:r>
      <w:r w:rsidRPr="00635014">
        <w:t>tary Union (EMU) was decided, constituting the most important trespass of competences from governments to a delegated authority in the whole history of integration. The step forward for the EMU and the consequent euro and European Central Bank (ECB) should be understood under the tensions b</w:t>
      </w:r>
      <w:r w:rsidRPr="00635014">
        <w:t>e</w:t>
      </w:r>
      <w:r w:rsidRPr="00635014">
        <w:t>tween positive feedback and lock-in dynamics. The roots for this move t</w:t>
      </w:r>
      <w:r w:rsidRPr="00635014">
        <w:t>o</w:t>
      </w:r>
      <w:r w:rsidRPr="00635014">
        <w:t>wards delegation may be found back in time, as there are accounts for such propositions even before World War II, and specific reports with very co</w:t>
      </w:r>
      <w:r w:rsidRPr="00635014">
        <w:t>n</w:t>
      </w:r>
      <w:r w:rsidRPr="00635014">
        <w:lastRenderedPageBreak/>
        <w:t>crete, far-reaching and high-level policy proposals were launched during the 1980s. But it is the 1992-1993 crisis, when the European Monetary System e</w:t>
      </w:r>
      <w:r w:rsidRPr="00635014">
        <w:t>s</w:t>
      </w:r>
      <w:r w:rsidRPr="00635014">
        <w:t xml:space="preserve">tablished in 1979 revealed itself to be inefficient for keeping price stability within the member countries, what triggers the governments’ decision towards the union. What </w:t>
      </w:r>
      <w:r w:rsidR="00CF28D1">
        <w:t xml:space="preserve">does this teach to </w:t>
      </w:r>
      <w:r w:rsidRPr="00635014">
        <w:t xml:space="preserve">us? The importance of crises, established by </w:t>
      </w:r>
      <w:r w:rsidR="00CF28D1" w:rsidRPr="00635014">
        <w:t>Moravksic</w:t>
      </w:r>
      <w:r w:rsidRPr="00635014">
        <w:t xml:space="preserve"> in his framework, as provokers of key ‘grand bargains’ between E</w:t>
      </w:r>
      <w:r w:rsidRPr="00635014">
        <w:t>u</w:t>
      </w:r>
      <w:r w:rsidRPr="00635014">
        <w:t>ropean states for integration. During or right after a crisis, the dynamics may take such a form that in iterated games delegation and sovereignty are the two unique results in the medium or long term, as inter-government is not efficient taking decisions to confront the crisis effects. This is where the paradoxical relation between lock-in and spillover lies: in order to survive, locked-in inter-government scheme should accept the force of increasing returns and the huge cost of undoing the way to integration, which inevitably yield to deeper deleg</w:t>
      </w:r>
      <w:r w:rsidRPr="00635014">
        <w:t>a</w:t>
      </w:r>
      <w:r w:rsidRPr="00635014">
        <w:t xml:space="preserve">tion instead of inter-government. But this does not happen in an incremental, gradual way. Conversely, it takes place through what may be </w:t>
      </w:r>
      <w:r w:rsidR="000632CE" w:rsidRPr="00635014">
        <w:t>labelled</w:t>
      </w:r>
      <w:r w:rsidRPr="00635014">
        <w:t xml:space="preserve"> as ‘on the verge’ episodes when decisions are unavoidable, because the (consequences of the) long term have reached the actors.</w:t>
      </w:r>
    </w:p>
    <w:p w14:paraId="09B51B7F" w14:textId="4ECCDD87" w:rsidR="004000E0" w:rsidRDefault="008E7091" w:rsidP="004000E0">
      <w:pPr>
        <w:pStyle w:val="Heading2"/>
      </w:pPr>
      <w:bookmarkStart w:id="73" w:name="_Toc208145625"/>
      <w:r>
        <w:t>4.2</w:t>
      </w:r>
      <w:r w:rsidR="004000E0">
        <w:t xml:space="preserve"> </w:t>
      </w:r>
      <w:r w:rsidR="003E600A">
        <w:t xml:space="preserve">Inter-government bargaining, consolidated </w:t>
      </w:r>
      <w:r>
        <w:t>through the Councils: 1990s</w:t>
      </w:r>
      <w:bookmarkEnd w:id="73"/>
    </w:p>
    <w:p w14:paraId="52281421" w14:textId="6A266001" w:rsidR="004000E0" w:rsidRDefault="000632CE" w:rsidP="00850D3F">
      <w:pPr>
        <w:pStyle w:val="Numberedtext"/>
        <w:numPr>
          <w:ilvl w:val="0"/>
          <w:numId w:val="0"/>
        </w:numPr>
        <w:tabs>
          <w:tab w:val="clear" w:pos="425"/>
          <w:tab w:val="left" w:pos="720"/>
        </w:tabs>
        <w:ind w:firstLine="426"/>
      </w:pPr>
      <w:r>
        <w:t xml:space="preserve">The </w:t>
      </w:r>
      <w:r w:rsidR="00267C2B" w:rsidRPr="00267C2B">
        <w:t>Treaty of Nice and</w:t>
      </w:r>
      <w:r>
        <w:t xml:space="preserve"> the</w:t>
      </w:r>
      <w:r w:rsidR="00267C2B" w:rsidRPr="00267C2B">
        <w:t xml:space="preserve"> Treaty of Amsterdam took slight but i</w:t>
      </w:r>
      <w:r w:rsidR="00267C2B" w:rsidRPr="00267C2B">
        <w:t>m</w:t>
      </w:r>
      <w:r w:rsidR="00267C2B" w:rsidRPr="00267C2B">
        <w:t>portant modifications that gave more power to supranational, delegated instit</w:t>
      </w:r>
      <w:r w:rsidR="00267C2B" w:rsidRPr="00267C2B">
        <w:t>u</w:t>
      </w:r>
      <w:r w:rsidR="00267C2B" w:rsidRPr="00267C2B">
        <w:t>tions. Garrett and Tsebelis (2001) is a good account of these modifications, already referred here: qualified-majority voting in some areas came to the Council of Ministers and made national sovereignty more vulnerable. Plus, c</w:t>
      </w:r>
      <w:r w:rsidR="00267C2B" w:rsidRPr="00267C2B">
        <w:t>o</w:t>
      </w:r>
      <w:r w:rsidR="00267C2B" w:rsidRPr="00267C2B">
        <w:t>decision (between the Council and the Parliament) method became a requir</w:t>
      </w:r>
      <w:r w:rsidR="00267C2B" w:rsidRPr="00267C2B">
        <w:t>e</w:t>
      </w:r>
      <w:r w:rsidR="00267C2B" w:rsidRPr="00267C2B">
        <w:t xml:space="preserve">ment to more policy areas, making the Parliament </w:t>
      </w:r>
      <w:r w:rsidR="00382EC6">
        <w:t>stronger. And, paradoxically</w:t>
      </w:r>
      <w:r w:rsidR="00267C2B" w:rsidRPr="00267C2B">
        <w:t>, weakening the Commission’s role</w:t>
      </w:r>
      <w:r w:rsidR="00382EC6">
        <w:t xml:space="preserve"> (Garrett and Tsebelis, 2001)</w:t>
      </w:r>
      <w:r w:rsidR="00267C2B" w:rsidRPr="00267C2B">
        <w:t>. With the co</w:t>
      </w:r>
      <w:r w:rsidR="00267C2B" w:rsidRPr="00267C2B">
        <w:t>n</w:t>
      </w:r>
      <w:r w:rsidR="00267C2B" w:rsidRPr="00267C2B">
        <w:t>solidation of EMU and finally crystallized on the Treaty of Lisbon, the part of the Council of Ministers focused on finances and comprehending the member states of the Eurozone became more and more relevant for taking macroec</w:t>
      </w:r>
      <w:r w:rsidR="00267C2B" w:rsidRPr="00267C2B">
        <w:t>o</w:t>
      </w:r>
      <w:r w:rsidR="00267C2B" w:rsidRPr="00267C2B">
        <w:t>nomic policy decisions and coordinate them. The so-called ‘Eurogroup’ is formally defined and consolidated in the Protocol 14 of the Lisbon Treaty:</w:t>
      </w:r>
    </w:p>
    <w:p w14:paraId="4EE1C226" w14:textId="3490D12E" w:rsidR="00AE23D6" w:rsidRPr="00777949" w:rsidRDefault="00AE23D6" w:rsidP="00AE23D6">
      <w:pPr>
        <w:pStyle w:val="Numberedtext"/>
        <w:numPr>
          <w:ilvl w:val="0"/>
          <w:numId w:val="0"/>
        </w:numPr>
        <w:tabs>
          <w:tab w:val="clear" w:pos="425"/>
          <w:tab w:val="left" w:pos="720"/>
        </w:tabs>
        <w:ind w:left="426"/>
        <w:rPr>
          <w:sz w:val="23"/>
          <w:szCs w:val="23"/>
        </w:rPr>
      </w:pPr>
      <w:r w:rsidRPr="00777949">
        <w:rPr>
          <w:sz w:val="23"/>
          <w:szCs w:val="23"/>
        </w:rPr>
        <w:t>Article 1: The Ministers of the Member States whose currency is the euro shall meet informally. Such meetings shall take place, when necessary, to di</w:t>
      </w:r>
      <w:r w:rsidRPr="00777949">
        <w:rPr>
          <w:sz w:val="23"/>
          <w:szCs w:val="23"/>
        </w:rPr>
        <w:t>s</w:t>
      </w:r>
      <w:r w:rsidRPr="00777949">
        <w:rPr>
          <w:sz w:val="23"/>
          <w:szCs w:val="23"/>
        </w:rPr>
        <w:t>cuss questions related to the specific responsibilities they share with regard to the single currency. The Commission shall take part in the meetings. The E</w:t>
      </w:r>
      <w:r w:rsidRPr="00777949">
        <w:rPr>
          <w:sz w:val="23"/>
          <w:szCs w:val="23"/>
        </w:rPr>
        <w:t>u</w:t>
      </w:r>
      <w:r w:rsidRPr="00777949">
        <w:rPr>
          <w:sz w:val="23"/>
          <w:szCs w:val="23"/>
        </w:rPr>
        <w:t>ropean Central Bank shall be invited to take part in such meetings, which shall be prepared by the representatives of the Ministers with responsibility for finance of the Member States whose currency is the euro and of the Commission.</w:t>
      </w:r>
    </w:p>
    <w:p w14:paraId="0B0703C7" w14:textId="5AA8D388" w:rsidR="00AE23D6" w:rsidRPr="00777949" w:rsidRDefault="00AE23D6" w:rsidP="00AE23D6">
      <w:pPr>
        <w:pStyle w:val="Numberedtext"/>
        <w:numPr>
          <w:ilvl w:val="0"/>
          <w:numId w:val="0"/>
        </w:numPr>
        <w:tabs>
          <w:tab w:val="clear" w:pos="425"/>
          <w:tab w:val="left" w:pos="720"/>
        </w:tabs>
        <w:ind w:left="426"/>
        <w:rPr>
          <w:sz w:val="23"/>
          <w:szCs w:val="23"/>
        </w:rPr>
      </w:pPr>
      <w:r w:rsidRPr="00777949">
        <w:rPr>
          <w:sz w:val="23"/>
          <w:szCs w:val="23"/>
        </w:rPr>
        <w:t>Article 2: The Ministers of the Member States whose currency is the euro shall elect a president for two and a half years, by a majority of those Member States.</w:t>
      </w:r>
    </w:p>
    <w:p w14:paraId="1F858E0A" w14:textId="584CD405" w:rsidR="00AE23D6" w:rsidRPr="00777949" w:rsidRDefault="00AE23D6" w:rsidP="00AE23D6">
      <w:pPr>
        <w:pStyle w:val="Numberedtext"/>
        <w:numPr>
          <w:ilvl w:val="0"/>
          <w:numId w:val="0"/>
        </w:numPr>
        <w:tabs>
          <w:tab w:val="clear" w:pos="425"/>
          <w:tab w:val="left" w:pos="720"/>
        </w:tabs>
        <w:ind w:left="426"/>
        <w:rPr>
          <w:sz w:val="23"/>
          <w:szCs w:val="23"/>
        </w:rPr>
      </w:pPr>
      <w:r w:rsidRPr="00777949">
        <w:rPr>
          <w:sz w:val="23"/>
          <w:szCs w:val="23"/>
        </w:rPr>
        <w:t>—Protocol 14 of the Consolidated Treaties of the European Union (as amended by the Treaty of Lisbon)</w:t>
      </w:r>
    </w:p>
    <w:p w14:paraId="166EB842" w14:textId="78BCE0B8" w:rsidR="00AE23D6" w:rsidRDefault="00AE23D6" w:rsidP="00850D3F">
      <w:pPr>
        <w:pStyle w:val="Numberedtext"/>
        <w:numPr>
          <w:ilvl w:val="0"/>
          <w:numId w:val="0"/>
        </w:numPr>
        <w:tabs>
          <w:tab w:val="clear" w:pos="425"/>
          <w:tab w:val="left" w:pos="720"/>
        </w:tabs>
        <w:ind w:firstLine="426"/>
      </w:pPr>
      <w:r w:rsidRPr="00AE23D6">
        <w:t>It is easy to see that “once set up in 1998 the Eurogroup quickly esta</w:t>
      </w:r>
      <w:r w:rsidRPr="00AE23D6">
        <w:t>b</w:t>
      </w:r>
      <w:r w:rsidRPr="00AE23D6">
        <w:t xml:space="preserve">lished itself as the most important forum for policy coordination for the euro </w:t>
      </w:r>
      <w:r w:rsidRPr="00AE23D6">
        <w:lastRenderedPageBreak/>
        <w:t>area, thereby de facto performing many of the tasks which are assigned to the ECOFIN Council by the Treaty” (Puetter, 2011</w:t>
      </w:r>
      <w:r w:rsidR="00A53967">
        <w:t>:15</w:t>
      </w:r>
      <w:r w:rsidRPr="00AE23D6">
        <w:t>)</w:t>
      </w:r>
    </w:p>
    <w:p w14:paraId="210DCE87" w14:textId="1093D1A6" w:rsidR="00AE23D6" w:rsidRDefault="00AE23D6" w:rsidP="00850D3F">
      <w:pPr>
        <w:pStyle w:val="Numberedtext"/>
        <w:numPr>
          <w:ilvl w:val="0"/>
          <w:numId w:val="0"/>
        </w:numPr>
        <w:tabs>
          <w:tab w:val="clear" w:pos="425"/>
          <w:tab w:val="left" w:pos="720"/>
        </w:tabs>
        <w:ind w:firstLine="426"/>
      </w:pPr>
      <w:r w:rsidRPr="00AE23D6">
        <w:t>But there is still other inter-governmental forum, even more important as it is formed by the Chiefs of Government of every single European state. It is the European Coun</w:t>
      </w:r>
      <w:r w:rsidR="007944F4">
        <w:t>cil. Its existence is not new: t</w:t>
      </w:r>
      <w:r w:rsidRPr="00AE23D6">
        <w:t>he holding of informal mi</w:t>
      </w:r>
      <w:r w:rsidR="003111F8">
        <w:t>ni</w:t>
      </w:r>
      <w:r w:rsidRPr="00AE23D6">
        <w:t>s</w:t>
      </w:r>
      <w:r w:rsidRPr="00AE23D6">
        <w:t xml:space="preserve">terial meetings appear to have started with the so-called </w:t>
      </w:r>
      <w:proofErr w:type="spellStart"/>
      <w:r w:rsidRPr="00AE23D6">
        <w:t>Gymnich</w:t>
      </w:r>
      <w:proofErr w:type="spellEnd"/>
      <w:r w:rsidRPr="00AE23D6">
        <w:t xml:space="preserve"> meetings, first held in the foreign policy cooperation (EPC) arena in I974. However, such meetings have been held increasingly</w:t>
      </w:r>
      <w:r w:rsidR="007944F4">
        <w:t xml:space="preserve"> common</w:t>
      </w:r>
      <w:r w:rsidRPr="00AE23D6">
        <w:t xml:space="preserve"> (Puetter, 2011). Its legal entity has now fundaments on the Lisbon Treaty, specifically when it amended the Article 15 of the Treaty of the European Union, leaving the European Council as the engine for integration:</w:t>
      </w:r>
    </w:p>
    <w:p w14:paraId="5D171F8A" w14:textId="3D37A451" w:rsidR="00AE23D6" w:rsidRPr="00777949" w:rsidRDefault="00AE23D6" w:rsidP="00AE23D6">
      <w:pPr>
        <w:pStyle w:val="Numberedtext"/>
        <w:numPr>
          <w:ilvl w:val="0"/>
          <w:numId w:val="0"/>
        </w:numPr>
        <w:tabs>
          <w:tab w:val="clear" w:pos="425"/>
          <w:tab w:val="left" w:pos="720"/>
        </w:tabs>
        <w:ind w:left="426"/>
        <w:rPr>
          <w:sz w:val="23"/>
          <w:szCs w:val="23"/>
        </w:rPr>
      </w:pPr>
      <w:r w:rsidRPr="00777949">
        <w:rPr>
          <w:sz w:val="23"/>
          <w:szCs w:val="23"/>
        </w:rPr>
        <w:t>1. The European Council shall provide the Union with the necessary impetus for its development and shall define the general political directions and prior</w:t>
      </w:r>
      <w:r w:rsidRPr="00777949">
        <w:rPr>
          <w:sz w:val="23"/>
          <w:szCs w:val="23"/>
        </w:rPr>
        <w:t>i</w:t>
      </w:r>
      <w:r w:rsidRPr="00777949">
        <w:rPr>
          <w:sz w:val="23"/>
          <w:szCs w:val="23"/>
        </w:rPr>
        <w:t>ties thereof. It shall not exercise legislative functions.</w:t>
      </w:r>
    </w:p>
    <w:p w14:paraId="31C427C2" w14:textId="716F0D5C" w:rsidR="00AE23D6" w:rsidRPr="00777949" w:rsidRDefault="00AE23D6" w:rsidP="00850D3F">
      <w:pPr>
        <w:pStyle w:val="Numberedtext"/>
        <w:numPr>
          <w:ilvl w:val="0"/>
          <w:numId w:val="0"/>
        </w:numPr>
        <w:tabs>
          <w:tab w:val="clear" w:pos="425"/>
          <w:tab w:val="left" w:pos="720"/>
        </w:tabs>
        <w:ind w:firstLine="426"/>
        <w:rPr>
          <w:sz w:val="23"/>
          <w:szCs w:val="23"/>
        </w:rPr>
      </w:pPr>
      <w:r w:rsidRPr="00777949">
        <w:rPr>
          <w:sz w:val="23"/>
          <w:szCs w:val="23"/>
        </w:rPr>
        <w:t>Its composition is defined in the second point of the same Article 15:</w:t>
      </w:r>
    </w:p>
    <w:p w14:paraId="492863D8" w14:textId="6053FDEE" w:rsidR="00AE23D6" w:rsidRPr="00777949" w:rsidRDefault="00AE23D6" w:rsidP="00AE23D6">
      <w:pPr>
        <w:pStyle w:val="Numberedtext"/>
        <w:numPr>
          <w:ilvl w:val="0"/>
          <w:numId w:val="0"/>
        </w:numPr>
        <w:tabs>
          <w:tab w:val="clear" w:pos="425"/>
          <w:tab w:val="left" w:pos="720"/>
        </w:tabs>
        <w:ind w:left="426"/>
        <w:rPr>
          <w:sz w:val="23"/>
          <w:szCs w:val="23"/>
        </w:rPr>
      </w:pPr>
      <w:r w:rsidRPr="00777949">
        <w:rPr>
          <w:sz w:val="23"/>
          <w:szCs w:val="23"/>
        </w:rPr>
        <w:t>2. The European Council shall consist of the Heads of State or Government of the Member States, together with its President and the President of the Commission. The High Representative of the Union for Foreign Affairs and Security Policy shall take part in its work.</w:t>
      </w:r>
    </w:p>
    <w:p w14:paraId="114176D2" w14:textId="27600618" w:rsidR="00AE23D6" w:rsidRDefault="00AE23D6" w:rsidP="00850D3F">
      <w:pPr>
        <w:pStyle w:val="Numberedtext"/>
        <w:numPr>
          <w:ilvl w:val="0"/>
          <w:numId w:val="0"/>
        </w:numPr>
        <w:tabs>
          <w:tab w:val="clear" w:pos="425"/>
          <w:tab w:val="left" w:pos="720"/>
        </w:tabs>
        <w:ind w:firstLine="426"/>
      </w:pPr>
      <w:proofErr w:type="gramStart"/>
      <w:r w:rsidRPr="00AE23D6">
        <w:t>In conclusion, as it is easy to notice, “a lead role of the European Council and the Council [of Ministers] in both policy initiation and finalisation and the reliance on non</w:t>
      </w:r>
      <w:r w:rsidRPr="00AE23D6">
        <w:rPr>
          <w:rFonts w:ascii="Adobe Garamond Pro" w:hAnsi="Adobe Garamond Pro" w:cs="Adobe Garamond Pro"/>
        </w:rPr>
        <w:t>‐</w:t>
      </w:r>
      <w:r w:rsidRPr="00AE23D6">
        <w:t>legislative decision</w:t>
      </w:r>
      <w:r w:rsidRPr="00AE23D6">
        <w:rPr>
          <w:rFonts w:ascii="Adobe Garamond Pro" w:hAnsi="Adobe Garamond Pro" w:cs="Adobe Garamond Pro"/>
        </w:rPr>
        <w:t>‐</w:t>
      </w:r>
      <w:r w:rsidR="00F75299">
        <w:t>making</w:t>
      </w:r>
      <w:r w:rsidRPr="00AE23D6">
        <w:t>” (Puetter, 2011</w:t>
      </w:r>
      <w:r w:rsidR="00F75299">
        <w:t>:7</w:t>
      </w:r>
      <w:r w:rsidRPr="00AE23D6">
        <w:t>)</w:t>
      </w:r>
      <w:r w:rsidR="00F75299">
        <w:t>.</w:t>
      </w:r>
      <w:proofErr w:type="gramEnd"/>
    </w:p>
    <w:p w14:paraId="0E4A02D4" w14:textId="3E872360" w:rsidR="00020CDB" w:rsidRDefault="00020CDB" w:rsidP="00850D3F">
      <w:pPr>
        <w:pStyle w:val="Numberedtext"/>
        <w:numPr>
          <w:ilvl w:val="0"/>
          <w:numId w:val="0"/>
        </w:numPr>
        <w:tabs>
          <w:tab w:val="clear" w:pos="425"/>
          <w:tab w:val="left" w:pos="720"/>
        </w:tabs>
        <w:ind w:firstLine="426"/>
      </w:pPr>
      <w:r w:rsidRPr="00020CDB">
        <w:t>I stated before that there are three fundamental components for conside</w:t>
      </w:r>
      <w:r w:rsidRPr="00020CDB">
        <w:t>r</w:t>
      </w:r>
      <w:r w:rsidRPr="00020CDB">
        <w:t>ing a polity union (a federation) as totally sovereign or formed, in an ideal way: the capacity to decide policies, the capacity to enforce these decisions (mono</w:t>
      </w:r>
      <w:r w:rsidRPr="00020CDB">
        <w:t>p</w:t>
      </w:r>
      <w:r w:rsidRPr="00020CDB">
        <w:t>oly of violence) and the capacity to fund them and manage resources. In the EU, a rather small part of policies are centralized, monopoly of violence is e</w:t>
      </w:r>
      <w:r w:rsidRPr="00020CDB">
        <w:t>s</w:t>
      </w:r>
      <w:r w:rsidRPr="00020CDB">
        <w:t>sentially in hands of nation-states, as fiscal policy is, but not monetary policy. Perhaps the most striking thing about the Eurozone debt crisis is that its ou</w:t>
      </w:r>
      <w:r w:rsidRPr="00020CDB">
        <w:t>t</w:t>
      </w:r>
      <w:r w:rsidRPr="00020CDB">
        <w:t>come may well be the cession of fisc</w:t>
      </w:r>
      <w:r w:rsidR="0096115C">
        <w:t>al policy to the delegated cent</w:t>
      </w:r>
      <w:r w:rsidRPr="00020CDB">
        <w:t>r</w:t>
      </w:r>
      <w:r w:rsidR="0096115C">
        <w:t>e</w:t>
      </w:r>
      <w:r w:rsidRPr="00020CDB">
        <w:t>, which would imply a strong, practically unavoidable spillover effect moving the key decision capacities of all policy areas to the central point, although establishing at the same time a federal system of shared and distributed policies. How will the specific decision mechanisms act to achieve this or other outcome? Now is the moment to start mode</w:t>
      </w:r>
      <w:r w:rsidR="003E600A">
        <w:t>l</w:t>
      </w:r>
      <w:r w:rsidRPr="00020CDB">
        <w:t xml:space="preserve">ling, taking all the theoretical and historical analysis to formalization in order </w:t>
      </w:r>
      <w:r w:rsidR="005A1901">
        <w:t xml:space="preserve">to see how do interactions emerge and strategies are played to set the conditions for a specific model of federalism. And, in the end, coming back to institutional analysis to </w:t>
      </w:r>
      <w:r w:rsidRPr="00020CDB">
        <w:t>test the last, but fundamental, part of the posted hypothesis, in order to end answering the question that titles this work: why this union?</w:t>
      </w:r>
    </w:p>
    <w:p w14:paraId="6FCB62DA" w14:textId="16C89DAA" w:rsidR="00FF0F88" w:rsidRDefault="00FF0F88" w:rsidP="00FF0F88">
      <w:pPr>
        <w:pStyle w:val="Heading1"/>
      </w:pPr>
      <w:r>
        <w:lastRenderedPageBreak/>
        <w:br/>
      </w:r>
      <w:bookmarkStart w:id="74" w:name="_Toc208145626"/>
      <w:r w:rsidRPr="00FF0F88">
        <w:t>A two-actor sequential game for the present and future federal European union</w:t>
      </w:r>
      <w:bookmarkEnd w:id="74"/>
    </w:p>
    <w:p w14:paraId="72FAC7E6" w14:textId="7B543BF8" w:rsidR="0095764B" w:rsidRDefault="003E49B0" w:rsidP="0095764B">
      <w:pPr>
        <w:pStyle w:val="Heading2"/>
      </w:pPr>
      <w:bookmarkStart w:id="75" w:name="_Toc208145627"/>
      <w:r>
        <w:t>5.1</w:t>
      </w:r>
      <w:r w:rsidR="0095764B">
        <w:t xml:space="preserve"> </w:t>
      </w:r>
      <w:r>
        <w:t>Actors, a</w:t>
      </w:r>
      <w:r w:rsidR="0095764B">
        <w:t xml:space="preserve">ntecedents and </w:t>
      </w:r>
      <w:r>
        <w:t>preliminary</w:t>
      </w:r>
      <w:r w:rsidR="0095764B">
        <w:t xml:space="preserve"> considerations</w:t>
      </w:r>
      <w:bookmarkEnd w:id="75"/>
    </w:p>
    <w:p w14:paraId="44363CE8" w14:textId="1EF909BD" w:rsidR="00FF0F88" w:rsidRDefault="0095764B" w:rsidP="00FE7595">
      <w:pPr>
        <w:pStyle w:val="Numberedtext"/>
        <w:numPr>
          <w:ilvl w:val="0"/>
          <w:numId w:val="0"/>
        </w:numPr>
        <w:tabs>
          <w:tab w:val="clear" w:pos="425"/>
          <w:tab w:val="left" w:pos="720"/>
        </w:tabs>
        <w:ind w:firstLine="426"/>
      </w:pPr>
      <w:r w:rsidRPr="0095764B">
        <w:t>So far, it has been established the dual nature of EU integration process. Within this nature, the sovereign debt crisis means for Europe a key choice between two essential forms of integration: the current, dominating inter-governmental (horizontal) system and the more US-like, centralized (vertical) federalism. As stated before, this distinction is taken from Persson and Tabe</w:t>
      </w:r>
      <w:r w:rsidRPr="0095764B">
        <w:t>l</w:t>
      </w:r>
      <w:r>
        <w:t>lini (1996</w:t>
      </w:r>
      <w:r w:rsidRPr="0095764B">
        <w:t>).</w:t>
      </w:r>
    </w:p>
    <w:p w14:paraId="21B3A7D0" w14:textId="21C44527" w:rsidR="0095764B" w:rsidRDefault="0095764B" w:rsidP="00FE7595">
      <w:pPr>
        <w:pStyle w:val="Numberedtext"/>
        <w:numPr>
          <w:ilvl w:val="0"/>
          <w:numId w:val="0"/>
        </w:numPr>
        <w:tabs>
          <w:tab w:val="clear" w:pos="425"/>
          <w:tab w:val="left" w:pos="720"/>
        </w:tabs>
        <w:ind w:firstLine="426"/>
      </w:pPr>
      <w:r w:rsidRPr="0095764B">
        <w:t>This is a situation in which actors are reduced in their categories, clearly identified, and they are considered to bargain for achieving a specific goal or set of goals, game theory arise as a particularly suitable instrument. If the norms that constraint the decisions of these actors are also known and clear, and at least a part of the actors have a strong tendency to act strategically, as may be easily argued for political parties, the use of a method that put in a d</w:t>
      </w:r>
      <w:r w:rsidRPr="0095764B">
        <w:t>i</w:t>
      </w:r>
      <w:r w:rsidRPr="0095764B">
        <w:t>aphanous outline their interaction seems mandatory. Given these reasons, game theory will be our main analytical tool in this section.</w:t>
      </w:r>
    </w:p>
    <w:p w14:paraId="2DACCC86" w14:textId="3B23DE3D" w:rsidR="0095764B" w:rsidRDefault="0095764B" w:rsidP="00FE7595">
      <w:pPr>
        <w:pStyle w:val="Numberedtext"/>
        <w:numPr>
          <w:ilvl w:val="0"/>
          <w:numId w:val="0"/>
        </w:numPr>
        <w:tabs>
          <w:tab w:val="clear" w:pos="425"/>
          <w:tab w:val="left" w:pos="720"/>
        </w:tabs>
        <w:ind w:firstLine="426"/>
      </w:pPr>
      <w:r w:rsidRPr="0095764B">
        <w:t>For Persson and Tabellini (1996), the central claim is showing how the trade-off between risk sharing and moral hazard may be avoided by a bigger vertical centralization in a two-actor model. But what they addressed is an eff</w:t>
      </w:r>
      <w:r w:rsidRPr="0095764B">
        <w:t>i</w:t>
      </w:r>
      <w:r w:rsidRPr="0095764B">
        <w:t xml:space="preserve">ciency question, while </w:t>
      </w:r>
      <w:r>
        <w:t>mine</w:t>
      </w:r>
      <w:r w:rsidRPr="0095764B">
        <w:t xml:space="preserve"> is more a positive inquiry: which is the most feas</w:t>
      </w:r>
      <w:r w:rsidRPr="0095764B">
        <w:t>i</w:t>
      </w:r>
      <w:r w:rsidRPr="0095764B">
        <w:t>ble outcome, and why?</w:t>
      </w:r>
      <w:r>
        <w:t xml:space="preserve"> More specifically, with the present stage of the analysis, </w:t>
      </w:r>
      <w:r w:rsidRPr="000528B4">
        <w:rPr>
          <w:b/>
        </w:rPr>
        <w:t>what we are looking for is the point where inter-government bargaining create</w:t>
      </w:r>
      <w:r w:rsidR="000528B4" w:rsidRPr="000528B4">
        <w:rPr>
          <w:b/>
        </w:rPr>
        <w:t>s</w:t>
      </w:r>
      <w:r w:rsidRPr="000528B4">
        <w:rPr>
          <w:b/>
        </w:rPr>
        <w:t xml:space="preserve"> by itself the conditions for its own self-destruction.</w:t>
      </w:r>
    </w:p>
    <w:p w14:paraId="6AF88923" w14:textId="204EEE2C" w:rsidR="0095764B" w:rsidRDefault="0095764B" w:rsidP="00FE7595">
      <w:pPr>
        <w:pStyle w:val="Numberedtext"/>
        <w:numPr>
          <w:ilvl w:val="0"/>
          <w:numId w:val="0"/>
        </w:numPr>
        <w:tabs>
          <w:tab w:val="clear" w:pos="425"/>
          <w:tab w:val="left" w:pos="720"/>
        </w:tabs>
        <w:ind w:firstLine="426"/>
      </w:pPr>
      <w:r w:rsidRPr="0095764B">
        <w:t>The use of two-actor models in bargaining problems where time and s</w:t>
      </w:r>
      <w:r w:rsidRPr="0095764B">
        <w:t>e</w:t>
      </w:r>
      <w:r w:rsidRPr="0095764B">
        <w:t>quence of events are relevant has the advantage of allowing the model to show the step-by-step process with clarity. Also, if actors are not equal in their pre</w:t>
      </w:r>
      <w:r w:rsidRPr="0095764B">
        <w:t>f</w:t>
      </w:r>
      <w:r w:rsidRPr="0095764B">
        <w:t>erences as a consequence of their structural differences that lead to distinct p</w:t>
      </w:r>
      <w:r w:rsidRPr="0095764B">
        <w:t>o</w:t>
      </w:r>
      <w:r w:rsidRPr="0095764B">
        <w:t>sitions in the game and thus different available actions, utility functions must vary. And for the sake of simplicity and parsimony, a first step should clarify the bargaining process. Of course, further research with multi-actor models is pertinent, but only once this ground is settled and ensured. But, for now, the actors defined will be two:</w:t>
      </w:r>
    </w:p>
    <w:p w14:paraId="0F13BEFE" w14:textId="52308FF3" w:rsidR="0095764B" w:rsidRDefault="00114CE2" w:rsidP="00FE7595">
      <w:pPr>
        <w:pStyle w:val="Numberedtext"/>
        <w:numPr>
          <w:ilvl w:val="0"/>
          <w:numId w:val="35"/>
        </w:numPr>
        <w:tabs>
          <w:tab w:val="clear" w:pos="425"/>
          <w:tab w:val="left" w:pos="720"/>
        </w:tabs>
      </w:pPr>
      <w:r w:rsidRPr="00E67EA4">
        <w:rPr>
          <w:position w:val="-14"/>
        </w:rPr>
        <w:object w:dxaOrig="400" w:dyaOrig="380" w14:anchorId="5559B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9.25pt" o:ole="">
            <v:imagedata r:id="rId18" o:title=""/>
          </v:shape>
          <o:OLEObject Type="Embed" ProgID="Equation.3" ShapeID="_x0000_i1025" DrawAspect="Content" ObjectID="_1281991276" r:id="rId19"/>
        </w:object>
      </w:r>
      <w:r>
        <w:rPr>
          <w:position w:val="-14"/>
        </w:rPr>
        <w:t xml:space="preserve"> </w:t>
      </w:r>
      <w:proofErr w:type="gramStart"/>
      <w:r w:rsidR="0024442E" w:rsidRPr="0024442E">
        <w:t>or</w:t>
      </w:r>
      <w:proofErr w:type="gramEnd"/>
      <w:r w:rsidR="0024442E" w:rsidRPr="0024442E">
        <w:t xml:space="preserve"> ‘strong’, </w:t>
      </w:r>
      <w:r w:rsidR="00845539">
        <w:t>equal</w:t>
      </w:r>
      <w:r w:rsidR="0024442E" w:rsidRPr="0024442E">
        <w:t xml:space="preserve"> to Germany in the defined case study. Or any other region considered by investors in a good situation in terms of growth/debt relation.</w:t>
      </w:r>
    </w:p>
    <w:p w14:paraId="1BDEFCCF" w14:textId="018D02F5" w:rsidR="0024442E" w:rsidRDefault="00114CE2" w:rsidP="00FE7595">
      <w:pPr>
        <w:pStyle w:val="Numberedtext"/>
        <w:numPr>
          <w:ilvl w:val="0"/>
          <w:numId w:val="35"/>
        </w:numPr>
        <w:tabs>
          <w:tab w:val="clear" w:pos="425"/>
          <w:tab w:val="left" w:pos="720"/>
        </w:tabs>
      </w:pPr>
      <w:r w:rsidRPr="00E67EA4">
        <w:rPr>
          <w:position w:val="-14"/>
        </w:rPr>
        <w:object w:dxaOrig="420" w:dyaOrig="380" w14:anchorId="5BF4DD66">
          <v:shape id="_x0000_i1026" type="#_x0000_t75" style="width:21.4pt;height:19.25pt" o:ole="">
            <v:imagedata r:id="rId20" o:title=""/>
          </v:shape>
          <o:OLEObject Type="Embed" ProgID="Equation.3" ShapeID="_x0000_i1026" DrawAspect="Content" ObjectID="_1281991277" r:id="rId21"/>
        </w:object>
      </w:r>
      <w:r>
        <w:rPr>
          <w:position w:val="-14"/>
        </w:rPr>
        <w:t xml:space="preserve"> </w:t>
      </w:r>
      <w:proofErr w:type="gramStart"/>
      <w:r w:rsidR="0024442E" w:rsidRPr="0024442E">
        <w:t>or</w:t>
      </w:r>
      <w:proofErr w:type="gramEnd"/>
      <w:r w:rsidR="0024442E" w:rsidRPr="0024442E">
        <w:t xml:space="preserve"> ‘weak’, that would represent Spain. Or the regions with high unemployment and bad growth perspectives that yield to negative pe</w:t>
      </w:r>
      <w:r w:rsidR="0024442E" w:rsidRPr="0024442E">
        <w:t>r</w:t>
      </w:r>
      <w:r w:rsidR="0024442E" w:rsidRPr="0024442E">
        <w:t>spectives on debt payments to investors.</w:t>
      </w:r>
    </w:p>
    <w:p w14:paraId="7FBCEF84" w14:textId="6959E32D" w:rsidR="000528B4" w:rsidRDefault="000528B4" w:rsidP="00FE7595">
      <w:pPr>
        <w:pStyle w:val="Numberedtext"/>
        <w:numPr>
          <w:ilvl w:val="0"/>
          <w:numId w:val="0"/>
        </w:numPr>
        <w:tabs>
          <w:tab w:val="clear" w:pos="425"/>
          <w:tab w:val="left" w:pos="720"/>
        </w:tabs>
        <w:ind w:firstLine="426"/>
      </w:pPr>
      <w:r w:rsidRPr="000528B4">
        <w:lastRenderedPageBreak/>
        <w:t>While being under an inter-government scheme, I consider governments as perfect aggregators of voter preferences, this is, Moravksic’s ‘national inte</w:t>
      </w:r>
      <w:r w:rsidRPr="000528B4">
        <w:t>r</w:t>
      </w:r>
      <w:r w:rsidRPr="000528B4">
        <w:t>est’.</w:t>
      </w:r>
    </w:p>
    <w:p w14:paraId="386D134F" w14:textId="2CFDDD7C" w:rsidR="000528B4" w:rsidRDefault="000528B4" w:rsidP="00FE7595">
      <w:pPr>
        <w:pStyle w:val="Numberedtext"/>
        <w:numPr>
          <w:ilvl w:val="0"/>
          <w:numId w:val="0"/>
        </w:numPr>
        <w:tabs>
          <w:tab w:val="clear" w:pos="425"/>
          <w:tab w:val="left" w:pos="720"/>
        </w:tabs>
        <w:ind w:firstLine="426"/>
      </w:pPr>
      <w:r w:rsidRPr="000528B4">
        <w:t>Morelli et al (2012) is probably the most recent and fruitful work addres</w:t>
      </w:r>
      <w:r w:rsidRPr="000528B4">
        <w:t>s</w:t>
      </w:r>
      <w:r w:rsidRPr="000528B4">
        <w:t>ing the kind of question that interests us for the EU. A fundamental feature in their model is the explicit inclusion of ‘the risk of autarky’. For them, the fu</w:t>
      </w:r>
      <w:r w:rsidRPr="000528B4">
        <w:t>n</w:t>
      </w:r>
      <w:r w:rsidRPr="000528B4">
        <w:t xml:space="preserve">damental decision is not between one or another model of federal union, but between keeping </w:t>
      </w:r>
      <w:proofErr w:type="gramStart"/>
      <w:r w:rsidRPr="000528B4">
        <w:t>or</w:t>
      </w:r>
      <w:proofErr w:type="gramEnd"/>
      <w:r w:rsidRPr="000528B4">
        <w:t xml:space="preserve"> not such a union. From their point of view, there are some countries that, after the shock suffered by the Union in late 2009 and early 2010, have shifted their preferences from ‘more union’ to ‘autarky’. This </w:t>
      </w:r>
      <w:r w:rsidR="00097574">
        <w:t>hi</w:t>
      </w:r>
      <w:r w:rsidR="00097574">
        <w:t>d</w:t>
      </w:r>
      <w:r w:rsidR="00097574">
        <w:t>den</w:t>
      </w:r>
      <w:r w:rsidRPr="000528B4">
        <w:t xml:space="preserve"> hypothesis is not justified nor explained at any point. Given the already established fact that a reversion of the union is extremely costly, it is far more realistic to consider the threats of reverting to autarky more a negotiation tec</w:t>
      </w:r>
      <w:r w:rsidRPr="000528B4">
        <w:t>h</w:t>
      </w:r>
      <w:r w:rsidRPr="000528B4">
        <w:t>nique that a real preference shift.</w:t>
      </w:r>
    </w:p>
    <w:p w14:paraId="4DF20C3B" w14:textId="01D7EFB2" w:rsidR="000528B4" w:rsidRDefault="000528B4" w:rsidP="00FE7595">
      <w:pPr>
        <w:pStyle w:val="Numberedtext"/>
        <w:numPr>
          <w:ilvl w:val="0"/>
          <w:numId w:val="0"/>
        </w:numPr>
        <w:tabs>
          <w:tab w:val="clear" w:pos="425"/>
          <w:tab w:val="left" w:pos="720"/>
        </w:tabs>
        <w:ind w:firstLine="426"/>
      </w:pPr>
      <w:r w:rsidRPr="000528B4">
        <w:t>The key insight from Morelli et al (2012) is “how the correlation of i</w:t>
      </w:r>
      <w:r w:rsidRPr="000528B4">
        <w:t>n</w:t>
      </w:r>
      <w:r w:rsidRPr="000528B4">
        <w:t>come shocks, relative population size and relative income interact with dec</w:t>
      </w:r>
      <w:r w:rsidRPr="000528B4">
        <w:t>i</w:t>
      </w:r>
      <w:r w:rsidRPr="000528B4">
        <w:t>sion rights and characterize the feasibility set”</w:t>
      </w:r>
      <w:r w:rsidR="00F75299">
        <w:t xml:space="preserve"> (Morelli et al, 2012:3)</w:t>
      </w:r>
      <w:r w:rsidRPr="000528B4">
        <w:t>, while my goal is to understand which will be the most feasible outcome with constant and given preferences that account for the political constraints. I assume a form that takes into account the voting weights would improve the probability of fiscal union (and this conclusion is essentially an evolution of what Persson and Tabellini showed when they said that voting coalitio</w:t>
      </w:r>
      <w:r>
        <w:t>n</w:t>
      </w:r>
      <w:r w:rsidRPr="000528B4">
        <w:t xml:space="preserve">s are formed under vertical federal scheme and not under horizontal intergovernmental state). But my question is: given the current situation, is this </w:t>
      </w:r>
      <w:r w:rsidRPr="000528B4">
        <w:rPr>
          <w:i/>
        </w:rPr>
        <w:t>possible</w:t>
      </w:r>
      <w:r w:rsidRPr="000528B4">
        <w:t>?</w:t>
      </w:r>
    </w:p>
    <w:p w14:paraId="06A1BB31" w14:textId="6EDA9C45" w:rsidR="000528B4" w:rsidRDefault="000528B4" w:rsidP="00FE7595">
      <w:pPr>
        <w:pStyle w:val="Numberedtext"/>
        <w:numPr>
          <w:ilvl w:val="0"/>
          <w:numId w:val="0"/>
        </w:numPr>
        <w:tabs>
          <w:tab w:val="clear" w:pos="425"/>
          <w:tab w:val="left" w:pos="720"/>
        </w:tabs>
        <w:ind w:firstLine="426"/>
      </w:pPr>
      <w:r w:rsidRPr="000528B4">
        <w:t xml:space="preserve">However, it is true that “any comprehensive theory of integration should potentially be a theory </w:t>
      </w:r>
      <w:r w:rsidR="00F278B0">
        <w:t xml:space="preserve">of disintegration.” (Schmitter, </w:t>
      </w:r>
      <w:r w:rsidRPr="000528B4">
        <w:t>2002</w:t>
      </w:r>
      <w:r w:rsidR="000B1776">
        <w:t>:4</w:t>
      </w:r>
      <w:r w:rsidRPr="000528B4">
        <w:t>). As established, the considered situation is such that going back to autarky is extremely costly, particularly for the country suffering the most under a shock to leave up more mechanisms to bear with crisis. And, as shown by Lane (2012), for strong, wealthy countries it is costly to the point to make them willing to deal with moral hazard implied in fiscal transfers and bailing out mechanisms.</w:t>
      </w:r>
    </w:p>
    <w:p w14:paraId="78595540" w14:textId="7FAFE70D" w:rsidR="000528B4" w:rsidRDefault="000528B4" w:rsidP="00FE7595">
      <w:pPr>
        <w:pStyle w:val="Numberedtext"/>
        <w:numPr>
          <w:ilvl w:val="0"/>
          <w:numId w:val="0"/>
        </w:numPr>
        <w:tabs>
          <w:tab w:val="clear" w:pos="425"/>
          <w:tab w:val="left" w:pos="720"/>
        </w:tabs>
        <w:ind w:firstLine="426"/>
      </w:pPr>
      <w:r w:rsidRPr="000528B4">
        <w:t>If the current situation would not be happening under a federal-like legal scheme, it may be summarized as a rather simple, much-time repeated princ</w:t>
      </w:r>
      <w:r w:rsidRPr="000528B4">
        <w:t>i</w:t>
      </w:r>
      <w:r w:rsidRPr="000528B4">
        <w:t>pal-agent game as the one we have witnessed after almost every banking crisis leading to a sovereign crisis, when nations suffering the pressure of debt are bailed out by better-positioned nations, usually through international organiz</w:t>
      </w:r>
      <w:r w:rsidRPr="000528B4">
        <w:t>a</w:t>
      </w:r>
      <w:r w:rsidRPr="000528B4">
        <w:t>tions such as IMF. But the fact that there is a pre-existing common framework makes this a case where the fundamental trade-off is how much risk are the actors willing to share given the fact that each additional ‘degree’ of risk sha</w:t>
      </w:r>
      <w:r w:rsidRPr="000528B4">
        <w:t>r</w:t>
      </w:r>
      <w:r w:rsidRPr="000528B4">
        <w:t>ing implies a new degree of moral hazard.</w:t>
      </w:r>
    </w:p>
    <w:p w14:paraId="533A540A" w14:textId="75871F1C" w:rsidR="000528B4" w:rsidRDefault="000528B4" w:rsidP="00FE7595">
      <w:pPr>
        <w:pStyle w:val="Numberedtext"/>
        <w:numPr>
          <w:ilvl w:val="0"/>
          <w:numId w:val="0"/>
        </w:numPr>
        <w:tabs>
          <w:tab w:val="clear" w:pos="425"/>
          <w:tab w:val="left" w:pos="720"/>
        </w:tabs>
        <w:ind w:firstLine="426"/>
      </w:pPr>
      <w:r w:rsidRPr="000528B4">
        <w:t xml:space="preserve">Recall Persson and Tabellini’s distinction between a union that works through horizontal fiscal transfers and another where fiscal redistribution is decided through the action of a common central organization. When there is a pre-existing institutional framework as described, the bailing out and debt pooling mechanisms may be considered as a version of horizontal transfers as it is a negotiated way of redistribution between governments, implying as well moral hazard. In the end, debt is only one more of the sources for financing policies that a government has, together with taxes and ‘regular’ fiscal transfers. </w:t>
      </w:r>
      <w:r w:rsidRPr="000528B4">
        <w:lastRenderedPageBreak/>
        <w:t>Thus, any move towards debt pooling or bailing out within the Union will be considered as a move towards integration.</w:t>
      </w:r>
    </w:p>
    <w:p w14:paraId="2C596A8B" w14:textId="166F3C44" w:rsidR="000528B4" w:rsidRDefault="000528B4" w:rsidP="00FE7595">
      <w:pPr>
        <w:pStyle w:val="Heading2"/>
      </w:pPr>
      <w:bookmarkStart w:id="76" w:name="_Toc208145628"/>
      <w:r>
        <w:t>5.2 Preferences and utility functions</w:t>
      </w:r>
      <w:bookmarkEnd w:id="76"/>
    </w:p>
    <w:p w14:paraId="5C87BC39" w14:textId="3EEFBE9A" w:rsidR="000528B4" w:rsidRDefault="000528B4" w:rsidP="00FE7595">
      <w:pPr>
        <w:pStyle w:val="Normalfirstparagraph"/>
        <w:ind w:firstLine="426"/>
      </w:pPr>
      <w:r w:rsidRPr="000528B4">
        <w:t>Wrapping up, the included elements so far to shape the preferences of the actors are:</w:t>
      </w:r>
    </w:p>
    <w:p w14:paraId="0E6FE88C" w14:textId="340B8931" w:rsidR="000528B4" w:rsidRDefault="000528B4" w:rsidP="00FE7595">
      <w:pPr>
        <w:pStyle w:val="ListParagraph"/>
        <w:numPr>
          <w:ilvl w:val="0"/>
          <w:numId w:val="36"/>
        </w:numPr>
      </w:pPr>
      <w:r w:rsidRPr="000528B4">
        <w:t>The possibility of deep</w:t>
      </w:r>
      <w:r w:rsidR="00B447A8">
        <w:t>ening</w:t>
      </w:r>
      <w:r w:rsidRPr="000528B4">
        <w:t xml:space="preserve"> the integration through inter-government transfers focused on debt and bail out systems.</w:t>
      </w:r>
    </w:p>
    <w:p w14:paraId="35D195B0" w14:textId="399AFD4F" w:rsidR="000528B4" w:rsidRDefault="000528B4" w:rsidP="00FE7595">
      <w:pPr>
        <w:pStyle w:val="ListParagraph"/>
        <w:numPr>
          <w:ilvl w:val="0"/>
          <w:numId w:val="36"/>
        </w:numPr>
      </w:pPr>
      <w:r w:rsidRPr="000528B4">
        <w:t>The possibility of deep</w:t>
      </w:r>
      <w:r w:rsidR="00B447A8">
        <w:t>ening</w:t>
      </w:r>
      <w:r w:rsidRPr="000528B4">
        <w:t xml:space="preserve"> the integration through the establis</w:t>
      </w:r>
      <w:r w:rsidRPr="000528B4">
        <w:t>h</w:t>
      </w:r>
      <w:r w:rsidRPr="000528B4">
        <w:t>ment of a centralized system to decide on the inter-region transfers.</w:t>
      </w:r>
    </w:p>
    <w:p w14:paraId="1977C5C4" w14:textId="099EB9E9" w:rsidR="000528B4" w:rsidRDefault="000528B4" w:rsidP="00FE7595">
      <w:pPr>
        <w:pStyle w:val="ListParagraph"/>
        <w:numPr>
          <w:ilvl w:val="0"/>
          <w:numId w:val="36"/>
        </w:numPr>
      </w:pPr>
      <w:r w:rsidRPr="000528B4">
        <w:t>The possibility of reverting any type of union to autarky.</w:t>
      </w:r>
    </w:p>
    <w:p w14:paraId="294ECA35" w14:textId="7E7989D7" w:rsidR="000528B4" w:rsidRDefault="000528B4" w:rsidP="00FE7595">
      <w:r w:rsidRPr="000528B4">
        <w:t>The first one is a matter of degree: how much union do we want? But the second and the third one</w:t>
      </w:r>
      <w:r w:rsidR="001755E2">
        <w:t>s</w:t>
      </w:r>
      <w:r w:rsidRPr="000528B4">
        <w:t xml:space="preserve"> are absolute responses to this degree issue: either a union where we (the actors) do not hold the capacity to decide any more on fiscal transfers in the same manner that we used to, or non union at all.</w:t>
      </w:r>
    </w:p>
    <w:p w14:paraId="11AF14DA" w14:textId="7BDF5A4E" w:rsidR="000528B4" w:rsidRPr="000528B4" w:rsidRDefault="000528B4" w:rsidP="00FE7595">
      <w:r w:rsidRPr="000528B4">
        <w:t>Still, more elements should be added to the set of preference shaping b</w:t>
      </w:r>
      <w:r w:rsidRPr="000528B4">
        <w:t>e</w:t>
      </w:r>
      <w:r w:rsidRPr="000528B4">
        <w:t>fore going further in formalization. The moral hazard attached to integration through risk</w:t>
      </w:r>
      <w:r w:rsidR="00C20F63">
        <w:t xml:space="preserve"> sharing affects negatively </w:t>
      </w:r>
      <w:r w:rsidR="00C20F63" w:rsidRPr="00E67EA4">
        <w:rPr>
          <w:position w:val="-14"/>
        </w:rPr>
        <w:object w:dxaOrig="380" w:dyaOrig="380" w14:anchorId="5F9737C5">
          <v:shape id="_x0000_i1027" type="#_x0000_t75" style="width:19.25pt;height:19.25pt" o:ole="">
            <v:imagedata r:id="rId22" o:title=""/>
          </v:shape>
          <o:OLEObject Type="Embed" ProgID="Equation.3" ShapeID="_x0000_i1027" DrawAspect="Content" ObjectID="_1281991278" r:id="rId23"/>
        </w:object>
      </w:r>
      <w:r w:rsidR="00C20F63">
        <w:rPr>
          <w:position w:val="-14"/>
        </w:rPr>
        <w:t xml:space="preserve"> </w:t>
      </w:r>
      <w:r w:rsidRPr="000528B4">
        <w:t xml:space="preserve">and positively </w:t>
      </w:r>
      <w:r w:rsidR="001755E2" w:rsidRPr="00E67EA4">
        <w:rPr>
          <w:position w:val="-14"/>
        </w:rPr>
        <w:object w:dxaOrig="420" w:dyaOrig="380" w14:anchorId="5F1D45EB">
          <v:shape id="_x0000_i1028" type="#_x0000_t75" style="width:21.4pt;height:19.25pt" o:ole="">
            <v:imagedata r:id="rId24" o:title=""/>
          </v:shape>
          <o:OLEObject Type="Embed" ProgID="Equation.3" ShapeID="_x0000_i1028" DrawAspect="Content" ObjectID="_1281991279" r:id="rId25"/>
        </w:object>
      </w:r>
      <w:r w:rsidRPr="000528B4">
        <w:t xml:space="preserve">, who will be able to issue more debt without controlling the fundamental problems that lead them to the present situation. </w:t>
      </w:r>
      <w:r w:rsidR="008D0185" w:rsidRPr="00E67EA4">
        <w:rPr>
          <w:position w:val="-14"/>
        </w:rPr>
        <w:object w:dxaOrig="380" w:dyaOrig="380" w14:anchorId="4475F25B">
          <v:shape id="_x0000_i1029" type="#_x0000_t75" style="width:19.25pt;height:19.25pt" o:ole="">
            <v:imagedata r:id="rId26" o:title=""/>
          </v:shape>
          <o:OLEObject Type="Embed" ProgID="Equation.3" ShapeID="_x0000_i1029" DrawAspect="Content" ObjectID="_1281991280" r:id="rId27"/>
        </w:object>
      </w:r>
      <w:r w:rsidRPr="000528B4">
        <w:t xml:space="preserve"> </w:t>
      </w:r>
      <w:proofErr w:type="gramStart"/>
      <w:r w:rsidRPr="000528B4">
        <w:t>will</w:t>
      </w:r>
      <w:proofErr w:type="gramEnd"/>
      <w:r w:rsidRPr="000528B4">
        <w:t xml:space="preserve"> want to avoid this through the impos</w:t>
      </w:r>
      <w:r w:rsidRPr="000528B4">
        <w:t>i</w:t>
      </w:r>
      <w:r w:rsidRPr="000528B4">
        <w:t>tion of conditions to each new amount of transfers. These conditions consist on constraints to the policy capacity of the government, mainly in fiscal areas, both for collecting taxes and deciding expenditure. Thus, logically counteract and compensates the expected lousy fiscal balance. This is: aims to avoid moral hazard.</w:t>
      </w:r>
    </w:p>
    <w:p w14:paraId="69FD0FF0" w14:textId="039FFD3E" w:rsidR="000528B4" w:rsidRDefault="0027713D" w:rsidP="00FE7595">
      <w:pPr>
        <w:pStyle w:val="Numberedtext"/>
        <w:numPr>
          <w:ilvl w:val="0"/>
          <w:numId w:val="0"/>
        </w:numPr>
        <w:tabs>
          <w:tab w:val="clear" w:pos="425"/>
          <w:tab w:val="left" w:pos="720"/>
        </w:tabs>
        <w:ind w:firstLine="426"/>
      </w:pPr>
      <w:r w:rsidRPr="0027713D">
        <w:t xml:space="preserve">But the current framework is such that there is no central authority able to enforce the agreements. As a consequence, there is a possibility for </w:t>
      </w:r>
      <w:r w:rsidR="00F80AB7" w:rsidRPr="00E67EA4">
        <w:rPr>
          <w:position w:val="-14"/>
        </w:rPr>
        <w:object w:dxaOrig="420" w:dyaOrig="380" w14:anchorId="09BF1BF3">
          <v:shape id="_x0000_i1030" type="#_x0000_t75" style="width:21.4pt;height:19.25pt" o:ole="">
            <v:imagedata r:id="rId28" o:title=""/>
          </v:shape>
          <o:OLEObject Type="Embed" ProgID="Equation.3" ShapeID="_x0000_i1030" DrawAspect="Content" ObjectID="_1281991281" r:id="rId29"/>
        </w:object>
      </w:r>
      <w:r w:rsidRPr="0027713D">
        <w:t xml:space="preserve"> to not accomplish the agreed conditions if the government expects not to have to r</w:t>
      </w:r>
      <w:r w:rsidRPr="0027713D">
        <w:t>e</w:t>
      </w:r>
      <w:r w:rsidRPr="0027713D">
        <w:t>quest for more help. Summarizing all the preference-relevant elements:</w:t>
      </w:r>
    </w:p>
    <w:p w14:paraId="07527B2F" w14:textId="35900207" w:rsidR="0027713D" w:rsidRDefault="002E0385" w:rsidP="00FE7595">
      <w:pPr>
        <w:pStyle w:val="Numberedtext"/>
        <w:numPr>
          <w:ilvl w:val="0"/>
          <w:numId w:val="37"/>
        </w:numPr>
        <w:tabs>
          <w:tab w:val="clear" w:pos="425"/>
          <w:tab w:val="left" w:pos="720"/>
        </w:tabs>
      </w:pPr>
      <w:r>
        <w:t xml:space="preserve">Degree of transfers </w:t>
      </w:r>
      <w:r w:rsidRPr="002E0385">
        <w:rPr>
          <w:position w:val="-4"/>
        </w:rPr>
        <w:object w:dxaOrig="220" w:dyaOrig="240" w14:anchorId="2B7EABC2">
          <v:shape id="_x0000_i1031" type="#_x0000_t75" style="width:11.4pt;height:12.1pt" o:ole="">
            <v:imagedata r:id="rId30" o:title=""/>
          </v:shape>
          <o:OLEObject Type="Embed" ProgID="Equation.3" ShapeID="_x0000_i1031" DrawAspect="Content" ObjectID="_1281991282" r:id="rId31"/>
        </w:object>
      </w:r>
      <w:r w:rsidR="0027713D" w:rsidRPr="0027713D">
        <w:t>.</w:t>
      </w:r>
    </w:p>
    <w:p w14:paraId="2FFB95B0" w14:textId="7CBE6238" w:rsidR="0027713D" w:rsidRDefault="002E0385" w:rsidP="00FE7595">
      <w:pPr>
        <w:pStyle w:val="Numberedtext"/>
        <w:numPr>
          <w:ilvl w:val="0"/>
          <w:numId w:val="37"/>
        </w:numPr>
        <w:tabs>
          <w:tab w:val="clear" w:pos="425"/>
          <w:tab w:val="left" w:pos="720"/>
        </w:tabs>
      </w:pPr>
      <w:r>
        <w:t xml:space="preserve">Degree of conditionality </w:t>
      </w:r>
      <w:r w:rsidRPr="002E0385">
        <w:rPr>
          <w:position w:val="-6"/>
        </w:rPr>
        <w:object w:dxaOrig="240" w:dyaOrig="260" w14:anchorId="7B04A86D">
          <v:shape id="_x0000_i1032" type="#_x0000_t75" style="width:12.1pt;height:12.85pt" o:ole="">
            <v:imagedata r:id="rId32" o:title=""/>
          </v:shape>
          <o:OLEObject Type="Embed" ProgID="Equation.3" ShapeID="_x0000_i1032" DrawAspect="Content" ObjectID="_1281991283" r:id="rId33"/>
        </w:object>
      </w:r>
      <w:r w:rsidR="0027713D" w:rsidRPr="0027713D">
        <w:t>.</w:t>
      </w:r>
    </w:p>
    <w:p w14:paraId="6F3F3417" w14:textId="1B2CBFE7" w:rsidR="0027713D" w:rsidRDefault="0027713D" w:rsidP="00FE7595">
      <w:pPr>
        <w:pStyle w:val="Numberedtext"/>
        <w:numPr>
          <w:ilvl w:val="0"/>
          <w:numId w:val="37"/>
        </w:numPr>
        <w:tabs>
          <w:tab w:val="clear" w:pos="425"/>
          <w:tab w:val="left" w:pos="720"/>
        </w:tabs>
      </w:pPr>
      <w:r w:rsidRPr="0027713D">
        <w:t>Degree of ful</w:t>
      </w:r>
      <w:r w:rsidR="002E0385">
        <w:t xml:space="preserve">fillment of the conditionality </w:t>
      </w:r>
      <w:r w:rsidR="002E0385" w:rsidRPr="002E0385">
        <w:rPr>
          <w:position w:val="-4"/>
        </w:rPr>
        <w:object w:dxaOrig="240" w:dyaOrig="240" w14:anchorId="13576790">
          <v:shape id="_x0000_i1033" type="#_x0000_t75" style="width:12.1pt;height:12.1pt" o:ole="">
            <v:imagedata r:id="rId34" o:title=""/>
          </v:shape>
          <o:OLEObject Type="Embed" ProgID="Equation.3" ShapeID="_x0000_i1033" DrawAspect="Content" ObjectID="_1281991284" r:id="rId35"/>
        </w:object>
      </w:r>
      <w:r w:rsidRPr="0027713D">
        <w:t>.</w:t>
      </w:r>
    </w:p>
    <w:p w14:paraId="3EB475B0" w14:textId="26ADB698" w:rsidR="0027713D" w:rsidRDefault="0027713D" w:rsidP="00FE7595">
      <w:pPr>
        <w:pStyle w:val="Numberedtext"/>
        <w:numPr>
          <w:ilvl w:val="0"/>
          <w:numId w:val="0"/>
        </w:numPr>
        <w:tabs>
          <w:tab w:val="clear" w:pos="425"/>
          <w:tab w:val="left" w:pos="720"/>
        </w:tabs>
        <w:ind w:firstLine="426"/>
      </w:pPr>
      <w:r w:rsidRPr="0027713D">
        <w:t>These three gradual decisions may be abstractly represented in three di</w:t>
      </w:r>
      <w:r w:rsidRPr="0027713D">
        <w:t>f</w:t>
      </w:r>
      <w:r w:rsidRPr="0027713D">
        <w:t>ferent continuums going from 0 to 1:</w:t>
      </w:r>
    </w:p>
    <w:p w14:paraId="5F6B3E5C" w14:textId="46033211" w:rsidR="0027713D" w:rsidRDefault="0027713D" w:rsidP="00FE7595">
      <w:pPr>
        <w:pStyle w:val="Numberedtext"/>
        <w:numPr>
          <w:ilvl w:val="0"/>
          <w:numId w:val="0"/>
        </w:numPr>
        <w:tabs>
          <w:tab w:val="clear" w:pos="425"/>
          <w:tab w:val="left" w:pos="720"/>
        </w:tabs>
        <w:rPr>
          <w:position w:val="-44"/>
        </w:rPr>
      </w:pPr>
      <w:r w:rsidRPr="00FD36BC">
        <w:rPr>
          <w:position w:val="-44"/>
        </w:rPr>
        <w:object w:dxaOrig="940" w:dyaOrig="1000" w14:anchorId="30444476">
          <v:shape id="_x0000_i1034" type="#_x0000_t75" style="width:47.05pt;height:49.9pt" o:ole="">
            <v:imagedata r:id="rId36" o:title=""/>
          </v:shape>
          <o:OLEObject Type="Embed" ProgID="Equation.3" ShapeID="_x0000_i1034" DrawAspect="Content" ObjectID="_1281991285" r:id="rId37"/>
        </w:object>
      </w:r>
    </w:p>
    <w:p w14:paraId="03A48FCB" w14:textId="4923941A" w:rsidR="0027713D" w:rsidRDefault="0098102E" w:rsidP="00FE7595">
      <w:pPr>
        <w:pStyle w:val="Numberedtext"/>
        <w:numPr>
          <w:ilvl w:val="0"/>
          <w:numId w:val="0"/>
        </w:numPr>
        <w:tabs>
          <w:tab w:val="clear" w:pos="425"/>
          <w:tab w:val="left" w:pos="720"/>
        </w:tabs>
      </w:pPr>
      <w:r>
        <w:tab/>
      </w:r>
      <w:r w:rsidRPr="0098102E">
        <w:t>It is possible to keep the available actions to these three possibilities. A move back to</w:t>
      </w:r>
      <w:r>
        <w:t xml:space="preserve"> the conditions that will allow governments to decide for</w:t>
      </w:r>
      <w:r w:rsidRPr="0098102E">
        <w:t xml:space="preserve"> total autarky (</w:t>
      </w:r>
      <w:r w:rsidR="00CC7839" w:rsidRPr="00CC7839">
        <w:rPr>
          <w:position w:val="-4"/>
        </w:rPr>
        <w:object w:dxaOrig="240" w:dyaOrig="240" w14:anchorId="22A5AE7C">
          <v:shape id="_x0000_i1035" type="#_x0000_t75" style="width:12.1pt;height:12.1pt" o:ole="">
            <v:imagedata r:id="rId38" o:title=""/>
          </v:shape>
          <o:OLEObject Type="Embed" ProgID="Equation.3" ShapeID="_x0000_i1035" DrawAspect="Content" ObjectID="_1281991286" r:id="rId39"/>
        </w:object>
      </w:r>
      <w:r w:rsidRPr="0098102E">
        <w:t xml:space="preserve">) </w:t>
      </w:r>
      <w:r>
        <w:t>is</w:t>
      </w:r>
      <w:r w:rsidRPr="0098102E">
        <w:t xml:space="preserve"> represented by:</w:t>
      </w:r>
    </w:p>
    <w:p w14:paraId="47FB622B" w14:textId="061CBE25" w:rsidR="0098102E" w:rsidRDefault="00CC7839" w:rsidP="00FE7595">
      <w:pPr>
        <w:pStyle w:val="Numberedtext"/>
        <w:numPr>
          <w:ilvl w:val="0"/>
          <w:numId w:val="0"/>
        </w:numPr>
        <w:tabs>
          <w:tab w:val="clear" w:pos="425"/>
          <w:tab w:val="left" w:pos="720"/>
        </w:tabs>
        <w:rPr>
          <w:position w:val="-8"/>
        </w:rPr>
      </w:pPr>
      <w:r w:rsidRPr="009468BA">
        <w:rPr>
          <w:position w:val="-8"/>
        </w:rPr>
        <w:object w:dxaOrig="3000" w:dyaOrig="300" w14:anchorId="11F1D8F4">
          <v:shape id="_x0000_i1036" type="#_x0000_t75" style="width:149.7pt;height:14.95pt" o:ole="">
            <v:imagedata r:id="rId40" o:title=""/>
          </v:shape>
          <o:OLEObject Type="Embed" ProgID="Equation.3" ShapeID="_x0000_i1036" DrawAspect="Content" ObjectID="_1281991287" r:id="rId41"/>
        </w:object>
      </w:r>
    </w:p>
    <w:p w14:paraId="5CCEEC97" w14:textId="4FDC1FF9" w:rsidR="000C1E84" w:rsidRDefault="000C1E84" w:rsidP="00FE7595">
      <w:pPr>
        <w:pStyle w:val="Numberedtext"/>
        <w:numPr>
          <w:ilvl w:val="0"/>
          <w:numId w:val="0"/>
        </w:numPr>
        <w:tabs>
          <w:tab w:val="clear" w:pos="425"/>
          <w:tab w:val="left" w:pos="720"/>
        </w:tabs>
      </w:pPr>
      <w:r>
        <w:tab/>
      </w:r>
      <w:r w:rsidRPr="000C1E84">
        <w:t>No transfers, no conditions and consequently nothing to accomplish</w:t>
      </w:r>
      <w:r>
        <w:t>.</w:t>
      </w:r>
    </w:p>
    <w:p w14:paraId="4965578A" w14:textId="01A016A5" w:rsidR="000C1E84" w:rsidRDefault="000C1E84" w:rsidP="00FE7595">
      <w:pPr>
        <w:pStyle w:val="Numberedtext"/>
        <w:numPr>
          <w:ilvl w:val="0"/>
          <w:numId w:val="0"/>
        </w:numPr>
        <w:tabs>
          <w:tab w:val="clear" w:pos="425"/>
          <w:tab w:val="left" w:pos="720"/>
        </w:tabs>
      </w:pPr>
      <w:r>
        <w:lastRenderedPageBreak/>
        <w:tab/>
      </w:r>
      <w:r w:rsidRPr="000C1E84">
        <w:t>And a situation of delegated authority (</w:t>
      </w:r>
      <w:r w:rsidR="00CC7839" w:rsidRPr="00CC7839">
        <w:rPr>
          <w:position w:val="-6"/>
        </w:rPr>
        <w:object w:dxaOrig="360" w:dyaOrig="260" w14:anchorId="5C674A73">
          <v:shape id="_x0000_i1037" type="#_x0000_t75" style="width:17.8pt;height:12.85pt" o:ole="">
            <v:imagedata r:id="rId42" o:title=""/>
          </v:shape>
          <o:OLEObject Type="Embed" ProgID="Equation.3" ShapeID="_x0000_i1037" DrawAspect="Content" ObjectID="_1281991288" r:id="rId43"/>
        </w:object>
      </w:r>
      <w:r w:rsidRPr="000C1E84">
        <w:t>) instead of inter-government will only be achieved under the following conditions:</w:t>
      </w:r>
    </w:p>
    <w:p w14:paraId="737A4D50" w14:textId="117E81B1" w:rsidR="000C1E84" w:rsidRDefault="000C1E84" w:rsidP="00FE7595">
      <w:pPr>
        <w:pStyle w:val="Numberedtext"/>
        <w:numPr>
          <w:ilvl w:val="0"/>
          <w:numId w:val="0"/>
        </w:numPr>
        <w:tabs>
          <w:tab w:val="clear" w:pos="425"/>
          <w:tab w:val="left" w:pos="720"/>
        </w:tabs>
        <w:rPr>
          <w:position w:val="-8"/>
        </w:rPr>
      </w:pPr>
      <w:r w:rsidRPr="009468BA">
        <w:rPr>
          <w:position w:val="-8"/>
        </w:rPr>
        <w:object w:dxaOrig="2980" w:dyaOrig="300" w14:anchorId="35F4F597">
          <v:shape id="_x0000_i1038" type="#_x0000_t75" style="width:149pt;height:14.95pt" o:ole="">
            <v:imagedata r:id="rId44" o:title=""/>
          </v:shape>
          <o:OLEObject Type="Embed" ProgID="Equation.3" ShapeID="_x0000_i1038" DrawAspect="Content" ObjectID="_1281991289" r:id="rId45"/>
        </w:object>
      </w:r>
    </w:p>
    <w:p w14:paraId="3D4222FE" w14:textId="143CAFBB" w:rsidR="000C1E84" w:rsidRDefault="004451D7" w:rsidP="00FE7595">
      <w:pPr>
        <w:pStyle w:val="Numberedtext"/>
        <w:numPr>
          <w:ilvl w:val="0"/>
          <w:numId w:val="0"/>
        </w:numPr>
        <w:tabs>
          <w:tab w:val="clear" w:pos="425"/>
          <w:tab w:val="left" w:pos="720"/>
        </w:tabs>
        <w:ind w:firstLine="426"/>
      </w:pPr>
      <w:r w:rsidRPr="004451D7">
        <w:t>Before this level, the inter-government scheme will be maintained as it is only at the maximum point that there is no more sovereignty to lose and thus transaction costs of moving from one institutional framework to another will be minimized. The choice for a centralized union will only come when inter-government cannot yield any more benefits to actors, this is, to the nation-states.</w:t>
      </w:r>
    </w:p>
    <w:p w14:paraId="5E649AC8" w14:textId="36EBAE3D" w:rsidR="004451D7" w:rsidRDefault="004451D7" w:rsidP="00FE7595">
      <w:pPr>
        <w:pStyle w:val="Numberedtext"/>
        <w:numPr>
          <w:ilvl w:val="0"/>
          <w:numId w:val="0"/>
        </w:numPr>
        <w:tabs>
          <w:tab w:val="clear" w:pos="425"/>
          <w:tab w:val="left" w:pos="720"/>
        </w:tabs>
        <w:ind w:firstLine="426"/>
      </w:pPr>
      <w:r>
        <w:t xml:space="preserve">Now </w:t>
      </w:r>
      <w:r w:rsidR="00CC7839">
        <w:t>I</w:t>
      </w:r>
      <w:r>
        <w:t xml:space="preserve"> can</w:t>
      </w:r>
      <w:r w:rsidRPr="004451D7">
        <w:t xml:space="preserve"> formalize the utility functions of each actor. They will be di</w:t>
      </w:r>
      <w:r w:rsidRPr="004451D7">
        <w:t>f</w:t>
      </w:r>
      <w:r w:rsidRPr="004451D7">
        <w:t>ferent, as explained, and based on the three selected dimensions of transfers, conditional</w:t>
      </w:r>
      <w:r>
        <w:t>ity and conditions fulfil</w:t>
      </w:r>
      <w:r w:rsidRPr="004451D7">
        <w:t>ment.</w:t>
      </w:r>
    </w:p>
    <w:p w14:paraId="455BB3A5" w14:textId="7E1239AD" w:rsidR="004451D7" w:rsidRDefault="004451D7" w:rsidP="00FE7595">
      <w:pPr>
        <w:pStyle w:val="Numberedtext"/>
        <w:numPr>
          <w:ilvl w:val="0"/>
          <w:numId w:val="0"/>
        </w:numPr>
        <w:tabs>
          <w:tab w:val="clear" w:pos="425"/>
          <w:tab w:val="left" w:pos="720"/>
        </w:tabs>
        <w:ind w:firstLine="426"/>
      </w:pPr>
      <w:r w:rsidRPr="004451D7">
        <w:t>For the strong region S, maximum utility happens at the point of Un, this is, when centralized union is achieved. This happens because coming back to autarky (</w:t>
      </w:r>
      <w:r w:rsidR="009F57ED" w:rsidRPr="00CC7839">
        <w:rPr>
          <w:position w:val="-4"/>
        </w:rPr>
        <w:object w:dxaOrig="240" w:dyaOrig="240" w14:anchorId="395CFD97">
          <v:shape id="_x0000_i1039" type="#_x0000_t75" style="width:12.1pt;height:12.1pt" o:ole="">
            <v:imagedata r:id="rId46" o:title=""/>
          </v:shape>
          <o:OLEObject Type="Embed" ProgID="Equation.3" ShapeID="_x0000_i1039" DrawAspect="Content" ObjectID="_1281991290" r:id="rId47"/>
        </w:object>
      </w:r>
      <w:r w:rsidRPr="004451D7">
        <w:t xml:space="preserve">) is considered as extremely costly, as already referred. Thus, such a situation (autarky, the end of the union) would leave Germany with 0 utility. But the profit taken from the increase of transfers is directly </w:t>
      </w:r>
      <w:r w:rsidR="009F57ED">
        <w:t>determined by the fulfillment (</w:t>
      </w:r>
      <w:r w:rsidR="009F57ED" w:rsidRPr="002E0385">
        <w:rPr>
          <w:position w:val="-4"/>
        </w:rPr>
        <w:object w:dxaOrig="240" w:dyaOrig="240" w14:anchorId="232B4480">
          <v:shape id="_x0000_i1040" type="#_x0000_t75" style="width:12.1pt;height:12.1pt" o:ole="">
            <v:imagedata r:id="rId48" o:title=""/>
          </v:shape>
          <o:OLEObject Type="Embed" ProgID="Equation.3" ShapeID="_x0000_i1040" DrawAspect="Content" ObjectID="_1281991291" r:id="rId49"/>
        </w:object>
      </w:r>
      <w:r w:rsidRPr="004451D7">
        <w:t xml:space="preserve">) of the imposed conditions. And the </w:t>
      </w:r>
      <w:proofErr w:type="gramStart"/>
      <w:r w:rsidRPr="004451D7">
        <w:t>effect of these conditions is also determined by th</w:t>
      </w:r>
      <w:r w:rsidR="00D30F6C">
        <w:t xml:space="preserve">e same </w:t>
      </w:r>
      <w:r w:rsidR="00D30F6C" w:rsidRPr="002E0385">
        <w:rPr>
          <w:position w:val="-4"/>
        </w:rPr>
        <w:object w:dxaOrig="240" w:dyaOrig="240" w14:anchorId="709E568B">
          <v:shape id="_x0000_i1041" type="#_x0000_t75" style="width:12.1pt;height:12.1pt" o:ole="">
            <v:imagedata r:id="rId50" o:title=""/>
          </v:shape>
          <o:OLEObject Type="Embed" ProgID="Equation.3" ShapeID="_x0000_i1041" DrawAspect="Content" ObjectID="_1281991292" r:id="rId51"/>
        </w:object>
      </w:r>
      <w:r w:rsidR="00D30F6C">
        <w:t xml:space="preserve">, having </w:t>
      </w:r>
      <w:r w:rsidR="00D30F6C" w:rsidRPr="002E0385">
        <w:rPr>
          <w:position w:val="-4"/>
        </w:rPr>
        <w:object w:dxaOrig="240" w:dyaOrig="240" w14:anchorId="1DD13606">
          <v:shape id="_x0000_i1042" type="#_x0000_t75" style="width:12.1pt;height:12.1pt" o:ole="">
            <v:imagedata r:id="rId52" o:title=""/>
          </v:shape>
          <o:OLEObject Type="Embed" ProgID="Equation.3" ShapeID="_x0000_i1042" DrawAspect="Content" ObjectID="_1281991293" r:id="rId53"/>
        </w:object>
      </w:r>
      <w:r w:rsidRPr="004451D7">
        <w:t xml:space="preserve"> a double influence</w:t>
      </w:r>
      <w:proofErr w:type="gramEnd"/>
      <w:r w:rsidRPr="004451D7">
        <w:t>:</w:t>
      </w:r>
    </w:p>
    <w:p w14:paraId="4639A1A9" w14:textId="71038E5D" w:rsidR="004451D7" w:rsidRDefault="004451D7" w:rsidP="00FE7595">
      <w:pPr>
        <w:pStyle w:val="Numberedtext"/>
        <w:numPr>
          <w:ilvl w:val="0"/>
          <w:numId w:val="0"/>
        </w:numPr>
        <w:tabs>
          <w:tab w:val="clear" w:pos="425"/>
          <w:tab w:val="left" w:pos="720"/>
        </w:tabs>
        <w:rPr>
          <w:position w:val="-14"/>
        </w:rPr>
      </w:pPr>
      <w:r w:rsidRPr="004019C2">
        <w:rPr>
          <w:position w:val="-14"/>
        </w:rPr>
        <w:object w:dxaOrig="1780" w:dyaOrig="380" w14:anchorId="2BFBAC09">
          <v:shape id="_x0000_i1043" type="#_x0000_t75" style="width:88.4pt;height:19.25pt" o:ole="">
            <v:imagedata r:id="rId54" o:title=""/>
          </v:shape>
          <o:OLEObject Type="Embed" ProgID="Equation.3" ShapeID="_x0000_i1043" DrawAspect="Content" ObjectID="_1281991294" r:id="rId55"/>
        </w:object>
      </w:r>
    </w:p>
    <w:p w14:paraId="73EBF966" w14:textId="49E123DB" w:rsidR="009B0715" w:rsidRDefault="009B0715" w:rsidP="00FE7595">
      <w:pPr>
        <w:pStyle w:val="Numberedtext"/>
        <w:numPr>
          <w:ilvl w:val="0"/>
          <w:numId w:val="0"/>
        </w:numPr>
        <w:tabs>
          <w:tab w:val="clear" w:pos="425"/>
          <w:tab w:val="left" w:pos="720"/>
        </w:tabs>
        <w:ind w:firstLine="426"/>
      </w:pPr>
      <w:r w:rsidRPr="009B0715">
        <w:t>Then, if there is no fulfillment, utility equals to the one that would yield the ‘autarky situation’. But up to that point, every option is preferred to auta</w:t>
      </w:r>
      <w:r w:rsidRPr="009B0715">
        <w:t>r</w:t>
      </w:r>
      <w:r w:rsidRPr="009B0715">
        <w:t>ky.</w:t>
      </w:r>
    </w:p>
    <w:p w14:paraId="6457B80D" w14:textId="140D738C" w:rsidR="004451D7" w:rsidRDefault="00933804" w:rsidP="00FE7595">
      <w:pPr>
        <w:pStyle w:val="Numberedtext"/>
        <w:numPr>
          <w:ilvl w:val="0"/>
          <w:numId w:val="0"/>
        </w:numPr>
        <w:tabs>
          <w:tab w:val="clear" w:pos="425"/>
          <w:tab w:val="left" w:pos="720"/>
        </w:tabs>
        <w:ind w:firstLine="426"/>
      </w:pPr>
      <w:r w:rsidRPr="00933804">
        <w:t xml:space="preserve">Conversely, for </w:t>
      </w:r>
      <w:r w:rsidR="00CD787C" w:rsidRPr="00E67EA4">
        <w:rPr>
          <w:position w:val="-14"/>
        </w:rPr>
        <w:object w:dxaOrig="420" w:dyaOrig="380" w14:anchorId="66EB9000">
          <v:shape id="_x0000_i1044" type="#_x0000_t75" style="width:21.4pt;height:19.25pt" o:ole="">
            <v:imagedata r:id="rId56" o:title=""/>
          </v:shape>
          <o:OLEObject Type="Embed" ProgID="Equation.3" ShapeID="_x0000_i1044" DrawAspect="Content" ObjectID="_1281991295" r:id="rId57"/>
        </w:object>
      </w:r>
      <w:r w:rsidRPr="00933804">
        <w:t>, maximum utility will be achieved when combining full transfers (</w:t>
      </w:r>
      <w:r w:rsidR="00285C26" w:rsidRPr="00285C26">
        <w:rPr>
          <w:position w:val="-4"/>
        </w:rPr>
        <w:object w:dxaOrig="540" w:dyaOrig="240" w14:anchorId="4664D734">
          <v:shape id="_x0000_i1045" type="#_x0000_t75" style="width:27.1pt;height:12.1pt" o:ole="">
            <v:imagedata r:id="rId58" o:title=""/>
          </v:shape>
          <o:OLEObject Type="Embed" ProgID="Equation.3" ShapeID="_x0000_i1045" DrawAspect="Content" ObjectID="_1281991296" r:id="rId59"/>
        </w:object>
      </w:r>
      <w:r w:rsidRPr="00933804">
        <w:t>) and no conditionality (</w:t>
      </w:r>
      <w:r w:rsidR="00285C26" w:rsidRPr="00285C26">
        <w:rPr>
          <w:position w:val="-6"/>
        </w:rPr>
        <w:object w:dxaOrig="580" w:dyaOrig="260" w14:anchorId="1C9B7CBF">
          <v:shape id="_x0000_i1046" type="#_x0000_t75" style="width:29.25pt;height:12.85pt" o:ole="">
            <v:imagedata r:id="rId60" o:title=""/>
          </v:shape>
          <o:OLEObject Type="Embed" ProgID="Equation.3" ShapeID="_x0000_i1046" DrawAspect="Content" ObjectID="_1281991297" r:id="rId61"/>
        </w:object>
      </w:r>
      <w:r w:rsidRPr="00933804">
        <w:t>). F of conditions will act as a modulator of conditionality: each point non-fulfilled will report utility. But it should be considered that a situation of autarky is not desired at all by the r</w:t>
      </w:r>
      <w:r w:rsidRPr="00933804">
        <w:t>e</w:t>
      </w:r>
      <w:r w:rsidRPr="00933804">
        <w:t>gion. An efficient way to summarize these features may be the following:</w:t>
      </w:r>
    </w:p>
    <w:p w14:paraId="30D81082" w14:textId="0BDE9D05" w:rsidR="00933804" w:rsidRDefault="00933804" w:rsidP="00FE7595">
      <w:pPr>
        <w:pStyle w:val="Numberedtext"/>
        <w:numPr>
          <w:ilvl w:val="0"/>
          <w:numId w:val="0"/>
        </w:numPr>
        <w:tabs>
          <w:tab w:val="clear" w:pos="425"/>
          <w:tab w:val="left" w:pos="720"/>
        </w:tabs>
        <w:rPr>
          <w:position w:val="-14"/>
        </w:rPr>
      </w:pPr>
      <w:r w:rsidRPr="008E76B4">
        <w:rPr>
          <w:position w:val="-14"/>
        </w:rPr>
        <w:object w:dxaOrig="1680" w:dyaOrig="380" w14:anchorId="6BFE0A50">
          <v:shape id="_x0000_i1047" type="#_x0000_t75" style="width:84.1pt;height:19.25pt" o:ole="">
            <v:imagedata r:id="rId62" o:title=""/>
          </v:shape>
          <o:OLEObject Type="Embed" ProgID="Equation.3" ShapeID="_x0000_i1047" DrawAspect="Content" ObjectID="_1281991298" r:id="rId63"/>
        </w:object>
      </w:r>
    </w:p>
    <w:p w14:paraId="763A8954" w14:textId="524C0E1A" w:rsidR="00933804" w:rsidRDefault="00912D06" w:rsidP="00FE7595">
      <w:pPr>
        <w:pStyle w:val="Numberedtext"/>
        <w:numPr>
          <w:ilvl w:val="0"/>
          <w:numId w:val="0"/>
        </w:numPr>
        <w:tabs>
          <w:tab w:val="clear" w:pos="425"/>
          <w:tab w:val="left" w:pos="720"/>
        </w:tabs>
        <w:ind w:firstLine="426"/>
      </w:pPr>
      <w:r w:rsidRPr="00912D06">
        <w:t xml:space="preserve">Fulfillment affects conditionality obviously reducing its negative effect: unless fulfillment equals to 1 (totally accomplishing every single condition), conditionality will only have the effect of gradually reducing benefit from transfers. </w:t>
      </w:r>
      <w:r w:rsidR="003E78E0" w:rsidRPr="003E78E0">
        <w:rPr>
          <w:position w:val="-10"/>
        </w:rPr>
        <w:object w:dxaOrig="220" w:dyaOrig="320" w14:anchorId="6EAA8019">
          <v:shape id="_x0000_i1048" type="#_x0000_t75" style="width:10.7pt;height:16.4pt" o:ole="">
            <v:imagedata r:id="rId64" o:title=""/>
          </v:shape>
          <o:OLEObject Type="Embed" ProgID="Equation.3" ShapeID="_x0000_i1048" DrawAspect="Content" ObjectID="_1281991299" r:id="rId65"/>
        </w:object>
      </w:r>
      <w:r w:rsidR="003E78E0">
        <w:t xml:space="preserve"> </w:t>
      </w:r>
      <w:proofErr w:type="gramStart"/>
      <w:r w:rsidRPr="00912D06">
        <w:t>is</w:t>
      </w:r>
      <w:proofErr w:type="gramEnd"/>
      <w:r w:rsidRPr="00912D06">
        <w:t xml:space="preserve"> an </w:t>
      </w:r>
      <w:r w:rsidR="003E78E0">
        <w:t xml:space="preserve">exogenous constant taking a value </w:t>
      </w:r>
      <w:r w:rsidR="003E78E0" w:rsidRPr="003E78E0">
        <w:rPr>
          <w:position w:val="-10"/>
        </w:rPr>
        <w:object w:dxaOrig="540" w:dyaOrig="320" w14:anchorId="0EE71638">
          <v:shape id="_x0000_i1049" type="#_x0000_t75" style="width:27.1pt;height:16.4pt" o:ole="">
            <v:imagedata r:id="rId66" o:title=""/>
          </v:shape>
          <o:OLEObject Type="Embed" ProgID="Equation.3" ShapeID="_x0000_i1049" DrawAspect="Content" ObjectID="_1281991300" r:id="rId67"/>
        </w:object>
      </w:r>
      <w:r w:rsidRPr="00912D06">
        <w:t xml:space="preserve"> that accounts for the fact that even with total conditioning and fulfillment the weak region is better off by getting the transfers. This is justified by the fact that autarky is extremely costly for an indebted country with weak fundamentals in terms of its macroeconomic situation, and that has already engaged into an integration process.</w:t>
      </w:r>
    </w:p>
    <w:p w14:paraId="3B298428" w14:textId="2C407C7B" w:rsidR="008D4ED0" w:rsidRDefault="008D4ED0" w:rsidP="00FE7595">
      <w:pPr>
        <w:pStyle w:val="Heading2"/>
      </w:pPr>
      <w:bookmarkStart w:id="77" w:name="_Toc208145629"/>
      <w:r>
        <w:t>5.3 A first, non-iterated game</w:t>
      </w:r>
      <w:bookmarkEnd w:id="77"/>
    </w:p>
    <w:p w14:paraId="27801E44" w14:textId="4F321482" w:rsidR="00C909CF" w:rsidRDefault="00C909CF"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position w:val="-8"/>
        </w:rPr>
      </w:pPr>
      <w:r>
        <w:t>Which sequence of events takes the actors to the resolution of these utility functions? Being the financial situation of</w:t>
      </w:r>
      <w:r w:rsidRPr="00E67EA4">
        <w:rPr>
          <w:position w:val="-14"/>
        </w:rPr>
        <w:object w:dxaOrig="420" w:dyaOrig="380" w14:anchorId="7915F197">
          <v:shape id="_x0000_i1177" type="#_x0000_t75" style="width:21.4pt;height:19.25pt" o:ole="">
            <v:imagedata r:id="rId68" o:title=""/>
          </v:shape>
          <o:OLEObject Type="Embed" ProgID="Equation.3" ShapeID="_x0000_i1177" DrawAspect="Content" ObjectID="_1281991301" r:id="rId69"/>
        </w:object>
      </w:r>
      <w:r w:rsidRPr="00B45985">
        <w:t xml:space="preserve"> </w:t>
      </w:r>
      <w:r>
        <w:t xml:space="preserve">public, </w:t>
      </w:r>
      <w:r w:rsidRPr="00E67EA4">
        <w:rPr>
          <w:position w:val="-14"/>
        </w:rPr>
        <w:object w:dxaOrig="400" w:dyaOrig="380" w14:anchorId="59E2145B">
          <v:shape id="_x0000_i1178" type="#_x0000_t75" style="width:19.95pt;height:19.25pt" o:ole="">
            <v:imagedata r:id="rId70" o:title=""/>
          </v:shape>
          <o:OLEObject Type="Embed" ProgID="Equation.3" ShapeID="_x0000_i1178" DrawAspect="Content" ObjectID="_1281991302" r:id="rId71"/>
        </w:object>
      </w:r>
      <w:r>
        <w:t xml:space="preserve"> anticipate the fact that </w:t>
      </w:r>
      <w:r w:rsidRPr="00E67EA4">
        <w:rPr>
          <w:position w:val="-14"/>
        </w:rPr>
        <w:object w:dxaOrig="420" w:dyaOrig="380" w14:anchorId="5133D37B">
          <v:shape id="_x0000_i1179" type="#_x0000_t75" style="width:21.4pt;height:19.25pt" o:ole="">
            <v:imagedata r:id="rId72" o:title=""/>
          </v:shape>
          <o:OLEObject Type="Embed" ProgID="Equation.3" ShapeID="_x0000_i1179" DrawAspect="Content" ObjectID="_1281991303" r:id="rId73"/>
        </w:object>
      </w:r>
      <w:r>
        <w:t xml:space="preserve"> will ask for help, and thus fix a conditionality rate. As this depends on the amount of transfers in a direct proportion (the deeper the transfers, the </w:t>
      </w:r>
      <w:r>
        <w:lastRenderedPageBreak/>
        <w:t xml:space="preserve">more risk sharing and thus potential moral hazard), what </w:t>
      </w:r>
      <w:r w:rsidRPr="00E67EA4">
        <w:rPr>
          <w:position w:val="-14"/>
        </w:rPr>
        <w:object w:dxaOrig="400" w:dyaOrig="380" w14:anchorId="4C44E927">
          <v:shape id="_x0000_i1180" type="#_x0000_t75" style="width:19.95pt;height:19.25pt" o:ole="">
            <v:imagedata r:id="rId74" o:title=""/>
          </v:shape>
          <o:OLEObject Type="Embed" ProgID="Equation.3" ShapeID="_x0000_i1180" DrawAspect="Content" ObjectID="_1281991304" r:id="rId75"/>
        </w:object>
      </w:r>
      <w:r>
        <w:t>decides is a sp</w:t>
      </w:r>
      <w:r>
        <w:t>e</w:t>
      </w:r>
      <w:r>
        <w:t xml:space="preserve">cific level of conditionality for each possible level of transfers: </w:t>
      </w:r>
      <w:r w:rsidR="002C016D" w:rsidRPr="002C016D">
        <w:rPr>
          <w:position w:val="-10"/>
        </w:rPr>
        <w:object w:dxaOrig="900" w:dyaOrig="320" w14:anchorId="0AB16459">
          <v:shape id="_x0000_i1181" type="#_x0000_t75" style="width:44.9pt;height:15.7pt" o:ole="">
            <v:imagedata r:id="rId76" o:title=""/>
          </v:shape>
          <o:OLEObject Type="Embed" ProgID="Equation.3" ShapeID="_x0000_i1181" DrawAspect="Content" ObjectID="_1281991305" r:id="rId77"/>
        </w:object>
      </w:r>
      <w:r w:rsidR="002C016D">
        <w:t xml:space="preserve">, where </w:t>
      </w:r>
      <w:r w:rsidR="002C016D" w:rsidRPr="002C016D">
        <w:rPr>
          <w:position w:val="-6"/>
        </w:rPr>
        <w:object w:dxaOrig="200" w:dyaOrig="220" w14:anchorId="1A3FA63F">
          <v:shape id="_x0000_i1182" type="#_x0000_t75" style="width:10pt;height:10.7pt" o:ole="">
            <v:imagedata r:id="rId78" o:title=""/>
          </v:shape>
          <o:OLEObject Type="Embed" ProgID="Equation.3" ShapeID="_x0000_i1182" DrawAspect="Content" ObjectID="_1281991306" r:id="rId79"/>
        </w:object>
      </w:r>
      <w:r w:rsidR="002C016D">
        <w:rPr>
          <w:position w:val="-8"/>
        </w:rPr>
        <w:t xml:space="preserve"> </w:t>
      </w:r>
      <w:r w:rsidR="002C016D">
        <w:t>is the chosen factor between 0 (no conditionality attached to tran</w:t>
      </w:r>
      <w:r w:rsidR="002C016D">
        <w:t>s</w:t>
      </w:r>
      <w:r w:rsidR="002C016D">
        <w:t>fers) and 1 (</w:t>
      </w:r>
      <w:r w:rsidR="00CB33F8">
        <w:t>maximum</w:t>
      </w:r>
      <w:r w:rsidR="002C016D">
        <w:t xml:space="preserve"> conditions).</w:t>
      </w:r>
    </w:p>
    <w:p w14:paraId="1147924A" w14:textId="4E185A34" w:rsidR="00C909CF" w:rsidRDefault="00C909CF"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After this condition is set and known, </w:t>
      </w:r>
      <w:r w:rsidRPr="00E67EA4">
        <w:rPr>
          <w:position w:val="-14"/>
        </w:rPr>
        <w:object w:dxaOrig="420" w:dyaOrig="380" w14:anchorId="09B5749E">
          <v:shape id="_x0000_i1183" type="#_x0000_t75" style="width:21.4pt;height:19.25pt" o:ole="">
            <v:imagedata r:id="rId80" o:title=""/>
          </v:shape>
          <o:OLEObject Type="Embed" ProgID="Equation.3" ShapeID="_x0000_i1183" DrawAspect="Content" ObjectID="_1281991307" r:id="rId81"/>
        </w:object>
      </w:r>
      <w:r>
        <w:t xml:space="preserve"> will ‘decide’ the level of tran</w:t>
      </w:r>
      <w:r>
        <w:t>s</w:t>
      </w:r>
      <w:r>
        <w:t>fers. This is nothing but a formalization of a two-sided bargaining including two directly related elements. Meaning that, although the ‘bargaining moment’ is only one (a meeting, a summit), conditionality has been decided previously, and is common knowledge</w:t>
      </w:r>
      <w:r>
        <w:rPr>
          <w:rStyle w:val="FootnoteReference"/>
        </w:rPr>
        <w:footnoteReference w:id="7"/>
      </w:r>
      <w:r>
        <w:t>. Setting apart bargain techniques such as credible threats, this makes negotiation a mere choice of a combined level of transfers and conditionality.</w:t>
      </w:r>
    </w:p>
    <w:p w14:paraId="0CC9635B" w14:textId="77777777" w:rsidR="00BE5E60" w:rsidRDefault="00BE5E60"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Once this choice has made, we enter on the third stage. Now, </w:t>
      </w:r>
      <w:r w:rsidRPr="00E67EA4">
        <w:rPr>
          <w:position w:val="-14"/>
        </w:rPr>
        <w:object w:dxaOrig="420" w:dyaOrig="380" w14:anchorId="69DE35F8">
          <v:shape id="_x0000_i1184" type="#_x0000_t75" style="width:21.4pt;height:19.25pt" o:ole="">
            <v:imagedata r:id="rId82" o:title=""/>
          </v:shape>
          <o:OLEObject Type="Embed" ProgID="Equation.3" ShapeID="_x0000_i1184" DrawAspect="Content" ObjectID="_1281991308" r:id="rId83"/>
        </w:object>
      </w:r>
      <w:r>
        <w:t xml:space="preserve"> will be able to choose the degree of fulfillment of the conditions. This would close the game if no more help would be needed from the weak region. In order to find the equilibrium, I shall draw the decision tree corresponding to the explained narrative:</w:t>
      </w:r>
    </w:p>
    <w:p w14:paraId="6AA9B306" w14:textId="57CFDF81" w:rsidR="008A20C2" w:rsidRPr="00507059" w:rsidRDefault="0050705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Arial" w:hAnsi="Arial" w:cs="Arial"/>
          <w:b/>
          <w:sz w:val="18"/>
          <w:szCs w:val="18"/>
        </w:rPr>
      </w:pPr>
      <w:r w:rsidRPr="00507059">
        <w:rPr>
          <w:rFonts w:ascii="Arial" w:hAnsi="Arial" w:cs="Arial"/>
          <w:b/>
          <w:sz w:val="18"/>
          <w:szCs w:val="18"/>
        </w:rPr>
        <w:t>Figure 5.1</w:t>
      </w:r>
    </w:p>
    <w:p w14:paraId="055638DB" w14:textId="796C17DD" w:rsidR="00507059" w:rsidRPr="00F54C11" w:rsidRDefault="0050705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ascii="Arial" w:hAnsi="Arial" w:cs="Arial"/>
          <w:b/>
          <w:sz w:val="18"/>
          <w:szCs w:val="18"/>
        </w:rPr>
      </w:pPr>
      <w:r>
        <w:rPr>
          <w:rFonts w:ascii="Arial" w:hAnsi="Arial" w:cs="Arial"/>
          <w:b/>
          <w:sz w:val="18"/>
          <w:szCs w:val="18"/>
        </w:rPr>
        <w:t>A</w:t>
      </w:r>
      <w:r w:rsidRPr="00507059">
        <w:rPr>
          <w:rFonts w:ascii="Arial" w:hAnsi="Arial" w:cs="Arial"/>
          <w:b/>
          <w:sz w:val="18"/>
          <w:szCs w:val="18"/>
        </w:rPr>
        <w:t>n absolute and non-iterated game on inter-government bargain</w:t>
      </w:r>
    </w:p>
    <w:p w14:paraId="14E737D2" w14:textId="47AA356F" w:rsidR="008A20C2" w:rsidRDefault="00EE428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r>
        <w:rPr>
          <w:noProof/>
          <w:lang w:val="en-US" w:eastAsia="en-US"/>
        </w:rPr>
        <w:drawing>
          <wp:inline distT="0" distB="0" distL="0" distR="0" wp14:anchorId="3717245C" wp14:editId="7E2807F6">
            <wp:extent cx="4679950" cy="2869006"/>
            <wp:effectExtent l="0" t="0" r="0"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9950" cy="2869006"/>
                    </a:xfrm>
                    <a:prstGeom prst="rect">
                      <a:avLst/>
                    </a:prstGeom>
                    <a:noFill/>
                    <a:ln>
                      <a:noFill/>
                    </a:ln>
                  </pic:spPr>
                </pic:pic>
              </a:graphicData>
            </a:graphic>
          </wp:inline>
        </w:drawing>
      </w:r>
    </w:p>
    <w:p w14:paraId="0B55E4E0" w14:textId="2CD5AF7E" w:rsidR="00C06EC9" w:rsidRDefault="0072337E"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exposed before, decisions are taken in continuums from 0 to 1. To begin looking for dominant strategies and equilibriums, let’s assume that the only possible values are 0 and 1 for each one of the decisions. Recall that first stage </w:t>
      </w:r>
      <w:r w:rsidR="00ED215B" w:rsidRPr="00ED215B">
        <w:rPr>
          <w:position w:val="-6"/>
        </w:rPr>
        <w:object w:dxaOrig="240" w:dyaOrig="260" w14:anchorId="2ADE6057">
          <v:shape id="_x0000_i1185" type="#_x0000_t75" style="width:12.1pt;height:12.85pt" o:ole="">
            <v:imagedata r:id="rId85" o:title=""/>
          </v:shape>
          <o:OLEObject Type="Embed" ProgID="Equation.3" ShapeID="_x0000_i1185" DrawAspect="Content" ObjectID="_1281991309" r:id="rId86"/>
        </w:object>
      </w:r>
      <w:r>
        <w:t xml:space="preserve">is in fact a choice of </w:t>
      </w:r>
      <w:r w:rsidRPr="00E67EA4">
        <w:rPr>
          <w:position w:val="-14"/>
        </w:rPr>
        <w:object w:dxaOrig="400" w:dyaOrig="380" w14:anchorId="713CC458">
          <v:shape id="_x0000_i1186" type="#_x0000_t75" style="width:19.95pt;height:19.25pt" o:ole="">
            <v:imagedata r:id="rId87" o:title=""/>
          </v:shape>
          <o:OLEObject Type="Embed" ProgID="Equation.3" ShapeID="_x0000_i1186" DrawAspect="Content" ObjectID="_1281991310" r:id="rId88"/>
        </w:object>
      </w:r>
      <w:r>
        <w:rPr>
          <w:position w:val="-14"/>
        </w:rPr>
        <w:t xml:space="preserve"> </w:t>
      </w:r>
      <w:r>
        <w:t>in the relation</w:t>
      </w:r>
      <w:r w:rsidR="00E24AB9">
        <w:t xml:space="preserve"> </w:t>
      </w:r>
      <w:r w:rsidR="00E24AB9" w:rsidRPr="002C016D">
        <w:rPr>
          <w:position w:val="-10"/>
        </w:rPr>
        <w:object w:dxaOrig="900" w:dyaOrig="320" w14:anchorId="030EF080">
          <v:shape id="_x0000_i1187" type="#_x0000_t75" style="width:44.9pt;height:15.7pt" o:ole="">
            <v:imagedata r:id="rId89" o:title=""/>
          </v:shape>
          <o:OLEObject Type="Embed" ProgID="Equation.3" ShapeID="_x0000_i1187" DrawAspect="Content" ObjectID="_1281991311" r:id="rId90"/>
        </w:object>
      </w:r>
      <w:r>
        <w:rPr>
          <w:b/>
        </w:rPr>
        <w:t xml:space="preserve">. </w:t>
      </w:r>
      <w:r>
        <w:t xml:space="preserve">If this relation is set to 0, then there is no conditionality insofar attached to any level of transfers </w:t>
      </w:r>
      <w:r w:rsidRPr="00C91197">
        <w:rPr>
          <w:b/>
          <w:i/>
        </w:rPr>
        <w:t>T</w:t>
      </w:r>
      <w:r>
        <w:t xml:space="preserve">: both levels of </w:t>
      </w:r>
      <w:r w:rsidR="00856238" w:rsidRPr="00856238">
        <w:rPr>
          <w:position w:val="-4"/>
        </w:rPr>
        <w:object w:dxaOrig="220" w:dyaOrig="240" w14:anchorId="0AD02E14">
          <v:shape id="_x0000_i1188" type="#_x0000_t75" style="width:10.7pt;height:12.1pt" o:ole="">
            <v:imagedata r:id="rId91" o:title=""/>
          </v:shape>
          <o:OLEObject Type="Embed" ProgID="Equation.3" ShapeID="_x0000_i1188" DrawAspect="Content" ObjectID="_1281991312" r:id="rId92"/>
        </w:object>
      </w:r>
      <w:r>
        <w:t xml:space="preserve">(0 and 1) will come with </w:t>
      </w:r>
      <w:r w:rsidRPr="009A5E3F">
        <w:rPr>
          <w:b/>
          <w:i/>
        </w:rPr>
        <w:t>C=0</w:t>
      </w:r>
      <w:r>
        <w:rPr>
          <w:b/>
          <w:i/>
        </w:rPr>
        <w:t>.</w:t>
      </w:r>
      <w:r>
        <w:t xml:space="preserve"> Conversely, if this relation is set to 1, a transfer level of 1 will imply a (total) conditionality of 1. These choices and the subsequent fulfill-not fulfill (</w:t>
      </w:r>
      <w:r w:rsidR="00856238" w:rsidRPr="00EA1F49">
        <w:rPr>
          <w:position w:val="-8"/>
        </w:rPr>
        <w:object w:dxaOrig="1140" w:dyaOrig="280" w14:anchorId="78392AC0">
          <v:shape id="_x0000_i1189" type="#_x0000_t75" style="width:57.05pt;height:14.25pt" o:ole="">
            <v:imagedata r:id="rId93" o:title=""/>
          </v:shape>
          <o:OLEObject Type="Embed" ProgID="Equation.3" ShapeID="_x0000_i1189" DrawAspect="Content" ObjectID="_1281991313" r:id="rId94"/>
        </w:object>
      </w:r>
      <w:r>
        <w:t xml:space="preserve">) compound four strategies for </w:t>
      </w:r>
      <w:r w:rsidRPr="00E67EA4">
        <w:rPr>
          <w:position w:val="-14"/>
        </w:rPr>
        <w:object w:dxaOrig="420" w:dyaOrig="380" w14:anchorId="43455915">
          <v:shape id="_x0000_i1190" type="#_x0000_t75" style="width:21.4pt;height:19.25pt" o:ole="">
            <v:imagedata r:id="rId95" o:title=""/>
          </v:shape>
          <o:OLEObject Type="Embed" ProgID="Equation.3" ShapeID="_x0000_i1190" DrawAspect="Content" ObjectID="_1281991314" r:id="rId96"/>
        </w:object>
      </w:r>
      <w:r>
        <w:t xml:space="preserve"> and two for </w:t>
      </w:r>
      <w:r w:rsidRPr="00E67EA4">
        <w:rPr>
          <w:position w:val="-14"/>
        </w:rPr>
        <w:object w:dxaOrig="400" w:dyaOrig="380" w14:anchorId="567750DF">
          <v:shape id="_x0000_i1191" type="#_x0000_t75" style="width:19.95pt;height:19.25pt" o:ole="">
            <v:imagedata r:id="rId97" o:title=""/>
          </v:shape>
          <o:OLEObject Type="Embed" ProgID="Equation.3" ShapeID="_x0000_i1191" DrawAspect="Content" ObjectID="_1281991315" r:id="rId98"/>
        </w:object>
      </w:r>
      <w:r>
        <w:t>. Altogether, eight possible terminal hist</w:t>
      </w:r>
      <w:r>
        <w:t>o</w:t>
      </w:r>
      <w:r>
        <w:lastRenderedPageBreak/>
        <w:t xml:space="preserve">ries are contemplated in order to find equilibrium. Applying the already defined utility functions and assuming that </w:t>
      </w:r>
      <w:r w:rsidRPr="005A4B0D">
        <w:rPr>
          <w:position w:val="-10"/>
        </w:rPr>
        <w:object w:dxaOrig="760" w:dyaOrig="320" w14:anchorId="3A665779">
          <v:shape id="_x0000_i1192" type="#_x0000_t75" style="width:37.8pt;height:15.7pt" o:ole="">
            <v:imagedata r:id="rId99" o:title=""/>
          </v:shape>
          <o:OLEObject Type="Embed" ProgID="Equation.3" ShapeID="_x0000_i1192" DrawAspect="Content" ObjectID="_1281991316" r:id="rId100"/>
        </w:object>
      </w:r>
      <w:r>
        <w:t>, these are the resulting payoffs</w:t>
      </w:r>
    </w:p>
    <w:p w14:paraId="793A182C" w14:textId="4B2D5FC8" w:rsidR="00C06EC9" w:rsidRDefault="00C06EC9" w:rsidP="00FE7595">
      <w:pPr>
        <w:pStyle w:val="Caption"/>
        <w:keepNext/>
      </w:pPr>
      <w:bookmarkStart w:id="78" w:name="_Toc208070851"/>
      <w:proofErr w:type="gramStart"/>
      <w:r>
        <w:t xml:space="preserve">Table </w:t>
      </w:r>
      <w:r>
        <w:fldChar w:fldCharType="begin"/>
      </w:r>
      <w:r>
        <w:instrText xml:space="preserve"> STYLEREF 1 \s </w:instrText>
      </w:r>
      <w:r>
        <w:fldChar w:fldCharType="separate"/>
      </w:r>
      <w:r>
        <w:rPr>
          <w:noProof/>
        </w:rPr>
        <w:t>5</w:t>
      </w:r>
      <w:r>
        <w:fldChar w:fldCharType="end"/>
      </w:r>
      <w:r>
        <w:t>.</w:t>
      </w:r>
      <w:proofErr w:type="gramEnd"/>
      <w:r>
        <w:fldChar w:fldCharType="begin"/>
      </w:r>
      <w:r>
        <w:instrText xml:space="preserve"> SEQ Table \* ARABIC \s 1 </w:instrText>
      </w:r>
      <w:r>
        <w:fldChar w:fldCharType="separate"/>
      </w:r>
      <w:r>
        <w:rPr>
          <w:noProof/>
        </w:rPr>
        <w:t>1</w:t>
      </w:r>
      <w:r>
        <w:fldChar w:fldCharType="end"/>
      </w:r>
      <w:r>
        <w:br/>
      </w:r>
      <w:r w:rsidR="008D4ED0">
        <w:t xml:space="preserve">Payoff matrix for </w:t>
      </w:r>
      <w:r w:rsidR="008764AE">
        <w:t>an absolute and non-iterated game on inter-government bargain</w:t>
      </w:r>
      <w:bookmarkEnd w:id="78"/>
    </w:p>
    <w:tbl>
      <w:tblPr>
        <w:tblStyle w:val="TableGrid"/>
        <w:tblW w:w="0" w:type="auto"/>
        <w:tblLook w:val="04A0" w:firstRow="1" w:lastRow="0" w:firstColumn="1" w:lastColumn="0" w:noHBand="0" w:noVBand="1"/>
      </w:tblPr>
      <w:tblGrid>
        <w:gridCol w:w="2538"/>
        <w:gridCol w:w="2524"/>
        <w:gridCol w:w="2524"/>
      </w:tblGrid>
      <w:tr w:rsidR="00C06EC9" w14:paraId="640E6068" w14:textId="77777777" w:rsidTr="00BC40DE">
        <w:tc>
          <w:tcPr>
            <w:tcW w:w="3192" w:type="dxa"/>
          </w:tcPr>
          <w:p w14:paraId="2D48B1E6"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c>
        <w:tc>
          <w:tcPr>
            <w:tcW w:w="3192" w:type="dxa"/>
          </w:tcPr>
          <w:p w14:paraId="58DD9EEB"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C/T = 0</w:t>
            </w:r>
          </w:p>
        </w:tc>
        <w:tc>
          <w:tcPr>
            <w:tcW w:w="3192" w:type="dxa"/>
          </w:tcPr>
          <w:p w14:paraId="49267975"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C/T = 1</w:t>
            </w:r>
          </w:p>
        </w:tc>
      </w:tr>
      <w:tr w:rsidR="00C06EC9" w14:paraId="0E33D145" w14:textId="77777777" w:rsidTr="00BC40DE">
        <w:tc>
          <w:tcPr>
            <w:tcW w:w="3192" w:type="dxa"/>
          </w:tcPr>
          <w:p w14:paraId="16956CFF"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T=0, F=0</w:t>
            </w:r>
          </w:p>
        </w:tc>
        <w:tc>
          <w:tcPr>
            <w:tcW w:w="3192" w:type="dxa"/>
          </w:tcPr>
          <w:p w14:paraId="7D8325BC"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0, 0</w:t>
            </w:r>
          </w:p>
        </w:tc>
        <w:tc>
          <w:tcPr>
            <w:tcW w:w="3192" w:type="dxa"/>
          </w:tcPr>
          <w:p w14:paraId="2B4B98DB"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0, 0</w:t>
            </w:r>
          </w:p>
        </w:tc>
      </w:tr>
      <w:tr w:rsidR="00C06EC9" w14:paraId="04E6478D" w14:textId="77777777" w:rsidTr="00BC40DE">
        <w:tc>
          <w:tcPr>
            <w:tcW w:w="3192" w:type="dxa"/>
          </w:tcPr>
          <w:p w14:paraId="74EFF105"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T=0, F=1</w:t>
            </w:r>
          </w:p>
        </w:tc>
        <w:tc>
          <w:tcPr>
            <w:tcW w:w="3192" w:type="dxa"/>
          </w:tcPr>
          <w:p w14:paraId="33FE4C6C"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0, 0</w:t>
            </w:r>
          </w:p>
        </w:tc>
        <w:tc>
          <w:tcPr>
            <w:tcW w:w="3192" w:type="dxa"/>
          </w:tcPr>
          <w:p w14:paraId="3DC68B99"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-1, 1</w:t>
            </w:r>
          </w:p>
        </w:tc>
      </w:tr>
      <w:tr w:rsidR="00C06EC9" w14:paraId="4D95DF67" w14:textId="77777777" w:rsidTr="00BC40DE">
        <w:tc>
          <w:tcPr>
            <w:tcW w:w="3192" w:type="dxa"/>
          </w:tcPr>
          <w:p w14:paraId="11538CF8"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T=1, F=0</w:t>
            </w:r>
          </w:p>
        </w:tc>
        <w:tc>
          <w:tcPr>
            <w:tcW w:w="3192" w:type="dxa"/>
          </w:tcPr>
          <w:p w14:paraId="4D53C808"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1, 0</w:t>
            </w:r>
          </w:p>
        </w:tc>
        <w:tc>
          <w:tcPr>
            <w:tcW w:w="3192" w:type="dxa"/>
          </w:tcPr>
          <w:p w14:paraId="222DAEC1"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1, 0</w:t>
            </w:r>
          </w:p>
        </w:tc>
      </w:tr>
      <w:tr w:rsidR="00C06EC9" w14:paraId="4B45A550" w14:textId="77777777" w:rsidTr="00BC40DE">
        <w:tc>
          <w:tcPr>
            <w:tcW w:w="3192" w:type="dxa"/>
          </w:tcPr>
          <w:p w14:paraId="09A86297"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T=1, F=1</w:t>
            </w:r>
          </w:p>
        </w:tc>
        <w:tc>
          <w:tcPr>
            <w:tcW w:w="3192" w:type="dxa"/>
          </w:tcPr>
          <w:p w14:paraId="1BDAEB1D"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0.1, 1</w:t>
            </w:r>
          </w:p>
        </w:tc>
        <w:tc>
          <w:tcPr>
            <w:tcW w:w="3192" w:type="dxa"/>
          </w:tcPr>
          <w:p w14:paraId="387A6A1D" w14:textId="77777777" w:rsidR="00C06EC9" w:rsidRDefault="00C06EC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0.1, 2</w:t>
            </w:r>
          </w:p>
        </w:tc>
      </w:tr>
    </w:tbl>
    <w:p w14:paraId="77469141" w14:textId="77777777" w:rsidR="00C06EC9" w:rsidRDefault="00C06EC9" w:rsidP="00FE7595">
      <w:pPr>
        <w:pStyle w:val="Tablesourcenote"/>
        <w:jc w:val="left"/>
      </w:pPr>
    </w:p>
    <w:p w14:paraId="423F16AC" w14:textId="2078FF3E" w:rsidR="00C06EC9" w:rsidRDefault="0073753F" w:rsidP="00FE7595">
      <w:r w:rsidRPr="0073753F">
        <w:t xml:space="preserve">The strong region has the most interest on a </w:t>
      </w:r>
      <w:r w:rsidR="002418B2" w:rsidRPr="002418B2">
        <w:rPr>
          <w:position w:val="-6"/>
        </w:rPr>
        <w:object w:dxaOrig="360" w:dyaOrig="260" w14:anchorId="4FAF1512">
          <v:shape id="_x0000_i1066" type="#_x0000_t75" style="width:17.8pt;height:12.85pt" o:ole="">
            <v:imagedata r:id="rId101" o:title=""/>
          </v:shape>
          <o:OLEObject Type="Embed" ProgID="Equation.3" ShapeID="_x0000_i1066" DrawAspect="Content" ObjectID="_1281991317" r:id="rId102"/>
        </w:object>
      </w:r>
      <w:r w:rsidRPr="0073753F">
        <w:t xml:space="preserve">situation, where </w:t>
      </w:r>
      <w:r w:rsidR="002418B2" w:rsidRPr="00EA1F49">
        <w:rPr>
          <w:position w:val="-8"/>
        </w:rPr>
        <w:object w:dxaOrig="720" w:dyaOrig="280" w14:anchorId="62C41958">
          <v:shape id="_x0000_i1067" type="#_x0000_t75" style="width:35.65pt;height:14.25pt" o:ole="">
            <v:imagedata r:id="rId103" o:title=""/>
          </v:shape>
          <o:OLEObject Type="Embed" ProgID="Equation.3" ShapeID="_x0000_i1067" DrawAspect="Content" ObjectID="_1281991318" r:id="rId104"/>
        </w:object>
      </w:r>
      <w:r w:rsidR="002418B2">
        <w:rPr>
          <w:position w:val="-8"/>
        </w:rPr>
        <w:t xml:space="preserve"> </w:t>
      </w:r>
      <w:r w:rsidR="002418B2">
        <w:t>converge to 1.</w:t>
      </w:r>
      <w:r w:rsidRPr="0073753F">
        <w:t xml:space="preserve"> On the contrary, and logically, for the weak region the best po</w:t>
      </w:r>
      <w:r w:rsidRPr="0073753F">
        <w:t>s</w:t>
      </w:r>
      <w:r w:rsidRPr="0073753F">
        <w:t>sible situation consists on having full transfer integration and none conditions, or conditions but without fulfilling them.</w:t>
      </w:r>
    </w:p>
    <w:p w14:paraId="52209253" w14:textId="1CDEC28C" w:rsidR="0073753F" w:rsidRPr="008B3247" w:rsidRDefault="0073753F" w:rsidP="00FE7595">
      <w:r w:rsidRPr="0073753F">
        <w:t>However, at the first sight there is no strict Nash equilibrium. But a non-strict Nash equilibrium may be located at</w:t>
      </w:r>
      <w:r>
        <w:t>:</w:t>
      </w:r>
    </w:p>
    <w:p w14:paraId="1B7CD2E2" w14:textId="38AC4FE7" w:rsidR="0072337E" w:rsidRDefault="00BC40DE"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position w:val="-54"/>
        </w:rPr>
      </w:pPr>
      <w:r w:rsidRPr="007B0351">
        <w:rPr>
          <w:position w:val="-54"/>
        </w:rPr>
        <w:object w:dxaOrig="2480" w:dyaOrig="1200" w14:anchorId="4F458280">
          <v:shape id="_x0000_i1068" type="#_x0000_t75" style="width:123.35pt;height:59.9pt" o:ole="">
            <v:imagedata r:id="rId105" o:title=""/>
          </v:shape>
          <o:OLEObject Type="Embed" ProgID="Equation.3" ShapeID="_x0000_i1068" DrawAspect="Content" ObjectID="_1281991319" r:id="rId106"/>
        </w:object>
      </w:r>
    </w:p>
    <w:p w14:paraId="0673E11A" w14:textId="072A99A5" w:rsidR="00BC40DE" w:rsidRDefault="003E471F"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w:t>
      </w:r>
      <w:r w:rsidR="00BC40DE">
        <w:t xml:space="preserve">s </w:t>
      </w:r>
      <w:r w:rsidR="00BC40DE" w:rsidRPr="00C52734">
        <w:rPr>
          <w:position w:val="-14"/>
        </w:rPr>
        <w:object w:dxaOrig="340" w:dyaOrig="380" w14:anchorId="3473EFA4">
          <v:shape id="_x0000_i1069" type="#_x0000_t75" style="width:16.4pt;height:19.25pt" o:ole="">
            <v:imagedata r:id="rId107" o:title=""/>
          </v:shape>
          <o:OLEObject Type="Embed" ProgID="Equation.3" ShapeID="_x0000_i1069" DrawAspect="Content" ObjectID="_1281991320" r:id="rId108"/>
        </w:object>
      </w:r>
      <w:r w:rsidR="00BC40DE">
        <w:t xml:space="preserve">is the best possible response to any </w:t>
      </w:r>
      <w:r w:rsidR="00BC40DE" w:rsidRPr="00E67EA4">
        <w:rPr>
          <w:position w:val="-14"/>
        </w:rPr>
        <w:object w:dxaOrig="360" w:dyaOrig="380" w14:anchorId="5EBD31E1">
          <v:shape id="_x0000_i1070" type="#_x0000_t75" style="width:18.55pt;height:19.25pt" o:ole="">
            <v:imagedata r:id="rId109" o:title=""/>
          </v:shape>
          <o:OLEObject Type="Embed" ProgID="Equation.3" ShapeID="_x0000_i1070" DrawAspect="Content" ObjectID="_1281991321" r:id="rId110"/>
        </w:object>
      </w:r>
      <w:proofErr w:type="gramStart"/>
      <w:r w:rsidR="00BC40DE" w:rsidRPr="00B82B01">
        <w:t xml:space="preserve"> </w:t>
      </w:r>
      <w:r w:rsidR="00BC40DE">
        <w:t>.</w:t>
      </w:r>
      <w:proofErr w:type="gramEnd"/>
      <w:r w:rsidR="00BC40DE">
        <w:t xml:space="preserve"> Regardless of what the strong region does, for the weak region is strictly optimal to select the highest possible level of transfers and then to cheat by not fulfilling the conditions. </w:t>
      </w:r>
      <w:proofErr w:type="gramStart"/>
      <w:r w:rsidR="00BC40DE">
        <w:t xml:space="preserve">Under this situation, for </w:t>
      </w:r>
      <w:r w:rsidR="00BC40DE" w:rsidRPr="00E67EA4">
        <w:rPr>
          <w:position w:val="-14"/>
        </w:rPr>
        <w:object w:dxaOrig="400" w:dyaOrig="380" w14:anchorId="1B2F73A2">
          <v:shape id="_x0000_i1071" type="#_x0000_t75" style="width:19.95pt;height:19.25pt" o:ole="">
            <v:imagedata r:id="rId111" o:title=""/>
          </v:shape>
          <o:OLEObject Type="Embed" ProgID="Equation.3" ShapeID="_x0000_i1071" DrawAspect="Content" ObjectID="_1281991322" r:id="rId112"/>
        </w:object>
      </w:r>
      <w:r w:rsidR="00BC40DE">
        <w:t xml:space="preserve"> it does not matter if conditions are established or not, as these are not going to be accomplished.</w:t>
      </w:r>
      <w:proofErr w:type="gramEnd"/>
      <w:r w:rsidR="00BC40DE">
        <w:t xml:space="preserve"> But as the payoffs are equal to those without conditioning, rationality will dictate to impose conditions if there is no cost for doing so.</w:t>
      </w:r>
    </w:p>
    <w:p w14:paraId="3393F3E7" w14:textId="5923A11E" w:rsidR="008F62BC" w:rsidRDefault="008F62BC"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If the game is changed back making choices continuous and gradual rather than absolute (yes-no, 0-1), equilibrium is found around the same point. The key fact is that there is no incentive for </w:t>
      </w:r>
      <w:r w:rsidRPr="00E67EA4">
        <w:rPr>
          <w:position w:val="-14"/>
        </w:rPr>
        <w:object w:dxaOrig="420" w:dyaOrig="380" w14:anchorId="28D80D19">
          <v:shape id="_x0000_i1072" type="#_x0000_t75" style="width:20.65pt;height:19.25pt" o:ole="">
            <v:imagedata r:id="rId113" o:title=""/>
          </v:shape>
          <o:OLEObject Type="Embed" ProgID="Equation.3" ShapeID="_x0000_i1072" DrawAspect="Content" ObjectID="_1281991323" r:id="rId114"/>
        </w:object>
      </w:r>
      <w:r w:rsidRPr="00B5107F">
        <w:t xml:space="preserve"> </w:t>
      </w:r>
      <w:r>
        <w:t>to move away from</w:t>
      </w:r>
      <w:r w:rsidR="00A66501">
        <w:rPr>
          <w:b/>
          <w:i/>
        </w:rPr>
        <w:t xml:space="preserve"> </w:t>
      </w:r>
      <w:r w:rsidR="00A66501" w:rsidRPr="00A66501">
        <w:rPr>
          <w:position w:val="-6"/>
        </w:rPr>
        <w:object w:dxaOrig="600" w:dyaOrig="260" w14:anchorId="4D595FAA">
          <v:shape id="_x0000_i1073" type="#_x0000_t75" style="width:29.95pt;height:12.85pt" o:ole="">
            <v:imagedata r:id="rId115" o:title=""/>
          </v:shape>
          <o:OLEObject Type="Embed" ProgID="Equation.3" ShapeID="_x0000_i1073" DrawAspect="Content" ObjectID="_1281991324" r:id="rId116"/>
        </w:object>
      </w:r>
      <w:r>
        <w:rPr>
          <w:b/>
          <w:i/>
        </w:rPr>
        <w:t xml:space="preserve">, </w:t>
      </w:r>
      <w:r>
        <w:t>r</w:t>
      </w:r>
      <w:r>
        <w:t>e</w:t>
      </w:r>
      <w:r>
        <w:t xml:space="preserve">gardless of what </w:t>
      </w:r>
      <w:r w:rsidRPr="00E67EA4">
        <w:rPr>
          <w:position w:val="-14"/>
        </w:rPr>
        <w:object w:dxaOrig="400" w:dyaOrig="380" w14:anchorId="037B4663">
          <v:shape id="_x0000_i1074" type="#_x0000_t75" style="width:19.95pt;height:19.25pt" o:ole="">
            <v:imagedata r:id="rId117" o:title=""/>
          </v:shape>
          <o:OLEObject Type="Embed" ProgID="Equation.3" ShapeID="_x0000_i1074" DrawAspect="Content" ObjectID="_1281991325" r:id="rId118"/>
        </w:object>
      </w:r>
      <w:r>
        <w:t xml:space="preserve"> decides. For example, imagine the following strategy pr</w:t>
      </w:r>
      <w:r>
        <w:t>o</w:t>
      </w:r>
      <w:r>
        <w:t xml:space="preserve">file: </w:t>
      </w:r>
      <w:r w:rsidR="001A2DA8" w:rsidRPr="00C52734">
        <w:rPr>
          <w:position w:val="-14"/>
        </w:rPr>
        <w:object w:dxaOrig="1340" w:dyaOrig="380" w14:anchorId="2B47F053">
          <v:shape id="_x0000_i1075" type="#_x0000_t75" style="width:67pt;height:19.25pt" o:ole="">
            <v:imagedata r:id="rId119" o:title=""/>
          </v:shape>
          <o:OLEObject Type="Embed" ProgID="Equation.3" ShapeID="_x0000_i1075" DrawAspect="Content" ObjectID="_1281991326" r:id="rId120"/>
        </w:object>
      </w:r>
      <w:r>
        <w:t xml:space="preserve">. Here, the strong region is being ‘benevolent’ and accepting a relatively weak conditionality level. If the weak region responds with, say, choosing the highest possible transfer level </w:t>
      </w:r>
      <w:r w:rsidR="00A270FB" w:rsidRPr="00A270FB">
        <w:rPr>
          <w:position w:val="-4"/>
        </w:rPr>
        <w:object w:dxaOrig="540" w:dyaOrig="240" w14:anchorId="74FB4C92">
          <v:shape id="_x0000_i1076" type="#_x0000_t75" style="width:27.1pt;height:12.1pt" o:ole="">
            <v:imagedata r:id="rId121" o:title=""/>
          </v:shape>
          <o:OLEObject Type="Embed" ProgID="Equation.3" ShapeID="_x0000_i1076" DrawAspect="Content" ObjectID="_1281991327" r:id="rId122"/>
        </w:object>
      </w:r>
      <w:r>
        <w:t xml:space="preserve"> and a 50% fulfillment of the conditions, making </w:t>
      </w:r>
      <w:r w:rsidR="00D00DC1" w:rsidRPr="00D00DC1">
        <w:rPr>
          <w:position w:val="-6"/>
        </w:rPr>
        <w:object w:dxaOrig="760" w:dyaOrig="280" w14:anchorId="4C6EFE6E">
          <v:shape id="_x0000_i1077" type="#_x0000_t75" style="width:37.8pt;height:14.25pt" o:ole="">
            <v:imagedata r:id="rId123" o:title=""/>
          </v:shape>
          <o:OLEObject Type="Embed" ProgID="Equation.3" ShapeID="_x0000_i1077" DrawAspect="Content" ObjectID="_1281991328" r:id="rId124"/>
        </w:object>
      </w:r>
      <w:r>
        <w:t xml:space="preserve">, </w:t>
      </w:r>
      <w:r w:rsidRPr="008E76B4">
        <w:rPr>
          <w:position w:val="-14"/>
        </w:rPr>
        <w:object w:dxaOrig="1240" w:dyaOrig="380" w14:anchorId="01DB6803">
          <v:shape id="_x0000_i1078" type="#_x0000_t75" style="width:62pt;height:19.25pt" o:ole="">
            <v:imagedata r:id="rId125" o:title=""/>
          </v:shape>
          <o:OLEObject Type="Embed" ProgID="Equation.3" ShapeID="_x0000_i1078" DrawAspect="Content" ObjectID="_1281991329" r:id="rId126"/>
        </w:object>
      </w:r>
      <w:r>
        <w:t xml:space="preserve">. Moving towards </w:t>
      </w:r>
      <w:r w:rsidR="00E91BA7">
        <w:t>‘</w:t>
      </w:r>
      <w:r>
        <w:t>cheating</w:t>
      </w:r>
      <w:r w:rsidR="00E91BA7">
        <w:t>’</w:t>
      </w:r>
      <w:r>
        <w:t xml:space="preserve"> will clearly improve its position until </w:t>
      </w:r>
      <w:r w:rsidRPr="008E76B4">
        <w:rPr>
          <w:position w:val="-14"/>
        </w:rPr>
        <w:object w:dxaOrig="780" w:dyaOrig="380" w14:anchorId="5931F5FB">
          <v:shape id="_x0000_i1079" type="#_x0000_t75" style="width:39.2pt;height:19.25pt" o:ole="">
            <v:imagedata r:id="rId127" o:title=""/>
          </v:shape>
          <o:OLEObject Type="Embed" ProgID="Equation.3" ShapeID="_x0000_i1079" DrawAspect="Content" ObjectID="_1281991330" r:id="rId128"/>
        </w:object>
      </w:r>
      <w:r w:rsidRPr="00B800F6">
        <w:t xml:space="preserve"> </w:t>
      </w:r>
      <w:r>
        <w:t xml:space="preserve">at the exact point </w:t>
      </w:r>
      <w:r w:rsidR="00D00DC1" w:rsidRPr="00D00DC1">
        <w:rPr>
          <w:position w:val="-6"/>
        </w:rPr>
        <w:object w:dxaOrig="600" w:dyaOrig="260" w14:anchorId="52C946EA">
          <v:shape id="_x0000_i1080" type="#_x0000_t75" style="width:29.95pt;height:12.85pt" o:ole="">
            <v:imagedata r:id="rId129" o:title=""/>
          </v:shape>
          <o:OLEObject Type="Embed" ProgID="Equation.3" ShapeID="_x0000_i1080" DrawAspect="Content" ObjectID="_1281991331" r:id="rId130"/>
        </w:object>
      </w:r>
      <w:r>
        <w:t>. Thus, equ</w:t>
      </w:r>
      <w:r>
        <w:t>i</w:t>
      </w:r>
      <w:r>
        <w:t xml:space="preserve">librium will keep falling in </w:t>
      </w:r>
      <w:r w:rsidRPr="00C52734">
        <w:rPr>
          <w:position w:val="-14"/>
        </w:rPr>
        <w:object w:dxaOrig="2480" w:dyaOrig="380" w14:anchorId="6CB6958B">
          <v:shape id="_x0000_i1081" type="#_x0000_t75" style="width:124.05pt;height:19.25pt" o:ole="">
            <v:imagedata r:id="rId131" o:title=""/>
          </v:shape>
          <o:OLEObject Type="Embed" ProgID="Equation.3" ShapeID="_x0000_i1081" DrawAspect="Content" ObjectID="_1281991332" r:id="rId132"/>
        </w:object>
      </w:r>
      <w:r>
        <w:t>.</w:t>
      </w:r>
    </w:p>
    <w:p w14:paraId="55B8AD00" w14:textId="77777777" w:rsidR="00D00DC1" w:rsidRDefault="00D00DC1" w:rsidP="00FE7595">
      <w:pPr>
        <w:pStyle w:val="Heading2"/>
      </w:pPr>
    </w:p>
    <w:p w14:paraId="755AB5ED" w14:textId="19065B77" w:rsidR="008F62BC" w:rsidRDefault="00337951" w:rsidP="00FE7595">
      <w:pPr>
        <w:pStyle w:val="Heading2"/>
        <w:numPr>
          <w:ilvl w:val="0"/>
          <w:numId w:val="0"/>
        </w:numPr>
      </w:pPr>
      <w:bookmarkStart w:id="79" w:name="_Toc208145630"/>
      <w:r>
        <w:t>5.4</w:t>
      </w:r>
      <w:r w:rsidR="008F62BC">
        <w:t xml:space="preserve"> </w:t>
      </w:r>
      <w:r>
        <w:t>Expanding the game: iterations and learning</w:t>
      </w:r>
      <w:bookmarkEnd w:id="79"/>
    </w:p>
    <w:p w14:paraId="0308A92D" w14:textId="39F5DD87" w:rsidR="00337951" w:rsidRPr="00337951" w:rsidRDefault="00337951" w:rsidP="00FE7595">
      <w:pPr>
        <w:pStyle w:val="Normalfirstparagraph"/>
        <w:ind w:firstLine="426"/>
      </w:pPr>
      <w:r w:rsidRPr="00337951">
        <w:t>The acute reader will have already noticed that this ‘cheating’ equilibrium only works in the (very) short term. And it is to some e</w:t>
      </w:r>
      <w:r>
        <w:t>xtent consistent with the short-</w:t>
      </w:r>
      <w:r w:rsidRPr="00337951">
        <w:t xml:space="preserve">term outcomes of the bargaining processes between EU countries: there are no consistent moves towards a centralized union (Un), </w:t>
      </w:r>
      <w:r>
        <w:t>while transfers are growing</w:t>
      </w:r>
      <w:r w:rsidRPr="00337951">
        <w:t xml:space="preserve">. And the firmest declarations in that direction come from the strong region(s) (citation needed), which is consistent with the fact that is in that terminal story where highest payoffs for </w:t>
      </w:r>
      <w:r w:rsidRPr="00E67EA4">
        <w:rPr>
          <w:position w:val="-14"/>
        </w:rPr>
        <w:object w:dxaOrig="400" w:dyaOrig="380" w14:anchorId="1F264FF0">
          <v:shape id="_x0000_i1082" type="#_x0000_t75" style="width:19.95pt;height:19.25pt" o:ole="">
            <v:imagedata r:id="rId133" o:title=""/>
          </v:shape>
          <o:OLEObject Type="Embed" ProgID="Equation.3" ShapeID="_x0000_i1082" DrawAspect="Content" ObjectID="_1281991333" r:id="rId134"/>
        </w:object>
      </w:r>
      <w:r w:rsidRPr="00337951">
        <w:t xml:space="preserve"> lie. But it is not totally co</w:t>
      </w:r>
      <w:r w:rsidRPr="00337951">
        <w:t>n</w:t>
      </w:r>
      <w:r w:rsidRPr="00337951">
        <w:t>sistent with reality: we do see fulfillment by weak regions. Why in fact did Spain change their economic policy in May 2010 towards what was demanded from abroad?</w:t>
      </w:r>
    </w:p>
    <w:p w14:paraId="4C8DAB3D" w14:textId="26119909" w:rsidR="00D17C50" w:rsidRDefault="00D17C50"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other words, what happens if more help is needed? That is probably what explains the fact that there is fulfillment in the EU crisis (Spain, for e</w:t>
      </w:r>
      <w:r>
        <w:t>x</w:t>
      </w:r>
      <w:r>
        <w:t xml:space="preserve">ample previewed the need of more future help, and thus decided to change its strategy). Under this situation game repeats (has more than one iterations). Now, </w:t>
      </w:r>
      <w:r w:rsidRPr="00E67EA4">
        <w:rPr>
          <w:position w:val="-14"/>
        </w:rPr>
        <w:object w:dxaOrig="400" w:dyaOrig="380" w14:anchorId="65FC258B">
          <v:shape id="_x0000_i1083" type="#_x0000_t75" style="width:19.95pt;height:19.25pt" o:ole="">
            <v:imagedata r:id="rId135" o:title=""/>
          </v:shape>
          <o:OLEObject Type="Embed" ProgID="Equation.3" ShapeID="_x0000_i1083" DrawAspect="Content" ObjectID="_1281991334" r:id="rId136"/>
        </w:object>
      </w:r>
      <w:r>
        <w:t xml:space="preserve"> knows </w:t>
      </w:r>
      <w:r w:rsidRPr="00E67EA4">
        <w:rPr>
          <w:position w:val="-14"/>
        </w:rPr>
        <w:object w:dxaOrig="500" w:dyaOrig="380" w14:anchorId="153926AE">
          <v:shape id="_x0000_i1084" type="#_x0000_t75" style="width:24.95pt;height:19.25pt" o:ole="">
            <v:imagedata r:id="rId137" o:title=""/>
          </v:shape>
          <o:OLEObject Type="Embed" ProgID="Equation.3" ShapeID="_x0000_i1084" DrawAspect="Content" ObjectID="_1281991335" r:id="rId138"/>
        </w:object>
      </w:r>
      <w:r>
        <w:t xml:space="preserve">, meaning the fulfillment level of the weaker region in the first iteration. This will act as reputation </w:t>
      </w:r>
      <w:r w:rsidR="00AF7035">
        <w:t>signalling</w:t>
      </w:r>
      <w:r>
        <w:t xml:space="preserve">. And the lower it is, the higher will they set new </w:t>
      </w:r>
      <w:r w:rsidR="001A2DA8" w:rsidRPr="001A2DA8">
        <w:rPr>
          <w:position w:val="-6"/>
        </w:rPr>
        <w:object w:dxaOrig="240" w:dyaOrig="260" w14:anchorId="798111CD">
          <v:shape id="_x0000_i1085" type="#_x0000_t75" style="width:12.1pt;height:12.85pt" o:ole="">
            <v:imagedata r:id="rId139" o:title=""/>
          </v:shape>
          <o:OLEObject Type="Embed" ProgID="Equation.3" ShapeID="_x0000_i1085" DrawAspect="Content" ObjectID="_1281991336" r:id="rId140"/>
        </w:object>
      </w:r>
      <w:r>
        <w:t xml:space="preserve"> for any given level of </w:t>
      </w:r>
      <w:r w:rsidR="001A2DA8" w:rsidRPr="001A2DA8">
        <w:rPr>
          <w:position w:val="-4"/>
        </w:rPr>
        <w:object w:dxaOrig="220" w:dyaOrig="240" w14:anchorId="35447359">
          <v:shape id="_x0000_i1086" type="#_x0000_t75" style="width:10.7pt;height:12.1pt" o:ole="">
            <v:imagedata r:id="rId141" o:title=""/>
          </v:shape>
          <o:OLEObject Type="Embed" ProgID="Equation.3" ShapeID="_x0000_i1086" DrawAspect="Content" ObjectID="_1281991337" r:id="rId142"/>
        </w:object>
      </w:r>
      <w:r>
        <w:t>. The weak region, a</w:t>
      </w:r>
      <w:r>
        <w:t>c</w:t>
      </w:r>
      <w:r>
        <w:t xml:space="preserve">knowledging that, will tend to modulate its </w:t>
      </w:r>
      <w:r w:rsidR="001A2DA8" w:rsidRPr="001A2DA8">
        <w:rPr>
          <w:position w:val="-4"/>
        </w:rPr>
        <w:object w:dxaOrig="240" w:dyaOrig="240" w14:anchorId="03030634">
          <v:shape id="_x0000_i1087" type="#_x0000_t75" style="width:12.1pt;height:12.1pt" o:ole="">
            <v:imagedata r:id="rId143" o:title=""/>
          </v:shape>
          <o:OLEObject Type="Embed" ProgID="Equation.3" ShapeID="_x0000_i1087" DrawAspect="Content" ObjectID="_1281991338" r:id="rId144"/>
        </w:object>
      </w:r>
      <w:r>
        <w:t>level.</w:t>
      </w:r>
    </w:p>
    <w:p w14:paraId="5A2A8638" w14:textId="4791E86A" w:rsidR="00D17C50" w:rsidRDefault="00D17C50"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should have consequences for utility functions, which will suffer a slight modification. More than a proper preference shift, this is actually a pre</w:t>
      </w:r>
      <w:r>
        <w:t>f</w:t>
      </w:r>
      <w:r>
        <w:t xml:space="preserve">erence adjustment through learning. Now, the conflict that traps the choice of </w:t>
      </w:r>
      <w:r w:rsidR="00BF7D28" w:rsidRPr="001A2DA8">
        <w:rPr>
          <w:position w:val="-4"/>
        </w:rPr>
        <w:object w:dxaOrig="240" w:dyaOrig="240" w14:anchorId="2D985216">
          <v:shape id="_x0000_i1088" type="#_x0000_t75" style="width:12.1pt;height:12.1pt" o:ole="">
            <v:imagedata r:id="rId145" o:title=""/>
          </v:shape>
          <o:OLEObject Type="Embed" ProgID="Equation.3" ShapeID="_x0000_i1088" DrawAspect="Content" ObjectID="_1281991339" r:id="rId146"/>
        </w:object>
      </w:r>
      <w:r>
        <w:t xml:space="preserve">for </w:t>
      </w:r>
      <w:r w:rsidRPr="00E67EA4">
        <w:rPr>
          <w:position w:val="-14"/>
        </w:rPr>
        <w:object w:dxaOrig="420" w:dyaOrig="380" w14:anchorId="4FE07C45">
          <v:shape id="_x0000_i1089" type="#_x0000_t75" style="width:21.4pt;height:19.25pt" o:ole="">
            <v:imagedata r:id="rId147" o:title=""/>
          </v:shape>
          <o:OLEObject Type="Embed" ProgID="Equation.3" ShapeID="_x0000_i1089" DrawAspect="Content" ObjectID="_1281991340" r:id="rId148"/>
        </w:object>
      </w:r>
      <w:r>
        <w:t xml:space="preserve"> is that it depends on how many iterations does the weak gover</w:t>
      </w:r>
      <w:r>
        <w:t>n</w:t>
      </w:r>
      <w:r>
        <w:t xml:space="preserve">ment preview to play. The less iterations, the closer to 0 will be the value of </w:t>
      </w:r>
      <w:r w:rsidR="00BF7D28" w:rsidRPr="001A2DA8">
        <w:rPr>
          <w:position w:val="-4"/>
        </w:rPr>
        <w:object w:dxaOrig="240" w:dyaOrig="240" w14:anchorId="0B3D6002">
          <v:shape id="_x0000_i1090" type="#_x0000_t75" style="width:12.1pt;height:12.1pt" o:ole="">
            <v:imagedata r:id="rId149" o:title=""/>
          </v:shape>
          <o:OLEObject Type="Embed" ProgID="Equation.3" ShapeID="_x0000_i1090" DrawAspect="Content" ObjectID="_1281991341" r:id="rId150"/>
        </w:object>
      </w:r>
      <w:r>
        <w:t xml:space="preserve">, as reputation is less relevant. For </w:t>
      </w:r>
      <w:r w:rsidRPr="00E67EA4">
        <w:rPr>
          <w:position w:val="-14"/>
        </w:rPr>
        <w:object w:dxaOrig="400" w:dyaOrig="380" w14:anchorId="720C3A6E">
          <v:shape id="_x0000_i1091" type="#_x0000_t75" style="width:19.95pt;height:19.25pt" o:ole="">
            <v:imagedata r:id="rId151" o:title=""/>
          </v:shape>
          <o:OLEObject Type="Embed" ProgID="Equation.3" ShapeID="_x0000_i1091" DrawAspect="Content" ObjectID="_1281991342" r:id="rId152"/>
        </w:object>
      </w:r>
      <w:r>
        <w:t>, the problem is similar: the longer the situation is expected, the most feasible will be that the other part in the bargain will stick to negotiated conditions in exchange of transfers.</w:t>
      </w:r>
    </w:p>
    <w:p w14:paraId="46643550" w14:textId="77777777" w:rsidR="00D17C50" w:rsidRDefault="00D17C50"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formal translation of this new situation are the following, modified-by-learning utility functions:</w:t>
      </w:r>
    </w:p>
    <w:p w14:paraId="0F798560" w14:textId="6989D34C" w:rsidR="002B29C0" w:rsidRPr="00D6785D" w:rsidRDefault="00D907F7"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position w:val="-16"/>
        </w:rPr>
      </w:pPr>
      <w:r w:rsidRPr="005F491A">
        <w:rPr>
          <w:position w:val="-30"/>
        </w:rPr>
        <w:object w:dxaOrig="2100" w:dyaOrig="700" w14:anchorId="303D6CF4">
          <v:shape id="_x0000_i1092" type="#_x0000_t75" style="width:104.8pt;height:35.65pt" o:ole="">
            <v:imagedata r:id="rId153" o:title=""/>
          </v:shape>
          <o:OLEObject Type="Embed" ProgID="Equation.3" ShapeID="_x0000_i1092" DrawAspect="Content" ObjectID="_1281991343" r:id="rId154"/>
        </w:object>
      </w:r>
    </w:p>
    <w:p w14:paraId="43FE5A77" w14:textId="0FE14F9D" w:rsidR="002B29C0" w:rsidRPr="00AF7035" w:rsidRDefault="005F491A"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position w:val="-16"/>
        </w:rPr>
      </w:pPr>
      <w:r w:rsidRPr="00AF7035">
        <w:rPr>
          <w:position w:val="-30"/>
        </w:rPr>
        <w:object w:dxaOrig="2320" w:dyaOrig="700" w14:anchorId="3F89A4AF">
          <v:shape id="_x0000_i1093" type="#_x0000_t75" style="width:116.2pt;height:35.65pt" o:ole="">
            <v:imagedata r:id="rId155" o:title=""/>
          </v:shape>
          <o:OLEObject Type="Embed" ProgID="Equation.3" ShapeID="_x0000_i1093" DrawAspect="Content" ObjectID="_1281991344" r:id="rId156"/>
        </w:object>
      </w:r>
    </w:p>
    <w:p w14:paraId="180DFB59" w14:textId="3F4DD4EC" w:rsidR="004450B3" w:rsidRDefault="001F6877"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Where </w:t>
      </w:r>
      <w:r w:rsidR="00182904" w:rsidRPr="001F6877">
        <w:rPr>
          <w:position w:val="-10"/>
        </w:rPr>
        <w:object w:dxaOrig="220" w:dyaOrig="260" w14:anchorId="0320F8A1">
          <v:shape id="_x0000_i1094" type="#_x0000_t75" style="width:11.4pt;height:13.55pt" o:ole="">
            <v:imagedata r:id="rId157" o:title=""/>
          </v:shape>
          <o:OLEObject Type="Embed" ProgID="Equation.3" ShapeID="_x0000_i1094" DrawAspect="Content" ObjectID="_1281991345" r:id="rId158"/>
        </w:object>
      </w:r>
      <w:r>
        <w:t xml:space="preserve"> is the probability that </w:t>
      </w:r>
      <w:r w:rsidRPr="00E67EA4">
        <w:rPr>
          <w:position w:val="-14"/>
        </w:rPr>
        <w:object w:dxaOrig="420" w:dyaOrig="380" w14:anchorId="539D5E9F">
          <v:shape id="_x0000_i1095" type="#_x0000_t75" style="width:21.4pt;height:19.25pt" o:ole="">
            <v:imagedata r:id="rId159" o:title=""/>
          </v:shape>
          <o:OLEObject Type="Embed" ProgID="Equation.3" ShapeID="_x0000_i1095" DrawAspect="Content" ObjectID="_1281991346" r:id="rId160"/>
        </w:object>
      </w:r>
      <w:r w:rsidR="00D907F7">
        <w:t xml:space="preserve"> estimated</w:t>
      </w:r>
      <w:r>
        <w:t xml:space="preserve"> for the</w:t>
      </w:r>
      <w:r w:rsidR="007F681B">
        <w:t xml:space="preserve"> </w:t>
      </w:r>
      <w:r w:rsidR="00F25E52">
        <w:t>present</w:t>
      </w:r>
      <w:r w:rsidR="007F681B">
        <w:t xml:space="preserve"> iteration to be the last one</w:t>
      </w:r>
      <w:r w:rsidR="00D33E7B">
        <w:t xml:space="preserve"> </w:t>
      </w:r>
      <w:r w:rsidR="00D33E7B" w:rsidRPr="00D33E7B">
        <w:rPr>
          <w:i/>
        </w:rPr>
        <w:t>made</w:t>
      </w:r>
      <w:r w:rsidR="007F681B" w:rsidRPr="00D33E7B">
        <w:rPr>
          <w:i/>
        </w:rPr>
        <w:t xml:space="preserve"> in the </w:t>
      </w:r>
      <w:r w:rsidR="00D907F7" w:rsidRPr="00D33E7B">
        <w:rPr>
          <w:i/>
        </w:rPr>
        <w:t xml:space="preserve">previous </w:t>
      </w:r>
      <w:proofErr w:type="gramStart"/>
      <w:r w:rsidR="00D907F7" w:rsidRPr="00D33E7B">
        <w:rPr>
          <w:i/>
        </w:rPr>
        <w:t>iteration</w:t>
      </w:r>
      <w:r w:rsidR="00A92659">
        <w:t>.</w:t>
      </w:r>
      <w:proofErr w:type="gramEnd"/>
      <w:r w:rsidR="001B0DE2">
        <w:t xml:space="preserve"> </w:t>
      </w:r>
      <w:r w:rsidR="004450B3">
        <w:t>This variable depends on external factor and is not decided but estimated, which makes it exogenous to the mo</w:t>
      </w:r>
      <w:r w:rsidR="004450B3">
        <w:t>d</w:t>
      </w:r>
      <w:r w:rsidR="004450B3">
        <w:t xml:space="preserve">el. </w:t>
      </w:r>
    </w:p>
    <w:p w14:paraId="5C93134F" w14:textId="272E7DAD" w:rsidR="007F681B" w:rsidRDefault="00B97431"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this new model </w:t>
      </w:r>
      <w:r w:rsidRPr="00E67EA4">
        <w:rPr>
          <w:position w:val="-14"/>
        </w:rPr>
        <w:object w:dxaOrig="400" w:dyaOrig="380" w14:anchorId="31C68E0F">
          <v:shape id="_x0000_i1096" type="#_x0000_t75" style="width:19.95pt;height:19.25pt" o:ole="">
            <v:imagedata r:id="rId161" o:title=""/>
          </v:shape>
          <o:OLEObject Type="Embed" ProgID="Equation.3" ShapeID="_x0000_i1096" DrawAspect="Content" ObjectID="_1281991347" r:id="rId162"/>
        </w:object>
      </w:r>
      <w:r w:rsidRPr="00996CFD">
        <w:t xml:space="preserve"> </w:t>
      </w:r>
      <w:r>
        <w:t xml:space="preserve">still seeks for maximizing </w:t>
      </w:r>
      <w:r w:rsidR="00182904" w:rsidRPr="001A2DA8">
        <w:rPr>
          <w:position w:val="-4"/>
        </w:rPr>
        <w:object w:dxaOrig="240" w:dyaOrig="240" w14:anchorId="15DC70AB">
          <v:shape id="_x0000_i1097" type="#_x0000_t75" style="width:12.1pt;height:12.1pt" o:ole="">
            <v:imagedata r:id="rId163" o:title=""/>
          </v:shape>
          <o:OLEObject Type="Embed" ProgID="Equation.3" ShapeID="_x0000_i1097" DrawAspect="Content" ObjectID="_1281991348" r:id="rId164"/>
        </w:object>
      </w:r>
      <w:r>
        <w:t xml:space="preserve">, </w:t>
      </w:r>
      <w:r w:rsidR="00182904" w:rsidRPr="00182904">
        <w:rPr>
          <w:position w:val="-6"/>
        </w:rPr>
        <w:object w:dxaOrig="240" w:dyaOrig="260" w14:anchorId="11DD037C">
          <v:shape id="_x0000_i1098" type="#_x0000_t75" style="width:12.1pt;height:12.85pt" o:ole="">
            <v:imagedata r:id="rId165" o:title=""/>
          </v:shape>
          <o:OLEObject Type="Embed" ProgID="Equation.3" ShapeID="_x0000_i1098" DrawAspect="Content" ObjectID="_1281991349" r:id="rId166"/>
        </w:object>
      </w:r>
      <w:r>
        <w:t xml:space="preserve">and </w:t>
      </w:r>
      <w:r w:rsidR="000C11BB" w:rsidRPr="001A2DA8">
        <w:rPr>
          <w:position w:val="-4"/>
        </w:rPr>
        <w:object w:dxaOrig="220" w:dyaOrig="240" w14:anchorId="356EB32E">
          <v:shape id="_x0000_i1099" type="#_x0000_t75" style="width:10.7pt;height:12.1pt" o:ole="">
            <v:imagedata r:id="rId167" o:title=""/>
          </v:shape>
          <o:OLEObject Type="Embed" ProgID="Equation.3" ShapeID="_x0000_i1099" DrawAspect="Content" ObjectID="_1281991350" r:id="rId168"/>
        </w:object>
      </w:r>
      <w:r w:rsidR="00182904">
        <w:rPr>
          <w:position w:val="-8"/>
        </w:rPr>
        <w:t xml:space="preserve"> </w:t>
      </w:r>
      <w:r>
        <w:t xml:space="preserve">at the same time; and </w:t>
      </w:r>
      <w:r w:rsidRPr="00E67EA4">
        <w:rPr>
          <w:position w:val="-14"/>
        </w:rPr>
        <w:object w:dxaOrig="420" w:dyaOrig="380" w14:anchorId="29449331">
          <v:shape id="_x0000_i1100" type="#_x0000_t75" style="width:21.4pt;height:19.25pt" o:ole="">
            <v:imagedata r:id="rId169" o:title=""/>
          </v:shape>
          <o:OLEObject Type="Embed" ProgID="Equation.3" ShapeID="_x0000_i1100" DrawAspect="Content" ObjectID="_1281991351" r:id="rId170"/>
        </w:object>
      </w:r>
      <w:r>
        <w:t xml:space="preserve"> keeps wanting, at least ideally, to maximize only </w:t>
      </w:r>
      <w:r w:rsidR="000C11BB" w:rsidRPr="001A2DA8">
        <w:rPr>
          <w:position w:val="-4"/>
        </w:rPr>
        <w:object w:dxaOrig="220" w:dyaOrig="240" w14:anchorId="755DB67B">
          <v:shape id="_x0000_i1101" type="#_x0000_t75" style="width:10.7pt;height:12.1pt" o:ole="">
            <v:imagedata r:id="rId171" o:title=""/>
          </v:shape>
          <o:OLEObject Type="Embed" ProgID="Equation.3" ShapeID="_x0000_i1101" DrawAspect="Content" ObjectID="_1281991352" r:id="rId172"/>
        </w:object>
      </w:r>
      <w:r>
        <w:t xml:space="preserve">minimizing </w:t>
      </w:r>
      <w:r w:rsidR="00182904" w:rsidRPr="001A2DA8">
        <w:rPr>
          <w:position w:val="-4"/>
        </w:rPr>
        <w:object w:dxaOrig="240" w:dyaOrig="240" w14:anchorId="0E0C1133">
          <v:shape id="_x0000_i1102" type="#_x0000_t75" style="width:12.1pt;height:12.1pt" o:ole="">
            <v:imagedata r:id="rId173" o:title=""/>
          </v:shape>
          <o:OLEObject Type="Embed" ProgID="Equation.3" ShapeID="_x0000_i1102" DrawAspect="Content" ObjectID="_1281991353" r:id="rId174"/>
        </w:object>
      </w:r>
      <w:r>
        <w:t>. The fundamental new feature is that now</w:t>
      </w:r>
      <w:r w:rsidR="001B0DE2">
        <w:t xml:space="preserve"> the fulfilment is tied to this co</w:t>
      </w:r>
      <w:r w:rsidR="001B0DE2">
        <w:t>n</w:t>
      </w:r>
      <w:r w:rsidR="001B0DE2">
        <w:lastRenderedPageBreak/>
        <w:t>sideration</w:t>
      </w:r>
      <w:r w:rsidR="002C14BF">
        <w:t>, that determines how important is to build a</w:t>
      </w:r>
      <w:r w:rsidR="00016120">
        <w:t xml:space="preserve"> reputation for the weak region: </w:t>
      </w:r>
      <w:r w:rsidR="002C14BF">
        <w:t>the payoffs that more transfers give to the strong reg</w:t>
      </w:r>
      <w:r w:rsidR="00016120">
        <w:t>ion depend now on what the weaker one did in the previous iteration</w:t>
      </w:r>
      <w:r w:rsidR="00F25E52">
        <w:t>. Applying backward i</w:t>
      </w:r>
      <w:r w:rsidR="00F25E52">
        <w:t>n</w:t>
      </w:r>
      <w:r w:rsidR="00F25E52">
        <w:t xml:space="preserve">duction, it follows that </w:t>
      </w:r>
      <w:r w:rsidR="00F25E52" w:rsidRPr="003C00FF">
        <w:rPr>
          <w:position w:val="-14"/>
        </w:rPr>
        <w:object w:dxaOrig="1160" w:dyaOrig="380" w14:anchorId="3AA39EBD">
          <v:shape id="_x0000_i1103" type="#_x0000_t75" style="width:57.75pt;height:19.25pt" o:ole="">
            <v:imagedata r:id="rId175" o:title=""/>
          </v:shape>
          <o:OLEObject Type="Embed" ProgID="Equation.3" ShapeID="_x0000_i1103" DrawAspect="Content" ObjectID="_1281991354" r:id="rId176"/>
        </w:object>
      </w:r>
      <w:r>
        <w:t xml:space="preserve">: if </w:t>
      </w:r>
      <w:r w:rsidRPr="00E67EA4">
        <w:rPr>
          <w:position w:val="-14"/>
        </w:rPr>
        <w:object w:dxaOrig="420" w:dyaOrig="380" w14:anchorId="3EB81E2E">
          <v:shape id="_x0000_i1104" type="#_x0000_t75" style="width:21.4pt;height:19.25pt" o:ole="">
            <v:imagedata r:id="rId177" o:title=""/>
          </v:shape>
          <o:OLEObject Type="Embed" ProgID="Equation.3" ShapeID="_x0000_i1104" DrawAspect="Content" ObjectID="_1281991355" r:id="rId178"/>
        </w:object>
      </w:r>
      <w:r w:rsidR="00F25E52">
        <w:t xml:space="preserve"> considers highly probable at m</w:t>
      </w:r>
      <w:r w:rsidR="00F25E52">
        <w:t>o</w:t>
      </w:r>
      <w:r w:rsidR="00F25E52">
        <w:t xml:space="preserve">ment t-1 that the game will end at t, incentives for fulfilling </w:t>
      </w:r>
      <w:r>
        <w:t>diminish until di</w:t>
      </w:r>
      <w:r>
        <w:t>s</w:t>
      </w:r>
      <w:r>
        <w:t>appearing</w:t>
      </w:r>
      <w:r w:rsidR="00F25E52">
        <w:t>.</w:t>
      </w:r>
    </w:p>
    <w:p w14:paraId="791B7B65" w14:textId="14EC0D4B" w:rsidR="00D17C50" w:rsidRDefault="00B97431"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r>
        <w:tab/>
      </w:r>
      <w:r w:rsidR="00D17C50">
        <w:t xml:space="preserve">Now, the fact that </w:t>
      </w:r>
      <w:r w:rsidR="00D17C50" w:rsidRPr="00936C53">
        <w:rPr>
          <w:b/>
          <w:i/>
        </w:rPr>
        <w:t>T</w:t>
      </w:r>
      <w:r w:rsidR="00D17C50">
        <w:t xml:space="preserve"> depends on </w:t>
      </w:r>
      <w:r w:rsidRPr="00E67EA4">
        <w:rPr>
          <w:position w:val="-14"/>
        </w:rPr>
        <w:object w:dxaOrig="420" w:dyaOrig="380" w14:anchorId="1237407E">
          <v:shape id="_x0000_i1105" type="#_x0000_t75" style="width:21.4pt;height:19.25pt" o:ole="">
            <v:imagedata r:id="rId179" o:title=""/>
          </v:shape>
          <o:OLEObject Type="Embed" ProgID="Equation.3" ShapeID="_x0000_i1105" DrawAspect="Content" ObjectID="_1281991356" r:id="rId180"/>
        </w:object>
      </w:r>
      <w:r>
        <w:t>’s b</w:t>
      </w:r>
      <w:r w:rsidR="00D17C50">
        <w:t xml:space="preserve">ehavior in </w:t>
      </w:r>
      <w:r w:rsidR="00D6785D">
        <w:rPr>
          <w:b/>
        </w:rPr>
        <w:t>t-1</w:t>
      </w:r>
      <w:r w:rsidR="00D17C50">
        <w:t xml:space="preserve"> makes </w:t>
      </w:r>
      <w:r w:rsidR="008A33CB">
        <w:t xml:space="preserve">the weak region to </w:t>
      </w:r>
      <w:r w:rsidR="006B791E">
        <w:t xml:space="preserve">plan in advance. Actually, </w:t>
      </w:r>
      <w:r w:rsidRPr="00E67EA4">
        <w:rPr>
          <w:position w:val="-14"/>
        </w:rPr>
        <w:object w:dxaOrig="420" w:dyaOrig="380" w14:anchorId="13551377">
          <v:shape id="_x0000_i1106" type="#_x0000_t75" style="width:21.4pt;height:19.25pt" o:ole="">
            <v:imagedata r:id="rId181" o:title=""/>
          </v:shape>
          <o:OLEObject Type="Embed" ProgID="Equation.3" ShapeID="_x0000_i1106" DrawAspect="Content" ObjectID="_1281991357" r:id="rId182"/>
        </w:object>
      </w:r>
      <w:r w:rsidR="006B791E">
        <w:t xml:space="preserve"> could maximize utility if the number of estimations is accurately estimated: then, the right strategy would be fu</w:t>
      </w:r>
      <w:r w:rsidR="006B791E">
        <w:t>l</w:t>
      </w:r>
      <w:r w:rsidR="006B791E">
        <w:t xml:space="preserve">filling conditions </w:t>
      </w:r>
      <w:proofErr w:type="gramStart"/>
      <w:r w:rsidR="006B791E">
        <w:t>in every iteration</w:t>
      </w:r>
      <w:proofErr w:type="gramEnd"/>
      <w:r w:rsidR="006B791E">
        <w:t xml:space="preserve"> </w:t>
      </w:r>
      <w:r w:rsidR="006B791E" w:rsidRPr="00B97431">
        <w:rPr>
          <w:i/>
        </w:rPr>
        <w:t>except the last one</w:t>
      </w:r>
      <w:r w:rsidR="006B791E">
        <w:t>.</w:t>
      </w:r>
    </w:p>
    <w:p w14:paraId="2571A717" w14:textId="689B0BA6" w:rsidR="00914383" w:rsidRDefault="00ED6E6C"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But w</w:t>
      </w:r>
      <w:r w:rsidR="006B791E">
        <w:t xml:space="preserve">hat if there is no clear end, no visible </w:t>
      </w:r>
      <w:r w:rsidR="00D17C50">
        <w:t>horizon?</w:t>
      </w:r>
      <w:r w:rsidR="003D12AB">
        <w:t xml:space="preserve"> What if the last iter</w:t>
      </w:r>
      <w:r w:rsidR="003D12AB">
        <w:t>a</w:t>
      </w:r>
      <w:r w:rsidR="003D12AB">
        <w:t>tion cannot be identified</w:t>
      </w:r>
      <w:r w:rsidR="00657C67">
        <w:t xml:space="preserve">? Then, </w:t>
      </w:r>
      <w:r w:rsidR="00657C67" w:rsidRPr="00657C67">
        <w:rPr>
          <w:position w:val="-10"/>
        </w:rPr>
        <w:object w:dxaOrig="500" w:dyaOrig="300" w14:anchorId="283A88B3">
          <v:shape id="_x0000_i1107" type="#_x0000_t75" style="width:24.95pt;height:14.95pt" o:ole="">
            <v:imagedata r:id="rId183" o:title=""/>
          </v:shape>
          <o:OLEObject Type="Embed" ProgID="Equation.3" ShapeID="_x0000_i1107" DrawAspect="Content" ObjectID="_1281991358" r:id="rId184"/>
        </w:object>
      </w:r>
      <w:r w:rsidR="00033A4E">
        <w:t xml:space="preserve"> tends to 1.</w:t>
      </w:r>
      <w:r w:rsidR="00767425">
        <w:t xml:space="preserve"> As a con</w:t>
      </w:r>
      <w:r w:rsidR="00657C67">
        <w:t xml:space="preserve">sequence, in order to maximize </w:t>
      </w:r>
      <w:r w:rsidR="00657C67" w:rsidRPr="001A2DA8">
        <w:rPr>
          <w:position w:val="-4"/>
        </w:rPr>
        <w:object w:dxaOrig="220" w:dyaOrig="240" w14:anchorId="529C5FF2">
          <v:shape id="_x0000_i1108" type="#_x0000_t75" style="width:10.7pt;height:12.1pt" o:ole="">
            <v:imagedata r:id="rId185" o:title=""/>
          </v:shape>
          <o:OLEObject Type="Embed" ProgID="Equation.3" ShapeID="_x0000_i1108" DrawAspect="Content" ObjectID="_1281991359" r:id="rId186"/>
        </w:object>
      </w:r>
      <w:r w:rsidR="00767425">
        <w:t>, the weak region will have to fulfil more and more of the co</w:t>
      </w:r>
      <w:r w:rsidR="00767425">
        <w:t>n</w:t>
      </w:r>
      <w:r w:rsidR="00767425">
        <w:t xml:space="preserve">ditions until reaching full accomplishment. If </w:t>
      </w:r>
      <w:r w:rsidR="000165B9" w:rsidRPr="003C00FF">
        <w:rPr>
          <w:position w:val="-14"/>
        </w:rPr>
        <w:object w:dxaOrig="1040" w:dyaOrig="380" w14:anchorId="36216190">
          <v:shape id="_x0000_i1109" type="#_x0000_t75" style="width:52.05pt;height:19.25pt" o:ole="">
            <v:imagedata r:id="rId187" o:title=""/>
          </v:shape>
          <o:OLEObject Type="Embed" ProgID="Equation.3" ShapeID="_x0000_i1109" DrawAspect="Content" ObjectID="_1281991360" r:id="rId188"/>
        </w:object>
      </w:r>
      <w:r w:rsidR="00767425">
        <w:t xml:space="preserve"> </w:t>
      </w:r>
      <w:r w:rsidR="001613FE">
        <w:t xml:space="preserve">there is margin to maximize for </w:t>
      </w:r>
      <w:r w:rsidR="001613FE" w:rsidRPr="00E67EA4">
        <w:rPr>
          <w:position w:val="-14"/>
        </w:rPr>
        <w:object w:dxaOrig="420" w:dyaOrig="380" w14:anchorId="1F29EB13">
          <v:shape id="_x0000_i1110" type="#_x0000_t75" style="width:21.4pt;height:19.25pt" o:ole="">
            <v:imagedata r:id="rId189" o:title=""/>
          </v:shape>
          <o:OLEObject Type="Embed" ProgID="Equation.3" ShapeID="_x0000_i1110" DrawAspect="Content" ObjectID="_1281991361" r:id="rId190"/>
        </w:object>
      </w:r>
      <w:r w:rsidR="001613FE">
        <w:t xml:space="preserve"> until </w:t>
      </w:r>
      <w:r w:rsidR="001613FE" w:rsidRPr="003C00FF">
        <w:rPr>
          <w:position w:val="-14"/>
        </w:rPr>
        <w:object w:dxaOrig="1040" w:dyaOrig="380" w14:anchorId="55F0B7C4">
          <v:shape id="_x0000_i1111" type="#_x0000_t75" style="width:52.05pt;height:19.25pt" o:ole="">
            <v:imagedata r:id="rId191" o:title=""/>
          </v:shape>
          <o:OLEObject Type="Embed" ProgID="Equation.3" ShapeID="_x0000_i1111" DrawAspect="Content" ObjectID="_1281991362" r:id="rId192"/>
        </w:object>
      </w:r>
      <w:r w:rsidR="001613FE">
        <w:t xml:space="preserve">and thus the factor </w:t>
      </w:r>
      <w:r w:rsidR="001613FE" w:rsidRPr="00AF7035">
        <w:rPr>
          <w:position w:val="-30"/>
        </w:rPr>
        <w:object w:dxaOrig="1000" w:dyaOrig="700" w14:anchorId="2F4CDF1D">
          <v:shape id="_x0000_i1112" type="#_x0000_t75" style="width:49.9pt;height:35.65pt" o:ole="">
            <v:imagedata r:id="rId193" o:title=""/>
          </v:shape>
          <o:OLEObject Type="Embed" ProgID="Equation.3" ShapeID="_x0000_i1112" DrawAspect="Content" ObjectID="_1281991363" r:id="rId194"/>
        </w:object>
      </w:r>
      <w:r w:rsidR="00B64203">
        <w:t>, reaching its maximum.</w:t>
      </w:r>
    </w:p>
    <w:p w14:paraId="41C4CE9A" w14:textId="6E1028E4" w:rsidR="00767425" w:rsidRDefault="00767425"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Given this, the most rational action for the strong region is to set </w:t>
      </w:r>
      <w:r w:rsidR="00F46312" w:rsidRPr="00F46312">
        <w:rPr>
          <w:position w:val="-6"/>
        </w:rPr>
        <w:object w:dxaOrig="500" w:dyaOrig="260" w14:anchorId="5DED2779">
          <v:shape id="_x0000_i1113" type="#_x0000_t75" style="width:24.95pt;height:12.85pt" o:ole="">
            <v:imagedata r:id="rId195" o:title=""/>
          </v:shape>
          <o:OLEObject Type="Embed" ProgID="Equation.3" ShapeID="_x0000_i1113" DrawAspect="Content" ObjectID="_1281991364" r:id="rId196"/>
        </w:object>
      </w:r>
      <w:r>
        <w:t xml:space="preserve">. Now, </w:t>
      </w:r>
      <w:r w:rsidRPr="00E67EA4">
        <w:rPr>
          <w:position w:val="-14"/>
        </w:rPr>
        <w:object w:dxaOrig="420" w:dyaOrig="380" w14:anchorId="3FE58B79">
          <v:shape id="_x0000_i1114" type="#_x0000_t75" style="width:21.4pt;height:19.25pt" o:ole="">
            <v:imagedata r:id="rId197" o:title=""/>
          </v:shape>
          <o:OLEObject Type="Embed" ProgID="Equation.3" ShapeID="_x0000_i1114" DrawAspect="Content" ObjectID="_1281991365" r:id="rId198"/>
        </w:object>
      </w:r>
      <w:r>
        <w:t xml:space="preserve"> has no choice but to accept this, again, to maximize preferences. </w:t>
      </w:r>
      <w:r w:rsidR="00EB423D">
        <w:t xml:space="preserve">It is easier to see in the last stage, once </w:t>
      </w:r>
      <w:r w:rsidR="00EB423D" w:rsidRPr="00EB423D">
        <w:rPr>
          <w:position w:val="-10"/>
        </w:rPr>
        <w:object w:dxaOrig="800" w:dyaOrig="300" w14:anchorId="1CD63DA9">
          <v:shape id="_x0000_i1115" type="#_x0000_t75" style="width:39.9pt;height:14.95pt" o:ole="">
            <v:imagedata r:id="rId199" o:title=""/>
          </v:shape>
          <o:OLEObject Type="Embed" ProgID="Equation.3" ShapeID="_x0000_i1115" DrawAspect="Content" ObjectID="_1281991366" r:id="rId200"/>
        </w:object>
      </w:r>
      <w:r w:rsidR="00EB423D">
        <w:t xml:space="preserve"> constantly.</w:t>
      </w:r>
      <w:r w:rsidR="000165B9">
        <w:t xml:space="preserve"> As we have equated </w:t>
      </w:r>
      <w:r w:rsidR="000165B9" w:rsidRPr="003C00FF">
        <w:rPr>
          <w:position w:val="-14"/>
        </w:rPr>
        <w:object w:dxaOrig="1040" w:dyaOrig="380" w14:anchorId="6F6114D7">
          <v:shape id="_x0000_i1116" type="#_x0000_t75" style="width:52.05pt;height:19.25pt" o:ole="">
            <v:imagedata r:id="rId201" o:title=""/>
          </v:shape>
          <o:OLEObject Type="Embed" ProgID="Equation.3" ShapeID="_x0000_i1116" DrawAspect="Content" ObjectID="_1281991367" r:id="rId202"/>
        </w:object>
      </w:r>
      <w:r w:rsidR="000165B9">
        <w:t xml:space="preserve"> by making the game infinite, t</w:t>
      </w:r>
      <w:r w:rsidR="00EB423D">
        <w:t>his simplifies utility functions:</w:t>
      </w:r>
    </w:p>
    <w:p w14:paraId="0F37005F" w14:textId="77777777" w:rsidR="00EB423D" w:rsidRPr="00D6785D" w:rsidRDefault="000165B9"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position w:val="-16"/>
        </w:rPr>
      </w:pPr>
      <w:r w:rsidRPr="00EB423D">
        <w:rPr>
          <w:position w:val="-14"/>
        </w:rPr>
        <w:object w:dxaOrig="1140" w:dyaOrig="380" w14:anchorId="295A271B">
          <v:shape id="_x0000_i1117" type="#_x0000_t75" style="width:57.05pt;height:19.25pt" o:ole="">
            <v:imagedata r:id="rId203" o:title=""/>
          </v:shape>
          <o:OLEObject Type="Embed" ProgID="Equation.3" ShapeID="_x0000_i1117" DrawAspect="Content" ObjectID="_1281991368" r:id="rId204"/>
        </w:object>
      </w:r>
    </w:p>
    <w:p w14:paraId="4C15F8E8" w14:textId="77777777" w:rsidR="00EB423D" w:rsidRPr="00AF7035" w:rsidRDefault="00EB423D"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position w:val="-16"/>
        </w:rPr>
      </w:pPr>
      <w:r w:rsidRPr="00EB423D">
        <w:rPr>
          <w:position w:val="-14"/>
        </w:rPr>
        <w:object w:dxaOrig="1360" w:dyaOrig="380" w14:anchorId="029AFF0B">
          <v:shape id="_x0000_i1118" type="#_x0000_t75" style="width:68.45pt;height:19.25pt" o:ole="">
            <v:imagedata r:id="rId205" o:title=""/>
          </v:shape>
          <o:OLEObject Type="Embed" ProgID="Equation.3" ShapeID="_x0000_i1118" DrawAspect="Content" ObjectID="_1281991369" r:id="rId206"/>
        </w:object>
      </w:r>
    </w:p>
    <w:p w14:paraId="74A48599" w14:textId="2ED65AC2" w:rsidR="00EB423D" w:rsidRDefault="00EB423D"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Now</w:t>
      </w:r>
      <w:r w:rsidR="008F3617">
        <w:t xml:space="preserve"> it will appear obvious that</w:t>
      </w:r>
      <w:r w:rsidR="000165B9">
        <w:t xml:space="preserve"> in the long term (in the longest possible term, actually)</w:t>
      </w:r>
      <w:r w:rsidR="008F3617">
        <w:t xml:space="preserve"> </w:t>
      </w:r>
      <w:r w:rsidR="000165B9">
        <w:t>the best response for any decision from</w:t>
      </w:r>
      <w:r w:rsidR="00064750">
        <w:t xml:space="preserve"> the strong region on </w:t>
      </w:r>
      <w:r w:rsidR="00CD1542" w:rsidRPr="00CD1542">
        <w:rPr>
          <w:position w:val="-10"/>
        </w:rPr>
        <w:object w:dxaOrig="900" w:dyaOrig="320" w14:anchorId="1592AED8">
          <v:shape id="_x0000_i1119" type="#_x0000_t75" style="width:44.9pt;height:15.7pt" o:ole="">
            <v:imagedata r:id="rId207" o:title=""/>
          </v:shape>
          <o:OLEObject Type="Embed" ProgID="Equation.3" ShapeID="_x0000_i1119" DrawAspect="Content" ObjectID="_1281991370" r:id="rId208"/>
        </w:object>
      </w:r>
      <w:r w:rsidR="00064750">
        <w:t xml:space="preserve"> is to choose </w:t>
      </w:r>
      <w:r w:rsidR="00CD1542" w:rsidRPr="001A2DA8">
        <w:rPr>
          <w:position w:val="-4"/>
        </w:rPr>
        <w:object w:dxaOrig="540" w:dyaOrig="240" w14:anchorId="486C28B4">
          <v:shape id="_x0000_i1120" type="#_x0000_t75" style="width:27.1pt;height:12.1pt" o:ole="">
            <v:imagedata r:id="rId209" o:title=""/>
          </v:shape>
          <o:OLEObject Type="Embed" ProgID="Equation.3" ShapeID="_x0000_i1120" DrawAspect="Content" ObjectID="_1281991371" r:id="rId210"/>
        </w:object>
      </w:r>
      <w:r w:rsidR="00064750">
        <w:t xml:space="preserve">. And as </w:t>
      </w:r>
      <w:r w:rsidR="00064750" w:rsidRPr="00E67EA4">
        <w:rPr>
          <w:position w:val="-14"/>
        </w:rPr>
        <w:object w:dxaOrig="400" w:dyaOrig="380" w14:anchorId="0A25A910">
          <v:shape id="_x0000_i1121" type="#_x0000_t75" style="width:19.95pt;height:19.25pt" o:ole="">
            <v:imagedata r:id="rId211" o:title=""/>
          </v:shape>
          <o:OLEObject Type="Embed" ProgID="Equation.3" ShapeID="_x0000_i1121" DrawAspect="Content" ObjectID="_1281991372" r:id="rId212"/>
        </w:object>
      </w:r>
      <w:r w:rsidR="00064750">
        <w:t xml:space="preserve"> maximizes with </w:t>
      </w:r>
      <w:r w:rsidR="00F36449" w:rsidRPr="00F36449">
        <w:rPr>
          <w:position w:val="-6"/>
        </w:rPr>
        <w:object w:dxaOrig="540" w:dyaOrig="260" w14:anchorId="68DFC9FD">
          <v:shape id="_x0000_i1122" type="#_x0000_t75" style="width:27.1pt;height:12.85pt" o:ole="">
            <v:imagedata r:id="rId213" o:title=""/>
          </v:shape>
          <o:OLEObject Type="Embed" ProgID="Equation.3" ShapeID="_x0000_i1122" DrawAspect="Content" ObjectID="_1281991373" r:id="rId214"/>
        </w:object>
      </w:r>
      <w:r w:rsidR="00064750">
        <w:t>, t</w:t>
      </w:r>
      <w:r w:rsidR="00F36449">
        <w:t xml:space="preserve">he rational choice will be </w:t>
      </w:r>
      <w:r w:rsidR="00F36449" w:rsidRPr="00F36449">
        <w:rPr>
          <w:position w:val="-6"/>
        </w:rPr>
        <w:object w:dxaOrig="500" w:dyaOrig="260" w14:anchorId="2532AC27">
          <v:shape id="_x0000_i1123" type="#_x0000_t75" style="width:24.95pt;height:12.85pt" o:ole="">
            <v:imagedata r:id="rId215" o:title=""/>
          </v:shape>
          <o:OLEObject Type="Embed" ProgID="Equation.3" ShapeID="_x0000_i1123" DrawAspect="Content" ObjectID="_1281991374" r:id="rId216"/>
        </w:object>
      </w:r>
      <w:r w:rsidR="00064750">
        <w:t>.</w:t>
      </w:r>
      <w:r w:rsidR="00F36449">
        <w:t xml:space="preserve"> </w:t>
      </w:r>
      <w:r w:rsidR="00F36449" w:rsidRPr="00F36449">
        <w:rPr>
          <w:position w:val="-6"/>
        </w:rPr>
        <w:object w:dxaOrig="600" w:dyaOrig="260" w14:anchorId="3DB6F4B3">
          <v:shape id="_x0000_i1124" type="#_x0000_t75" style="width:29.95pt;height:12.85pt" o:ole="">
            <v:imagedata r:id="rId217" o:title=""/>
          </v:shape>
          <o:OLEObject Type="Embed" ProgID="Equation.3" ShapeID="_x0000_i1124" DrawAspect="Content" ObjectID="_1281991375" r:id="rId218"/>
        </w:object>
      </w:r>
      <w:r w:rsidR="00062230">
        <w:t xml:space="preserve"> </w:t>
      </w:r>
      <w:proofErr w:type="gramStart"/>
      <w:r w:rsidR="00062230">
        <w:t>is</w:t>
      </w:r>
      <w:proofErr w:type="gramEnd"/>
      <w:r w:rsidR="00062230">
        <w:t xml:space="preserve"> no longer a feasible and good strategy, thus the capacity to set the equilibrium lies on </w:t>
      </w:r>
      <w:r w:rsidR="00062230" w:rsidRPr="00E67EA4">
        <w:rPr>
          <w:position w:val="-14"/>
        </w:rPr>
        <w:object w:dxaOrig="400" w:dyaOrig="380" w14:anchorId="051A3569">
          <v:shape id="_x0000_i1125" type="#_x0000_t75" style="width:19.95pt;height:19.25pt" o:ole="">
            <v:imagedata r:id="rId219" o:title=""/>
          </v:shape>
          <o:OLEObject Type="Embed" ProgID="Equation.3" ShapeID="_x0000_i1125" DrawAspect="Content" ObjectID="_1281991376" r:id="rId220"/>
        </w:object>
      </w:r>
      <w:r w:rsidR="00062230">
        <w:t>.</w:t>
      </w:r>
      <w:r w:rsidR="00E67ED8">
        <w:t xml:space="preserve"> </w:t>
      </w:r>
    </w:p>
    <w:p w14:paraId="485A1E8E" w14:textId="201BED97" w:rsidR="00D17C50" w:rsidRDefault="003D12AB"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is what actually happens in the EU</w:t>
      </w:r>
      <w:r w:rsidR="00D17C50">
        <w:t xml:space="preserve">. First, there is a perverse dynamic going on within </w:t>
      </w:r>
      <w:r w:rsidR="00F36449" w:rsidRPr="00F36449">
        <w:rPr>
          <w:position w:val="-6"/>
        </w:rPr>
        <w:object w:dxaOrig="240" w:dyaOrig="260" w14:anchorId="5D879284">
          <v:shape id="_x0000_i1126" type="#_x0000_t75" style="width:12.1pt;height:12.85pt" o:ole="">
            <v:imagedata r:id="rId221" o:title=""/>
          </v:shape>
          <o:OLEObject Type="Embed" ProgID="Equation.3" ShapeID="_x0000_i1126" DrawAspect="Content" ObjectID="_1281991377" r:id="rId222"/>
        </w:object>
      </w:r>
      <w:r w:rsidR="00D17C50">
        <w:t xml:space="preserve">and </w:t>
      </w:r>
      <w:r w:rsidR="00F36449" w:rsidRPr="00F36449">
        <w:rPr>
          <w:position w:val="-4"/>
        </w:rPr>
        <w:object w:dxaOrig="240" w:dyaOrig="240" w14:anchorId="0554C526">
          <v:shape id="_x0000_i1127" type="#_x0000_t75" style="width:12.1pt;height:12.1pt" o:ole="">
            <v:imagedata r:id="rId223" o:title=""/>
          </v:shape>
          <o:OLEObject Type="Embed" ProgID="Equation.3" ShapeID="_x0000_i1127" DrawAspect="Content" ObjectID="_1281991378" r:id="rId224"/>
        </w:object>
      </w:r>
      <w:r w:rsidR="00D17C50">
        <w:t xml:space="preserve"> that seriously hampers the resolution of the debt repayment issue. </w:t>
      </w:r>
      <w:r w:rsidR="00D17C50" w:rsidRPr="00636860">
        <w:t>‘</w:t>
      </w:r>
      <w:r w:rsidR="00D17C50">
        <w:t>C</w:t>
      </w:r>
      <w:r w:rsidR="00D17C50" w:rsidRPr="00636860">
        <w:t>onditions’ is more than a sole category</w:t>
      </w:r>
      <w:r w:rsidR="00D17C50">
        <w:t xml:space="preserve"> and has a small, n</w:t>
      </w:r>
      <w:r w:rsidR="00D17C50">
        <w:t>a</w:t>
      </w:r>
      <w:r w:rsidR="00D17C50">
        <w:t>tional-level decision game built-in itself</w:t>
      </w:r>
      <w:r w:rsidR="00D17C50" w:rsidRPr="00636860">
        <w:t xml:space="preserve">. </w:t>
      </w:r>
      <w:r w:rsidR="00D17C50">
        <w:t>There are two major kinds of cond</w:t>
      </w:r>
      <w:r w:rsidR="00D17C50">
        <w:t>i</w:t>
      </w:r>
      <w:r w:rsidR="00D17C50">
        <w:t>tions that the region benefitting f</w:t>
      </w:r>
      <w:r w:rsidR="000379B8">
        <w:t>rom transfers may have to fulfi</w:t>
      </w:r>
      <w:r w:rsidR="00D17C50">
        <w:t>l from the strong region: (a) spending cuts and tax raises and (b) structural reforms to i</w:t>
      </w:r>
      <w:r w:rsidR="00D17C50">
        <w:t>m</w:t>
      </w:r>
      <w:r w:rsidR="00D17C50">
        <w:t>prove competitiveness. When deciding F, what the weak region is actually se</w:t>
      </w:r>
      <w:r w:rsidR="00D17C50">
        <w:t>t</w:t>
      </w:r>
      <w:r w:rsidR="00D17C50">
        <w:t>ting is a specific mix of (a) and (b). The fact is that (a)-type measures have pr</w:t>
      </w:r>
      <w:r w:rsidR="00D17C50">
        <w:t>i</w:t>
      </w:r>
      <w:r w:rsidR="00D17C50">
        <w:t>ority at similar electoral cost as they are less institutional-costly (less transaction costs) and they can get money easier and quicker. The perversion is in the fact that cut damages real economic growth and the lack of structural reforms a</w:t>
      </w:r>
      <w:r w:rsidR="00D17C50">
        <w:t>f</w:t>
      </w:r>
      <w:r w:rsidR="00D17C50">
        <w:t xml:space="preserve">fects seriously to growth perspectives, which makes interest rates to rise and tax raises to be in </w:t>
      </w:r>
      <w:r w:rsidR="00062230">
        <w:t xml:space="preserve">the end less efficient. This </w:t>
      </w:r>
      <w:r w:rsidR="00D17C50">
        <w:t>provokes the necessity of more and more transfers.</w:t>
      </w:r>
    </w:p>
    <w:p w14:paraId="116DB6C6" w14:textId="444812C1" w:rsidR="000379B8" w:rsidRDefault="000379B8"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r>
        <w:tab/>
        <w:t>This effect sums to the essence of the problem: debt and risk diminis</w:t>
      </w:r>
      <w:r>
        <w:t>h</w:t>
      </w:r>
      <w:r>
        <w:lastRenderedPageBreak/>
        <w:t>ing. As we have seen and Persson and Tabellini (1996) show, there is an inhe</w:t>
      </w:r>
      <w:r>
        <w:t>r</w:t>
      </w:r>
      <w:r>
        <w:t xml:space="preserve">ent problem of moral hazard attached to inter-government schemes. </w:t>
      </w:r>
      <w:r w:rsidR="00BD725B">
        <w:t xml:space="preserve">A debt shock coming after a credit bubble is a problem that </w:t>
      </w:r>
      <w:r w:rsidR="00BD725B" w:rsidRPr="00E533BA">
        <w:rPr>
          <w:i/>
        </w:rPr>
        <w:t>cannot be solved without r</w:t>
      </w:r>
      <w:r w:rsidR="00BD725B" w:rsidRPr="00E533BA">
        <w:rPr>
          <w:i/>
        </w:rPr>
        <w:t>e</w:t>
      </w:r>
      <w:r w:rsidR="00BD725B" w:rsidRPr="00E533BA">
        <w:rPr>
          <w:i/>
        </w:rPr>
        <w:t>storing confidence and reputation</w:t>
      </w:r>
      <w:r w:rsidR="00BD725B">
        <w:t xml:space="preserve">.  </w:t>
      </w:r>
      <w:r w:rsidR="00E533BA">
        <w:t>The only way to do so in an inter-government system is to maximize at the same time transfers (help from the strong to the weak country), the imposed conditions that ensure the necessary (as seen by the investors) cuts and reforms, and of course the fulfilment of these cond</w:t>
      </w:r>
      <w:r w:rsidR="00E533BA">
        <w:t>i</w:t>
      </w:r>
      <w:r w:rsidR="00E533BA">
        <w:t>tions.</w:t>
      </w:r>
    </w:p>
    <w:p w14:paraId="467C691E" w14:textId="0AEA26E7" w:rsidR="00D17C50" w:rsidRDefault="000379B8"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r>
        <w:tab/>
      </w:r>
      <w:r w:rsidR="00122986">
        <w:t>Given these factors, i</w:t>
      </w:r>
      <w:r w:rsidR="00D17C50">
        <w:t>f the number of</w:t>
      </w:r>
      <w:r w:rsidR="00AA7602">
        <w:t xml:space="preserve"> iterations is set to infinite (</w:t>
      </w:r>
      <w:r w:rsidR="00D17C50">
        <w:t xml:space="preserve">which is the </w:t>
      </w:r>
      <w:r w:rsidR="00AA7602">
        <w:t>mathematical translation for ‘no clear horizon)</w:t>
      </w:r>
      <w:r w:rsidR="00D17C50">
        <w:t xml:space="preserve"> the values of </w:t>
      </w:r>
      <w:r w:rsidR="00C04AD2" w:rsidRPr="00C04AD2">
        <w:t>fulfilment</w:t>
      </w:r>
      <w:r w:rsidR="00D17C50">
        <w:t xml:space="preserve"> will tend to 1. The only possible strategy for</w:t>
      </w:r>
      <w:r w:rsidR="00C04AD2">
        <w:t xml:space="preserve"> Spain </w:t>
      </w:r>
      <w:r w:rsidR="00D17C50">
        <w:t xml:space="preserve">to get the benefit from transfers is to follow the conditions </w:t>
      </w:r>
      <w:proofErr w:type="gramStart"/>
      <w:r w:rsidR="00D17C50">
        <w:t>in every previous iteration</w:t>
      </w:r>
      <w:proofErr w:type="gramEnd"/>
      <w:r w:rsidR="00D17C50">
        <w:t xml:space="preserve">. And under the ‘infinite’ or ‘undetermined’ condition, this logically means to do so </w:t>
      </w:r>
      <w:proofErr w:type="gramStart"/>
      <w:r w:rsidR="00D17C50" w:rsidRPr="00D44C85">
        <w:rPr>
          <w:i/>
        </w:rPr>
        <w:t>in every iteration</w:t>
      </w:r>
      <w:proofErr w:type="gramEnd"/>
      <w:r w:rsidR="00D17C50">
        <w:t>.</w:t>
      </w:r>
    </w:p>
    <w:p w14:paraId="4952202C" w14:textId="6632EB4F" w:rsidR="002303BB" w:rsidRDefault="000672B4"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w:t>
      </w:r>
      <w:r w:rsidR="00D17C50">
        <w:t>ollowing the explained tendency and after a given number of iterations</w:t>
      </w:r>
      <w:r w:rsidR="004C6B04">
        <w:rPr>
          <w:rStyle w:val="FootnoteReference"/>
        </w:rPr>
        <w:footnoteReference w:id="8"/>
      </w:r>
      <w:r w:rsidR="00D17C50">
        <w:t xml:space="preserve">, equilibrium is found at </w:t>
      </w:r>
      <w:r w:rsidR="00D17C50" w:rsidRPr="00C52734">
        <w:rPr>
          <w:position w:val="-14"/>
        </w:rPr>
        <w:object w:dxaOrig="2420" w:dyaOrig="380" w14:anchorId="3530D5B0">
          <v:shape id="_x0000_i1128" type="#_x0000_t75" style="width:121.2pt;height:19.25pt" o:ole="">
            <v:imagedata r:id="rId225" o:title=""/>
          </v:shape>
          <o:OLEObject Type="Embed" ProgID="Equation.3" ShapeID="_x0000_i1128" DrawAspect="Content" ObjectID="_1281991379" r:id="rId226"/>
        </w:object>
      </w:r>
      <w:r w:rsidR="00D17C50">
        <w:t xml:space="preserve">. Translated to theory, there is a full integration in terms of transfers between both countries, and at the same time the maximum conditionality is ensured and fulfilled. </w:t>
      </w:r>
    </w:p>
    <w:p w14:paraId="757A7155" w14:textId="77777777" w:rsidR="008F62BC" w:rsidRPr="00635D34" w:rsidRDefault="008F62BC"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p>
    <w:p w14:paraId="38BEBAE4" w14:textId="177233D6" w:rsidR="00090AFE" w:rsidRDefault="00090AFE" w:rsidP="00FE7595">
      <w:pPr>
        <w:pStyle w:val="Heading1"/>
      </w:pPr>
      <w:r>
        <w:lastRenderedPageBreak/>
        <w:br/>
      </w:r>
      <w:bookmarkStart w:id="80" w:name="_Toc208145631"/>
      <w:r w:rsidR="004C1CF7">
        <w:t>Concluding</w:t>
      </w:r>
      <w:r w:rsidR="00BC4226">
        <w:t>: back to institutional analysis</w:t>
      </w:r>
      <w:bookmarkEnd w:id="80"/>
    </w:p>
    <w:p w14:paraId="3A250176" w14:textId="4BFF9EBF" w:rsidR="005F1390" w:rsidRDefault="00BC4226"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w:t>
      </w:r>
      <w:r w:rsidR="005F1390">
        <w:t xml:space="preserve">he game has given us the fundamental condition for a shift towards a delegated union. And it is fundamental because at this point there is neither sovereignty loss nor institutional cost because the fundamental </w:t>
      </w:r>
      <w:r>
        <w:t>conditions have</w:t>
      </w:r>
      <w:r w:rsidR="005F1390">
        <w:t xml:space="preserve"> been already reached and </w:t>
      </w:r>
      <w:r w:rsidR="005F1390" w:rsidRPr="00F64CD1">
        <w:rPr>
          <w:i/>
        </w:rPr>
        <w:t>there is no defined final horizon for the situation</w:t>
      </w:r>
      <w:r w:rsidR="005F1390">
        <w:t>. National governments, this is, voters will only give up decision-making power and break up ‘national interest’ if and only if there is no other choice to solve the situ</w:t>
      </w:r>
      <w:r w:rsidR="005F1390">
        <w:t>a</w:t>
      </w:r>
      <w:r w:rsidR="005F1390">
        <w:t>tion provoked by the shock but pushing to its limit the inter-governmental framework. The consequence will be a different organizational arrangement that consolidate the avoidance of moral hazard problems: a vertical union.</w:t>
      </w:r>
    </w:p>
    <w:p w14:paraId="38B5E99A" w14:textId="77777777" w:rsidR="005F1390" w:rsidRDefault="005F1390"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‘there is no other choice’ and ‘we are on the verge’ situation is equal in its essence to the one lived before and during the creation of the EMU, not in the specific mechanisms (a debt problem does not operate at all like a cu</w:t>
      </w:r>
      <w:r>
        <w:t>r</w:t>
      </w:r>
      <w:r>
        <w:t xml:space="preserve">rency problem) but in the fact that before a key policy area becomes part of a delegated scheme coming from inter-governmental bargaining conditions should be strong enough to make the change possible. </w:t>
      </w:r>
    </w:p>
    <w:p w14:paraId="1971B477" w14:textId="004615FD" w:rsidR="005F1390" w:rsidRDefault="005F1390"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What is witnessed is a process of ‘unlocking’ a fundamental institutional arrangement</w:t>
      </w:r>
      <w:r w:rsidR="00BC4226">
        <w:t>: a new critical juncture that is localized through historical analysis and unpacked using rational choice methodologies.</w:t>
      </w:r>
      <w:r>
        <w:t xml:space="preserve"> This institution defines the form of interaction between individuals conditioning coalitions of interests. These contracts empower certain grouped actors (national governments) for taking decisions in the name of those coalitions. It is through a dynamic of path dependency that this arrangement has become consolidated: specific crit</w:t>
      </w:r>
      <w:r>
        <w:t>i</w:t>
      </w:r>
      <w:r>
        <w:t xml:space="preserve">cal junctures may be identified. But, paradoxically, in its own design is also the destiny to destruction when needed for the basic actors. Here, the effect of path dependency has been nothing but consolidating the rational, utility-maximizing behaviour of these actors </w:t>
      </w:r>
      <w:r w:rsidRPr="008A2C42">
        <w:rPr>
          <w:i/>
        </w:rPr>
        <w:t>within a specific framework</w:t>
      </w:r>
      <w:r>
        <w:t>. The institutional costs for changing has been set so high that it only happens when it is (pe</w:t>
      </w:r>
      <w:r>
        <w:t>r</w:t>
      </w:r>
      <w:r>
        <w:t>ceived as) absolutely necessary for the actors and the loss of decision capacity (national sovereignty), the disempowerment, is already a reality. Not before, nor after.</w:t>
      </w:r>
    </w:p>
    <w:p w14:paraId="315342BC" w14:textId="5E1F2CCE" w:rsidR="00C909CF" w:rsidRDefault="00090AFE"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6"/>
        <w:jc w:val="both"/>
      </w:pPr>
      <w:r w:rsidRPr="00090AFE">
        <w:t>The answer to my initial question, ‘why this union?</w:t>
      </w:r>
      <w:proofErr w:type="gramStart"/>
      <w:r w:rsidR="0056696C" w:rsidRPr="00090AFE">
        <w:t>’</w:t>
      </w:r>
      <w:r w:rsidR="0056696C">
        <w:t>,</w:t>
      </w:r>
      <w:proofErr w:type="gramEnd"/>
      <w:r w:rsidRPr="00090AFE">
        <w:t xml:space="preserve"> appears to be double. In the short term, ‘this union’ is a deeper inter-government organization with high moral hazard problems that are apparently solved on the go. The reason is that the existing organizational scheme keeps the union as it is. When a shock comes, it puts the incentives in the side of collaborating for the strong region, and of ‘cheating’ after the agreement for the weak one. But this ‘collaborating’ and ‘cheating’ are not absolute categories, but evolving (endogenous) variables subject to players’ expectations.</w:t>
      </w:r>
    </w:p>
    <w:p w14:paraId="257140E3" w14:textId="64D3CE5D" w:rsidR="00090AFE" w:rsidRDefault="00090AFE"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Once the scope is opened, this moment ‘deepening inter-government’ r</w:t>
      </w:r>
      <w:r>
        <w:t>e</w:t>
      </w:r>
      <w:r>
        <w:t xml:space="preserve">veals itself as a mere part of a bigger, longer process created by the initial shock that has put Europe on the road to a centralized political union. This union will be achieved only when actors realize, through trial-and-error (this is, bailout after bailout, debt pooling action after debt pooling action), that this inter-government integration yields to no resolution of the fundamental problem. </w:t>
      </w:r>
      <w:r w:rsidR="00A76D9F">
        <w:lastRenderedPageBreak/>
        <w:t xml:space="preserve">The impossibility of witnessing an end for the crisis </w:t>
      </w:r>
      <w:r w:rsidR="002F7667">
        <w:t>is provoked by the pe</w:t>
      </w:r>
      <w:r w:rsidR="002F7667">
        <w:t>r</w:t>
      </w:r>
      <w:r w:rsidR="002F7667">
        <w:t xml:space="preserve">verse dynamics between conditionality and fulfilment, trapping weak regions between the necessity to follow the conditions and to select between them those that are more convenient in the short term. This </w:t>
      </w:r>
      <w:r w:rsidR="00A76D9F">
        <w:t>erodes expectations of get</w:t>
      </w:r>
      <w:r w:rsidR="002F7667">
        <w:t>ting it solved without a full commitment in the long-term. Such commi</w:t>
      </w:r>
      <w:r w:rsidR="002F7667">
        <w:t>t</w:t>
      </w:r>
      <w:r w:rsidR="002F7667">
        <w:t xml:space="preserve">ment transforms into delegation when </w:t>
      </w:r>
      <w:r w:rsidR="000A0C2C">
        <w:t xml:space="preserve">there is no sovereignty left to lose and, at the same time, transaction costs of every inter-government </w:t>
      </w:r>
      <w:proofErr w:type="gramStart"/>
      <w:r w:rsidR="000A0C2C">
        <w:t>decisions</w:t>
      </w:r>
      <w:proofErr w:type="gramEnd"/>
      <w:r w:rsidR="000A0C2C">
        <w:t xml:space="preserve"> are clearly higher than those of creating a new organizational arrangement. </w:t>
      </w:r>
    </w:p>
    <w:p w14:paraId="33E4AABF" w14:textId="56E32690" w:rsidR="00B72DA9" w:rsidRDefault="00044E1E"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6"/>
        <w:jc w:val="both"/>
      </w:pPr>
      <w:r>
        <w:t>But</w:t>
      </w:r>
      <w:r w:rsidR="00B72DA9">
        <w:t xml:space="preserve"> if we open the scope even more, </w:t>
      </w:r>
      <w:r w:rsidR="00207076">
        <w:t>we see that this situation may only be explained if the duality is identified in the root of the EU: this duality is what will make transaction costs affordable for nation-states, as organizations a</w:t>
      </w:r>
      <w:r w:rsidR="00207076">
        <w:t>l</w:t>
      </w:r>
      <w:r w:rsidR="00207076">
        <w:t>ready exist and do in fact hold policy capacity. This duality is better understood through a path dependency analysis. Through specific critical junctures, these organizations arise and become competent and competing with the inter-governmental ones.</w:t>
      </w:r>
      <w:r w:rsidR="00B72DA9">
        <w:t xml:space="preserve"> </w:t>
      </w:r>
    </w:p>
    <w:p w14:paraId="31288B1C" w14:textId="0E073502" w:rsidR="00090AFE" w:rsidRDefault="00835DE1"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6"/>
        <w:jc w:val="both"/>
      </w:pPr>
      <w:r>
        <w:t xml:space="preserve">Actually, </w:t>
      </w:r>
      <w:r w:rsidR="00AF0571">
        <w:t xml:space="preserve">I believe that </w:t>
      </w:r>
      <w:r>
        <w:t xml:space="preserve">a similar </w:t>
      </w:r>
      <w:r w:rsidR="00AF0571">
        <w:t xml:space="preserve">process may be applied to any case of half-made polity that, being based on </w:t>
      </w:r>
      <w:proofErr w:type="gramStart"/>
      <w:r w:rsidR="00AF0571">
        <w:t>a</w:t>
      </w:r>
      <w:proofErr w:type="gramEnd"/>
      <w:r w:rsidR="00AF0571">
        <w:t xml:space="preserve"> inter-government scheme, sees itself under a debt shock.</w:t>
      </w:r>
      <w:r>
        <w:t xml:space="preserve"> </w:t>
      </w:r>
      <w:r w:rsidR="00AF0571">
        <w:t>Including</w:t>
      </w:r>
      <w:r>
        <w:t xml:space="preserve"> institutional analysis before and after the game and</w:t>
      </w:r>
      <w:r w:rsidR="00AF0571">
        <w:t xml:space="preserve"> having</w:t>
      </w:r>
      <w:r>
        <w:t xml:space="preserve"> historical critical junctures identi</w:t>
      </w:r>
      <w:r w:rsidR="00AF0571">
        <w:t xml:space="preserve">fied makes of it a </w:t>
      </w:r>
      <w:r>
        <w:t>power</w:t>
      </w:r>
      <w:r w:rsidR="00892990">
        <w:t>ful tool. This combination may form a</w:t>
      </w:r>
      <w:r>
        <w:t xml:space="preserve"> </w:t>
      </w:r>
      <w:r w:rsidR="00AF0571">
        <w:t>deeply</w:t>
      </w:r>
      <w:r>
        <w:t xml:space="preserve"> comparativist </w:t>
      </w:r>
      <w:r w:rsidR="00AF0571">
        <w:t xml:space="preserve">perspective, </w:t>
      </w:r>
      <w:r>
        <w:t>but still co</w:t>
      </w:r>
      <w:r>
        <w:t>n</w:t>
      </w:r>
      <w:r>
        <w:t>text-aware</w:t>
      </w:r>
      <w:r w:rsidR="00AF0571">
        <w:t>, focused on</w:t>
      </w:r>
      <w:r>
        <w:t xml:space="preserve"> federal </w:t>
      </w:r>
      <w:r w:rsidR="00AF0571">
        <w:t>issues</w:t>
      </w:r>
      <w:r>
        <w:t xml:space="preserve"> for the 21</w:t>
      </w:r>
      <w:r w:rsidRPr="00835DE1">
        <w:rPr>
          <w:vertAlign w:val="superscript"/>
        </w:rPr>
        <w:t>st</w:t>
      </w:r>
      <w:r>
        <w:t xml:space="preserve"> Centu</w:t>
      </w:r>
      <w:r w:rsidR="00AF0571">
        <w:t>ry. The following hu</w:t>
      </w:r>
      <w:r w:rsidR="00AF0571">
        <w:t>n</w:t>
      </w:r>
      <w:r w:rsidR="00AF0571">
        <w:t xml:space="preserve">dred years </w:t>
      </w:r>
      <w:r>
        <w:t xml:space="preserve">will be the </w:t>
      </w:r>
      <w:r w:rsidR="00AF0571">
        <w:t>era</w:t>
      </w:r>
      <w:r>
        <w:t xml:space="preserve"> of questioning sovereignty and the nation-state</w:t>
      </w:r>
      <w:r w:rsidR="00F3261C">
        <w:t xml:space="preserve"> at the normative level</w:t>
      </w:r>
      <w:r>
        <w:t xml:space="preserve">. </w:t>
      </w:r>
      <w:r w:rsidR="00F3261C">
        <w:t>From a positive point of view,</w:t>
      </w:r>
      <w:r>
        <w:t xml:space="preserve"> </w:t>
      </w:r>
      <w:r w:rsidR="00F3261C">
        <w:t>complete</w:t>
      </w:r>
      <w:r>
        <w:t xml:space="preserve"> toolboxes </w:t>
      </w:r>
      <w:r w:rsidR="00F3261C">
        <w:t xml:space="preserve">will be needed </w:t>
      </w:r>
      <w:r>
        <w:t>to understand the changes and challenges that are waiting for us in the coming future. Here is a (humble) proposition.</w:t>
      </w:r>
    </w:p>
    <w:p w14:paraId="0ACF7B91" w14:textId="77777777" w:rsidR="00835DE1" w:rsidRDefault="00835DE1"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p>
    <w:p w14:paraId="0322528A" w14:textId="77777777" w:rsidR="005B2E54" w:rsidRDefault="005B2E54"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p>
    <w:p w14:paraId="56C52D55" w14:textId="77777777" w:rsidR="005B2E54" w:rsidRDefault="005B2E54"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p>
    <w:p w14:paraId="6568EE5F" w14:textId="77777777" w:rsidR="005B2E54" w:rsidRDefault="005B2E54" w:rsidP="00FE75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pPr>
    </w:p>
    <w:p w14:paraId="22FAA29C" w14:textId="77777777" w:rsidR="005B2E54" w:rsidRDefault="005B2E54" w:rsidP="005B2E54">
      <w:pPr>
        <w:pStyle w:val="Heading1NOTchapter"/>
      </w:pPr>
      <w:r>
        <w:br w:type="page"/>
      </w:r>
      <w:bookmarkStart w:id="81" w:name="_Toc266283475"/>
      <w:bookmarkStart w:id="82" w:name="_Toc318124206"/>
      <w:bookmarkStart w:id="83" w:name="_Toc208145632"/>
      <w:r>
        <w:lastRenderedPageBreak/>
        <w:t>References</w:t>
      </w:r>
      <w:bookmarkEnd w:id="81"/>
      <w:bookmarkEnd w:id="82"/>
      <w:bookmarkEnd w:id="83"/>
    </w:p>
    <w:p w14:paraId="52CB4B26" w14:textId="04FF7D16" w:rsidR="00095E63" w:rsidRPr="00262268" w:rsidRDefault="00095E63" w:rsidP="00EC20CB">
      <w:pPr>
        <w:ind w:left="426" w:hanging="426"/>
        <w:rPr>
          <w:sz w:val="23"/>
          <w:szCs w:val="23"/>
        </w:rPr>
      </w:pPr>
      <w:proofErr w:type="gramStart"/>
      <w:r>
        <w:rPr>
          <w:sz w:val="23"/>
          <w:szCs w:val="23"/>
        </w:rPr>
        <w:t>Abellán, L.</w:t>
      </w:r>
      <w:r w:rsidRPr="00262268">
        <w:rPr>
          <w:sz w:val="23"/>
          <w:szCs w:val="23"/>
        </w:rPr>
        <w:t xml:space="preserve"> </w:t>
      </w:r>
      <w:r w:rsidR="00C37E53">
        <w:rPr>
          <w:sz w:val="23"/>
          <w:szCs w:val="23"/>
        </w:rPr>
        <w:t>(</w:t>
      </w:r>
      <w:r w:rsidRPr="00262268">
        <w:rPr>
          <w:sz w:val="23"/>
          <w:szCs w:val="23"/>
        </w:rPr>
        <w:t>2010</w:t>
      </w:r>
      <w:r w:rsidR="00C37E53">
        <w:rPr>
          <w:sz w:val="23"/>
          <w:szCs w:val="23"/>
        </w:rPr>
        <w:t>)</w:t>
      </w:r>
      <w:r w:rsidRPr="00262268">
        <w:rPr>
          <w:sz w:val="23"/>
          <w:szCs w:val="23"/>
        </w:rPr>
        <w:t xml:space="preserve"> ‘</w:t>
      </w:r>
      <w:r w:rsidRPr="00AF40AF">
        <w:rPr>
          <w:sz w:val="23"/>
          <w:szCs w:val="23"/>
        </w:rPr>
        <w:t>El Gobierno plantea revisar las subidas</w:t>
      </w:r>
      <w:r>
        <w:rPr>
          <w:sz w:val="23"/>
          <w:szCs w:val="23"/>
        </w:rPr>
        <w:t xml:space="preserve"> salariales de los fu</w:t>
      </w:r>
      <w:r>
        <w:rPr>
          <w:sz w:val="23"/>
          <w:szCs w:val="23"/>
        </w:rPr>
        <w:t>n</w:t>
      </w:r>
      <w:r>
        <w:rPr>
          <w:sz w:val="23"/>
          <w:szCs w:val="23"/>
        </w:rPr>
        <w:t>cionarios’ 25</w:t>
      </w:r>
      <w:r w:rsidRPr="00262268">
        <w:rPr>
          <w:sz w:val="23"/>
          <w:szCs w:val="23"/>
        </w:rPr>
        <w:t xml:space="preserve"> February.</w:t>
      </w:r>
      <w:proofErr w:type="gramEnd"/>
      <w:r w:rsidRPr="00262268">
        <w:rPr>
          <w:sz w:val="23"/>
          <w:szCs w:val="23"/>
        </w:rPr>
        <w:t xml:space="preserve"> </w:t>
      </w:r>
      <w:r>
        <w:rPr>
          <w:sz w:val="23"/>
          <w:szCs w:val="23"/>
        </w:rPr>
        <w:t xml:space="preserve">Available at: </w:t>
      </w:r>
      <w:hyperlink r:id="rId227" w:history="1">
        <w:r w:rsidRPr="007966A2">
          <w:rPr>
            <w:rStyle w:val="Hyperlink"/>
            <w:sz w:val="23"/>
            <w:szCs w:val="23"/>
          </w:rPr>
          <w:t>http://elpais.com/diario/2010/02/25/economia/1267052401_850215.html</w:t>
        </w:r>
      </w:hyperlink>
      <w:r>
        <w:rPr>
          <w:sz w:val="23"/>
          <w:szCs w:val="23"/>
        </w:rPr>
        <w:t xml:space="preserve"> </w:t>
      </w:r>
      <w:r w:rsidRPr="00262268">
        <w:rPr>
          <w:sz w:val="23"/>
          <w:szCs w:val="23"/>
        </w:rPr>
        <w:t xml:space="preserve">[Accessed 17 March 2012]. </w:t>
      </w:r>
    </w:p>
    <w:p w14:paraId="53A26026" w14:textId="0C2739E0" w:rsidR="005C1CFC" w:rsidRDefault="00C37E53"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Pr>
          <w:sz w:val="23"/>
          <w:szCs w:val="23"/>
        </w:rPr>
        <w:t>Acemoglu, D. (2006) ‘</w:t>
      </w:r>
      <w:r w:rsidRPr="008353A5">
        <w:rPr>
          <w:sz w:val="23"/>
          <w:szCs w:val="23"/>
        </w:rPr>
        <w:t>Mode</w:t>
      </w:r>
      <w:r>
        <w:rPr>
          <w:sz w:val="23"/>
          <w:szCs w:val="23"/>
        </w:rPr>
        <w:t>lling Inefficient Institutions’</w:t>
      </w:r>
      <w:r w:rsidRPr="008353A5">
        <w:rPr>
          <w:sz w:val="23"/>
          <w:szCs w:val="23"/>
        </w:rPr>
        <w:t xml:space="preserve"> </w:t>
      </w:r>
      <w:r w:rsidRPr="00C37E53">
        <w:rPr>
          <w:i/>
          <w:sz w:val="23"/>
          <w:szCs w:val="23"/>
        </w:rPr>
        <w:t>NBER Working Papers</w:t>
      </w:r>
      <w:r w:rsidRPr="008353A5">
        <w:rPr>
          <w:sz w:val="23"/>
          <w:szCs w:val="23"/>
        </w:rPr>
        <w:t xml:space="preserve"> 11940, National Bureau of Economic Research, Inc.</w:t>
      </w:r>
      <w:proofErr w:type="gramEnd"/>
    </w:p>
    <w:p w14:paraId="18B61338" w14:textId="12587A2E" w:rsidR="00E907D4" w:rsidRPr="00E907D4" w:rsidRDefault="00E907D4" w:rsidP="00EC20CB">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Alesina, A. (2010) ‘</w:t>
      </w:r>
      <w:r w:rsidRPr="008353A5">
        <w:rPr>
          <w:rFonts w:eastAsiaTheme="minorEastAsia" w:cs="Helvetica"/>
          <w:sz w:val="23"/>
          <w:szCs w:val="23"/>
        </w:rPr>
        <w:t>Fiscal adjustmen</w:t>
      </w:r>
      <w:r>
        <w:rPr>
          <w:rFonts w:eastAsiaTheme="minorEastAsia" w:cs="Helvetica"/>
          <w:sz w:val="23"/>
          <w:szCs w:val="23"/>
        </w:rPr>
        <w:t>ts: lessons from recent history’</w:t>
      </w:r>
      <w:r w:rsidRPr="008353A5">
        <w:rPr>
          <w:rFonts w:eastAsiaTheme="minorEastAsia" w:cs="Helvetica"/>
          <w:sz w:val="23"/>
          <w:szCs w:val="23"/>
        </w:rPr>
        <w:t xml:space="preserve">. </w:t>
      </w:r>
      <w:r w:rsidRPr="005C1CFC">
        <w:rPr>
          <w:rFonts w:eastAsiaTheme="minorEastAsia" w:cs="Helvetica"/>
          <w:i/>
          <w:sz w:val="23"/>
          <w:szCs w:val="23"/>
        </w:rPr>
        <w:t>Prepared for the Ecofin meeting in Madrid</w:t>
      </w:r>
      <w:r>
        <w:rPr>
          <w:rFonts w:eastAsiaTheme="minorEastAsia" w:cs="Helvetica"/>
          <w:i/>
          <w:sz w:val="23"/>
          <w:szCs w:val="23"/>
        </w:rPr>
        <w:t>:</w:t>
      </w:r>
      <w:r w:rsidRPr="005C1CFC">
        <w:rPr>
          <w:rFonts w:eastAsiaTheme="minorEastAsia" w:cs="Helvetica"/>
          <w:i/>
          <w:sz w:val="23"/>
          <w:szCs w:val="23"/>
        </w:rPr>
        <w:t xml:space="preserve"> </w:t>
      </w:r>
      <w:r w:rsidRPr="00C0310F">
        <w:rPr>
          <w:rFonts w:eastAsiaTheme="minorEastAsia" w:cs="Helvetica"/>
          <w:sz w:val="23"/>
          <w:szCs w:val="23"/>
        </w:rPr>
        <w:t>April 15 2010</w:t>
      </w:r>
      <w:r w:rsidRPr="008353A5">
        <w:rPr>
          <w:rFonts w:eastAsiaTheme="minorEastAsia" w:cs="Helvetica"/>
          <w:sz w:val="23"/>
          <w:szCs w:val="23"/>
        </w:rPr>
        <w:t>.</w:t>
      </w:r>
    </w:p>
    <w:p w14:paraId="10D77902" w14:textId="737B649A" w:rsidR="005C1CFC" w:rsidRDefault="005C1CFC"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Alesina, A. and Tabellini, G. (1990): ‘</w:t>
      </w:r>
      <w:r w:rsidRPr="008353A5">
        <w:rPr>
          <w:sz w:val="23"/>
          <w:szCs w:val="23"/>
        </w:rPr>
        <w:t>Voting on the Budget</w:t>
      </w:r>
      <w:r>
        <w:rPr>
          <w:sz w:val="23"/>
          <w:szCs w:val="23"/>
        </w:rPr>
        <w:t xml:space="preserve"> Deficit’</w:t>
      </w:r>
      <w:r w:rsidRPr="008353A5">
        <w:rPr>
          <w:sz w:val="23"/>
          <w:szCs w:val="23"/>
        </w:rPr>
        <w:t xml:space="preserve"> </w:t>
      </w:r>
      <w:r w:rsidRPr="00A61444">
        <w:rPr>
          <w:i/>
          <w:sz w:val="23"/>
          <w:szCs w:val="23"/>
        </w:rPr>
        <w:t>The American Economic Review</w:t>
      </w:r>
      <w:r>
        <w:rPr>
          <w:i/>
          <w:sz w:val="23"/>
          <w:szCs w:val="23"/>
        </w:rPr>
        <w:t>,</w:t>
      </w:r>
      <w:r w:rsidRPr="008353A5">
        <w:rPr>
          <w:sz w:val="23"/>
          <w:szCs w:val="23"/>
        </w:rPr>
        <w:t xml:space="preserve"> Vol. 80, No. 1 (Mar., 1990), pp. 37-49</w:t>
      </w:r>
    </w:p>
    <w:p w14:paraId="35EF4438" w14:textId="3718F601" w:rsidR="005C1CFC" w:rsidRPr="008353A5" w:rsidRDefault="009B07FA"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Pr>
          <w:sz w:val="23"/>
          <w:szCs w:val="23"/>
        </w:rPr>
        <w:t>Alesina, A.;</w:t>
      </w:r>
      <w:r w:rsidR="00DD5D00" w:rsidRPr="008353A5">
        <w:rPr>
          <w:sz w:val="23"/>
          <w:szCs w:val="23"/>
        </w:rPr>
        <w:t xml:space="preserve"> M De Broeck, A</w:t>
      </w:r>
      <w:r>
        <w:rPr>
          <w:sz w:val="23"/>
          <w:szCs w:val="23"/>
        </w:rPr>
        <w:t xml:space="preserve">.; Prati, G.; </w:t>
      </w:r>
      <w:r w:rsidR="00DD5D00">
        <w:rPr>
          <w:sz w:val="23"/>
          <w:szCs w:val="23"/>
        </w:rPr>
        <w:t>Tabellini</w:t>
      </w:r>
      <w:r>
        <w:rPr>
          <w:sz w:val="23"/>
          <w:szCs w:val="23"/>
        </w:rPr>
        <w:t>, G.;</w:t>
      </w:r>
      <w:r w:rsidR="00DD5D00">
        <w:rPr>
          <w:sz w:val="23"/>
          <w:szCs w:val="23"/>
        </w:rPr>
        <w:t xml:space="preserve"> and Obstfeld</w:t>
      </w:r>
      <w:r>
        <w:rPr>
          <w:sz w:val="23"/>
          <w:szCs w:val="23"/>
        </w:rPr>
        <w:t>, M.</w:t>
      </w:r>
      <w:r w:rsidR="00DD5D00">
        <w:rPr>
          <w:sz w:val="23"/>
          <w:szCs w:val="23"/>
        </w:rPr>
        <w:t xml:space="preserve"> (1992)</w:t>
      </w:r>
      <w:r>
        <w:rPr>
          <w:sz w:val="23"/>
          <w:szCs w:val="23"/>
        </w:rPr>
        <w:t xml:space="preserve"> ‘</w:t>
      </w:r>
      <w:r w:rsidR="00DD5D00" w:rsidRPr="008353A5">
        <w:rPr>
          <w:sz w:val="23"/>
          <w:szCs w:val="23"/>
        </w:rPr>
        <w:t>Default risk on go</w:t>
      </w:r>
      <w:r>
        <w:rPr>
          <w:sz w:val="23"/>
          <w:szCs w:val="23"/>
        </w:rPr>
        <w:t>vernment debt in OECD countries’</w:t>
      </w:r>
      <w:r w:rsidR="00DD5D00" w:rsidRPr="008353A5">
        <w:rPr>
          <w:sz w:val="23"/>
          <w:szCs w:val="23"/>
        </w:rPr>
        <w:t xml:space="preserve">, </w:t>
      </w:r>
      <w:r w:rsidR="00DD5D00" w:rsidRPr="009B07FA">
        <w:rPr>
          <w:i/>
          <w:sz w:val="23"/>
          <w:szCs w:val="23"/>
        </w:rPr>
        <w:t>Economic Policy</w:t>
      </w:r>
      <w:r w:rsidR="00DD5D00" w:rsidRPr="008353A5">
        <w:rPr>
          <w:sz w:val="23"/>
          <w:szCs w:val="23"/>
        </w:rPr>
        <w:t>, 7.</w:t>
      </w:r>
      <w:proofErr w:type="gramEnd"/>
    </w:p>
    <w:p w14:paraId="4DBA93BD" w14:textId="1F8C72D6" w:rsidR="00C0310F" w:rsidRPr="005C1CFC" w:rsidRDefault="00C0310F" w:rsidP="00EC20CB">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Annett, A. (2005) ‘</w:t>
      </w:r>
      <w:r w:rsidRPr="008353A5">
        <w:rPr>
          <w:rFonts w:eastAsiaTheme="minorEastAsia" w:cs="Helvetica"/>
          <w:sz w:val="23"/>
          <w:szCs w:val="23"/>
        </w:rPr>
        <w:t xml:space="preserve">Enforcement and the Stability and Growth Pact: How Fiscal Policy Did and Didn’t Change </w:t>
      </w:r>
      <w:r>
        <w:rPr>
          <w:rFonts w:eastAsiaTheme="minorEastAsia" w:cs="Helvetica"/>
          <w:sz w:val="23"/>
          <w:szCs w:val="23"/>
        </w:rPr>
        <w:t>under Europe’s Fiscal Framework’</w:t>
      </w:r>
      <w:r w:rsidRPr="008353A5">
        <w:rPr>
          <w:rFonts w:eastAsiaTheme="minorEastAsia" w:cs="Helvetica"/>
          <w:sz w:val="23"/>
          <w:szCs w:val="23"/>
        </w:rPr>
        <w:t xml:space="preserve">. </w:t>
      </w:r>
      <w:r w:rsidRPr="00C0310F">
        <w:rPr>
          <w:rFonts w:eastAsiaTheme="minorEastAsia" w:cs="Helvetica"/>
          <w:i/>
          <w:sz w:val="23"/>
          <w:szCs w:val="23"/>
        </w:rPr>
        <w:t>International Monetary Fund, European Department</w:t>
      </w:r>
      <w:r w:rsidRPr="008353A5">
        <w:rPr>
          <w:rFonts w:eastAsiaTheme="minorEastAsia" w:cs="Helvetica"/>
          <w:sz w:val="23"/>
          <w:szCs w:val="23"/>
        </w:rPr>
        <w:t>: Paper prepared for Conference on “New Perspect</w:t>
      </w:r>
      <w:r>
        <w:rPr>
          <w:rFonts w:eastAsiaTheme="minorEastAsia" w:cs="Helvetica"/>
          <w:sz w:val="23"/>
          <w:szCs w:val="23"/>
        </w:rPr>
        <w:t xml:space="preserve">ives on Fiscal Sustainability”. </w:t>
      </w:r>
      <w:proofErr w:type="gramStart"/>
      <w:r w:rsidRPr="008353A5">
        <w:rPr>
          <w:rFonts w:eastAsiaTheme="minorEastAsia" w:cs="Helvetica"/>
          <w:sz w:val="23"/>
          <w:szCs w:val="23"/>
        </w:rPr>
        <w:t>Frankfurt, October 13-13, 2005.</w:t>
      </w:r>
      <w:proofErr w:type="gramEnd"/>
    </w:p>
    <w:p w14:paraId="44CAAB85" w14:textId="5C106835" w:rsidR="00DD5D00" w:rsidRDefault="00522E45"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Pr>
          <w:sz w:val="23"/>
          <w:szCs w:val="23"/>
        </w:rPr>
        <w:t>Arregui, J. (2007)</w:t>
      </w:r>
      <w:r w:rsidR="00B949D5">
        <w:rPr>
          <w:sz w:val="23"/>
          <w:szCs w:val="23"/>
        </w:rPr>
        <w:t xml:space="preserve"> ‘</w:t>
      </w:r>
      <w:r w:rsidR="00DD5D00" w:rsidRPr="008353A5">
        <w:rPr>
          <w:sz w:val="23"/>
          <w:szCs w:val="23"/>
        </w:rPr>
        <w:t>Modelos de negociación en el proceso legislativo de la Unión Eu</w:t>
      </w:r>
      <w:r w:rsidR="00A23F99">
        <w:rPr>
          <w:sz w:val="23"/>
          <w:szCs w:val="23"/>
        </w:rPr>
        <w:t>ropea’</w:t>
      </w:r>
      <w:r w:rsidR="00DD5D00" w:rsidRPr="008353A5">
        <w:rPr>
          <w:sz w:val="23"/>
          <w:szCs w:val="23"/>
        </w:rPr>
        <w:t xml:space="preserve"> </w:t>
      </w:r>
      <w:r w:rsidR="00DD5D00" w:rsidRPr="00A23F99">
        <w:rPr>
          <w:i/>
          <w:sz w:val="23"/>
          <w:szCs w:val="23"/>
        </w:rPr>
        <w:t>Revista Española de Ciencia Política</w:t>
      </w:r>
      <w:r w:rsidR="00AD3C18">
        <w:rPr>
          <w:sz w:val="23"/>
          <w:szCs w:val="23"/>
        </w:rPr>
        <w:t>.</w:t>
      </w:r>
      <w:proofErr w:type="gramEnd"/>
      <w:r w:rsidR="00AD3C18">
        <w:rPr>
          <w:sz w:val="23"/>
          <w:szCs w:val="23"/>
        </w:rPr>
        <w:t xml:space="preserve"> No</w:t>
      </w:r>
      <w:r w:rsidR="00DD5D00" w:rsidRPr="008353A5">
        <w:rPr>
          <w:sz w:val="23"/>
          <w:szCs w:val="23"/>
        </w:rPr>
        <w:t>. 17, Octubre 2007, pp. 83-111</w:t>
      </w:r>
    </w:p>
    <w:p w14:paraId="34C0A3F8" w14:textId="58EA64E3" w:rsidR="0074136D" w:rsidRDefault="00AD3C18"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Barrell, R.</w:t>
      </w:r>
      <w:proofErr w:type="gramStart"/>
      <w:r>
        <w:rPr>
          <w:sz w:val="23"/>
          <w:szCs w:val="23"/>
        </w:rPr>
        <w:t>;</w:t>
      </w:r>
      <w:proofErr w:type="gramEnd"/>
      <w:r w:rsidR="0074136D" w:rsidRPr="008353A5">
        <w:rPr>
          <w:sz w:val="23"/>
          <w:szCs w:val="23"/>
        </w:rPr>
        <w:t xml:space="preserve"> Hurst</w:t>
      </w:r>
      <w:r>
        <w:rPr>
          <w:sz w:val="23"/>
          <w:szCs w:val="23"/>
        </w:rPr>
        <w:t>, I. and</w:t>
      </w:r>
      <w:r w:rsidR="0074136D" w:rsidRPr="008353A5">
        <w:rPr>
          <w:sz w:val="23"/>
          <w:szCs w:val="23"/>
        </w:rPr>
        <w:t xml:space="preserve"> Kirby</w:t>
      </w:r>
      <w:r>
        <w:rPr>
          <w:sz w:val="23"/>
          <w:szCs w:val="23"/>
        </w:rPr>
        <w:t>, S. (2009): ‘</w:t>
      </w:r>
      <w:r w:rsidR="0074136D" w:rsidRPr="008353A5">
        <w:rPr>
          <w:sz w:val="23"/>
          <w:szCs w:val="23"/>
        </w:rPr>
        <w:t>How to pay for the crisis or macroec</w:t>
      </w:r>
      <w:r w:rsidR="0074136D" w:rsidRPr="008353A5">
        <w:rPr>
          <w:sz w:val="23"/>
          <w:szCs w:val="23"/>
        </w:rPr>
        <w:t>o</w:t>
      </w:r>
      <w:r w:rsidR="0074136D" w:rsidRPr="008353A5">
        <w:rPr>
          <w:sz w:val="23"/>
          <w:szCs w:val="23"/>
        </w:rPr>
        <w:t>nomic</w:t>
      </w:r>
      <w:r>
        <w:rPr>
          <w:sz w:val="23"/>
          <w:szCs w:val="23"/>
        </w:rPr>
        <w:t xml:space="preserve"> implications of pension reform’</w:t>
      </w:r>
      <w:r w:rsidR="00A122B4">
        <w:rPr>
          <w:sz w:val="23"/>
          <w:szCs w:val="23"/>
        </w:rPr>
        <w:t>.</w:t>
      </w:r>
      <w:r w:rsidR="0074136D" w:rsidRPr="008353A5">
        <w:rPr>
          <w:sz w:val="23"/>
          <w:szCs w:val="23"/>
        </w:rPr>
        <w:t xml:space="preserve"> </w:t>
      </w:r>
      <w:proofErr w:type="gramStart"/>
      <w:r w:rsidR="0074136D" w:rsidRPr="00AD3C18">
        <w:rPr>
          <w:i/>
          <w:sz w:val="23"/>
          <w:szCs w:val="23"/>
        </w:rPr>
        <w:t>National Institute of Economic and Social Research</w:t>
      </w:r>
      <w:r w:rsidR="0074136D" w:rsidRPr="008353A5">
        <w:rPr>
          <w:sz w:val="23"/>
          <w:szCs w:val="23"/>
        </w:rPr>
        <w:t>, no 333.</w:t>
      </w:r>
      <w:proofErr w:type="gramEnd"/>
    </w:p>
    <w:p w14:paraId="57D511A8" w14:textId="5F312118" w:rsidR="001D2480" w:rsidRPr="008353A5" w:rsidRDefault="00AF4A3C"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Buchanan, J. (1997)</w:t>
      </w:r>
      <w:r w:rsidR="004B1BAF">
        <w:rPr>
          <w:rFonts w:eastAsiaTheme="minorEastAsia" w:cs="Helvetica"/>
          <w:sz w:val="23"/>
          <w:szCs w:val="23"/>
        </w:rPr>
        <w:t xml:space="preserve"> ‘</w:t>
      </w:r>
      <w:r w:rsidR="001D2480" w:rsidRPr="008353A5">
        <w:rPr>
          <w:rFonts w:eastAsiaTheme="minorEastAsia" w:cs="Helvetica"/>
          <w:sz w:val="23"/>
          <w:szCs w:val="23"/>
        </w:rPr>
        <w:t>The Balanced Budget Amendment: Clarifying the Arg</w:t>
      </w:r>
      <w:r w:rsidR="001D2480" w:rsidRPr="008353A5">
        <w:rPr>
          <w:rFonts w:eastAsiaTheme="minorEastAsia" w:cs="Helvetica"/>
          <w:sz w:val="23"/>
          <w:szCs w:val="23"/>
        </w:rPr>
        <w:t>u</w:t>
      </w:r>
      <w:r w:rsidR="004B1BAF">
        <w:rPr>
          <w:rFonts w:eastAsiaTheme="minorEastAsia" w:cs="Helvetica"/>
          <w:sz w:val="23"/>
          <w:szCs w:val="23"/>
        </w:rPr>
        <w:t>ments’</w:t>
      </w:r>
      <w:r w:rsidR="001D2480" w:rsidRPr="008353A5">
        <w:rPr>
          <w:rFonts w:eastAsiaTheme="minorEastAsia" w:cs="Helvetica"/>
          <w:sz w:val="23"/>
          <w:szCs w:val="23"/>
        </w:rPr>
        <w:t xml:space="preserve">. </w:t>
      </w:r>
      <w:proofErr w:type="gramStart"/>
      <w:r w:rsidR="001D2480" w:rsidRPr="004B1BAF">
        <w:rPr>
          <w:rFonts w:eastAsiaTheme="minorEastAsia" w:cs="Helvetica"/>
          <w:i/>
          <w:sz w:val="23"/>
          <w:szCs w:val="23"/>
        </w:rPr>
        <w:t>Public Choice</w:t>
      </w:r>
      <w:r w:rsidR="001D2480" w:rsidRPr="008353A5">
        <w:rPr>
          <w:rFonts w:eastAsiaTheme="minorEastAsia" w:cs="Helvetica"/>
          <w:sz w:val="23"/>
          <w:szCs w:val="23"/>
        </w:rPr>
        <w:t>, Vol. 90, No. 1/4.</w:t>
      </w:r>
      <w:proofErr w:type="gramEnd"/>
    </w:p>
    <w:p w14:paraId="77CC047E" w14:textId="2670EEF1" w:rsidR="001D2480" w:rsidRPr="001D2480" w:rsidRDefault="004B1BAF" w:rsidP="00EC20CB">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Buchanan, J.</w:t>
      </w:r>
      <w:r w:rsidR="001D2480" w:rsidRPr="008353A5">
        <w:rPr>
          <w:rFonts w:eastAsiaTheme="minorEastAsia" w:cs="Helvetica"/>
          <w:sz w:val="23"/>
          <w:szCs w:val="23"/>
        </w:rPr>
        <w:t xml:space="preserve"> </w:t>
      </w:r>
      <w:r>
        <w:rPr>
          <w:rFonts w:eastAsiaTheme="minorEastAsia" w:cs="Helvetica"/>
          <w:sz w:val="23"/>
          <w:szCs w:val="23"/>
        </w:rPr>
        <w:t>(</w:t>
      </w:r>
      <w:r w:rsidR="001D2480" w:rsidRPr="008353A5">
        <w:rPr>
          <w:rFonts w:eastAsiaTheme="minorEastAsia" w:cs="Helvetica"/>
          <w:sz w:val="23"/>
          <w:szCs w:val="23"/>
        </w:rPr>
        <w:t>1958 [1999]</w:t>
      </w:r>
      <w:r w:rsidR="007E20FD">
        <w:rPr>
          <w:rFonts w:eastAsiaTheme="minorEastAsia" w:cs="Helvetica"/>
          <w:sz w:val="23"/>
          <w:szCs w:val="23"/>
        </w:rPr>
        <w:t>)</w:t>
      </w:r>
      <w:r>
        <w:rPr>
          <w:rFonts w:eastAsiaTheme="minorEastAsia" w:cs="Helvetica"/>
          <w:sz w:val="23"/>
          <w:szCs w:val="23"/>
        </w:rPr>
        <w:t xml:space="preserve"> ‘</w:t>
      </w:r>
      <w:r w:rsidR="001D2480" w:rsidRPr="008353A5">
        <w:rPr>
          <w:rFonts w:eastAsiaTheme="minorEastAsia" w:cs="Helvetica"/>
          <w:sz w:val="23"/>
          <w:szCs w:val="23"/>
        </w:rPr>
        <w:t>P</w:t>
      </w:r>
      <w:r>
        <w:rPr>
          <w:rFonts w:eastAsiaTheme="minorEastAsia" w:cs="Helvetica"/>
          <w:sz w:val="23"/>
          <w:szCs w:val="23"/>
        </w:rPr>
        <w:t>ublic Principles of Public Debt’</w:t>
      </w:r>
      <w:r w:rsidR="001D2480" w:rsidRPr="008353A5">
        <w:rPr>
          <w:rFonts w:eastAsiaTheme="minorEastAsia" w:cs="Helvetica"/>
          <w:sz w:val="23"/>
          <w:szCs w:val="23"/>
        </w:rPr>
        <w:t xml:space="preserve">. </w:t>
      </w:r>
      <w:proofErr w:type="gramStart"/>
      <w:r w:rsidR="001D2480" w:rsidRPr="008353A5">
        <w:rPr>
          <w:rFonts w:eastAsiaTheme="minorEastAsia" w:cs="Helvetica"/>
          <w:sz w:val="23"/>
          <w:szCs w:val="23"/>
        </w:rPr>
        <w:t xml:space="preserve">Vol. 2 of </w:t>
      </w:r>
      <w:r w:rsidR="001D2480" w:rsidRPr="004B1BAF">
        <w:rPr>
          <w:rFonts w:eastAsiaTheme="minorEastAsia" w:cs="Helvetica"/>
          <w:i/>
          <w:sz w:val="23"/>
          <w:szCs w:val="23"/>
        </w:rPr>
        <w:t>The Collec</w:t>
      </w:r>
      <w:r w:rsidR="001D2480" w:rsidRPr="004B1BAF">
        <w:rPr>
          <w:rFonts w:eastAsiaTheme="minorEastAsia" w:cs="Helvetica"/>
          <w:i/>
          <w:sz w:val="23"/>
          <w:szCs w:val="23"/>
        </w:rPr>
        <w:t>t</w:t>
      </w:r>
      <w:r w:rsidR="001D2480" w:rsidRPr="004B1BAF">
        <w:rPr>
          <w:rFonts w:eastAsiaTheme="minorEastAsia" w:cs="Helvetica"/>
          <w:i/>
          <w:sz w:val="23"/>
          <w:szCs w:val="23"/>
        </w:rPr>
        <w:t>ed Works of James M. Buchanan</w:t>
      </w:r>
      <w:r w:rsidR="00A003C7">
        <w:rPr>
          <w:rFonts w:eastAsiaTheme="minorEastAsia" w:cs="Helvetica"/>
          <w:sz w:val="23"/>
          <w:szCs w:val="23"/>
        </w:rPr>
        <w:t>.</w:t>
      </w:r>
      <w:proofErr w:type="gramEnd"/>
      <w:r w:rsidR="00A003C7">
        <w:rPr>
          <w:rFonts w:eastAsiaTheme="minorEastAsia" w:cs="Helvetica"/>
          <w:sz w:val="23"/>
          <w:szCs w:val="23"/>
        </w:rPr>
        <w:t xml:space="preserve"> Indianapolis</w:t>
      </w:r>
      <w:r w:rsidR="001D2480" w:rsidRPr="008353A5">
        <w:rPr>
          <w:rFonts w:eastAsiaTheme="minorEastAsia" w:cs="Helvetica"/>
          <w:sz w:val="23"/>
          <w:szCs w:val="23"/>
        </w:rPr>
        <w:t xml:space="preserve">: Liberty Fund. </w:t>
      </w:r>
    </w:p>
    <w:p w14:paraId="5FF617E5" w14:textId="4486C6B2" w:rsidR="008628A5" w:rsidRDefault="00AF4A3C"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Bulmer, S.J. (1993)</w:t>
      </w:r>
      <w:r w:rsidR="0074136D" w:rsidRPr="008353A5">
        <w:rPr>
          <w:sz w:val="23"/>
          <w:szCs w:val="23"/>
        </w:rPr>
        <w:t xml:space="preserve"> </w:t>
      </w:r>
      <w:r w:rsidR="00157388">
        <w:rPr>
          <w:sz w:val="23"/>
          <w:szCs w:val="23"/>
        </w:rPr>
        <w:t>‘</w:t>
      </w:r>
      <w:r w:rsidR="0074136D" w:rsidRPr="008353A5">
        <w:rPr>
          <w:sz w:val="23"/>
          <w:szCs w:val="23"/>
        </w:rPr>
        <w:t>The Governance of the European Union: A New Institutio</w:t>
      </w:r>
      <w:r w:rsidR="0074136D" w:rsidRPr="008353A5">
        <w:rPr>
          <w:sz w:val="23"/>
          <w:szCs w:val="23"/>
        </w:rPr>
        <w:t>n</w:t>
      </w:r>
      <w:r w:rsidR="0074136D" w:rsidRPr="008353A5">
        <w:rPr>
          <w:sz w:val="23"/>
          <w:szCs w:val="23"/>
        </w:rPr>
        <w:t>alist Approach</w:t>
      </w:r>
      <w:r w:rsidR="00157388">
        <w:rPr>
          <w:sz w:val="23"/>
          <w:szCs w:val="23"/>
        </w:rPr>
        <w:t>’</w:t>
      </w:r>
      <w:r w:rsidR="0074136D" w:rsidRPr="008353A5">
        <w:rPr>
          <w:sz w:val="23"/>
          <w:szCs w:val="23"/>
        </w:rPr>
        <w:t xml:space="preserve">. </w:t>
      </w:r>
      <w:r w:rsidR="0074136D" w:rsidRPr="00157388">
        <w:rPr>
          <w:i/>
          <w:sz w:val="23"/>
          <w:szCs w:val="23"/>
        </w:rPr>
        <w:t>Journal of Public Policy</w:t>
      </w:r>
      <w:r w:rsidR="0074136D" w:rsidRPr="008353A5">
        <w:rPr>
          <w:sz w:val="23"/>
          <w:szCs w:val="23"/>
        </w:rPr>
        <w:t>, Vol. 13, No. 4 (Oct. - Dec., 1993), pp. 351-380</w:t>
      </w:r>
    </w:p>
    <w:p w14:paraId="1DDCA05D" w14:textId="667E4FA2" w:rsidR="0074136D" w:rsidRPr="008353A5" w:rsidRDefault="0074136D"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Bulow, </w:t>
      </w:r>
      <w:r w:rsidR="00157388">
        <w:rPr>
          <w:sz w:val="23"/>
          <w:szCs w:val="23"/>
        </w:rPr>
        <w:t>J. and</w:t>
      </w:r>
      <w:r w:rsidRPr="008353A5">
        <w:rPr>
          <w:sz w:val="23"/>
          <w:szCs w:val="23"/>
        </w:rPr>
        <w:t xml:space="preserve"> Rogoff, </w:t>
      </w:r>
      <w:r w:rsidR="00157388">
        <w:rPr>
          <w:sz w:val="23"/>
          <w:szCs w:val="23"/>
        </w:rPr>
        <w:t>K.</w:t>
      </w:r>
      <w:r w:rsidRPr="008353A5">
        <w:rPr>
          <w:sz w:val="23"/>
          <w:szCs w:val="23"/>
        </w:rPr>
        <w:t xml:space="preserve"> </w:t>
      </w:r>
      <w:r w:rsidR="00D10CFD">
        <w:rPr>
          <w:sz w:val="23"/>
          <w:szCs w:val="23"/>
        </w:rPr>
        <w:t>(1989)</w:t>
      </w:r>
      <w:r w:rsidR="00157388">
        <w:rPr>
          <w:sz w:val="23"/>
          <w:szCs w:val="23"/>
        </w:rPr>
        <w:t xml:space="preserve"> ‘</w:t>
      </w:r>
      <w:r w:rsidRPr="008353A5">
        <w:rPr>
          <w:sz w:val="23"/>
          <w:szCs w:val="23"/>
        </w:rPr>
        <w:t>Sovereign Debt Repurchases: No Cure for Ove</w:t>
      </w:r>
      <w:r w:rsidRPr="008353A5">
        <w:rPr>
          <w:sz w:val="23"/>
          <w:szCs w:val="23"/>
        </w:rPr>
        <w:t>r</w:t>
      </w:r>
      <w:r w:rsidR="00157388">
        <w:rPr>
          <w:sz w:val="23"/>
          <w:szCs w:val="23"/>
        </w:rPr>
        <w:t>hang’.</w:t>
      </w:r>
      <w:r w:rsidRPr="008353A5">
        <w:rPr>
          <w:sz w:val="23"/>
          <w:szCs w:val="23"/>
        </w:rPr>
        <w:t xml:space="preserve"> </w:t>
      </w:r>
      <w:r w:rsidRPr="00157388">
        <w:rPr>
          <w:i/>
          <w:sz w:val="23"/>
          <w:szCs w:val="23"/>
        </w:rPr>
        <w:t>NBER Working Papers</w:t>
      </w:r>
      <w:r w:rsidRPr="008353A5">
        <w:rPr>
          <w:sz w:val="23"/>
          <w:szCs w:val="23"/>
        </w:rPr>
        <w:t xml:space="preserve"> </w:t>
      </w:r>
      <w:r w:rsidR="00157388">
        <w:rPr>
          <w:sz w:val="23"/>
          <w:szCs w:val="23"/>
        </w:rPr>
        <w:t xml:space="preserve">No. </w:t>
      </w:r>
      <w:r w:rsidRPr="008353A5">
        <w:rPr>
          <w:sz w:val="23"/>
          <w:szCs w:val="23"/>
        </w:rPr>
        <w:t>2850, National Bureau of Economic</w:t>
      </w:r>
    </w:p>
    <w:p w14:paraId="4780BD0B" w14:textId="6F0A78B7" w:rsidR="001D2480" w:rsidRPr="008353A5" w:rsidRDefault="001D2480"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sidRPr="008353A5">
        <w:rPr>
          <w:rFonts w:eastAsiaTheme="minorEastAsia" w:cs="Helvetica"/>
          <w:sz w:val="23"/>
          <w:szCs w:val="23"/>
        </w:rPr>
        <w:t>Bu</w:t>
      </w:r>
      <w:r w:rsidR="008628A5">
        <w:rPr>
          <w:rFonts w:eastAsiaTheme="minorEastAsia" w:cs="Helvetica"/>
          <w:sz w:val="23"/>
          <w:szCs w:val="23"/>
        </w:rPr>
        <w:t>ti, M.; F</w:t>
      </w:r>
      <w:r w:rsidR="00D10CFD">
        <w:rPr>
          <w:rFonts w:eastAsiaTheme="minorEastAsia" w:cs="Helvetica"/>
          <w:sz w:val="23"/>
          <w:szCs w:val="23"/>
        </w:rPr>
        <w:t>ranco, D. and Ongena, H. (2003)</w:t>
      </w:r>
      <w:r w:rsidR="008628A5">
        <w:rPr>
          <w:rFonts w:eastAsiaTheme="minorEastAsia" w:cs="Helvetica"/>
          <w:sz w:val="23"/>
          <w:szCs w:val="23"/>
        </w:rPr>
        <w:t xml:space="preserve"> ‘</w:t>
      </w:r>
      <w:r w:rsidRPr="008353A5">
        <w:rPr>
          <w:rFonts w:eastAsiaTheme="minorEastAsia" w:cs="Helvetica"/>
          <w:sz w:val="23"/>
          <w:szCs w:val="23"/>
        </w:rPr>
        <w:t>Fiscal Discipline and Flexibility in EMU: The Implementation o</w:t>
      </w:r>
      <w:r w:rsidR="008628A5">
        <w:rPr>
          <w:rFonts w:eastAsiaTheme="minorEastAsia" w:cs="Helvetica"/>
          <w:sz w:val="23"/>
          <w:szCs w:val="23"/>
        </w:rPr>
        <w:t>f the Stability and Growth Pact’</w:t>
      </w:r>
      <w:r w:rsidRPr="008353A5">
        <w:rPr>
          <w:rFonts w:eastAsiaTheme="minorEastAsia" w:cs="Helvetica"/>
          <w:sz w:val="23"/>
          <w:szCs w:val="23"/>
        </w:rPr>
        <w:t xml:space="preserve">. </w:t>
      </w:r>
      <w:proofErr w:type="gramStart"/>
      <w:r w:rsidRPr="008628A5">
        <w:rPr>
          <w:rFonts w:eastAsiaTheme="minorEastAsia" w:cs="Helvetica"/>
          <w:i/>
          <w:sz w:val="23"/>
          <w:szCs w:val="23"/>
        </w:rPr>
        <w:t>Oxford Review of Economic Policy</w:t>
      </w:r>
      <w:r w:rsidRPr="008353A5">
        <w:rPr>
          <w:rFonts w:eastAsiaTheme="minorEastAsia" w:cs="Helvetica"/>
          <w:sz w:val="23"/>
          <w:szCs w:val="23"/>
        </w:rPr>
        <w:t>, Vol. 14, no. 3.</w:t>
      </w:r>
      <w:proofErr w:type="gramEnd"/>
    </w:p>
    <w:p w14:paraId="48B4ADBE" w14:textId="5B83A135" w:rsidR="001D2480" w:rsidRDefault="008628A5"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Buti, M. (2006): ‘</w:t>
      </w:r>
      <w:r w:rsidR="001D2480" w:rsidRPr="008353A5">
        <w:rPr>
          <w:rFonts w:eastAsiaTheme="minorEastAsia" w:cs="Helvetica"/>
          <w:sz w:val="23"/>
          <w:szCs w:val="23"/>
        </w:rPr>
        <w:t xml:space="preserve">Will the New Stability and Growth Pact Succeed? </w:t>
      </w:r>
      <w:proofErr w:type="gramStart"/>
      <w:r w:rsidR="001D2480" w:rsidRPr="008353A5">
        <w:rPr>
          <w:rFonts w:eastAsiaTheme="minorEastAsia" w:cs="Helvetica"/>
          <w:sz w:val="23"/>
          <w:szCs w:val="23"/>
        </w:rPr>
        <w:t>An Eco</w:t>
      </w:r>
      <w:r>
        <w:rPr>
          <w:rFonts w:eastAsiaTheme="minorEastAsia" w:cs="Helvetica"/>
          <w:sz w:val="23"/>
          <w:szCs w:val="23"/>
        </w:rPr>
        <w:t>nomic and Political Perspective’</w:t>
      </w:r>
      <w:r w:rsidR="001D2480" w:rsidRPr="008353A5">
        <w:rPr>
          <w:rFonts w:eastAsiaTheme="minorEastAsia" w:cs="Helvetica"/>
          <w:sz w:val="23"/>
          <w:szCs w:val="23"/>
        </w:rPr>
        <w:t>.</w:t>
      </w:r>
      <w:proofErr w:type="gramEnd"/>
      <w:r w:rsidR="001D2480" w:rsidRPr="008353A5">
        <w:rPr>
          <w:rFonts w:eastAsiaTheme="minorEastAsia" w:cs="Helvetica"/>
          <w:sz w:val="23"/>
          <w:szCs w:val="23"/>
        </w:rPr>
        <w:t xml:space="preserve"> </w:t>
      </w:r>
      <w:proofErr w:type="gramStart"/>
      <w:r w:rsidR="001D2480" w:rsidRPr="00B4146B">
        <w:rPr>
          <w:rFonts w:eastAsiaTheme="minorEastAsia" w:cs="Helvetica"/>
          <w:i/>
          <w:sz w:val="23"/>
          <w:szCs w:val="23"/>
        </w:rPr>
        <w:t>European Commission Economy Papers</w:t>
      </w:r>
      <w:r w:rsidR="001D2480" w:rsidRPr="008353A5">
        <w:rPr>
          <w:rFonts w:eastAsiaTheme="minorEastAsia" w:cs="Helvetica"/>
          <w:sz w:val="23"/>
          <w:szCs w:val="23"/>
        </w:rPr>
        <w:t>.</w:t>
      </w:r>
      <w:proofErr w:type="gramEnd"/>
      <w:r w:rsidR="00C55682">
        <w:rPr>
          <w:rFonts w:eastAsiaTheme="minorEastAsia" w:cs="Helvetica"/>
          <w:sz w:val="23"/>
          <w:szCs w:val="23"/>
        </w:rPr>
        <w:t xml:space="preserve"> Brussels.</w:t>
      </w:r>
    </w:p>
    <w:p w14:paraId="4D304025" w14:textId="51846E6B" w:rsidR="008705AC" w:rsidRDefault="005C5408"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Calver, R. (1995):</w:t>
      </w:r>
      <w:r w:rsidR="00EC2750">
        <w:rPr>
          <w:sz w:val="23"/>
          <w:szCs w:val="23"/>
        </w:rPr>
        <w:t xml:space="preserve"> ‘</w:t>
      </w:r>
      <w:r w:rsidR="008705AC" w:rsidRPr="008353A5">
        <w:rPr>
          <w:sz w:val="23"/>
          <w:szCs w:val="23"/>
        </w:rPr>
        <w:t>The Rational Choice Theory of Social Insittutions: Cooper</w:t>
      </w:r>
      <w:r w:rsidR="008705AC" w:rsidRPr="008353A5">
        <w:rPr>
          <w:sz w:val="23"/>
          <w:szCs w:val="23"/>
        </w:rPr>
        <w:t>a</w:t>
      </w:r>
      <w:r w:rsidR="008705AC" w:rsidRPr="008353A5">
        <w:rPr>
          <w:sz w:val="23"/>
          <w:szCs w:val="23"/>
        </w:rPr>
        <w:t>tion,</w:t>
      </w:r>
      <w:r w:rsidR="00EC2750">
        <w:rPr>
          <w:sz w:val="23"/>
          <w:szCs w:val="23"/>
        </w:rPr>
        <w:t xml:space="preserve"> Coordination and Communication’</w:t>
      </w:r>
      <w:r w:rsidR="008705AC" w:rsidRPr="008353A5">
        <w:rPr>
          <w:sz w:val="23"/>
          <w:szCs w:val="23"/>
        </w:rPr>
        <w:t>. In Banks</w:t>
      </w:r>
      <w:r w:rsidR="008608A6">
        <w:rPr>
          <w:sz w:val="23"/>
          <w:szCs w:val="23"/>
        </w:rPr>
        <w:t xml:space="preserve">, J.S. and Hanushek, E. (eds): </w:t>
      </w:r>
      <w:r w:rsidR="008705AC" w:rsidRPr="008608A6">
        <w:rPr>
          <w:i/>
          <w:sz w:val="23"/>
          <w:szCs w:val="23"/>
        </w:rPr>
        <w:t>Modern Political Economy: Old Topics, New Directions (Political Economy of I</w:t>
      </w:r>
      <w:r w:rsidR="008705AC" w:rsidRPr="008608A6">
        <w:rPr>
          <w:i/>
          <w:sz w:val="23"/>
          <w:szCs w:val="23"/>
        </w:rPr>
        <w:t>n</w:t>
      </w:r>
      <w:r w:rsidR="008705AC" w:rsidRPr="008608A6">
        <w:rPr>
          <w:i/>
          <w:sz w:val="23"/>
          <w:szCs w:val="23"/>
        </w:rPr>
        <w:t>stitutions and Decisions)</w:t>
      </w:r>
      <w:r w:rsidR="008705AC" w:rsidRPr="008353A5">
        <w:rPr>
          <w:sz w:val="23"/>
          <w:szCs w:val="23"/>
        </w:rPr>
        <w:t>. Cambridge</w:t>
      </w:r>
      <w:r w:rsidR="008608A6">
        <w:rPr>
          <w:sz w:val="23"/>
          <w:szCs w:val="23"/>
        </w:rPr>
        <w:t>: Cambridge</w:t>
      </w:r>
      <w:r w:rsidR="008705AC" w:rsidRPr="008353A5">
        <w:rPr>
          <w:sz w:val="23"/>
          <w:szCs w:val="23"/>
        </w:rPr>
        <w:t xml:space="preserve"> University Press.</w:t>
      </w:r>
    </w:p>
    <w:p w14:paraId="6585A3B5" w14:textId="66C2E7C8" w:rsidR="006D1FD2" w:rsidRPr="008353A5" w:rsidRDefault="006D1FD2" w:rsidP="00EC20CB">
      <w:pPr>
        <w:ind w:left="426" w:hanging="426"/>
        <w:rPr>
          <w:sz w:val="23"/>
          <w:szCs w:val="23"/>
        </w:rPr>
      </w:pPr>
      <w:r w:rsidRPr="008353A5">
        <w:rPr>
          <w:sz w:val="23"/>
          <w:szCs w:val="23"/>
        </w:rPr>
        <w:t xml:space="preserve">Caporaso, James A. and Keeler, John T.S. (1993) ‘Neo-functionalism: Obstinate or Obsolete? </w:t>
      </w:r>
      <w:proofErr w:type="gramStart"/>
      <w:r w:rsidRPr="008353A5">
        <w:rPr>
          <w:sz w:val="23"/>
          <w:szCs w:val="23"/>
        </w:rPr>
        <w:t>A Reappraisal in the Light of the New Dynamism of the EC’.</w:t>
      </w:r>
      <w:proofErr w:type="gramEnd"/>
      <w:r w:rsidRPr="008353A5">
        <w:rPr>
          <w:sz w:val="23"/>
          <w:szCs w:val="23"/>
        </w:rPr>
        <w:t xml:space="preserve"> In: UNSPECIFIED, Washington, DC. (Unpublished)</w:t>
      </w:r>
    </w:p>
    <w:p w14:paraId="27733AFC" w14:textId="19A076E0" w:rsidR="008705AC" w:rsidRDefault="00515AC7"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Carrera, L.N.;</w:t>
      </w:r>
      <w:r w:rsidR="008705AC" w:rsidRPr="008353A5">
        <w:rPr>
          <w:sz w:val="23"/>
          <w:szCs w:val="23"/>
        </w:rPr>
        <w:t xml:space="preserve"> Angelaki</w:t>
      </w:r>
      <w:r>
        <w:rPr>
          <w:sz w:val="23"/>
          <w:szCs w:val="23"/>
        </w:rPr>
        <w:t>,</w:t>
      </w:r>
      <w:r w:rsidR="008705AC" w:rsidRPr="008353A5">
        <w:rPr>
          <w:sz w:val="23"/>
          <w:szCs w:val="23"/>
        </w:rPr>
        <w:t xml:space="preserve"> M. </w:t>
      </w:r>
      <w:r>
        <w:rPr>
          <w:sz w:val="23"/>
          <w:szCs w:val="23"/>
        </w:rPr>
        <w:t>and</w:t>
      </w:r>
      <w:r w:rsidR="008705AC" w:rsidRPr="008353A5">
        <w:rPr>
          <w:sz w:val="23"/>
          <w:szCs w:val="23"/>
        </w:rPr>
        <w:t xml:space="preserve"> Carolo</w:t>
      </w:r>
      <w:r>
        <w:rPr>
          <w:sz w:val="23"/>
          <w:szCs w:val="23"/>
        </w:rPr>
        <w:t>,</w:t>
      </w:r>
      <w:r w:rsidR="008705AC" w:rsidRPr="008353A5">
        <w:rPr>
          <w:sz w:val="23"/>
          <w:szCs w:val="23"/>
        </w:rPr>
        <w:t xml:space="preserve"> D. (2010) </w:t>
      </w:r>
      <w:r>
        <w:rPr>
          <w:sz w:val="23"/>
          <w:szCs w:val="23"/>
        </w:rPr>
        <w:t>‘</w:t>
      </w:r>
      <w:r w:rsidR="008705AC" w:rsidRPr="008353A5">
        <w:rPr>
          <w:sz w:val="23"/>
          <w:szCs w:val="23"/>
        </w:rPr>
        <w:t>Political competition and soci</w:t>
      </w:r>
      <w:r w:rsidR="008705AC" w:rsidRPr="008353A5">
        <w:rPr>
          <w:sz w:val="23"/>
          <w:szCs w:val="23"/>
        </w:rPr>
        <w:t>e</w:t>
      </w:r>
      <w:r w:rsidR="008705AC" w:rsidRPr="008353A5">
        <w:rPr>
          <w:sz w:val="23"/>
          <w:szCs w:val="23"/>
        </w:rPr>
        <w:t>tal veto players: the politics of pension reform in Southern Europe.</w:t>
      </w:r>
      <w:r>
        <w:rPr>
          <w:sz w:val="23"/>
          <w:szCs w:val="23"/>
        </w:rPr>
        <w:t>’</w:t>
      </w:r>
      <w:r w:rsidR="008705AC" w:rsidRPr="008353A5">
        <w:rPr>
          <w:sz w:val="23"/>
          <w:szCs w:val="23"/>
        </w:rPr>
        <w:t xml:space="preserve"> </w:t>
      </w:r>
      <w:r w:rsidR="008705AC" w:rsidRPr="00515AC7">
        <w:rPr>
          <w:i/>
          <w:sz w:val="23"/>
          <w:szCs w:val="23"/>
        </w:rPr>
        <w:t xml:space="preserve">Rivista </w:t>
      </w:r>
      <w:r w:rsidR="008705AC" w:rsidRPr="00515AC7">
        <w:rPr>
          <w:i/>
          <w:sz w:val="23"/>
          <w:szCs w:val="23"/>
        </w:rPr>
        <w:lastRenderedPageBreak/>
        <w:t>Italiana di Politiche Pubbliche</w:t>
      </w:r>
      <w:r w:rsidR="008705AC" w:rsidRPr="008353A5">
        <w:rPr>
          <w:sz w:val="23"/>
          <w:szCs w:val="23"/>
        </w:rPr>
        <w:t xml:space="preserve"> </w:t>
      </w:r>
      <w:r>
        <w:rPr>
          <w:sz w:val="23"/>
          <w:szCs w:val="23"/>
        </w:rPr>
        <w:t xml:space="preserve">No. </w:t>
      </w:r>
      <w:r w:rsidR="008705AC" w:rsidRPr="008353A5">
        <w:rPr>
          <w:sz w:val="23"/>
          <w:szCs w:val="23"/>
        </w:rPr>
        <w:t>1 5-31.</w:t>
      </w:r>
    </w:p>
    <w:p w14:paraId="0A2603DC" w14:textId="752EA5ED" w:rsidR="00BD06AE" w:rsidRPr="000409FE" w:rsidRDefault="00BD06AE"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Christiansen, T; Jørgensen, T. K.E. and</w:t>
      </w:r>
      <w:r w:rsidRPr="008353A5">
        <w:rPr>
          <w:sz w:val="23"/>
          <w:szCs w:val="23"/>
        </w:rPr>
        <w:t xml:space="preserve"> Wiener, A</w:t>
      </w:r>
      <w:r w:rsidR="00E36F61">
        <w:rPr>
          <w:sz w:val="23"/>
          <w:szCs w:val="23"/>
        </w:rPr>
        <w:t>. (1999)</w:t>
      </w:r>
      <w:r>
        <w:rPr>
          <w:sz w:val="23"/>
          <w:szCs w:val="23"/>
        </w:rPr>
        <w:t xml:space="preserve"> ‘</w:t>
      </w:r>
      <w:r w:rsidRPr="008353A5">
        <w:rPr>
          <w:sz w:val="23"/>
          <w:szCs w:val="23"/>
        </w:rPr>
        <w:t>The social construction of Eu</w:t>
      </w:r>
      <w:r>
        <w:rPr>
          <w:sz w:val="23"/>
          <w:szCs w:val="23"/>
        </w:rPr>
        <w:t>rope’</w:t>
      </w:r>
      <w:r w:rsidRPr="008353A5">
        <w:rPr>
          <w:sz w:val="23"/>
          <w:szCs w:val="23"/>
        </w:rPr>
        <w:t xml:space="preserve"> </w:t>
      </w:r>
      <w:r w:rsidRPr="00BD06AE">
        <w:rPr>
          <w:i/>
          <w:sz w:val="23"/>
          <w:szCs w:val="23"/>
        </w:rPr>
        <w:t>Journal of European Public Policy</w:t>
      </w:r>
      <w:r w:rsidRPr="008353A5">
        <w:rPr>
          <w:sz w:val="23"/>
          <w:szCs w:val="23"/>
        </w:rPr>
        <w:t xml:space="preserve"> 6:4 Special Issue 1999: 528Ð 44</w:t>
      </w:r>
    </w:p>
    <w:p w14:paraId="358E3FF0" w14:textId="77777777" w:rsidR="008705AC" w:rsidRDefault="008705AC" w:rsidP="00EC20CB">
      <w:pPr>
        <w:pStyle w:val="Reference"/>
        <w:ind w:left="426" w:hanging="426"/>
        <w:rPr>
          <w:szCs w:val="23"/>
        </w:rPr>
      </w:pPr>
      <w:r w:rsidRPr="008353A5">
        <w:rPr>
          <w:szCs w:val="23"/>
        </w:rPr>
        <w:t>Collier, D. and Collier, R (1991) ‘Shaping the Political Arena: Critical Junctures, the Labour Movement and Regime Dynamics in Latin America’. Princeton: Princeton University Press.</w:t>
      </w:r>
    </w:p>
    <w:p w14:paraId="25784F67" w14:textId="0BC5A786" w:rsidR="008705AC" w:rsidRPr="008353A5" w:rsidRDefault="00332A1C"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Colomer, J. (2009)</w:t>
      </w:r>
      <w:r w:rsidR="00E50B11">
        <w:rPr>
          <w:rFonts w:eastAsiaTheme="minorEastAsia" w:cs="Helvetica"/>
          <w:sz w:val="23"/>
          <w:szCs w:val="23"/>
        </w:rPr>
        <w:t xml:space="preserve"> ‘Ciencia de la Política’</w:t>
      </w:r>
      <w:r w:rsidR="008705AC" w:rsidRPr="008353A5">
        <w:rPr>
          <w:rFonts w:eastAsiaTheme="minorEastAsia" w:cs="Helvetica"/>
          <w:sz w:val="23"/>
          <w:szCs w:val="23"/>
        </w:rPr>
        <w:t>. Madrid: Ariel.</w:t>
      </w:r>
    </w:p>
    <w:p w14:paraId="1B9726A7" w14:textId="77777777" w:rsidR="00916282" w:rsidRPr="008353A5" w:rsidRDefault="00916282"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proofErr w:type="gramStart"/>
      <w:r w:rsidRPr="008353A5">
        <w:rPr>
          <w:rFonts w:eastAsiaTheme="minorEastAsia" w:cs="Helvetica"/>
          <w:sz w:val="23"/>
          <w:szCs w:val="23"/>
        </w:rPr>
        <w:t>Consolidated Versions of the Treaty on European Union and the Treaty Esta</w:t>
      </w:r>
      <w:r w:rsidRPr="008353A5">
        <w:rPr>
          <w:rFonts w:eastAsiaTheme="minorEastAsia" w:cs="Helvetica"/>
          <w:sz w:val="23"/>
          <w:szCs w:val="23"/>
        </w:rPr>
        <w:t>b</w:t>
      </w:r>
      <w:r w:rsidRPr="008353A5">
        <w:rPr>
          <w:rFonts w:eastAsiaTheme="minorEastAsia" w:cs="Helvetica"/>
          <w:sz w:val="23"/>
          <w:szCs w:val="23"/>
        </w:rPr>
        <w:t>lishing the European Community.</w:t>
      </w:r>
      <w:proofErr w:type="gramEnd"/>
      <w:r w:rsidRPr="008353A5">
        <w:rPr>
          <w:rFonts w:eastAsiaTheme="minorEastAsia" w:cs="Helvetica"/>
          <w:sz w:val="23"/>
          <w:szCs w:val="23"/>
        </w:rPr>
        <w:t xml:space="preserve"> </w:t>
      </w:r>
      <w:r>
        <w:rPr>
          <w:rFonts w:eastAsiaTheme="minorEastAsia" w:cs="Helvetica"/>
          <w:sz w:val="23"/>
          <w:szCs w:val="23"/>
        </w:rPr>
        <w:t xml:space="preserve">Brussels: </w:t>
      </w:r>
      <w:r w:rsidRPr="008353A5">
        <w:rPr>
          <w:rFonts w:eastAsiaTheme="minorEastAsia" w:cs="Helvetica"/>
          <w:sz w:val="23"/>
          <w:szCs w:val="23"/>
        </w:rPr>
        <w:t>Official Journal of the European Union, issue from 29/12/2010.</w:t>
      </w:r>
    </w:p>
    <w:p w14:paraId="10B28E5E" w14:textId="77777777" w:rsidR="00916282" w:rsidRPr="008353A5" w:rsidRDefault="00916282"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proofErr w:type="gramStart"/>
      <w:r w:rsidRPr="008353A5">
        <w:rPr>
          <w:rFonts w:eastAsiaTheme="minorEastAsia" w:cs="Helvetica"/>
          <w:sz w:val="23"/>
          <w:szCs w:val="23"/>
        </w:rPr>
        <w:t>Council Regulation (European Commission) No 1467/97 of 7 July 1997 on spee</w:t>
      </w:r>
      <w:r w:rsidRPr="008353A5">
        <w:rPr>
          <w:rFonts w:eastAsiaTheme="minorEastAsia" w:cs="Helvetica"/>
          <w:sz w:val="23"/>
          <w:szCs w:val="23"/>
        </w:rPr>
        <w:t>d</w:t>
      </w:r>
      <w:r w:rsidRPr="008353A5">
        <w:rPr>
          <w:rFonts w:eastAsiaTheme="minorEastAsia" w:cs="Helvetica"/>
          <w:sz w:val="23"/>
          <w:szCs w:val="23"/>
        </w:rPr>
        <w:t>ing up and clarifying the implementation of the excessive deficit procedure.</w:t>
      </w:r>
      <w:proofErr w:type="gramEnd"/>
    </w:p>
    <w:p w14:paraId="4DDB781D" w14:textId="16FE5904" w:rsidR="00E0151E" w:rsidRPr="008353A5" w:rsidRDefault="00332A1C"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Downs, A. (1957)</w:t>
      </w:r>
      <w:r w:rsidR="003F6464">
        <w:rPr>
          <w:sz w:val="23"/>
          <w:szCs w:val="23"/>
        </w:rPr>
        <w:t xml:space="preserve"> ‘An Economic Theory of Democracy’. New York:</w:t>
      </w:r>
      <w:r w:rsidR="00E0151E" w:rsidRPr="008353A5">
        <w:rPr>
          <w:sz w:val="23"/>
          <w:szCs w:val="23"/>
        </w:rPr>
        <w:t xml:space="preserve"> Harper and Row.</w:t>
      </w:r>
    </w:p>
    <w:p w14:paraId="2C960EBB" w14:textId="278A588B" w:rsidR="00E0151E" w:rsidRPr="008353A5" w:rsidRDefault="00E0151E"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Drazen, </w:t>
      </w:r>
      <w:r w:rsidR="00332A1C">
        <w:rPr>
          <w:sz w:val="23"/>
          <w:szCs w:val="23"/>
        </w:rPr>
        <w:t>A. (2000)</w:t>
      </w:r>
      <w:r w:rsidR="003F6464">
        <w:rPr>
          <w:sz w:val="23"/>
          <w:szCs w:val="23"/>
        </w:rPr>
        <w:t xml:space="preserve"> ‘</w:t>
      </w:r>
      <w:r w:rsidRPr="008353A5">
        <w:rPr>
          <w:sz w:val="23"/>
          <w:szCs w:val="23"/>
        </w:rPr>
        <w:t>Poli</w:t>
      </w:r>
      <w:r w:rsidR="003F6464">
        <w:rPr>
          <w:sz w:val="23"/>
          <w:szCs w:val="23"/>
        </w:rPr>
        <w:t>tical Economy in Macroeconomics’</w:t>
      </w:r>
      <w:r w:rsidRPr="008353A5">
        <w:rPr>
          <w:sz w:val="23"/>
          <w:szCs w:val="23"/>
        </w:rPr>
        <w:t>.</w:t>
      </w:r>
      <w:r w:rsidR="003F6464">
        <w:rPr>
          <w:sz w:val="23"/>
          <w:szCs w:val="23"/>
        </w:rPr>
        <w:t xml:space="preserve"> Princeton:</w:t>
      </w:r>
      <w:r w:rsidRPr="008353A5">
        <w:rPr>
          <w:sz w:val="23"/>
          <w:szCs w:val="23"/>
        </w:rPr>
        <w:t xml:space="preserve"> Princeton University Press.</w:t>
      </w:r>
    </w:p>
    <w:p w14:paraId="1B3B4727" w14:textId="0173A331" w:rsidR="005E5AFA" w:rsidRDefault="0088512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European Commission</w:t>
      </w:r>
      <w:r w:rsidR="005E5AFA">
        <w:rPr>
          <w:sz w:val="23"/>
          <w:szCs w:val="23"/>
        </w:rPr>
        <w:t xml:space="preserve"> (2010</w:t>
      </w:r>
      <w:r w:rsidR="005E5AFA" w:rsidRPr="008353A5">
        <w:rPr>
          <w:sz w:val="23"/>
          <w:szCs w:val="23"/>
        </w:rPr>
        <w:t xml:space="preserve">) </w:t>
      </w:r>
      <w:r>
        <w:rPr>
          <w:sz w:val="23"/>
          <w:szCs w:val="23"/>
        </w:rPr>
        <w:t>‘</w:t>
      </w:r>
      <w:r w:rsidR="005E5AFA" w:rsidRPr="008353A5">
        <w:rPr>
          <w:sz w:val="23"/>
          <w:szCs w:val="23"/>
        </w:rPr>
        <w:t>The Economic Adjustment Programme for Greece</w:t>
      </w:r>
      <w:r>
        <w:rPr>
          <w:sz w:val="23"/>
          <w:szCs w:val="23"/>
        </w:rPr>
        <w:t>’</w:t>
      </w:r>
      <w:r w:rsidR="005E5AFA" w:rsidRPr="008353A5">
        <w:rPr>
          <w:sz w:val="23"/>
          <w:szCs w:val="23"/>
        </w:rPr>
        <w:t xml:space="preserve">. </w:t>
      </w:r>
      <w:proofErr w:type="gramStart"/>
      <w:r w:rsidR="005E5AFA" w:rsidRPr="0088512F">
        <w:rPr>
          <w:i/>
          <w:sz w:val="23"/>
          <w:szCs w:val="23"/>
        </w:rPr>
        <w:t>European Economy Occasional Papers</w:t>
      </w:r>
      <w:r w:rsidR="005E5AFA" w:rsidRPr="008353A5">
        <w:rPr>
          <w:sz w:val="23"/>
          <w:szCs w:val="23"/>
        </w:rPr>
        <w:t xml:space="preserve"> No. 61.</w:t>
      </w:r>
      <w:proofErr w:type="gramEnd"/>
      <w:r w:rsidR="005E5AFA" w:rsidRPr="008353A5">
        <w:rPr>
          <w:sz w:val="23"/>
          <w:szCs w:val="23"/>
        </w:rPr>
        <w:t xml:space="preserve"> Luxembourg: Office for Official Publications of the European Communities</w:t>
      </w:r>
    </w:p>
    <w:p w14:paraId="253E528A" w14:textId="0C0C44FE" w:rsidR="0088512F" w:rsidRPr="0088512F" w:rsidRDefault="00332A1C" w:rsidP="00EC20CB">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Elster, J. (2007)</w:t>
      </w:r>
      <w:r w:rsidR="005E2A0F">
        <w:rPr>
          <w:rFonts w:eastAsiaTheme="minorEastAsia" w:cs="Helvetica"/>
          <w:sz w:val="23"/>
          <w:szCs w:val="23"/>
        </w:rPr>
        <w:t xml:space="preserve"> ‘</w:t>
      </w:r>
      <w:r w:rsidR="0088512F" w:rsidRPr="008353A5">
        <w:rPr>
          <w:rFonts w:eastAsiaTheme="minorEastAsia" w:cs="Helvetica"/>
          <w:sz w:val="23"/>
          <w:szCs w:val="23"/>
        </w:rPr>
        <w:t>Explaining Social Behavior: More Nuts an</w:t>
      </w:r>
      <w:r w:rsidR="005E2A0F">
        <w:rPr>
          <w:rFonts w:eastAsiaTheme="minorEastAsia" w:cs="Helvetica"/>
          <w:sz w:val="23"/>
          <w:szCs w:val="23"/>
        </w:rPr>
        <w:t>d Bolts for the Social Sciences’</w:t>
      </w:r>
      <w:r w:rsidR="00BD0A69">
        <w:rPr>
          <w:rFonts w:eastAsiaTheme="minorEastAsia" w:cs="Helvetica"/>
          <w:sz w:val="23"/>
          <w:szCs w:val="23"/>
        </w:rPr>
        <w:t>.</w:t>
      </w:r>
      <w:r w:rsidR="0088512F" w:rsidRPr="008353A5">
        <w:rPr>
          <w:rFonts w:eastAsiaTheme="minorEastAsia" w:cs="Helvetica"/>
          <w:sz w:val="23"/>
          <w:szCs w:val="23"/>
        </w:rPr>
        <w:t xml:space="preserve"> New York: Cambridge University Press.</w:t>
      </w:r>
    </w:p>
    <w:p w14:paraId="63C854AA" w14:textId="48C02BA0" w:rsidR="0053440C" w:rsidRDefault="002470BD" w:rsidP="00EC20CB">
      <w:pPr>
        <w:ind w:left="426" w:hanging="426"/>
        <w:rPr>
          <w:sz w:val="23"/>
          <w:szCs w:val="23"/>
        </w:rPr>
      </w:pPr>
      <w:proofErr w:type="gramStart"/>
      <w:r>
        <w:rPr>
          <w:sz w:val="23"/>
          <w:szCs w:val="23"/>
        </w:rPr>
        <w:t>El Pais (</w:t>
      </w:r>
      <w:r w:rsidR="0053440C" w:rsidRPr="008353A5">
        <w:rPr>
          <w:sz w:val="23"/>
          <w:szCs w:val="23"/>
        </w:rPr>
        <w:t>2010</w:t>
      </w:r>
      <w:r w:rsidR="00332A1C">
        <w:rPr>
          <w:sz w:val="23"/>
          <w:szCs w:val="23"/>
        </w:rPr>
        <w:t>)</w:t>
      </w:r>
      <w:r w:rsidR="0053440C" w:rsidRPr="008353A5">
        <w:rPr>
          <w:sz w:val="23"/>
          <w:szCs w:val="23"/>
        </w:rPr>
        <w:t xml:space="preserve"> ‘Un volantazo para recuperar crédito’ 27 February.</w:t>
      </w:r>
      <w:proofErr w:type="gramEnd"/>
      <w:r w:rsidR="0053440C" w:rsidRPr="008353A5">
        <w:rPr>
          <w:sz w:val="23"/>
          <w:szCs w:val="23"/>
        </w:rPr>
        <w:t xml:space="preserve"> </w:t>
      </w:r>
      <w:r>
        <w:rPr>
          <w:sz w:val="23"/>
          <w:szCs w:val="23"/>
        </w:rPr>
        <w:t xml:space="preserve">Available at: </w:t>
      </w:r>
      <w:hyperlink r:id="rId228" w:history="1">
        <w:r w:rsidRPr="007966A2">
          <w:rPr>
            <w:rStyle w:val="Hyperlink"/>
            <w:sz w:val="23"/>
            <w:szCs w:val="23"/>
          </w:rPr>
          <w:t>http://elpais.com/diario/2010/02/07/espana/1265497201_850215.html</w:t>
        </w:r>
      </w:hyperlink>
    </w:p>
    <w:p w14:paraId="1764FC64" w14:textId="77777777" w:rsidR="0053440C" w:rsidRPr="008353A5" w:rsidRDefault="0053440C" w:rsidP="00332A1C">
      <w:pPr>
        <w:rPr>
          <w:sz w:val="23"/>
          <w:szCs w:val="23"/>
        </w:rPr>
      </w:pPr>
      <w:r w:rsidRPr="008353A5">
        <w:rPr>
          <w:sz w:val="23"/>
          <w:szCs w:val="23"/>
        </w:rPr>
        <w:t xml:space="preserve">[Accessed 17 March 2012]. </w:t>
      </w:r>
    </w:p>
    <w:p w14:paraId="6E14082A" w14:textId="01268F2F" w:rsidR="0088512F" w:rsidRDefault="0088512F" w:rsidP="00EC20CB">
      <w:pPr>
        <w:ind w:left="426" w:hanging="426"/>
        <w:rPr>
          <w:sz w:val="23"/>
          <w:szCs w:val="23"/>
        </w:rPr>
      </w:pPr>
      <w:r w:rsidRPr="008353A5">
        <w:rPr>
          <w:sz w:val="23"/>
          <w:szCs w:val="23"/>
        </w:rPr>
        <w:t>Expansión</w:t>
      </w:r>
      <w:r w:rsidR="00332A1C">
        <w:rPr>
          <w:sz w:val="23"/>
          <w:szCs w:val="23"/>
        </w:rPr>
        <w:t xml:space="preserve"> (2010)</w:t>
      </w:r>
      <w:r w:rsidRPr="008353A5">
        <w:rPr>
          <w:sz w:val="23"/>
          <w:szCs w:val="23"/>
        </w:rPr>
        <w:t xml:space="preserve"> ‘La UE vigilará a España ante las dudas de Merkel sobre el plan del Gobierno’ 12 May. </w:t>
      </w:r>
      <w:r>
        <w:rPr>
          <w:sz w:val="23"/>
          <w:szCs w:val="23"/>
        </w:rPr>
        <w:t>Available at:</w:t>
      </w:r>
      <w:r w:rsidR="004E7ADE">
        <w:rPr>
          <w:sz w:val="23"/>
          <w:szCs w:val="23"/>
        </w:rPr>
        <w:t xml:space="preserve"> </w:t>
      </w:r>
      <w:hyperlink r:id="rId229" w:history="1">
        <w:r w:rsidRPr="007966A2">
          <w:rPr>
            <w:rStyle w:val="Hyperlink"/>
            <w:sz w:val="23"/>
            <w:szCs w:val="23"/>
          </w:rPr>
          <w:t>http://www.expansion.com/2010/05/10/economia-polit</w:t>
        </w:r>
        <w:r w:rsidRPr="007966A2">
          <w:rPr>
            <w:rStyle w:val="Hyperlink"/>
            <w:sz w:val="23"/>
            <w:szCs w:val="23"/>
          </w:rPr>
          <w:t>i</w:t>
        </w:r>
        <w:r w:rsidRPr="007966A2">
          <w:rPr>
            <w:rStyle w:val="Hyperlink"/>
            <w:sz w:val="23"/>
            <w:szCs w:val="23"/>
          </w:rPr>
          <w:t>ca/1273526175.html?a=de6433144b7429e851e190f2535c040a&amp;t=1339457987</w:t>
        </w:r>
      </w:hyperlink>
    </w:p>
    <w:p w14:paraId="118A2F58" w14:textId="25A77055" w:rsidR="0088512F" w:rsidRPr="008353A5" w:rsidRDefault="00255720" w:rsidP="00332A1C">
      <w:pPr>
        <w:rPr>
          <w:sz w:val="23"/>
          <w:szCs w:val="23"/>
        </w:rPr>
      </w:pPr>
      <w:r>
        <w:rPr>
          <w:sz w:val="23"/>
          <w:szCs w:val="23"/>
        </w:rPr>
        <w:t>[Accessed 17 March 2012]</w:t>
      </w:r>
    </w:p>
    <w:p w14:paraId="2011703F" w14:textId="3F4FB526" w:rsidR="00255720" w:rsidRPr="008353A5" w:rsidRDefault="00255720"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Featherstone</w:t>
      </w:r>
      <w:r>
        <w:rPr>
          <w:sz w:val="23"/>
          <w:szCs w:val="23"/>
        </w:rPr>
        <w:t>,</w:t>
      </w:r>
      <w:r w:rsidRPr="008353A5">
        <w:rPr>
          <w:sz w:val="23"/>
          <w:szCs w:val="23"/>
        </w:rPr>
        <w:t xml:space="preserve"> K. (2005)</w:t>
      </w:r>
      <w:r>
        <w:rPr>
          <w:sz w:val="23"/>
          <w:szCs w:val="23"/>
        </w:rPr>
        <w:t xml:space="preserve"> ‘Soft</w:t>
      </w:r>
      <w:r w:rsidRPr="008353A5">
        <w:rPr>
          <w:sz w:val="23"/>
          <w:szCs w:val="23"/>
        </w:rPr>
        <w:t xml:space="preserve"> coordination meets ‘hard’ politics: the European U</w:t>
      </w:r>
      <w:r w:rsidRPr="008353A5">
        <w:rPr>
          <w:sz w:val="23"/>
          <w:szCs w:val="23"/>
        </w:rPr>
        <w:t>n</w:t>
      </w:r>
      <w:r w:rsidRPr="008353A5">
        <w:rPr>
          <w:sz w:val="23"/>
          <w:szCs w:val="23"/>
        </w:rPr>
        <w:t>ion and pension reform in Greece</w:t>
      </w:r>
      <w:r>
        <w:rPr>
          <w:sz w:val="23"/>
          <w:szCs w:val="23"/>
        </w:rPr>
        <w:t>’</w:t>
      </w:r>
      <w:r w:rsidRPr="008353A5">
        <w:rPr>
          <w:sz w:val="23"/>
          <w:szCs w:val="23"/>
        </w:rPr>
        <w:t xml:space="preserve">. </w:t>
      </w:r>
      <w:proofErr w:type="gramStart"/>
      <w:r w:rsidRPr="00255720">
        <w:rPr>
          <w:i/>
          <w:sz w:val="23"/>
          <w:szCs w:val="23"/>
        </w:rPr>
        <w:t>Journal of European Public Policy</w:t>
      </w:r>
      <w:r w:rsidRPr="008353A5">
        <w:rPr>
          <w:sz w:val="23"/>
          <w:szCs w:val="23"/>
        </w:rPr>
        <w:t xml:space="preserve"> </w:t>
      </w:r>
      <w:r>
        <w:rPr>
          <w:sz w:val="23"/>
          <w:szCs w:val="23"/>
        </w:rPr>
        <w:t xml:space="preserve">No. </w:t>
      </w:r>
      <w:r w:rsidRPr="008353A5">
        <w:rPr>
          <w:sz w:val="23"/>
          <w:szCs w:val="23"/>
        </w:rPr>
        <w:t>12 (4) 733-750.</w:t>
      </w:r>
      <w:proofErr w:type="gramEnd"/>
      <w:r w:rsidRPr="008353A5">
        <w:rPr>
          <w:sz w:val="23"/>
          <w:szCs w:val="23"/>
        </w:rPr>
        <w:t xml:space="preserve"> </w:t>
      </w:r>
    </w:p>
    <w:p w14:paraId="5A2396D8" w14:textId="6FE539AF" w:rsidR="00255720" w:rsidRDefault="00255720"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Featherstone</w:t>
      </w:r>
      <w:r>
        <w:rPr>
          <w:sz w:val="23"/>
          <w:szCs w:val="23"/>
        </w:rPr>
        <w:t>,</w:t>
      </w:r>
      <w:r w:rsidRPr="008353A5">
        <w:rPr>
          <w:sz w:val="23"/>
          <w:szCs w:val="23"/>
        </w:rPr>
        <w:t xml:space="preserve"> K. (2011) </w:t>
      </w:r>
      <w:r>
        <w:rPr>
          <w:sz w:val="23"/>
          <w:szCs w:val="23"/>
        </w:rPr>
        <w:t>‘</w:t>
      </w:r>
      <w:r w:rsidRPr="008353A5">
        <w:rPr>
          <w:sz w:val="23"/>
          <w:szCs w:val="23"/>
        </w:rPr>
        <w:t>The Greek sovereign debt crisis and EMU: a failing state in a skewed regime</w:t>
      </w:r>
      <w:r>
        <w:rPr>
          <w:sz w:val="23"/>
          <w:szCs w:val="23"/>
        </w:rPr>
        <w:t>’</w:t>
      </w:r>
      <w:r w:rsidRPr="008353A5">
        <w:rPr>
          <w:sz w:val="23"/>
          <w:szCs w:val="23"/>
        </w:rPr>
        <w:t xml:space="preserve">. </w:t>
      </w:r>
      <w:r w:rsidRPr="00255720">
        <w:rPr>
          <w:i/>
          <w:sz w:val="23"/>
          <w:szCs w:val="23"/>
        </w:rPr>
        <w:t>Journal of Common Market Studies</w:t>
      </w:r>
      <w:r w:rsidRPr="008353A5">
        <w:rPr>
          <w:sz w:val="23"/>
          <w:szCs w:val="23"/>
        </w:rPr>
        <w:t xml:space="preserve"> </w:t>
      </w:r>
      <w:r>
        <w:rPr>
          <w:sz w:val="23"/>
          <w:szCs w:val="23"/>
        </w:rPr>
        <w:t xml:space="preserve">No. </w:t>
      </w:r>
      <w:r w:rsidRPr="008353A5">
        <w:rPr>
          <w:sz w:val="23"/>
          <w:szCs w:val="23"/>
        </w:rPr>
        <w:t>49 (2) 193–217.</w:t>
      </w:r>
    </w:p>
    <w:p w14:paraId="12BE1250" w14:textId="63B22EDA" w:rsidR="008A6993" w:rsidRDefault="00332A1C" w:rsidP="00EC20CB">
      <w:pPr>
        <w:ind w:left="426" w:hanging="426"/>
        <w:rPr>
          <w:sz w:val="23"/>
          <w:szCs w:val="23"/>
        </w:rPr>
      </w:pPr>
      <w:proofErr w:type="gramStart"/>
      <w:r>
        <w:rPr>
          <w:sz w:val="23"/>
          <w:szCs w:val="23"/>
        </w:rPr>
        <w:t>Garea, F. (2010)</w:t>
      </w:r>
      <w:r w:rsidR="008A6993" w:rsidRPr="008353A5">
        <w:rPr>
          <w:sz w:val="23"/>
          <w:szCs w:val="23"/>
        </w:rPr>
        <w:t xml:space="preserve"> ‘Zapatero da un vuelco a su estrategia con un recorte de sueldos públicos sin precedentes’ 13 May.</w:t>
      </w:r>
      <w:proofErr w:type="gramEnd"/>
      <w:r w:rsidR="008A6993" w:rsidRPr="008353A5">
        <w:rPr>
          <w:sz w:val="23"/>
          <w:szCs w:val="23"/>
        </w:rPr>
        <w:t xml:space="preserve"> </w:t>
      </w:r>
      <w:r w:rsidR="008A6993">
        <w:rPr>
          <w:sz w:val="23"/>
          <w:szCs w:val="23"/>
        </w:rPr>
        <w:t xml:space="preserve">Available at: </w:t>
      </w:r>
      <w:hyperlink r:id="rId230" w:history="1">
        <w:r w:rsidR="008A6993" w:rsidRPr="007966A2">
          <w:rPr>
            <w:rStyle w:val="Hyperlink"/>
            <w:sz w:val="23"/>
            <w:szCs w:val="23"/>
          </w:rPr>
          <w:t>http://elpais.com/diario/2010/05/13/espana/1273701601_850215.html</w:t>
        </w:r>
      </w:hyperlink>
    </w:p>
    <w:p w14:paraId="20D1536B" w14:textId="4CDD0569" w:rsidR="008A6993" w:rsidRDefault="008A6993" w:rsidP="00332A1C">
      <w:pPr>
        <w:rPr>
          <w:sz w:val="23"/>
          <w:szCs w:val="23"/>
        </w:rPr>
      </w:pPr>
      <w:r w:rsidRPr="008353A5">
        <w:rPr>
          <w:sz w:val="23"/>
          <w:szCs w:val="23"/>
        </w:rPr>
        <w:t>[Accessed 17 Marc</w:t>
      </w:r>
      <w:r w:rsidR="005A63AE">
        <w:rPr>
          <w:sz w:val="23"/>
          <w:szCs w:val="23"/>
        </w:rPr>
        <w:t>h 2012].</w:t>
      </w:r>
    </w:p>
    <w:p w14:paraId="5625699B" w14:textId="77777777" w:rsidR="005A63AE" w:rsidRDefault="005A63AE" w:rsidP="00EC20CB">
      <w:pPr>
        <w:ind w:left="426" w:hanging="426"/>
        <w:rPr>
          <w:sz w:val="23"/>
          <w:szCs w:val="23"/>
        </w:rPr>
      </w:pPr>
      <w:r w:rsidRPr="008353A5">
        <w:rPr>
          <w:sz w:val="23"/>
          <w:szCs w:val="23"/>
        </w:rPr>
        <w:t>Garrett, G. and Tsebelis, G. (2001) ‘The Institutional Determinants of Intergo</w:t>
      </w:r>
      <w:r w:rsidRPr="008353A5">
        <w:rPr>
          <w:sz w:val="23"/>
          <w:szCs w:val="23"/>
        </w:rPr>
        <w:t>v</w:t>
      </w:r>
      <w:r w:rsidRPr="008353A5">
        <w:rPr>
          <w:sz w:val="23"/>
          <w:szCs w:val="23"/>
        </w:rPr>
        <w:t xml:space="preserve">ernmentalism and Supranationalism in the EU’. </w:t>
      </w:r>
      <w:r w:rsidRPr="008353A5">
        <w:rPr>
          <w:i/>
          <w:sz w:val="23"/>
          <w:szCs w:val="23"/>
        </w:rPr>
        <w:t>International Organization</w:t>
      </w:r>
      <w:r w:rsidRPr="008353A5">
        <w:rPr>
          <w:sz w:val="23"/>
          <w:szCs w:val="23"/>
        </w:rPr>
        <w:t>, no. 55(2), pp. 357-90</w:t>
      </w:r>
    </w:p>
    <w:p w14:paraId="74E4DD7E" w14:textId="37AC6125" w:rsidR="001D20A0" w:rsidRDefault="001D20A0" w:rsidP="00EC20CB">
      <w:pPr>
        <w:pStyle w:val="Reference"/>
        <w:ind w:left="426" w:hanging="426"/>
        <w:rPr>
          <w:szCs w:val="23"/>
        </w:rPr>
      </w:pPr>
      <w:r w:rsidRPr="008353A5">
        <w:rPr>
          <w:szCs w:val="23"/>
        </w:rPr>
        <w:t>Haas, E.B</w:t>
      </w:r>
      <w:r w:rsidR="004B40ED">
        <w:rPr>
          <w:szCs w:val="23"/>
        </w:rPr>
        <w:t>.</w:t>
      </w:r>
      <w:r w:rsidRPr="008353A5">
        <w:rPr>
          <w:szCs w:val="23"/>
        </w:rPr>
        <w:t xml:space="preserve"> (1958) ‘The Uniting of Europe’. Stanford: Stanford Univ. Press</w:t>
      </w:r>
    </w:p>
    <w:p w14:paraId="0E22B3D6" w14:textId="5FF43BF0" w:rsidR="004B40ED" w:rsidRPr="008353A5" w:rsidRDefault="004B40ED"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Haas, E. B. (1975) </w:t>
      </w:r>
      <w:r>
        <w:rPr>
          <w:sz w:val="23"/>
          <w:szCs w:val="23"/>
        </w:rPr>
        <w:t>‘</w:t>
      </w:r>
      <w:r w:rsidRPr="008353A5">
        <w:rPr>
          <w:sz w:val="23"/>
          <w:szCs w:val="23"/>
        </w:rPr>
        <w:t>The Obsolescence of Regional Integration Theory</w:t>
      </w:r>
      <w:r>
        <w:rPr>
          <w:sz w:val="23"/>
          <w:szCs w:val="23"/>
        </w:rPr>
        <w:t>’</w:t>
      </w:r>
      <w:r w:rsidRPr="008353A5">
        <w:rPr>
          <w:sz w:val="23"/>
          <w:szCs w:val="23"/>
        </w:rPr>
        <w:t xml:space="preserve">. </w:t>
      </w:r>
      <w:r w:rsidRPr="004B40ED">
        <w:rPr>
          <w:i/>
          <w:sz w:val="23"/>
          <w:szCs w:val="23"/>
        </w:rPr>
        <w:t>Research Studies</w:t>
      </w:r>
      <w:r w:rsidRPr="008353A5">
        <w:rPr>
          <w:sz w:val="23"/>
          <w:szCs w:val="23"/>
        </w:rPr>
        <w:t xml:space="preserve"> </w:t>
      </w:r>
      <w:r>
        <w:rPr>
          <w:sz w:val="23"/>
          <w:szCs w:val="23"/>
        </w:rPr>
        <w:t xml:space="preserve">No. </w:t>
      </w:r>
      <w:r w:rsidRPr="008353A5">
        <w:rPr>
          <w:sz w:val="23"/>
          <w:szCs w:val="23"/>
        </w:rPr>
        <w:t>25 Berkeley: Institute of International Studies.</w:t>
      </w:r>
    </w:p>
    <w:p w14:paraId="6574E112" w14:textId="1DB577BF" w:rsidR="004B40ED" w:rsidRPr="008353A5" w:rsidRDefault="00AC19CD"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lastRenderedPageBreak/>
        <w:t>Haas, E. B. (1976) ‘</w:t>
      </w:r>
      <w:r w:rsidR="004B40ED" w:rsidRPr="008353A5">
        <w:rPr>
          <w:sz w:val="23"/>
          <w:szCs w:val="23"/>
        </w:rPr>
        <w:t>Turbulent Fields and the Theory of Regional Integra</w:t>
      </w:r>
      <w:r>
        <w:rPr>
          <w:sz w:val="23"/>
          <w:szCs w:val="23"/>
        </w:rPr>
        <w:t>tion’.</w:t>
      </w:r>
      <w:r w:rsidR="004B40ED" w:rsidRPr="008353A5">
        <w:rPr>
          <w:sz w:val="23"/>
          <w:szCs w:val="23"/>
        </w:rPr>
        <w:t xml:space="preserve"> </w:t>
      </w:r>
      <w:r w:rsidR="004B40ED" w:rsidRPr="00AC19CD">
        <w:rPr>
          <w:i/>
          <w:sz w:val="23"/>
          <w:szCs w:val="23"/>
        </w:rPr>
        <w:t>I</w:t>
      </w:r>
      <w:r w:rsidR="004B40ED" w:rsidRPr="00AC19CD">
        <w:rPr>
          <w:i/>
          <w:sz w:val="23"/>
          <w:szCs w:val="23"/>
        </w:rPr>
        <w:t>n</w:t>
      </w:r>
      <w:r w:rsidR="004B40ED" w:rsidRPr="00AC19CD">
        <w:rPr>
          <w:i/>
          <w:sz w:val="23"/>
          <w:szCs w:val="23"/>
        </w:rPr>
        <w:t>ternational Organization</w:t>
      </w:r>
      <w:r w:rsidR="004B40ED" w:rsidRPr="008353A5">
        <w:rPr>
          <w:sz w:val="23"/>
          <w:szCs w:val="23"/>
        </w:rPr>
        <w:t xml:space="preserve">. </w:t>
      </w:r>
      <w:r>
        <w:rPr>
          <w:sz w:val="23"/>
          <w:szCs w:val="23"/>
        </w:rPr>
        <w:t>No. 30(2), pp.</w:t>
      </w:r>
      <w:r w:rsidR="004B40ED" w:rsidRPr="008353A5">
        <w:rPr>
          <w:sz w:val="23"/>
          <w:szCs w:val="23"/>
        </w:rPr>
        <w:t xml:space="preserve"> 173-212.</w:t>
      </w:r>
    </w:p>
    <w:p w14:paraId="15AF0342" w14:textId="2D333BC3" w:rsidR="004B40ED" w:rsidRPr="008353A5" w:rsidRDefault="00D32D67"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Hirschman</w:t>
      </w:r>
      <w:r w:rsidR="00DC5E66">
        <w:rPr>
          <w:sz w:val="23"/>
          <w:szCs w:val="23"/>
        </w:rPr>
        <w:t>n, A. O.; (1997)</w:t>
      </w:r>
      <w:r>
        <w:rPr>
          <w:sz w:val="23"/>
          <w:szCs w:val="23"/>
        </w:rPr>
        <w:t xml:space="preserve"> ‘</w:t>
      </w:r>
      <w:r w:rsidR="004B40ED" w:rsidRPr="008353A5">
        <w:rPr>
          <w:sz w:val="23"/>
          <w:szCs w:val="23"/>
        </w:rPr>
        <w:t>The Passions and the Interests: Political Arguments fo</w:t>
      </w:r>
      <w:r>
        <w:rPr>
          <w:sz w:val="23"/>
          <w:szCs w:val="23"/>
        </w:rPr>
        <w:t>r Capitalism before Its Triumph’</w:t>
      </w:r>
      <w:r w:rsidR="004B40ED" w:rsidRPr="008353A5">
        <w:rPr>
          <w:sz w:val="23"/>
          <w:szCs w:val="23"/>
        </w:rPr>
        <w:t xml:space="preserve">. </w:t>
      </w:r>
      <w:r>
        <w:rPr>
          <w:sz w:val="23"/>
          <w:szCs w:val="23"/>
        </w:rPr>
        <w:t xml:space="preserve">Princeton: </w:t>
      </w:r>
      <w:r w:rsidR="004B40ED" w:rsidRPr="008353A5">
        <w:rPr>
          <w:sz w:val="23"/>
          <w:szCs w:val="23"/>
        </w:rPr>
        <w:t>Princeton University Press.</w:t>
      </w:r>
    </w:p>
    <w:p w14:paraId="761CC5C1" w14:textId="4140A94F" w:rsidR="004B40ED" w:rsidRDefault="004B40ED" w:rsidP="00EC20CB">
      <w:pPr>
        <w:pStyle w:val="Reference"/>
        <w:ind w:left="426" w:hanging="426"/>
        <w:rPr>
          <w:szCs w:val="23"/>
        </w:rPr>
      </w:pPr>
      <w:r w:rsidRPr="008353A5">
        <w:rPr>
          <w:szCs w:val="23"/>
        </w:rPr>
        <w:t xml:space="preserve">Hoffmann, S. (1966) ‘Obstinate or obsolete: the fate of the nation state and the case of Western Europe’, </w:t>
      </w:r>
      <w:r w:rsidRPr="008353A5">
        <w:rPr>
          <w:i/>
          <w:szCs w:val="23"/>
        </w:rPr>
        <w:t>Daedalus</w:t>
      </w:r>
      <w:r w:rsidR="0056326A">
        <w:rPr>
          <w:szCs w:val="23"/>
        </w:rPr>
        <w:t xml:space="preserve"> 95, pp.</w:t>
      </w:r>
      <w:r w:rsidRPr="008353A5">
        <w:rPr>
          <w:szCs w:val="23"/>
        </w:rPr>
        <w:t xml:space="preserve"> 862–915.</w:t>
      </w:r>
    </w:p>
    <w:p w14:paraId="63362D9A" w14:textId="21704E06" w:rsidR="00487616" w:rsidRPr="008353A5" w:rsidRDefault="00A739BB"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Hix, S. (1994)</w:t>
      </w:r>
      <w:r w:rsidR="0025335E">
        <w:rPr>
          <w:sz w:val="23"/>
          <w:szCs w:val="23"/>
        </w:rPr>
        <w:t xml:space="preserve"> </w:t>
      </w:r>
      <w:r>
        <w:rPr>
          <w:sz w:val="23"/>
          <w:szCs w:val="23"/>
        </w:rPr>
        <w:t>‘</w:t>
      </w:r>
      <w:r w:rsidR="00487616" w:rsidRPr="008353A5">
        <w:rPr>
          <w:sz w:val="23"/>
          <w:szCs w:val="23"/>
        </w:rPr>
        <w:t>The Study of the European Community: The Challenge to Co</w:t>
      </w:r>
      <w:r w:rsidR="00487616" w:rsidRPr="008353A5">
        <w:rPr>
          <w:sz w:val="23"/>
          <w:szCs w:val="23"/>
        </w:rPr>
        <w:t>m</w:t>
      </w:r>
      <w:r w:rsidR="00487616" w:rsidRPr="008353A5">
        <w:rPr>
          <w:sz w:val="23"/>
          <w:szCs w:val="23"/>
        </w:rPr>
        <w:t>par</w:t>
      </w:r>
      <w:r>
        <w:rPr>
          <w:sz w:val="23"/>
          <w:szCs w:val="23"/>
        </w:rPr>
        <w:t>ative Politics’.</w:t>
      </w:r>
      <w:r w:rsidR="00487616" w:rsidRPr="008353A5">
        <w:rPr>
          <w:sz w:val="23"/>
          <w:szCs w:val="23"/>
        </w:rPr>
        <w:t xml:space="preserve"> </w:t>
      </w:r>
      <w:r w:rsidR="00487616" w:rsidRPr="00A739BB">
        <w:rPr>
          <w:i/>
          <w:sz w:val="23"/>
          <w:szCs w:val="23"/>
        </w:rPr>
        <w:t>West European Politics</w:t>
      </w:r>
      <w:r>
        <w:rPr>
          <w:sz w:val="23"/>
          <w:szCs w:val="23"/>
        </w:rPr>
        <w:t xml:space="preserve"> No. 17(1), pp.</w:t>
      </w:r>
      <w:r w:rsidR="00487616" w:rsidRPr="008353A5">
        <w:rPr>
          <w:sz w:val="23"/>
          <w:szCs w:val="23"/>
        </w:rPr>
        <w:t xml:space="preserve"> 1-30.</w:t>
      </w:r>
    </w:p>
    <w:p w14:paraId="44663E80" w14:textId="0523D10C" w:rsidR="004B40ED" w:rsidRPr="008353A5" w:rsidRDefault="0025335E"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Hix, S. (1998)</w:t>
      </w:r>
      <w:r w:rsidR="00DB316B">
        <w:rPr>
          <w:sz w:val="23"/>
          <w:szCs w:val="23"/>
        </w:rPr>
        <w:t xml:space="preserve"> ‘</w:t>
      </w:r>
      <w:proofErr w:type="gramStart"/>
      <w:r w:rsidR="004B40ED" w:rsidRPr="008353A5">
        <w:rPr>
          <w:sz w:val="23"/>
          <w:szCs w:val="23"/>
        </w:rPr>
        <w:t>The</w:t>
      </w:r>
      <w:proofErr w:type="gramEnd"/>
      <w:r w:rsidR="004B40ED" w:rsidRPr="008353A5">
        <w:rPr>
          <w:sz w:val="23"/>
          <w:szCs w:val="23"/>
        </w:rPr>
        <w:t xml:space="preserve"> study of the European Union II: the ‘new go</w:t>
      </w:r>
      <w:r w:rsidR="00DF01B5">
        <w:rPr>
          <w:sz w:val="23"/>
          <w:szCs w:val="23"/>
        </w:rPr>
        <w:t>vernance’ agenda and its rival’.</w:t>
      </w:r>
      <w:r w:rsidR="004B40ED" w:rsidRPr="008353A5">
        <w:rPr>
          <w:sz w:val="23"/>
          <w:szCs w:val="23"/>
        </w:rPr>
        <w:t xml:space="preserve"> </w:t>
      </w:r>
      <w:r w:rsidR="004B40ED" w:rsidRPr="00DF01B5">
        <w:rPr>
          <w:i/>
          <w:sz w:val="23"/>
          <w:szCs w:val="23"/>
        </w:rPr>
        <w:t>Journal</w:t>
      </w:r>
      <w:r w:rsidR="00DF01B5" w:rsidRPr="00DF01B5">
        <w:rPr>
          <w:i/>
          <w:sz w:val="23"/>
          <w:szCs w:val="23"/>
        </w:rPr>
        <w:t xml:space="preserve"> of European Public Policy</w:t>
      </w:r>
      <w:r w:rsidR="00DF01B5">
        <w:rPr>
          <w:sz w:val="23"/>
          <w:szCs w:val="23"/>
        </w:rPr>
        <w:t xml:space="preserve"> No. 5(1), pp. </w:t>
      </w:r>
      <w:r w:rsidR="004B40ED" w:rsidRPr="008353A5">
        <w:rPr>
          <w:sz w:val="23"/>
          <w:szCs w:val="23"/>
        </w:rPr>
        <w:t>38–65.</w:t>
      </w:r>
    </w:p>
    <w:p w14:paraId="21789922" w14:textId="5B0A4D1F" w:rsidR="004B40ED" w:rsidRPr="008353A5" w:rsidRDefault="00B62686"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Hoffmann, S. (1966) </w:t>
      </w:r>
      <w:r>
        <w:rPr>
          <w:sz w:val="23"/>
          <w:szCs w:val="23"/>
        </w:rPr>
        <w:t>‘</w:t>
      </w:r>
      <w:r w:rsidRPr="008353A5">
        <w:rPr>
          <w:sz w:val="23"/>
          <w:szCs w:val="23"/>
        </w:rPr>
        <w:t xml:space="preserve">Obstinate or Obsolete? The Fate of the Nation-State </w:t>
      </w:r>
      <w:r>
        <w:rPr>
          <w:sz w:val="23"/>
          <w:szCs w:val="23"/>
        </w:rPr>
        <w:t>and the Case of Western Europe.’</w:t>
      </w:r>
      <w:r w:rsidRPr="0007001C">
        <w:rPr>
          <w:i/>
          <w:sz w:val="23"/>
          <w:szCs w:val="23"/>
        </w:rPr>
        <w:t xml:space="preserve"> Daedalus</w:t>
      </w:r>
      <w:r w:rsidRPr="008353A5">
        <w:rPr>
          <w:sz w:val="23"/>
          <w:szCs w:val="23"/>
        </w:rPr>
        <w:t xml:space="preserve"> </w:t>
      </w:r>
      <w:r w:rsidR="0007001C">
        <w:rPr>
          <w:sz w:val="23"/>
          <w:szCs w:val="23"/>
        </w:rPr>
        <w:t xml:space="preserve">No. </w:t>
      </w:r>
      <w:r w:rsidRPr="008353A5">
        <w:rPr>
          <w:sz w:val="23"/>
          <w:szCs w:val="23"/>
        </w:rPr>
        <w:t>95</w:t>
      </w:r>
    </w:p>
    <w:p w14:paraId="21550319" w14:textId="2820263B" w:rsidR="000C794F" w:rsidRPr="008353A5"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IMF (2010) </w:t>
      </w:r>
      <w:r w:rsidR="00CB6874">
        <w:rPr>
          <w:sz w:val="23"/>
          <w:szCs w:val="23"/>
        </w:rPr>
        <w:t>‘</w:t>
      </w:r>
      <w:r w:rsidRPr="008353A5">
        <w:rPr>
          <w:sz w:val="23"/>
          <w:szCs w:val="23"/>
        </w:rPr>
        <w:t xml:space="preserve">Greece: </w:t>
      </w:r>
      <w:proofErr w:type="gramStart"/>
      <w:r w:rsidRPr="008353A5">
        <w:rPr>
          <w:sz w:val="23"/>
          <w:szCs w:val="23"/>
        </w:rPr>
        <w:t>staff report</w:t>
      </w:r>
      <w:proofErr w:type="gramEnd"/>
      <w:r w:rsidRPr="008353A5">
        <w:rPr>
          <w:sz w:val="23"/>
          <w:szCs w:val="23"/>
        </w:rPr>
        <w:t xml:space="preserve"> on request for stand-by arrangement</w:t>
      </w:r>
      <w:r w:rsidR="00CB6874">
        <w:rPr>
          <w:sz w:val="23"/>
          <w:szCs w:val="23"/>
        </w:rPr>
        <w:t>’</w:t>
      </w:r>
      <w:r w:rsidRPr="008353A5">
        <w:rPr>
          <w:sz w:val="23"/>
          <w:szCs w:val="23"/>
        </w:rPr>
        <w:t xml:space="preserve">. </w:t>
      </w:r>
      <w:proofErr w:type="gramStart"/>
      <w:r w:rsidRPr="008353A5">
        <w:rPr>
          <w:sz w:val="23"/>
          <w:szCs w:val="23"/>
        </w:rPr>
        <w:t>Country Report No. 10/110.</w:t>
      </w:r>
      <w:proofErr w:type="gramEnd"/>
      <w:r w:rsidRPr="008353A5">
        <w:rPr>
          <w:sz w:val="23"/>
          <w:szCs w:val="23"/>
        </w:rPr>
        <w:t xml:space="preserve"> Washington DC: International Monetary Fund.</w:t>
      </w:r>
    </w:p>
    <w:p w14:paraId="0F092D16" w14:textId="02599707" w:rsidR="000C794F" w:rsidRPr="008353A5"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Iversen T. (2005) </w:t>
      </w:r>
      <w:r w:rsidR="00DC144E">
        <w:rPr>
          <w:sz w:val="23"/>
          <w:szCs w:val="23"/>
        </w:rPr>
        <w:t>‘</w:t>
      </w:r>
      <w:r w:rsidRPr="008353A5">
        <w:rPr>
          <w:sz w:val="23"/>
          <w:szCs w:val="23"/>
        </w:rPr>
        <w:t>Capitalism, democracy and welfare</w:t>
      </w:r>
      <w:r w:rsidR="00DC144E">
        <w:rPr>
          <w:sz w:val="23"/>
          <w:szCs w:val="23"/>
        </w:rPr>
        <w:t>’</w:t>
      </w:r>
      <w:r w:rsidRPr="008353A5">
        <w:rPr>
          <w:sz w:val="23"/>
          <w:szCs w:val="23"/>
        </w:rPr>
        <w:t>. Cambridge: Cambridge University Press.</w:t>
      </w:r>
    </w:p>
    <w:p w14:paraId="79B9A84B" w14:textId="14CE5479" w:rsidR="000C794F" w:rsidRPr="008353A5" w:rsidRDefault="00DC144E"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Jordan, Andrew (2001) ‘</w:t>
      </w:r>
      <w:r w:rsidR="000C794F" w:rsidRPr="008353A5">
        <w:rPr>
          <w:sz w:val="23"/>
          <w:szCs w:val="23"/>
        </w:rPr>
        <w:t>The European Union: An Evolving System of Multi-L</w:t>
      </w:r>
      <w:r>
        <w:rPr>
          <w:sz w:val="23"/>
          <w:szCs w:val="23"/>
        </w:rPr>
        <w:t>evel Governance… or Government?’</w:t>
      </w:r>
      <w:r w:rsidR="000C794F" w:rsidRPr="00FE3A0F">
        <w:rPr>
          <w:i/>
          <w:sz w:val="23"/>
          <w:szCs w:val="23"/>
        </w:rPr>
        <w:t xml:space="preserve"> Policy and Politics </w:t>
      </w:r>
      <w:r w:rsidR="00FE3A0F">
        <w:rPr>
          <w:sz w:val="23"/>
          <w:szCs w:val="23"/>
        </w:rPr>
        <w:t xml:space="preserve">No. </w:t>
      </w:r>
      <w:r w:rsidR="000C794F" w:rsidRPr="008353A5">
        <w:rPr>
          <w:sz w:val="23"/>
          <w:szCs w:val="23"/>
        </w:rPr>
        <w:t>29(2): 193-208.</w:t>
      </w:r>
    </w:p>
    <w:p w14:paraId="075FA32F" w14:textId="77777777" w:rsidR="000C794F" w:rsidRDefault="000C794F" w:rsidP="00EC20CB">
      <w:pPr>
        <w:pStyle w:val="Reference"/>
        <w:ind w:left="426" w:hanging="426"/>
        <w:rPr>
          <w:szCs w:val="23"/>
        </w:rPr>
      </w:pPr>
      <w:r w:rsidRPr="008353A5">
        <w:rPr>
          <w:szCs w:val="23"/>
        </w:rPr>
        <w:t xml:space="preserve">Lane, P.R. (2012) ‘The European Sovereign Debt Crisis’. </w:t>
      </w:r>
      <w:proofErr w:type="gramStart"/>
      <w:r w:rsidRPr="008353A5">
        <w:rPr>
          <w:i/>
          <w:szCs w:val="23"/>
        </w:rPr>
        <w:t>Journal of Economic Perspe</w:t>
      </w:r>
      <w:r w:rsidRPr="008353A5">
        <w:rPr>
          <w:i/>
          <w:szCs w:val="23"/>
        </w:rPr>
        <w:t>c</w:t>
      </w:r>
      <w:r w:rsidRPr="008353A5">
        <w:rPr>
          <w:i/>
          <w:szCs w:val="23"/>
        </w:rPr>
        <w:t>tives</w:t>
      </w:r>
      <w:r w:rsidRPr="008353A5">
        <w:rPr>
          <w:szCs w:val="23"/>
        </w:rPr>
        <w:t>.</w:t>
      </w:r>
      <w:proofErr w:type="gramEnd"/>
      <w:r w:rsidRPr="008353A5">
        <w:rPr>
          <w:szCs w:val="23"/>
        </w:rPr>
        <w:t xml:space="preserve"> Volume 26, Number 3-Summer 2012, pp. 49–68</w:t>
      </w:r>
    </w:p>
    <w:p w14:paraId="1DD0249E" w14:textId="32BF3FD5" w:rsidR="000C794F"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Le Grand J. (2003) </w:t>
      </w:r>
      <w:r w:rsidR="002F171D">
        <w:rPr>
          <w:sz w:val="23"/>
          <w:szCs w:val="23"/>
        </w:rPr>
        <w:t>‘</w:t>
      </w:r>
      <w:r w:rsidRPr="008353A5">
        <w:rPr>
          <w:sz w:val="23"/>
          <w:szCs w:val="23"/>
        </w:rPr>
        <w:t>Motivation, agency and public policy: of knights and knaves, pawns and queens</w:t>
      </w:r>
      <w:r w:rsidR="002F171D">
        <w:rPr>
          <w:sz w:val="23"/>
          <w:szCs w:val="23"/>
        </w:rPr>
        <w:t>’</w:t>
      </w:r>
      <w:r w:rsidRPr="008353A5">
        <w:rPr>
          <w:sz w:val="23"/>
          <w:szCs w:val="23"/>
        </w:rPr>
        <w:t>. Oxford: Oxford University Press.</w:t>
      </w:r>
    </w:p>
    <w:p w14:paraId="3002A814" w14:textId="75C594DE" w:rsidR="000C794F" w:rsidRPr="008353A5" w:rsidRDefault="000C794F"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sidRPr="008353A5">
        <w:rPr>
          <w:rFonts w:eastAsiaTheme="minorEastAsia" w:cs="Helvetica"/>
          <w:sz w:val="23"/>
          <w:szCs w:val="23"/>
        </w:rPr>
        <w:t>Ma</w:t>
      </w:r>
      <w:r w:rsidR="003D5A6A">
        <w:rPr>
          <w:rFonts w:eastAsiaTheme="minorEastAsia" w:cs="Helvetica"/>
          <w:sz w:val="23"/>
          <w:szCs w:val="23"/>
        </w:rPr>
        <w:t xml:space="preserve">astricht Treaty of the </w:t>
      </w:r>
      <w:proofErr w:type="gramStart"/>
      <w:r w:rsidR="003D5A6A">
        <w:rPr>
          <w:rFonts w:eastAsiaTheme="minorEastAsia" w:cs="Helvetica"/>
          <w:sz w:val="23"/>
          <w:szCs w:val="23"/>
        </w:rPr>
        <w:t>European</w:t>
      </w:r>
      <w:r w:rsidRPr="008353A5">
        <w:rPr>
          <w:rFonts w:eastAsiaTheme="minorEastAsia" w:cs="Helvetica"/>
          <w:sz w:val="23"/>
          <w:szCs w:val="23"/>
        </w:rPr>
        <w:t>Union,</w:t>
      </w:r>
      <w:proofErr w:type="gramEnd"/>
      <w:r w:rsidRPr="008353A5">
        <w:rPr>
          <w:rFonts w:eastAsiaTheme="minorEastAsia" w:cs="Helvetica"/>
          <w:sz w:val="23"/>
          <w:szCs w:val="23"/>
        </w:rPr>
        <w:t xml:space="preserve"> signed in 7 February 1992. </w:t>
      </w:r>
      <w:proofErr w:type="gramStart"/>
      <w:r w:rsidRPr="003D5A6A">
        <w:rPr>
          <w:rFonts w:eastAsiaTheme="minorEastAsia" w:cs="Helvetica"/>
          <w:i/>
          <w:sz w:val="23"/>
          <w:szCs w:val="23"/>
        </w:rPr>
        <w:t>Official Jou</w:t>
      </w:r>
      <w:r w:rsidRPr="003D5A6A">
        <w:rPr>
          <w:rFonts w:eastAsiaTheme="minorEastAsia" w:cs="Helvetica"/>
          <w:i/>
          <w:sz w:val="23"/>
          <w:szCs w:val="23"/>
        </w:rPr>
        <w:t>r</w:t>
      </w:r>
      <w:r w:rsidRPr="003D5A6A">
        <w:rPr>
          <w:rFonts w:eastAsiaTheme="minorEastAsia" w:cs="Helvetica"/>
          <w:i/>
          <w:sz w:val="23"/>
          <w:szCs w:val="23"/>
        </w:rPr>
        <w:t>nal of the European Communities</w:t>
      </w:r>
      <w:r w:rsidRPr="008353A5">
        <w:rPr>
          <w:rFonts w:eastAsiaTheme="minorEastAsia" w:cs="Helvetica"/>
          <w:sz w:val="23"/>
          <w:szCs w:val="23"/>
        </w:rPr>
        <w:t>, issue 8/02/1992.</w:t>
      </w:r>
      <w:proofErr w:type="gramEnd"/>
    </w:p>
    <w:p w14:paraId="12538049" w14:textId="44A26E9B" w:rsidR="000C794F" w:rsidRPr="008353A5" w:rsidRDefault="00C746EF"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Manin, B. (1997) ‘</w:t>
      </w:r>
      <w:r w:rsidR="000C794F" w:rsidRPr="008353A5">
        <w:rPr>
          <w:rFonts w:eastAsiaTheme="minorEastAsia" w:cs="Helvetica"/>
          <w:sz w:val="23"/>
          <w:szCs w:val="23"/>
        </w:rPr>
        <w:t>Principl</w:t>
      </w:r>
      <w:r>
        <w:rPr>
          <w:rFonts w:eastAsiaTheme="minorEastAsia" w:cs="Helvetica"/>
          <w:sz w:val="23"/>
          <w:szCs w:val="23"/>
        </w:rPr>
        <w:t>es of Representative Government’</w:t>
      </w:r>
      <w:r w:rsidR="000C794F" w:rsidRPr="008353A5">
        <w:rPr>
          <w:rFonts w:eastAsiaTheme="minorEastAsia" w:cs="Helvetica"/>
          <w:sz w:val="23"/>
          <w:szCs w:val="23"/>
        </w:rPr>
        <w:t>. New York: Ca</w:t>
      </w:r>
      <w:r w:rsidR="000C794F" w:rsidRPr="008353A5">
        <w:rPr>
          <w:rFonts w:eastAsiaTheme="minorEastAsia" w:cs="Helvetica"/>
          <w:sz w:val="23"/>
          <w:szCs w:val="23"/>
        </w:rPr>
        <w:t>m</w:t>
      </w:r>
      <w:r w:rsidR="000C794F" w:rsidRPr="008353A5">
        <w:rPr>
          <w:rFonts w:eastAsiaTheme="minorEastAsia" w:cs="Helvetica"/>
          <w:sz w:val="23"/>
          <w:szCs w:val="23"/>
        </w:rPr>
        <w:t>bridge University Press.</w:t>
      </w:r>
    </w:p>
    <w:p w14:paraId="35B17F94" w14:textId="2BE00836" w:rsidR="000C794F" w:rsidRDefault="000C794F" w:rsidP="00EC20CB">
      <w:pPr>
        <w:ind w:left="426" w:hanging="426"/>
        <w:rPr>
          <w:sz w:val="23"/>
          <w:szCs w:val="23"/>
        </w:rPr>
      </w:pPr>
      <w:r w:rsidRPr="008353A5">
        <w:rPr>
          <w:sz w:val="23"/>
          <w:szCs w:val="23"/>
        </w:rPr>
        <w:t>Marks, G. (1993</w:t>
      </w:r>
      <w:r w:rsidR="00B12066">
        <w:rPr>
          <w:sz w:val="23"/>
          <w:szCs w:val="23"/>
        </w:rPr>
        <w:t>a</w:t>
      </w:r>
      <w:r w:rsidRPr="008353A5">
        <w:rPr>
          <w:sz w:val="23"/>
          <w:szCs w:val="23"/>
        </w:rPr>
        <w:t>) ‘Structural Policy and Multilevel Governance in the EC’ in Alan Cafruny and Glenda Rosenthal, eds</w:t>
      </w:r>
      <w:proofErr w:type="gramStart"/>
      <w:r w:rsidRPr="008353A5">
        <w:rPr>
          <w:sz w:val="23"/>
          <w:szCs w:val="23"/>
        </w:rPr>
        <w:t>.,</w:t>
      </w:r>
      <w:proofErr w:type="gramEnd"/>
      <w:r w:rsidRPr="008353A5">
        <w:rPr>
          <w:sz w:val="23"/>
          <w:szCs w:val="23"/>
        </w:rPr>
        <w:t xml:space="preserve"> </w:t>
      </w:r>
      <w:r w:rsidRPr="008353A5">
        <w:rPr>
          <w:i/>
          <w:sz w:val="23"/>
          <w:szCs w:val="23"/>
        </w:rPr>
        <w:t>The State of the European Community</w:t>
      </w:r>
      <w:r w:rsidRPr="008353A5">
        <w:rPr>
          <w:sz w:val="23"/>
          <w:szCs w:val="23"/>
        </w:rPr>
        <w:t xml:space="preserve">. New York: Lynne Rienner. </w:t>
      </w:r>
      <w:proofErr w:type="gramStart"/>
      <w:r w:rsidRPr="008353A5">
        <w:rPr>
          <w:sz w:val="23"/>
          <w:szCs w:val="23"/>
        </w:rPr>
        <w:t>pp</w:t>
      </w:r>
      <w:proofErr w:type="gramEnd"/>
      <w:r w:rsidRPr="008353A5">
        <w:rPr>
          <w:sz w:val="23"/>
          <w:szCs w:val="23"/>
        </w:rPr>
        <w:t>. 391-410.</w:t>
      </w:r>
    </w:p>
    <w:p w14:paraId="07DDCA34" w14:textId="0C5FD9BB" w:rsidR="00B66E64" w:rsidRDefault="00B66E64"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Marks, </w:t>
      </w:r>
      <w:r>
        <w:rPr>
          <w:sz w:val="23"/>
          <w:szCs w:val="23"/>
        </w:rPr>
        <w:t>G.</w:t>
      </w:r>
      <w:r w:rsidRPr="008353A5">
        <w:rPr>
          <w:sz w:val="23"/>
          <w:szCs w:val="23"/>
        </w:rPr>
        <w:t xml:space="preserve"> (1993</w:t>
      </w:r>
      <w:r>
        <w:rPr>
          <w:sz w:val="23"/>
          <w:szCs w:val="23"/>
        </w:rPr>
        <w:t>b</w:t>
      </w:r>
      <w:r w:rsidRPr="008353A5">
        <w:rPr>
          <w:sz w:val="23"/>
          <w:szCs w:val="23"/>
        </w:rPr>
        <w:t xml:space="preserve">) ‘Structural Policy And Multi-Level Governance’, In A. Carfuny and G. Rosenthal (eds) </w:t>
      </w:r>
      <w:r w:rsidRPr="00464053">
        <w:rPr>
          <w:i/>
          <w:sz w:val="23"/>
          <w:szCs w:val="23"/>
        </w:rPr>
        <w:t>The State Of The European Community, Vol. 2: The Maa</w:t>
      </w:r>
      <w:r w:rsidRPr="00464053">
        <w:rPr>
          <w:i/>
          <w:sz w:val="23"/>
          <w:szCs w:val="23"/>
        </w:rPr>
        <w:t>s</w:t>
      </w:r>
      <w:r w:rsidRPr="00464053">
        <w:rPr>
          <w:i/>
          <w:sz w:val="23"/>
          <w:szCs w:val="23"/>
        </w:rPr>
        <w:t xml:space="preserve">tricht Debates </w:t>
      </w:r>
      <w:proofErr w:type="gramStart"/>
      <w:r w:rsidRPr="00464053">
        <w:rPr>
          <w:i/>
          <w:sz w:val="23"/>
          <w:szCs w:val="23"/>
        </w:rPr>
        <w:t>And</w:t>
      </w:r>
      <w:proofErr w:type="gramEnd"/>
      <w:r w:rsidRPr="00464053">
        <w:rPr>
          <w:i/>
          <w:sz w:val="23"/>
          <w:szCs w:val="23"/>
        </w:rPr>
        <w:t xml:space="preserve"> Beyond</w:t>
      </w:r>
      <w:r w:rsidR="00464053">
        <w:rPr>
          <w:sz w:val="23"/>
          <w:szCs w:val="23"/>
        </w:rPr>
        <w:t>.</w:t>
      </w:r>
      <w:r w:rsidRPr="008353A5">
        <w:rPr>
          <w:sz w:val="23"/>
          <w:szCs w:val="23"/>
        </w:rPr>
        <w:t xml:space="preserve"> London: Longman.</w:t>
      </w:r>
    </w:p>
    <w:p w14:paraId="476DC2F5" w14:textId="77777777" w:rsidR="00AB7A7E" w:rsidRPr="008353A5" w:rsidRDefault="00AB7A7E"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sidRPr="008353A5">
        <w:rPr>
          <w:sz w:val="23"/>
          <w:szCs w:val="23"/>
        </w:rPr>
        <w:t>Marks, G. Streeck, W., Schmitter, P.C.</w:t>
      </w:r>
      <w:proofErr w:type="gramEnd"/>
      <w:r w:rsidRPr="008353A5">
        <w:rPr>
          <w:sz w:val="23"/>
          <w:szCs w:val="23"/>
        </w:rPr>
        <w:t xml:space="preserve"> And Scharpf, F.W. (1995) Governance In The European Union, London: Sage.</w:t>
      </w:r>
    </w:p>
    <w:p w14:paraId="3C8EA571" w14:textId="6A89E596" w:rsidR="00AB7A7E" w:rsidRPr="008353A5" w:rsidRDefault="00AB7A7E" w:rsidP="00EC20CB">
      <w:pPr>
        <w:ind w:left="426" w:hanging="426"/>
        <w:rPr>
          <w:sz w:val="23"/>
          <w:szCs w:val="23"/>
        </w:rPr>
      </w:pPr>
      <w:r w:rsidRPr="008353A5">
        <w:rPr>
          <w:sz w:val="23"/>
          <w:szCs w:val="23"/>
        </w:rPr>
        <w:t xml:space="preserve">Marks, G.; Nielsen, F.; Salk, J. and Ray, L. (1996) ‘Competencies, Cracks, and Conflicts: Regional Mobilization in the European Union’ </w:t>
      </w:r>
      <w:r w:rsidRPr="008353A5">
        <w:rPr>
          <w:i/>
          <w:sz w:val="23"/>
          <w:szCs w:val="23"/>
        </w:rPr>
        <w:t>Comparative Political Studies</w:t>
      </w:r>
      <w:r w:rsidRPr="008353A5">
        <w:rPr>
          <w:sz w:val="23"/>
          <w:szCs w:val="23"/>
        </w:rPr>
        <w:t>, 29, 2, pp.164-192</w:t>
      </w:r>
    </w:p>
    <w:p w14:paraId="09A5B8DC" w14:textId="4739997D" w:rsidR="000C794F" w:rsidRPr="008353A5"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Marks, </w:t>
      </w:r>
      <w:r w:rsidR="00930068">
        <w:rPr>
          <w:sz w:val="23"/>
          <w:szCs w:val="23"/>
        </w:rPr>
        <w:t>G.;</w:t>
      </w:r>
      <w:r w:rsidRPr="008353A5">
        <w:rPr>
          <w:sz w:val="23"/>
          <w:szCs w:val="23"/>
        </w:rPr>
        <w:t xml:space="preserve"> Hooghe</w:t>
      </w:r>
      <w:r w:rsidR="00930068">
        <w:rPr>
          <w:sz w:val="23"/>
          <w:szCs w:val="23"/>
        </w:rPr>
        <w:t>, L.;</w:t>
      </w:r>
      <w:r w:rsidRPr="008353A5">
        <w:rPr>
          <w:sz w:val="23"/>
          <w:szCs w:val="23"/>
        </w:rPr>
        <w:t xml:space="preserve"> </w:t>
      </w:r>
      <w:r w:rsidR="00930068">
        <w:rPr>
          <w:sz w:val="23"/>
          <w:szCs w:val="23"/>
        </w:rPr>
        <w:t>and</w:t>
      </w:r>
      <w:r w:rsidRPr="008353A5">
        <w:rPr>
          <w:sz w:val="23"/>
          <w:szCs w:val="23"/>
        </w:rPr>
        <w:t xml:space="preserve"> Blank</w:t>
      </w:r>
      <w:r w:rsidR="00930068">
        <w:rPr>
          <w:sz w:val="23"/>
          <w:szCs w:val="23"/>
        </w:rPr>
        <w:t xml:space="preserve"> K.</w:t>
      </w:r>
      <w:r w:rsidR="00B66E64">
        <w:rPr>
          <w:sz w:val="23"/>
          <w:szCs w:val="23"/>
        </w:rPr>
        <w:t xml:space="preserve"> (1996) ‘</w:t>
      </w:r>
      <w:r w:rsidRPr="008353A5">
        <w:rPr>
          <w:sz w:val="23"/>
          <w:szCs w:val="23"/>
        </w:rPr>
        <w:t>European Integration from the 1980s: State-Cen</w:t>
      </w:r>
      <w:r w:rsidR="00B66E64">
        <w:rPr>
          <w:sz w:val="23"/>
          <w:szCs w:val="23"/>
        </w:rPr>
        <w:t>tric v. Multi-level Governance’.</w:t>
      </w:r>
      <w:r w:rsidRPr="008353A5">
        <w:rPr>
          <w:sz w:val="23"/>
          <w:szCs w:val="23"/>
        </w:rPr>
        <w:t xml:space="preserve"> </w:t>
      </w:r>
      <w:r w:rsidRPr="00B66E64">
        <w:rPr>
          <w:i/>
          <w:sz w:val="23"/>
          <w:szCs w:val="23"/>
        </w:rPr>
        <w:t>Journal of Common Market Studies</w:t>
      </w:r>
      <w:r w:rsidRPr="008353A5">
        <w:rPr>
          <w:sz w:val="23"/>
          <w:szCs w:val="23"/>
        </w:rPr>
        <w:t xml:space="preserve"> 34(3): 341-78.</w:t>
      </w:r>
    </w:p>
    <w:p w14:paraId="12FB0315" w14:textId="77777777" w:rsidR="000C794F" w:rsidRPr="008353A5" w:rsidRDefault="000C794F" w:rsidP="00EC20CB">
      <w:pPr>
        <w:ind w:left="426" w:hanging="426"/>
        <w:rPr>
          <w:sz w:val="23"/>
          <w:szCs w:val="23"/>
        </w:rPr>
      </w:pPr>
      <w:proofErr w:type="gramStart"/>
      <w:r w:rsidRPr="008353A5">
        <w:rPr>
          <w:sz w:val="23"/>
          <w:szCs w:val="23"/>
        </w:rPr>
        <w:t>Missé, A., 2010.</w:t>
      </w:r>
      <w:proofErr w:type="gramEnd"/>
      <w:r w:rsidRPr="008353A5">
        <w:rPr>
          <w:sz w:val="23"/>
          <w:szCs w:val="23"/>
        </w:rPr>
        <w:t xml:space="preserve"> ‘La UE prepara </w:t>
      </w:r>
      <w:proofErr w:type="gramStart"/>
      <w:r w:rsidRPr="008353A5">
        <w:rPr>
          <w:sz w:val="23"/>
          <w:szCs w:val="23"/>
        </w:rPr>
        <w:t>un</w:t>
      </w:r>
      <w:proofErr w:type="gramEnd"/>
      <w:r w:rsidRPr="008353A5">
        <w:rPr>
          <w:sz w:val="23"/>
          <w:szCs w:val="23"/>
        </w:rPr>
        <w:t xml:space="preserve"> fondo de rescate multimillonario’ 10 May. </w:t>
      </w:r>
    </w:p>
    <w:p w14:paraId="42B1E7B6" w14:textId="048C9CE2" w:rsidR="000C794F" w:rsidRDefault="00E813A1" w:rsidP="00EC20CB">
      <w:pPr>
        <w:ind w:left="426" w:hanging="426"/>
        <w:rPr>
          <w:sz w:val="23"/>
          <w:szCs w:val="23"/>
        </w:rPr>
      </w:pPr>
      <w:r>
        <w:rPr>
          <w:sz w:val="23"/>
          <w:szCs w:val="23"/>
        </w:rPr>
        <w:t xml:space="preserve">Available at: </w:t>
      </w:r>
      <w:hyperlink r:id="rId231" w:history="1">
        <w:r w:rsidRPr="007966A2">
          <w:rPr>
            <w:rStyle w:val="Hyperlink"/>
            <w:sz w:val="23"/>
            <w:szCs w:val="23"/>
          </w:rPr>
          <w:t>http://elpais.com/diario/2010/05/10/economia/1273442401_850215.html</w:t>
        </w:r>
      </w:hyperlink>
    </w:p>
    <w:p w14:paraId="3E131BF7" w14:textId="77777777" w:rsidR="000C794F" w:rsidRDefault="000C794F" w:rsidP="00EC20CB">
      <w:pPr>
        <w:ind w:left="426" w:hanging="426"/>
        <w:rPr>
          <w:sz w:val="23"/>
          <w:szCs w:val="23"/>
        </w:rPr>
      </w:pPr>
      <w:r w:rsidRPr="008353A5">
        <w:rPr>
          <w:sz w:val="23"/>
          <w:szCs w:val="23"/>
        </w:rPr>
        <w:t xml:space="preserve">[Accessed 17 March 2012]. </w:t>
      </w:r>
    </w:p>
    <w:p w14:paraId="33659F2E" w14:textId="2D9B2195" w:rsidR="000C794F" w:rsidRPr="008353A5" w:rsidRDefault="000C794F" w:rsidP="00EC20CB">
      <w:pPr>
        <w:ind w:left="426" w:hanging="426"/>
        <w:rPr>
          <w:sz w:val="23"/>
          <w:szCs w:val="23"/>
        </w:rPr>
      </w:pPr>
      <w:r w:rsidRPr="008353A5">
        <w:rPr>
          <w:sz w:val="23"/>
          <w:szCs w:val="23"/>
        </w:rPr>
        <w:lastRenderedPageBreak/>
        <w:t xml:space="preserve">Moravcsik (1998): </w:t>
      </w:r>
      <w:r w:rsidR="007325DE">
        <w:rPr>
          <w:sz w:val="23"/>
          <w:szCs w:val="23"/>
        </w:rPr>
        <w:t>‘</w:t>
      </w:r>
      <w:r w:rsidRPr="008353A5">
        <w:rPr>
          <w:sz w:val="23"/>
          <w:szCs w:val="23"/>
        </w:rPr>
        <w:t>The Choice for Europe: Social Purpose and State Power from Messina to Maastricht</w:t>
      </w:r>
      <w:r w:rsidR="007325DE">
        <w:rPr>
          <w:sz w:val="23"/>
          <w:szCs w:val="23"/>
        </w:rPr>
        <w:t>’</w:t>
      </w:r>
      <w:r w:rsidR="009A795E">
        <w:rPr>
          <w:sz w:val="23"/>
          <w:szCs w:val="23"/>
        </w:rPr>
        <w:t xml:space="preserve">. Cornell: </w:t>
      </w:r>
      <w:r w:rsidR="009A795E" w:rsidRPr="009A795E">
        <w:rPr>
          <w:sz w:val="23"/>
          <w:szCs w:val="23"/>
        </w:rPr>
        <w:t>Cornell University Press</w:t>
      </w:r>
      <w:r w:rsidR="009A795E">
        <w:rPr>
          <w:sz w:val="23"/>
          <w:szCs w:val="23"/>
        </w:rPr>
        <w:t>.</w:t>
      </w:r>
    </w:p>
    <w:p w14:paraId="101E80FF" w14:textId="7CDF5ACF" w:rsidR="004B40ED" w:rsidRPr="008353A5" w:rsidRDefault="000C794F" w:rsidP="00EC20CB">
      <w:pPr>
        <w:pStyle w:val="Reference"/>
        <w:ind w:left="426" w:hanging="426"/>
        <w:rPr>
          <w:szCs w:val="23"/>
        </w:rPr>
      </w:pPr>
      <w:r w:rsidRPr="008353A5">
        <w:rPr>
          <w:szCs w:val="23"/>
        </w:rPr>
        <w:t>Morelli, M.; Luque, J.; Tavares, J.: (2012) ‘Fiscal Union Constitutional Design U</w:t>
      </w:r>
      <w:r w:rsidRPr="008353A5">
        <w:rPr>
          <w:szCs w:val="23"/>
        </w:rPr>
        <w:t>n</w:t>
      </w:r>
      <w:r w:rsidRPr="008353A5">
        <w:rPr>
          <w:szCs w:val="23"/>
        </w:rPr>
        <w:t xml:space="preserve">der the Risk of Autarky’ </w:t>
      </w:r>
      <w:r w:rsidRPr="008353A5">
        <w:rPr>
          <w:i/>
          <w:szCs w:val="23"/>
        </w:rPr>
        <w:t>CEPR Discussion Papers</w:t>
      </w:r>
      <w:r w:rsidRPr="008353A5">
        <w:rPr>
          <w:szCs w:val="23"/>
        </w:rPr>
        <w:t>: October 2011.</w:t>
      </w:r>
    </w:p>
    <w:p w14:paraId="5B71FE37" w14:textId="1408A7C5" w:rsidR="000C794F" w:rsidRPr="008353A5"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Mukand, Sharun W. and Rodrik, </w:t>
      </w:r>
      <w:r w:rsidR="005432BB">
        <w:rPr>
          <w:sz w:val="23"/>
          <w:szCs w:val="23"/>
        </w:rPr>
        <w:t>D.</w:t>
      </w:r>
      <w:r w:rsidRPr="008353A5">
        <w:rPr>
          <w:sz w:val="23"/>
          <w:szCs w:val="23"/>
        </w:rPr>
        <w:t xml:space="preserve"> </w:t>
      </w:r>
      <w:r w:rsidR="005432BB">
        <w:rPr>
          <w:sz w:val="23"/>
          <w:szCs w:val="23"/>
        </w:rPr>
        <w:t>(2002)</w:t>
      </w:r>
      <w:r w:rsidR="00506472">
        <w:rPr>
          <w:sz w:val="23"/>
          <w:szCs w:val="23"/>
        </w:rPr>
        <w:t xml:space="preserve"> ‘</w:t>
      </w:r>
      <w:r w:rsidRPr="008353A5">
        <w:rPr>
          <w:sz w:val="23"/>
          <w:szCs w:val="23"/>
        </w:rPr>
        <w:t>In Search of the Holy Grail: Policy Convergence, Experiment</w:t>
      </w:r>
      <w:r w:rsidR="00506472">
        <w:rPr>
          <w:sz w:val="23"/>
          <w:szCs w:val="23"/>
        </w:rPr>
        <w:t>ation and Economic Performance’</w:t>
      </w:r>
      <w:r w:rsidRPr="008353A5">
        <w:rPr>
          <w:sz w:val="23"/>
          <w:szCs w:val="23"/>
        </w:rPr>
        <w:t xml:space="preserve"> </w:t>
      </w:r>
      <w:r w:rsidRPr="00506472">
        <w:rPr>
          <w:i/>
          <w:sz w:val="23"/>
          <w:szCs w:val="23"/>
        </w:rPr>
        <w:t>CEPR Discussion Papers</w:t>
      </w:r>
      <w:r w:rsidRPr="008353A5">
        <w:rPr>
          <w:sz w:val="23"/>
          <w:szCs w:val="23"/>
        </w:rPr>
        <w:t xml:space="preserve"> </w:t>
      </w:r>
      <w:r w:rsidR="00506472">
        <w:rPr>
          <w:sz w:val="23"/>
          <w:szCs w:val="23"/>
        </w:rPr>
        <w:t>No. 3525</w:t>
      </w:r>
      <w:r w:rsidRPr="008353A5">
        <w:rPr>
          <w:sz w:val="23"/>
          <w:szCs w:val="23"/>
        </w:rPr>
        <w:t xml:space="preserve">. </w:t>
      </w:r>
    </w:p>
    <w:p w14:paraId="3F325CC5" w14:textId="69D83747" w:rsidR="000C794F" w:rsidRPr="008353A5"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sidRPr="008353A5">
        <w:rPr>
          <w:sz w:val="23"/>
          <w:szCs w:val="23"/>
        </w:rPr>
        <w:t xml:space="preserve">Müller, W.C. and Strøm, K. (eds.); </w:t>
      </w:r>
      <w:r w:rsidR="00A91C26">
        <w:rPr>
          <w:sz w:val="23"/>
          <w:szCs w:val="23"/>
        </w:rPr>
        <w:t>1999.</w:t>
      </w:r>
      <w:proofErr w:type="gramEnd"/>
      <w:r w:rsidR="00A91C26">
        <w:rPr>
          <w:sz w:val="23"/>
          <w:szCs w:val="23"/>
        </w:rPr>
        <w:t xml:space="preserve"> ‘Policy, Office or Votes?</w:t>
      </w:r>
      <w:proofErr w:type="gramStart"/>
      <w:r w:rsidR="00A91C26">
        <w:rPr>
          <w:sz w:val="23"/>
          <w:szCs w:val="23"/>
        </w:rPr>
        <w:t>’</w:t>
      </w:r>
      <w:r w:rsidRPr="008353A5">
        <w:rPr>
          <w:sz w:val="23"/>
          <w:szCs w:val="23"/>
        </w:rPr>
        <w:t>.</w:t>
      </w:r>
      <w:proofErr w:type="gramEnd"/>
      <w:r w:rsidRPr="008353A5">
        <w:rPr>
          <w:sz w:val="23"/>
          <w:szCs w:val="23"/>
        </w:rPr>
        <w:t xml:space="preserve"> </w:t>
      </w:r>
      <w:r w:rsidR="00A91C26">
        <w:rPr>
          <w:sz w:val="23"/>
          <w:szCs w:val="23"/>
        </w:rPr>
        <w:t xml:space="preserve">Cambirdge: </w:t>
      </w:r>
      <w:r w:rsidRPr="008353A5">
        <w:rPr>
          <w:sz w:val="23"/>
          <w:szCs w:val="23"/>
        </w:rPr>
        <w:t>Cambridge University Press.</w:t>
      </w:r>
    </w:p>
    <w:p w14:paraId="532BE106" w14:textId="30BA060E" w:rsidR="000C794F" w:rsidRPr="008353A5" w:rsidRDefault="005A2960"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North, D.C. (1990)</w:t>
      </w:r>
      <w:r w:rsidR="007F6F02">
        <w:rPr>
          <w:sz w:val="23"/>
          <w:szCs w:val="23"/>
        </w:rPr>
        <w:t xml:space="preserve"> ‘</w:t>
      </w:r>
      <w:r w:rsidR="000C794F" w:rsidRPr="008353A5">
        <w:rPr>
          <w:sz w:val="23"/>
          <w:szCs w:val="23"/>
        </w:rPr>
        <w:t>A Trans</w:t>
      </w:r>
      <w:r w:rsidR="007F6F02">
        <w:rPr>
          <w:sz w:val="23"/>
          <w:szCs w:val="23"/>
        </w:rPr>
        <w:t xml:space="preserve">action Cost Theory of </w:t>
      </w:r>
      <w:proofErr w:type="gramStart"/>
      <w:r w:rsidR="007F6F02">
        <w:rPr>
          <w:sz w:val="23"/>
          <w:szCs w:val="23"/>
        </w:rPr>
        <w:t xml:space="preserve">Politics’ </w:t>
      </w:r>
      <w:r w:rsidR="000C794F" w:rsidRPr="008353A5">
        <w:rPr>
          <w:sz w:val="23"/>
          <w:szCs w:val="23"/>
        </w:rPr>
        <w:t xml:space="preserve"> </w:t>
      </w:r>
      <w:r w:rsidR="007F6F02" w:rsidRPr="007F6F02">
        <w:rPr>
          <w:i/>
          <w:sz w:val="23"/>
          <w:szCs w:val="23"/>
        </w:rPr>
        <w:t>Working</w:t>
      </w:r>
      <w:proofErr w:type="gramEnd"/>
      <w:r w:rsidR="007F6F02" w:rsidRPr="007F6F02">
        <w:rPr>
          <w:i/>
          <w:sz w:val="23"/>
          <w:szCs w:val="23"/>
        </w:rPr>
        <w:t xml:space="preserve"> Papers of the</w:t>
      </w:r>
      <w:r w:rsidR="000C794F" w:rsidRPr="007F6F02">
        <w:rPr>
          <w:i/>
          <w:sz w:val="23"/>
          <w:szCs w:val="23"/>
        </w:rPr>
        <w:t xml:space="preserve"> Washington St. Louis - School of</w:t>
      </w:r>
      <w:r w:rsidR="007F6F02" w:rsidRPr="007F6F02">
        <w:rPr>
          <w:i/>
          <w:sz w:val="23"/>
          <w:szCs w:val="23"/>
        </w:rPr>
        <w:t xml:space="preserve"> Business and Political Economy</w:t>
      </w:r>
      <w:r w:rsidR="007F6F02">
        <w:rPr>
          <w:sz w:val="23"/>
          <w:szCs w:val="23"/>
        </w:rPr>
        <w:t>, No. 44</w:t>
      </w:r>
    </w:p>
    <w:p w14:paraId="0B5957C7" w14:textId="421F900B" w:rsidR="000C794F" w:rsidRPr="008353A5" w:rsidRDefault="005A2960"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North, D. C. (1991)</w:t>
      </w:r>
      <w:r w:rsidR="000D7B6B">
        <w:rPr>
          <w:sz w:val="23"/>
          <w:szCs w:val="23"/>
        </w:rPr>
        <w:t xml:space="preserve"> ‘</w:t>
      </w:r>
      <w:r w:rsidR="000C794F" w:rsidRPr="008353A5">
        <w:rPr>
          <w:sz w:val="23"/>
          <w:szCs w:val="23"/>
        </w:rPr>
        <w:t>I</w:t>
      </w:r>
      <w:r w:rsidR="000D7B6B">
        <w:rPr>
          <w:sz w:val="23"/>
          <w:szCs w:val="23"/>
        </w:rPr>
        <w:t>nstitutions’.</w:t>
      </w:r>
      <w:r w:rsidR="000C794F" w:rsidRPr="008353A5">
        <w:rPr>
          <w:sz w:val="23"/>
          <w:szCs w:val="23"/>
        </w:rPr>
        <w:t xml:space="preserve"> </w:t>
      </w:r>
      <w:r w:rsidR="000C794F" w:rsidRPr="000D7B6B">
        <w:rPr>
          <w:i/>
          <w:sz w:val="23"/>
          <w:szCs w:val="23"/>
        </w:rPr>
        <w:t>Journal of Economic Perspectives, American Economic Association</w:t>
      </w:r>
      <w:r w:rsidR="00636E89">
        <w:rPr>
          <w:sz w:val="23"/>
          <w:szCs w:val="23"/>
        </w:rPr>
        <w:t>, vol. 5(1), pp. 97-112</w:t>
      </w:r>
      <w:r w:rsidR="000C794F" w:rsidRPr="008353A5">
        <w:rPr>
          <w:sz w:val="23"/>
          <w:szCs w:val="23"/>
        </w:rPr>
        <w:t>.</w:t>
      </w:r>
    </w:p>
    <w:p w14:paraId="65FFBB8A" w14:textId="1B307E3F" w:rsidR="000C794F" w:rsidRPr="008353A5" w:rsidRDefault="003028AC"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 xml:space="preserve">North, </w:t>
      </w:r>
      <w:r w:rsidR="0094262E">
        <w:rPr>
          <w:sz w:val="23"/>
          <w:szCs w:val="23"/>
        </w:rPr>
        <w:t>D.C.</w:t>
      </w:r>
      <w:r>
        <w:rPr>
          <w:sz w:val="23"/>
          <w:szCs w:val="23"/>
        </w:rPr>
        <w:t xml:space="preserve"> (1981) ‘</w:t>
      </w:r>
      <w:r w:rsidR="000C794F" w:rsidRPr="008353A5">
        <w:rPr>
          <w:sz w:val="23"/>
          <w:szCs w:val="23"/>
        </w:rPr>
        <w:t>A N</w:t>
      </w:r>
      <w:r>
        <w:rPr>
          <w:sz w:val="23"/>
          <w:szCs w:val="23"/>
        </w:rPr>
        <w:t>eoclassical Theory of the State’</w:t>
      </w:r>
      <w:r w:rsidR="000C794F" w:rsidRPr="008353A5">
        <w:rPr>
          <w:sz w:val="23"/>
          <w:szCs w:val="23"/>
        </w:rPr>
        <w:t xml:space="preserve">, in R. Rogowski (ed.) </w:t>
      </w:r>
      <w:r w:rsidR="000C794F" w:rsidRPr="003028AC">
        <w:rPr>
          <w:i/>
          <w:sz w:val="23"/>
          <w:szCs w:val="23"/>
        </w:rPr>
        <w:t>Comparative Politics and the International Political Economy</w:t>
      </w:r>
      <w:r w:rsidR="000C794F" w:rsidRPr="008353A5">
        <w:rPr>
          <w:sz w:val="23"/>
          <w:szCs w:val="23"/>
        </w:rPr>
        <w:t xml:space="preserve"> Vol.1. </w:t>
      </w:r>
      <w:proofErr w:type="gramStart"/>
      <w:r w:rsidR="000C794F" w:rsidRPr="008353A5">
        <w:rPr>
          <w:sz w:val="23"/>
          <w:szCs w:val="23"/>
        </w:rPr>
        <w:t>Aldershot: E</w:t>
      </w:r>
      <w:r w:rsidR="000C794F" w:rsidRPr="008353A5">
        <w:rPr>
          <w:sz w:val="23"/>
          <w:szCs w:val="23"/>
        </w:rPr>
        <w:t>d</w:t>
      </w:r>
      <w:r w:rsidR="000C794F" w:rsidRPr="008353A5">
        <w:rPr>
          <w:sz w:val="23"/>
          <w:szCs w:val="23"/>
        </w:rPr>
        <w:t>ward Elgar, pp.20-32.</w:t>
      </w:r>
      <w:proofErr w:type="gramEnd"/>
    </w:p>
    <w:p w14:paraId="58D87967" w14:textId="7CF55BE3" w:rsidR="000C794F" w:rsidRPr="008353A5" w:rsidRDefault="00C946CE"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 xml:space="preserve">North, </w:t>
      </w:r>
      <w:r w:rsidR="0094262E">
        <w:rPr>
          <w:sz w:val="23"/>
          <w:szCs w:val="23"/>
        </w:rPr>
        <w:t>D.C.</w:t>
      </w:r>
      <w:r>
        <w:rPr>
          <w:sz w:val="23"/>
          <w:szCs w:val="23"/>
        </w:rPr>
        <w:t xml:space="preserve"> (1981) ‘</w:t>
      </w:r>
      <w:r w:rsidR="000C794F" w:rsidRPr="008353A5">
        <w:rPr>
          <w:sz w:val="23"/>
          <w:szCs w:val="23"/>
        </w:rPr>
        <w:t>Structure and Change in Economic History</w:t>
      </w:r>
      <w:r>
        <w:rPr>
          <w:sz w:val="23"/>
          <w:szCs w:val="23"/>
        </w:rPr>
        <w:t>’.</w:t>
      </w:r>
      <w:r w:rsidR="000C794F" w:rsidRPr="008353A5">
        <w:rPr>
          <w:sz w:val="23"/>
          <w:szCs w:val="23"/>
        </w:rPr>
        <w:t xml:space="preserve"> New York: W.W. Norton.</w:t>
      </w:r>
    </w:p>
    <w:p w14:paraId="16315C83" w14:textId="7B44BAF1" w:rsidR="000C794F" w:rsidRDefault="000C794F" w:rsidP="00EC20CB">
      <w:pPr>
        <w:ind w:left="426" w:hanging="426"/>
        <w:rPr>
          <w:sz w:val="23"/>
          <w:szCs w:val="23"/>
        </w:rPr>
      </w:pPr>
      <w:proofErr w:type="gramStart"/>
      <w:r w:rsidRPr="008353A5">
        <w:rPr>
          <w:sz w:val="23"/>
          <w:szCs w:val="23"/>
        </w:rPr>
        <w:t>Oppenheimer, W., 2010.</w:t>
      </w:r>
      <w:proofErr w:type="gramEnd"/>
      <w:r w:rsidRPr="008353A5">
        <w:rPr>
          <w:sz w:val="23"/>
          <w:szCs w:val="23"/>
        </w:rPr>
        <w:t xml:space="preserve"> </w:t>
      </w:r>
      <w:proofErr w:type="gramStart"/>
      <w:r w:rsidRPr="008353A5">
        <w:rPr>
          <w:sz w:val="23"/>
          <w:szCs w:val="23"/>
        </w:rPr>
        <w:t>‘El Gobierno recortará más el gasto si hace falta para llegar al 3% de déficit’ 9 February.</w:t>
      </w:r>
      <w:proofErr w:type="gramEnd"/>
      <w:r w:rsidRPr="008353A5">
        <w:rPr>
          <w:sz w:val="23"/>
          <w:szCs w:val="23"/>
        </w:rPr>
        <w:t xml:space="preserve"> Availabl</w:t>
      </w:r>
      <w:r w:rsidR="00C06D39">
        <w:rPr>
          <w:sz w:val="23"/>
          <w:szCs w:val="23"/>
        </w:rPr>
        <w:t xml:space="preserve">e at: </w:t>
      </w:r>
      <w:hyperlink r:id="rId232" w:history="1">
        <w:r w:rsidR="00C06D39" w:rsidRPr="007966A2">
          <w:rPr>
            <w:rStyle w:val="Hyperlink"/>
            <w:sz w:val="23"/>
            <w:szCs w:val="23"/>
          </w:rPr>
          <w:t>http://elpais.com/diario/2010/02/09/economia/1265670001_850215.html</w:t>
        </w:r>
      </w:hyperlink>
    </w:p>
    <w:p w14:paraId="7EB6CD0D" w14:textId="77777777" w:rsidR="000C794F" w:rsidRPr="008353A5" w:rsidRDefault="000C794F" w:rsidP="00EC20CB">
      <w:pPr>
        <w:ind w:left="426" w:hanging="426"/>
        <w:rPr>
          <w:sz w:val="23"/>
          <w:szCs w:val="23"/>
        </w:rPr>
      </w:pPr>
      <w:r w:rsidRPr="008353A5">
        <w:rPr>
          <w:sz w:val="23"/>
          <w:szCs w:val="23"/>
        </w:rPr>
        <w:t xml:space="preserve">[Accessed 17 March 2012]. </w:t>
      </w:r>
    </w:p>
    <w:p w14:paraId="4CEA676B" w14:textId="13DBADCB" w:rsidR="004A03F9" w:rsidRDefault="000C794F"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 xml:space="preserve">Ostrom, </w:t>
      </w:r>
      <w:r w:rsidR="0094262E">
        <w:rPr>
          <w:sz w:val="23"/>
          <w:szCs w:val="23"/>
        </w:rPr>
        <w:t>E.</w:t>
      </w:r>
      <w:r w:rsidRPr="008353A5">
        <w:rPr>
          <w:sz w:val="23"/>
          <w:szCs w:val="23"/>
        </w:rPr>
        <w:t xml:space="preserve"> (2005) </w:t>
      </w:r>
      <w:r w:rsidR="0094262E">
        <w:rPr>
          <w:sz w:val="23"/>
          <w:szCs w:val="23"/>
        </w:rPr>
        <w:t>‘</w:t>
      </w:r>
      <w:r w:rsidRPr="008353A5">
        <w:rPr>
          <w:sz w:val="23"/>
          <w:szCs w:val="23"/>
        </w:rPr>
        <w:t>Understanding Institutional Diversity</w:t>
      </w:r>
      <w:r w:rsidR="00EB2554">
        <w:rPr>
          <w:sz w:val="23"/>
          <w:szCs w:val="23"/>
        </w:rPr>
        <w:t>’</w:t>
      </w:r>
      <w:r w:rsidRPr="008353A5">
        <w:rPr>
          <w:sz w:val="23"/>
          <w:szCs w:val="23"/>
        </w:rPr>
        <w:t xml:space="preserve">. </w:t>
      </w:r>
      <w:r w:rsidR="002929D0">
        <w:rPr>
          <w:sz w:val="23"/>
          <w:szCs w:val="23"/>
        </w:rPr>
        <w:t>Princeton</w:t>
      </w:r>
      <w:r w:rsidRPr="008353A5">
        <w:rPr>
          <w:sz w:val="23"/>
          <w:szCs w:val="23"/>
        </w:rPr>
        <w:t>: Princeton University Press</w:t>
      </w:r>
      <w:r w:rsidR="002929D0">
        <w:rPr>
          <w:sz w:val="23"/>
          <w:szCs w:val="23"/>
        </w:rPr>
        <w:t>.</w:t>
      </w:r>
    </w:p>
    <w:p w14:paraId="48716DA1" w14:textId="77777777" w:rsidR="004A03F9" w:rsidRPr="008353A5" w:rsidRDefault="004A03F9" w:rsidP="00EC20CB">
      <w:pPr>
        <w:pStyle w:val="Reference"/>
        <w:ind w:left="426" w:hanging="426"/>
        <w:rPr>
          <w:szCs w:val="23"/>
        </w:rPr>
      </w:pPr>
      <w:r w:rsidRPr="008353A5">
        <w:rPr>
          <w:szCs w:val="23"/>
        </w:rPr>
        <w:t xml:space="preserve">Persson, T. and Tabellini, G. (1996) 'Federal Fiscal Constitutions: Risk Sharing and Moral Hazard'. </w:t>
      </w:r>
      <w:r w:rsidRPr="008353A5">
        <w:rPr>
          <w:i/>
          <w:szCs w:val="23"/>
        </w:rPr>
        <w:t>Econometrica</w:t>
      </w:r>
      <w:r w:rsidRPr="008353A5">
        <w:rPr>
          <w:szCs w:val="23"/>
        </w:rPr>
        <w:t>, Vol. 64, No. 3 (May 1996), pp. 623-646.</w:t>
      </w:r>
    </w:p>
    <w:p w14:paraId="085F3B45" w14:textId="3839CF28" w:rsidR="004A03F9" w:rsidRDefault="004A03F9" w:rsidP="00EC20CB">
      <w:pPr>
        <w:pStyle w:val="Reference"/>
        <w:ind w:left="426" w:hanging="426"/>
        <w:rPr>
          <w:szCs w:val="23"/>
        </w:rPr>
      </w:pPr>
      <w:r w:rsidRPr="008353A5">
        <w:rPr>
          <w:szCs w:val="23"/>
        </w:rPr>
        <w:t xml:space="preserve">Persson, T. and Tabellini, G. (1996) 'Federal Fiscal Connstitutions: Risk Sharing and Redistribution’. </w:t>
      </w:r>
      <w:r w:rsidRPr="008353A5">
        <w:rPr>
          <w:i/>
          <w:szCs w:val="23"/>
        </w:rPr>
        <w:t>Journal of Political Economy</w:t>
      </w:r>
      <w:r w:rsidRPr="008353A5">
        <w:rPr>
          <w:szCs w:val="23"/>
        </w:rPr>
        <w:t>, Vol. 104, No. 5 (Oct., 1996), pp. 979-1009</w:t>
      </w:r>
    </w:p>
    <w:p w14:paraId="0C8CDEE2" w14:textId="09BE2C5E" w:rsidR="000C794F" w:rsidRDefault="00465081"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Pierre, J. and King, D</w:t>
      </w:r>
      <w:r w:rsidR="00093233">
        <w:rPr>
          <w:sz w:val="23"/>
          <w:szCs w:val="23"/>
        </w:rPr>
        <w:t>. (2005)</w:t>
      </w:r>
      <w:r>
        <w:rPr>
          <w:sz w:val="23"/>
          <w:szCs w:val="23"/>
        </w:rPr>
        <w:t xml:space="preserve"> ‘</w:t>
      </w:r>
      <w:r w:rsidR="004A03F9" w:rsidRPr="004A03F9">
        <w:rPr>
          <w:sz w:val="23"/>
          <w:szCs w:val="23"/>
        </w:rPr>
        <w:t>The Politics of Path Dependency: Political Conflict</w:t>
      </w:r>
      <w:r>
        <w:rPr>
          <w:sz w:val="23"/>
          <w:szCs w:val="23"/>
        </w:rPr>
        <w:t xml:space="preserve"> in Historical Institutionalism’</w:t>
      </w:r>
      <w:r w:rsidR="004A03F9" w:rsidRPr="004A03F9">
        <w:rPr>
          <w:sz w:val="23"/>
          <w:szCs w:val="23"/>
        </w:rPr>
        <w:t xml:space="preserve">. </w:t>
      </w:r>
      <w:r w:rsidR="004A03F9" w:rsidRPr="00465081">
        <w:rPr>
          <w:i/>
          <w:sz w:val="23"/>
          <w:szCs w:val="23"/>
        </w:rPr>
        <w:t>The Journal of Politics by the Southern Political Science Association</w:t>
      </w:r>
      <w:r w:rsidR="004A03F9" w:rsidRPr="004A03F9">
        <w:rPr>
          <w:sz w:val="23"/>
          <w:szCs w:val="23"/>
        </w:rPr>
        <w:t>, Vol. 67, No. 4, Novem</w:t>
      </w:r>
      <w:r w:rsidR="00E92D6D">
        <w:rPr>
          <w:sz w:val="23"/>
          <w:szCs w:val="23"/>
        </w:rPr>
        <w:t>ber 2005, p</w:t>
      </w:r>
      <w:r w:rsidR="004A03F9" w:rsidRPr="004A03F9">
        <w:rPr>
          <w:sz w:val="23"/>
          <w:szCs w:val="23"/>
        </w:rPr>
        <w:t>p. 1275–1300.</w:t>
      </w:r>
    </w:p>
    <w:p w14:paraId="44EB8551" w14:textId="7A45DBF7" w:rsidR="004A03F9" w:rsidRDefault="004A03F9" w:rsidP="00EC20CB">
      <w:pPr>
        <w:pStyle w:val="Reference"/>
        <w:ind w:left="426" w:hanging="426"/>
        <w:rPr>
          <w:szCs w:val="23"/>
        </w:rPr>
      </w:pPr>
      <w:r w:rsidRPr="008353A5">
        <w:rPr>
          <w:szCs w:val="23"/>
        </w:rPr>
        <w:t xml:space="preserve">Pierson, P. (1996) ‘The Path to European Integration: A Historical Institutionalist Analysis’. </w:t>
      </w:r>
      <w:r w:rsidRPr="00A007F5">
        <w:rPr>
          <w:i/>
          <w:szCs w:val="23"/>
        </w:rPr>
        <w:t>Program for the Study of Germany and Europe</w:t>
      </w:r>
      <w:r w:rsidRPr="008353A5">
        <w:rPr>
          <w:szCs w:val="23"/>
        </w:rPr>
        <w:t>: Working Paper No. 5.2</w:t>
      </w:r>
      <w:r w:rsidRPr="008353A5">
        <w:rPr>
          <w:i/>
          <w:szCs w:val="23"/>
        </w:rPr>
        <w:t xml:space="preserve"> </w:t>
      </w:r>
      <w:r w:rsidRPr="008353A5">
        <w:rPr>
          <w:szCs w:val="23"/>
        </w:rPr>
        <w:t>(October 25, 1994)</w:t>
      </w:r>
    </w:p>
    <w:p w14:paraId="01FAF49F" w14:textId="3750ABFC" w:rsidR="004A03F9" w:rsidRPr="008353A5" w:rsidRDefault="00093233"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Przeworski, A. (1991) ‘</w:t>
      </w:r>
      <w:r w:rsidR="004A03F9" w:rsidRPr="008353A5">
        <w:rPr>
          <w:sz w:val="23"/>
          <w:szCs w:val="23"/>
        </w:rPr>
        <w:t>Democracy and the Market; Political and Economic R</w:t>
      </w:r>
      <w:r w:rsidR="004A03F9" w:rsidRPr="008353A5">
        <w:rPr>
          <w:sz w:val="23"/>
          <w:szCs w:val="23"/>
        </w:rPr>
        <w:t>e</w:t>
      </w:r>
      <w:r w:rsidR="004A03F9" w:rsidRPr="008353A5">
        <w:rPr>
          <w:sz w:val="23"/>
          <w:szCs w:val="23"/>
        </w:rPr>
        <w:t>forms in E</w:t>
      </w:r>
      <w:r>
        <w:rPr>
          <w:sz w:val="23"/>
          <w:szCs w:val="23"/>
        </w:rPr>
        <w:t>astern Europe and Latin America’</w:t>
      </w:r>
      <w:r w:rsidR="004A03F9" w:rsidRPr="008353A5">
        <w:rPr>
          <w:sz w:val="23"/>
          <w:szCs w:val="23"/>
        </w:rPr>
        <w:t>. New York: Cambridge Unive</w:t>
      </w:r>
      <w:r w:rsidR="004A03F9" w:rsidRPr="008353A5">
        <w:rPr>
          <w:sz w:val="23"/>
          <w:szCs w:val="23"/>
        </w:rPr>
        <w:t>r</w:t>
      </w:r>
      <w:r w:rsidR="004A03F9" w:rsidRPr="008353A5">
        <w:rPr>
          <w:sz w:val="23"/>
          <w:szCs w:val="23"/>
        </w:rPr>
        <w:t>sity Press.</w:t>
      </w:r>
    </w:p>
    <w:p w14:paraId="57C6BA3C" w14:textId="7878AB56" w:rsidR="004A03F9" w:rsidRPr="008353A5" w:rsidRDefault="00093233"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Puetter, U. (2011): ‘</w:t>
      </w:r>
      <w:proofErr w:type="gramStart"/>
      <w:r w:rsidR="004A03F9" w:rsidRPr="008353A5">
        <w:rPr>
          <w:rFonts w:eastAsiaTheme="minorEastAsia" w:cs="Helvetica"/>
          <w:sz w:val="23"/>
          <w:szCs w:val="23"/>
        </w:rPr>
        <w:t>Organising</w:t>
      </w:r>
      <w:proofErr w:type="gramEnd"/>
      <w:r w:rsidR="004A03F9" w:rsidRPr="008353A5">
        <w:rPr>
          <w:rFonts w:eastAsiaTheme="minorEastAsia" w:cs="Helvetica"/>
          <w:sz w:val="23"/>
          <w:szCs w:val="23"/>
        </w:rPr>
        <w:t xml:space="preserve"> the EU's responses to the global economic and financial crisis </w:t>
      </w:r>
      <w:r w:rsidR="004A03F9" w:rsidRPr="008353A5">
        <w:rPr>
          <w:rFonts w:ascii="Adobe Garamond Pro" w:eastAsiaTheme="minorEastAsia" w:hAnsi="Adobe Garamond Pro" w:cs="Adobe Garamond Pro"/>
          <w:sz w:val="23"/>
          <w:szCs w:val="23"/>
        </w:rPr>
        <w:t>‐</w:t>
      </w:r>
      <w:r w:rsidR="004A03F9" w:rsidRPr="008353A5">
        <w:rPr>
          <w:rFonts w:eastAsiaTheme="minorEastAsia" w:cs="Helvetica"/>
          <w:sz w:val="23"/>
          <w:szCs w:val="23"/>
        </w:rPr>
        <w:t> the role of the European Council and the Council”. Paper presented at the 12</w:t>
      </w:r>
      <w:r w:rsidR="004A03F9" w:rsidRPr="008353A5">
        <w:rPr>
          <w:rFonts w:eastAsiaTheme="minorEastAsia" w:cs="Helvetica"/>
          <w:sz w:val="23"/>
          <w:szCs w:val="23"/>
          <w:vertAlign w:val="superscript"/>
        </w:rPr>
        <w:t>th</w:t>
      </w:r>
      <w:r w:rsidR="004A03F9" w:rsidRPr="008353A5">
        <w:rPr>
          <w:rFonts w:eastAsiaTheme="minorEastAsia" w:cs="Helvetica"/>
          <w:sz w:val="23"/>
          <w:szCs w:val="23"/>
        </w:rPr>
        <w:t xml:space="preserve"> Biennial Conference of the European Studies Associ</w:t>
      </w:r>
      <w:r w:rsidR="004A03F9" w:rsidRPr="008353A5">
        <w:rPr>
          <w:rFonts w:eastAsiaTheme="minorEastAsia" w:cs="Helvetica"/>
          <w:sz w:val="23"/>
          <w:szCs w:val="23"/>
        </w:rPr>
        <w:t>a</w:t>
      </w:r>
      <w:r w:rsidR="004A03F9" w:rsidRPr="008353A5">
        <w:rPr>
          <w:rFonts w:eastAsiaTheme="minorEastAsia" w:cs="Helvetica"/>
          <w:sz w:val="23"/>
          <w:szCs w:val="23"/>
        </w:rPr>
        <w:t xml:space="preserve">tion (EUSA), Boston, </w:t>
      </w:r>
      <w:proofErr w:type="gramStart"/>
      <w:r w:rsidR="004A03F9" w:rsidRPr="008353A5">
        <w:rPr>
          <w:rFonts w:eastAsiaTheme="minorEastAsia" w:cs="Helvetica"/>
          <w:sz w:val="23"/>
          <w:szCs w:val="23"/>
        </w:rPr>
        <w:t>3</w:t>
      </w:r>
      <w:proofErr w:type="gramEnd"/>
      <w:r w:rsidR="004A03F9" w:rsidRPr="008353A5">
        <w:rPr>
          <w:rFonts w:ascii="Adobe Garamond Pro" w:eastAsiaTheme="minorEastAsia" w:hAnsi="Adobe Garamond Pro" w:cs="Adobe Garamond Pro"/>
          <w:sz w:val="23"/>
          <w:szCs w:val="23"/>
        </w:rPr>
        <w:t>‐</w:t>
      </w:r>
      <w:r w:rsidR="004A03F9" w:rsidRPr="008353A5">
        <w:rPr>
          <w:rFonts w:eastAsiaTheme="minorEastAsia" w:cs="Helvetica"/>
          <w:sz w:val="23"/>
          <w:szCs w:val="23"/>
        </w:rPr>
        <w:t>5 March 2011</w:t>
      </w:r>
    </w:p>
    <w:p w14:paraId="1C162279" w14:textId="77777777" w:rsidR="00A260C8" w:rsidRDefault="00A260C8"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 xml:space="preserve">Available at </w:t>
      </w:r>
      <w:hyperlink r:id="rId233" w:history="1">
        <w:r w:rsidRPr="007966A2">
          <w:rPr>
            <w:rStyle w:val="Hyperlink"/>
            <w:rFonts w:eastAsiaTheme="minorEastAsia" w:cs="Helvetica"/>
            <w:sz w:val="23"/>
            <w:szCs w:val="23"/>
          </w:rPr>
          <w:t>http://euce.org/eusa/2011/papers/6e_puetter.pdf</w:t>
        </w:r>
      </w:hyperlink>
    </w:p>
    <w:p w14:paraId="18D9BE12" w14:textId="183534D5" w:rsidR="004A03F9" w:rsidRDefault="004A03F9"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sidRPr="008353A5">
        <w:rPr>
          <w:rFonts w:eastAsiaTheme="minorEastAsia" w:cs="Helvetica"/>
          <w:sz w:val="23"/>
          <w:szCs w:val="23"/>
        </w:rPr>
        <w:t>[Accessed 9 May 2012].</w:t>
      </w:r>
    </w:p>
    <w:p w14:paraId="0C846314" w14:textId="488AA19B" w:rsidR="004A03F9" w:rsidRPr="004A03F9" w:rsidRDefault="004A03F9" w:rsidP="00EC20CB">
      <w:pPr>
        <w:pStyle w:val="Reference"/>
        <w:ind w:left="426" w:hanging="426"/>
        <w:rPr>
          <w:szCs w:val="23"/>
        </w:rPr>
      </w:pPr>
      <w:r w:rsidRPr="008353A5">
        <w:rPr>
          <w:szCs w:val="23"/>
        </w:rPr>
        <w:t xml:space="preserve">Putnam, R. (1988) ‘Diplomacy and Domestic Politics: The Logic of Two-Level Games.’ </w:t>
      </w:r>
      <w:r w:rsidRPr="008353A5">
        <w:rPr>
          <w:i/>
          <w:szCs w:val="23"/>
        </w:rPr>
        <w:t>International Organization</w:t>
      </w:r>
      <w:r w:rsidRPr="008353A5">
        <w:rPr>
          <w:szCs w:val="23"/>
        </w:rPr>
        <w:t>. 42 (Summer 1988), pp. 427-460.</w:t>
      </w:r>
    </w:p>
    <w:p w14:paraId="6E3F0049" w14:textId="12062091" w:rsidR="004A03F9" w:rsidRPr="008353A5" w:rsidRDefault="004A03F9"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lastRenderedPageBreak/>
        <w:t>Re</w:t>
      </w:r>
      <w:r w:rsidR="009C5C33">
        <w:rPr>
          <w:sz w:val="23"/>
          <w:szCs w:val="23"/>
        </w:rPr>
        <w:t>inhart, C and K Rogoff (2008): ‘</w:t>
      </w:r>
      <w:proofErr w:type="gramStart"/>
      <w:r w:rsidRPr="008353A5">
        <w:rPr>
          <w:sz w:val="23"/>
          <w:szCs w:val="23"/>
        </w:rPr>
        <w:t>This</w:t>
      </w:r>
      <w:proofErr w:type="gramEnd"/>
      <w:r w:rsidRPr="008353A5">
        <w:rPr>
          <w:sz w:val="23"/>
          <w:szCs w:val="23"/>
        </w:rPr>
        <w:t xml:space="preserve"> time is different: a panoramic view of eigh</w:t>
      </w:r>
      <w:r w:rsidR="009C5C33">
        <w:rPr>
          <w:sz w:val="23"/>
          <w:szCs w:val="23"/>
        </w:rPr>
        <w:t>t centuries of financial crises’. Cambridge:</w:t>
      </w:r>
      <w:r w:rsidRPr="008353A5">
        <w:rPr>
          <w:sz w:val="23"/>
          <w:szCs w:val="23"/>
        </w:rPr>
        <w:t xml:space="preserve"> Harvard University</w:t>
      </w:r>
      <w:r w:rsidR="009C5C33">
        <w:rPr>
          <w:sz w:val="23"/>
          <w:szCs w:val="23"/>
        </w:rPr>
        <w:t xml:space="preserve"> Press.</w:t>
      </w:r>
    </w:p>
    <w:p w14:paraId="4D0A8164" w14:textId="4F4AB0BC" w:rsidR="008A6993" w:rsidRPr="008353A5" w:rsidRDefault="00A260C8"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Pr>
          <w:sz w:val="23"/>
          <w:szCs w:val="23"/>
        </w:rPr>
        <w:t>Riker, W. (1962)</w:t>
      </w:r>
      <w:r w:rsidR="00884608">
        <w:rPr>
          <w:sz w:val="23"/>
          <w:szCs w:val="23"/>
        </w:rPr>
        <w:t xml:space="preserve"> ‘</w:t>
      </w:r>
      <w:r w:rsidR="004A03F9" w:rsidRPr="008353A5">
        <w:rPr>
          <w:sz w:val="23"/>
          <w:szCs w:val="23"/>
        </w:rPr>
        <w:t>The Theory of Political Coali</w:t>
      </w:r>
      <w:r w:rsidR="00884608">
        <w:rPr>
          <w:sz w:val="23"/>
          <w:szCs w:val="23"/>
        </w:rPr>
        <w:t>tions’</w:t>
      </w:r>
      <w:r w:rsidR="004A03F9" w:rsidRPr="008353A5">
        <w:rPr>
          <w:sz w:val="23"/>
          <w:szCs w:val="23"/>
        </w:rPr>
        <w:t>.</w:t>
      </w:r>
      <w:proofErr w:type="gramEnd"/>
      <w:r w:rsidR="004A03F9" w:rsidRPr="008353A5">
        <w:rPr>
          <w:sz w:val="23"/>
          <w:szCs w:val="23"/>
        </w:rPr>
        <w:t xml:space="preserve"> </w:t>
      </w:r>
      <w:r w:rsidR="00884608">
        <w:rPr>
          <w:sz w:val="23"/>
          <w:szCs w:val="23"/>
        </w:rPr>
        <w:t xml:space="preserve">New Haven: </w:t>
      </w:r>
      <w:r w:rsidR="004A03F9" w:rsidRPr="008353A5">
        <w:rPr>
          <w:sz w:val="23"/>
          <w:szCs w:val="23"/>
        </w:rPr>
        <w:t>Yale University Press.</w:t>
      </w:r>
    </w:p>
    <w:p w14:paraId="32AF9B14" w14:textId="5069A41B" w:rsidR="004A03F9" w:rsidRPr="008353A5" w:rsidRDefault="00E70A46"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Rodrik, D. (2011) ‘The Globalization Paradox’</w:t>
      </w:r>
      <w:r w:rsidR="004A03F9" w:rsidRPr="008353A5">
        <w:rPr>
          <w:rFonts w:eastAsiaTheme="minorEastAsia" w:cs="Helvetica"/>
          <w:sz w:val="23"/>
          <w:szCs w:val="23"/>
        </w:rPr>
        <w:t>. New York: Norton &amp; Company.</w:t>
      </w:r>
    </w:p>
    <w:p w14:paraId="7830CDDE" w14:textId="0434924B" w:rsidR="004A03F9" w:rsidRPr="008353A5" w:rsidRDefault="002A0BD3"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Pr>
          <w:rFonts w:eastAsiaTheme="minorEastAsia" w:cs="Helvetica"/>
          <w:sz w:val="23"/>
          <w:szCs w:val="23"/>
        </w:rPr>
        <w:t>Roubini, N. and Corsetti, G. (1996) ‘</w:t>
      </w:r>
      <w:r w:rsidR="004A03F9" w:rsidRPr="008353A5">
        <w:rPr>
          <w:rFonts w:eastAsiaTheme="minorEastAsia" w:cs="Helvetica"/>
          <w:sz w:val="23"/>
          <w:szCs w:val="23"/>
        </w:rPr>
        <w:t>European versus American Perspe</w:t>
      </w:r>
      <w:r>
        <w:rPr>
          <w:rFonts w:eastAsiaTheme="minorEastAsia" w:cs="Helvetica"/>
          <w:sz w:val="23"/>
          <w:szCs w:val="23"/>
        </w:rPr>
        <w:t>ctives on Balanced-Budget Rules’</w:t>
      </w:r>
      <w:r w:rsidR="004A03F9" w:rsidRPr="008353A5">
        <w:rPr>
          <w:rFonts w:eastAsiaTheme="minorEastAsia" w:cs="Helvetica"/>
          <w:sz w:val="23"/>
          <w:szCs w:val="23"/>
        </w:rPr>
        <w:t xml:space="preserve">. </w:t>
      </w:r>
      <w:proofErr w:type="gramStart"/>
      <w:r w:rsidR="004A03F9" w:rsidRPr="002A0BD3">
        <w:rPr>
          <w:rFonts w:eastAsiaTheme="minorEastAsia" w:cs="Helvetica"/>
          <w:i/>
          <w:sz w:val="23"/>
          <w:szCs w:val="23"/>
        </w:rPr>
        <w:t>The American Economic Review</w:t>
      </w:r>
      <w:r w:rsidR="004A03F9" w:rsidRPr="008353A5">
        <w:rPr>
          <w:rFonts w:eastAsiaTheme="minorEastAsia" w:cs="Helvetica"/>
          <w:sz w:val="23"/>
          <w:szCs w:val="23"/>
        </w:rPr>
        <w:t>, Vol. 86, No. 2.</w:t>
      </w:r>
      <w:proofErr w:type="gramEnd"/>
    </w:p>
    <w:p w14:paraId="57DD83FC" w14:textId="77777777" w:rsidR="004A03F9" w:rsidRDefault="004A03F9" w:rsidP="00EC20CB">
      <w:pPr>
        <w:pStyle w:val="Reference"/>
        <w:ind w:left="426" w:hanging="426"/>
        <w:rPr>
          <w:szCs w:val="23"/>
        </w:rPr>
      </w:pPr>
      <w:proofErr w:type="gramStart"/>
      <w:r w:rsidRPr="008353A5">
        <w:rPr>
          <w:szCs w:val="23"/>
        </w:rPr>
        <w:t>Sandholtz, W. and Stone Sweet, A. (2008) ‘Neofunctionalism and Supranational Governance’.</w:t>
      </w:r>
      <w:proofErr w:type="gramEnd"/>
      <w:r w:rsidRPr="008353A5">
        <w:rPr>
          <w:szCs w:val="23"/>
        </w:rPr>
        <w:t xml:space="preserve"> In Wiener, Antje and Thomas Diez, </w:t>
      </w:r>
      <w:proofErr w:type="gramStart"/>
      <w:r w:rsidRPr="008353A5">
        <w:rPr>
          <w:szCs w:val="23"/>
        </w:rPr>
        <w:t>eds</w:t>
      </w:r>
      <w:proofErr w:type="gramEnd"/>
      <w:r w:rsidRPr="008353A5">
        <w:rPr>
          <w:szCs w:val="23"/>
        </w:rPr>
        <w:t>. (</w:t>
      </w:r>
      <w:proofErr w:type="gramStart"/>
      <w:r w:rsidRPr="008353A5">
        <w:rPr>
          <w:szCs w:val="23"/>
        </w:rPr>
        <w:t>forthcoming</w:t>
      </w:r>
      <w:proofErr w:type="gramEnd"/>
      <w:r w:rsidRPr="008353A5">
        <w:rPr>
          <w:szCs w:val="23"/>
        </w:rPr>
        <w:t xml:space="preserve">) </w:t>
      </w:r>
      <w:r w:rsidRPr="008353A5">
        <w:rPr>
          <w:i/>
          <w:szCs w:val="23"/>
        </w:rPr>
        <w:t>Oxford Handbook of European Policy</w:t>
      </w:r>
      <w:r w:rsidRPr="008353A5">
        <w:rPr>
          <w:szCs w:val="23"/>
        </w:rPr>
        <w:t>, Oxford: Oxford University Press.</w:t>
      </w:r>
    </w:p>
    <w:p w14:paraId="287013A1" w14:textId="21449342" w:rsidR="003B1EB5" w:rsidRPr="003B1EB5" w:rsidRDefault="0062515D"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 xml:space="preserve">Scharpf, </w:t>
      </w:r>
      <w:r w:rsidR="00103EC7">
        <w:rPr>
          <w:sz w:val="23"/>
          <w:szCs w:val="23"/>
        </w:rPr>
        <w:t>F.</w:t>
      </w:r>
      <w:r>
        <w:rPr>
          <w:sz w:val="23"/>
          <w:szCs w:val="23"/>
        </w:rPr>
        <w:t xml:space="preserve"> W. (1988) ‘</w:t>
      </w:r>
      <w:r w:rsidR="003B1EB5" w:rsidRPr="008353A5">
        <w:rPr>
          <w:sz w:val="23"/>
          <w:szCs w:val="23"/>
        </w:rPr>
        <w:t>The Joint-Decision Trap: Lessons from German Federal</w:t>
      </w:r>
      <w:r>
        <w:rPr>
          <w:sz w:val="23"/>
          <w:szCs w:val="23"/>
        </w:rPr>
        <w:t>ism and European Integration’.</w:t>
      </w:r>
      <w:r w:rsidR="003B1EB5" w:rsidRPr="008353A5">
        <w:rPr>
          <w:sz w:val="23"/>
          <w:szCs w:val="23"/>
        </w:rPr>
        <w:t xml:space="preserve"> </w:t>
      </w:r>
      <w:r w:rsidR="003B1EB5" w:rsidRPr="0062515D">
        <w:rPr>
          <w:i/>
          <w:sz w:val="23"/>
          <w:szCs w:val="23"/>
        </w:rPr>
        <w:t>Public Administration</w:t>
      </w:r>
      <w:r w:rsidR="003B1EB5" w:rsidRPr="008353A5">
        <w:rPr>
          <w:sz w:val="23"/>
          <w:szCs w:val="23"/>
        </w:rPr>
        <w:t xml:space="preserve"> </w:t>
      </w:r>
      <w:r>
        <w:rPr>
          <w:sz w:val="23"/>
          <w:szCs w:val="23"/>
        </w:rPr>
        <w:t>No. 66(3), pp.</w:t>
      </w:r>
      <w:r w:rsidR="003B1EB5" w:rsidRPr="008353A5">
        <w:rPr>
          <w:sz w:val="23"/>
          <w:szCs w:val="23"/>
        </w:rPr>
        <w:t xml:space="preserve"> 239-</w:t>
      </w:r>
      <w:r w:rsidR="00427977">
        <w:rPr>
          <w:sz w:val="23"/>
          <w:szCs w:val="23"/>
        </w:rPr>
        <w:t>2</w:t>
      </w:r>
      <w:r w:rsidR="003B1EB5" w:rsidRPr="008353A5">
        <w:rPr>
          <w:sz w:val="23"/>
          <w:szCs w:val="23"/>
        </w:rPr>
        <w:t>78.</w:t>
      </w:r>
    </w:p>
    <w:p w14:paraId="10490C90" w14:textId="06A66C47" w:rsidR="003B1EB5" w:rsidRDefault="00427977"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 xml:space="preserve">Scharpf, </w:t>
      </w:r>
      <w:r w:rsidR="00103EC7">
        <w:rPr>
          <w:sz w:val="23"/>
          <w:szCs w:val="23"/>
        </w:rPr>
        <w:t>F.</w:t>
      </w:r>
      <w:r>
        <w:rPr>
          <w:sz w:val="23"/>
          <w:szCs w:val="23"/>
        </w:rPr>
        <w:t>W. (1994) ‘</w:t>
      </w:r>
      <w:r w:rsidR="003B1EB5" w:rsidRPr="008353A5">
        <w:rPr>
          <w:sz w:val="23"/>
          <w:szCs w:val="23"/>
        </w:rPr>
        <w:t>Community and autonomy: Multi-level policy</w:t>
      </w:r>
      <w:r>
        <w:rPr>
          <w:sz w:val="23"/>
          <w:szCs w:val="23"/>
        </w:rPr>
        <w:t xml:space="preserve">-making in the European Union.’ </w:t>
      </w:r>
      <w:proofErr w:type="gramStart"/>
      <w:r w:rsidR="003B1EB5" w:rsidRPr="00427977">
        <w:rPr>
          <w:i/>
          <w:sz w:val="23"/>
          <w:szCs w:val="23"/>
        </w:rPr>
        <w:t>Journal of European Public Policy</w:t>
      </w:r>
      <w:r w:rsidR="003B1EB5" w:rsidRPr="008353A5">
        <w:rPr>
          <w:sz w:val="23"/>
          <w:szCs w:val="23"/>
        </w:rPr>
        <w:t>.</w:t>
      </w:r>
      <w:proofErr w:type="gramEnd"/>
      <w:r>
        <w:rPr>
          <w:sz w:val="23"/>
          <w:szCs w:val="23"/>
        </w:rPr>
        <w:t xml:space="preserve"> No. 1(2), pp.</w:t>
      </w:r>
      <w:r w:rsidR="003B1EB5" w:rsidRPr="008353A5">
        <w:rPr>
          <w:sz w:val="23"/>
          <w:szCs w:val="23"/>
        </w:rPr>
        <w:t xml:space="preserve"> 219-242.</w:t>
      </w:r>
    </w:p>
    <w:p w14:paraId="762328E8" w14:textId="11A3A99B" w:rsidR="003B1EB5" w:rsidRPr="008353A5" w:rsidRDefault="003B1EB5"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sidRPr="008353A5">
        <w:rPr>
          <w:sz w:val="23"/>
          <w:szCs w:val="23"/>
        </w:rPr>
        <w:t>Schar</w:t>
      </w:r>
      <w:r w:rsidR="00D36BC3">
        <w:rPr>
          <w:sz w:val="23"/>
          <w:szCs w:val="23"/>
        </w:rPr>
        <w:t xml:space="preserve">pf, </w:t>
      </w:r>
      <w:r w:rsidR="00103EC7">
        <w:rPr>
          <w:sz w:val="23"/>
          <w:szCs w:val="23"/>
        </w:rPr>
        <w:t>F.</w:t>
      </w:r>
      <w:r w:rsidR="00D36BC3">
        <w:rPr>
          <w:sz w:val="23"/>
          <w:szCs w:val="23"/>
        </w:rPr>
        <w:t>W. (1997) ‘</w:t>
      </w:r>
      <w:r w:rsidRPr="008353A5">
        <w:rPr>
          <w:sz w:val="23"/>
          <w:szCs w:val="23"/>
        </w:rPr>
        <w:t>Introduction: The Problem-solving Capa</w:t>
      </w:r>
      <w:r w:rsidR="00D36BC3">
        <w:rPr>
          <w:sz w:val="23"/>
          <w:szCs w:val="23"/>
        </w:rPr>
        <w:t>city of Multi-level Governance.’</w:t>
      </w:r>
      <w:r w:rsidRPr="008353A5">
        <w:rPr>
          <w:sz w:val="23"/>
          <w:szCs w:val="23"/>
        </w:rPr>
        <w:t xml:space="preserve"> </w:t>
      </w:r>
      <w:r w:rsidRPr="00D36BC3">
        <w:rPr>
          <w:i/>
          <w:sz w:val="23"/>
          <w:szCs w:val="23"/>
        </w:rPr>
        <w:t>Journal of Public Policy</w:t>
      </w:r>
      <w:r w:rsidRPr="008353A5">
        <w:rPr>
          <w:sz w:val="23"/>
          <w:szCs w:val="23"/>
        </w:rPr>
        <w:t xml:space="preserve"> </w:t>
      </w:r>
      <w:r w:rsidR="00D36BC3">
        <w:rPr>
          <w:sz w:val="23"/>
          <w:szCs w:val="23"/>
        </w:rPr>
        <w:t>No. 4(4), pp.</w:t>
      </w:r>
      <w:r w:rsidRPr="008353A5">
        <w:rPr>
          <w:sz w:val="23"/>
          <w:szCs w:val="23"/>
        </w:rPr>
        <w:t xml:space="preserve"> 520-538.</w:t>
      </w:r>
    </w:p>
    <w:p w14:paraId="3995C017" w14:textId="31035567" w:rsidR="003B1EB5" w:rsidRPr="008353A5" w:rsidRDefault="00E65F7A"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r>
        <w:rPr>
          <w:sz w:val="23"/>
          <w:szCs w:val="23"/>
        </w:rPr>
        <w:t>Schmidt, V. (2010)</w:t>
      </w:r>
      <w:r w:rsidR="00A602FC">
        <w:rPr>
          <w:sz w:val="23"/>
          <w:szCs w:val="23"/>
        </w:rPr>
        <w:t xml:space="preserve"> ‘</w:t>
      </w:r>
      <w:r w:rsidR="003B1EB5" w:rsidRPr="008353A5">
        <w:rPr>
          <w:sz w:val="23"/>
          <w:szCs w:val="23"/>
        </w:rPr>
        <w:t xml:space="preserve">Taking ideas and discourse seriously: explaining change through discursive institutionalism as the fourth ‘new institutionalism’”. </w:t>
      </w:r>
      <w:r w:rsidR="003B1EB5" w:rsidRPr="00A602FC">
        <w:rPr>
          <w:i/>
          <w:sz w:val="23"/>
          <w:szCs w:val="23"/>
        </w:rPr>
        <w:t>Eur</w:t>
      </w:r>
      <w:r w:rsidR="003B1EB5" w:rsidRPr="00A602FC">
        <w:rPr>
          <w:i/>
          <w:sz w:val="23"/>
          <w:szCs w:val="23"/>
        </w:rPr>
        <w:t>o</w:t>
      </w:r>
      <w:r w:rsidR="003B1EB5" w:rsidRPr="00A602FC">
        <w:rPr>
          <w:i/>
          <w:sz w:val="23"/>
          <w:szCs w:val="23"/>
        </w:rPr>
        <w:t xml:space="preserve">pean Political Science </w:t>
      </w:r>
      <w:proofErr w:type="gramStart"/>
      <w:r w:rsidR="003B1EB5" w:rsidRPr="00A602FC">
        <w:rPr>
          <w:i/>
          <w:sz w:val="23"/>
          <w:szCs w:val="23"/>
        </w:rPr>
        <w:t>Review</w:t>
      </w:r>
      <w:r w:rsidR="003B1EB5" w:rsidRPr="008353A5">
        <w:rPr>
          <w:sz w:val="23"/>
          <w:szCs w:val="23"/>
        </w:rPr>
        <w:t xml:space="preserve"> </w:t>
      </w:r>
      <w:r w:rsidR="00A602FC">
        <w:rPr>
          <w:sz w:val="23"/>
          <w:szCs w:val="23"/>
        </w:rPr>
        <w:t xml:space="preserve"> No</w:t>
      </w:r>
      <w:proofErr w:type="gramEnd"/>
      <w:r w:rsidR="00A602FC">
        <w:rPr>
          <w:sz w:val="23"/>
          <w:szCs w:val="23"/>
        </w:rPr>
        <w:t>.</w:t>
      </w:r>
      <w:r w:rsidR="003B1EB5" w:rsidRPr="008353A5">
        <w:rPr>
          <w:sz w:val="23"/>
          <w:szCs w:val="23"/>
        </w:rPr>
        <w:t xml:space="preserve"> 2:1, </w:t>
      </w:r>
      <w:r w:rsidR="00A602FC">
        <w:rPr>
          <w:sz w:val="23"/>
          <w:szCs w:val="23"/>
        </w:rPr>
        <w:t xml:space="preserve">pp. </w:t>
      </w:r>
      <w:r w:rsidR="003B1EB5" w:rsidRPr="008353A5">
        <w:rPr>
          <w:sz w:val="23"/>
          <w:szCs w:val="23"/>
        </w:rPr>
        <w:t>1–25.</w:t>
      </w:r>
    </w:p>
    <w:p w14:paraId="6E56BACC" w14:textId="346F6732" w:rsidR="003B1EB5" w:rsidRPr="00010576" w:rsidRDefault="003B1EB5" w:rsidP="00EC20CB">
      <w:pPr>
        <w:ind w:left="426" w:hanging="426"/>
        <w:rPr>
          <w:sz w:val="23"/>
          <w:szCs w:val="23"/>
        </w:rPr>
      </w:pPr>
      <w:r w:rsidRPr="008353A5">
        <w:rPr>
          <w:rFonts w:eastAsiaTheme="minorEastAsia" w:cs="Helvetica"/>
          <w:sz w:val="23"/>
          <w:szCs w:val="23"/>
        </w:rPr>
        <w:t>Schmitt</w:t>
      </w:r>
      <w:r w:rsidRPr="008353A5">
        <w:rPr>
          <w:rFonts w:ascii="Adobe Garamond Pro" w:eastAsiaTheme="minorEastAsia" w:hAnsi="Adobe Garamond Pro" w:cs="Adobe Garamond Pro"/>
          <w:sz w:val="23"/>
          <w:szCs w:val="23"/>
        </w:rPr>
        <w:t>‐</w:t>
      </w:r>
      <w:r w:rsidR="00F83475">
        <w:rPr>
          <w:rFonts w:eastAsiaTheme="minorEastAsia" w:cs="Helvetica"/>
          <w:sz w:val="23"/>
          <w:szCs w:val="23"/>
        </w:rPr>
        <w:t>Grohé, S. and Uribe, M. (1997) ‘</w:t>
      </w:r>
      <w:r w:rsidRPr="008353A5">
        <w:rPr>
          <w:rFonts w:eastAsiaTheme="minorEastAsia" w:cs="Helvetica"/>
          <w:sz w:val="23"/>
          <w:szCs w:val="23"/>
        </w:rPr>
        <w:t>Balanced</w:t>
      </w:r>
      <w:r w:rsidRPr="008353A5">
        <w:rPr>
          <w:rFonts w:ascii="Adobe Garamond Pro" w:eastAsiaTheme="minorEastAsia" w:hAnsi="Adobe Garamond Pro" w:cs="Adobe Garamond Pro"/>
          <w:sz w:val="23"/>
          <w:szCs w:val="23"/>
        </w:rPr>
        <w:t>‐</w:t>
      </w:r>
      <w:r w:rsidRPr="008353A5">
        <w:rPr>
          <w:rFonts w:eastAsiaTheme="minorEastAsia" w:cs="Helvetica"/>
          <w:sz w:val="23"/>
          <w:szCs w:val="23"/>
        </w:rPr>
        <w:t>Budget Rules, Distortionary T</w:t>
      </w:r>
      <w:r w:rsidR="00F83475">
        <w:rPr>
          <w:rFonts w:eastAsiaTheme="minorEastAsia" w:cs="Helvetica"/>
          <w:sz w:val="23"/>
          <w:szCs w:val="23"/>
        </w:rPr>
        <w:t>axes, and Aggregate Instability’</w:t>
      </w:r>
      <w:r w:rsidRPr="008353A5">
        <w:rPr>
          <w:rFonts w:eastAsiaTheme="minorEastAsia" w:cs="Helvetica"/>
          <w:sz w:val="23"/>
          <w:szCs w:val="23"/>
        </w:rPr>
        <w:t xml:space="preserve">. </w:t>
      </w:r>
      <w:proofErr w:type="gramStart"/>
      <w:r w:rsidRPr="00F83475">
        <w:rPr>
          <w:rFonts w:eastAsiaTheme="minorEastAsia" w:cs="Helvetica"/>
          <w:i/>
          <w:sz w:val="23"/>
          <w:szCs w:val="23"/>
        </w:rPr>
        <w:t>Journal of Political Economy</w:t>
      </w:r>
      <w:r w:rsidR="00F83475">
        <w:rPr>
          <w:rFonts w:eastAsiaTheme="minorEastAsia" w:cs="Helvetica"/>
          <w:sz w:val="23"/>
          <w:szCs w:val="23"/>
        </w:rPr>
        <w:t>, Vol. 105, No. 5</w:t>
      </w:r>
      <w:r w:rsidRPr="008353A5">
        <w:rPr>
          <w:rFonts w:eastAsiaTheme="minorEastAsia" w:cs="Helvetica"/>
          <w:sz w:val="23"/>
          <w:szCs w:val="23"/>
        </w:rPr>
        <w:t>.</w:t>
      </w:r>
      <w:proofErr w:type="gramEnd"/>
    </w:p>
    <w:p w14:paraId="681D2E8A" w14:textId="77777777" w:rsidR="004A03F9" w:rsidRPr="008353A5" w:rsidRDefault="004A03F9" w:rsidP="00EC20CB">
      <w:pPr>
        <w:pStyle w:val="Reference"/>
        <w:ind w:left="426" w:hanging="426"/>
        <w:rPr>
          <w:szCs w:val="23"/>
        </w:rPr>
      </w:pPr>
      <w:r w:rsidRPr="008353A5">
        <w:rPr>
          <w:szCs w:val="23"/>
        </w:rPr>
        <w:t xml:space="preserve">Schmitter, C. (2002) ‘Neo-neofunctionalism’. In Wiener, Antje and Thomas Diez, </w:t>
      </w:r>
      <w:proofErr w:type="gramStart"/>
      <w:r w:rsidRPr="008353A5">
        <w:rPr>
          <w:szCs w:val="23"/>
        </w:rPr>
        <w:t>eds</w:t>
      </w:r>
      <w:proofErr w:type="gramEnd"/>
      <w:r w:rsidRPr="008353A5">
        <w:rPr>
          <w:szCs w:val="23"/>
        </w:rPr>
        <w:t xml:space="preserve">. (2003) </w:t>
      </w:r>
      <w:r w:rsidRPr="008353A5">
        <w:rPr>
          <w:i/>
          <w:szCs w:val="23"/>
        </w:rPr>
        <w:t>European Integration Theory</w:t>
      </w:r>
      <w:r w:rsidRPr="008353A5">
        <w:rPr>
          <w:szCs w:val="23"/>
        </w:rPr>
        <w:t>, Oxford: Oxford University Press.</w:t>
      </w:r>
    </w:p>
    <w:p w14:paraId="2C5A17BB" w14:textId="6B358CF5" w:rsidR="004A03F9" w:rsidRPr="008353A5" w:rsidRDefault="004A03F9" w:rsidP="00EC20CB">
      <w:pPr>
        <w:pStyle w:val="Reference"/>
        <w:ind w:left="426" w:hanging="426"/>
        <w:rPr>
          <w:szCs w:val="23"/>
        </w:rPr>
      </w:pPr>
      <w:r w:rsidRPr="008353A5">
        <w:rPr>
          <w:szCs w:val="23"/>
        </w:rPr>
        <w:t>Schuman, R. (1950) ‘Schuman Declaration – 9 May 1950’.</w:t>
      </w:r>
      <w:r w:rsidR="00ED1B9D">
        <w:rPr>
          <w:szCs w:val="23"/>
        </w:rPr>
        <w:t xml:space="preserve"> Available at:</w:t>
      </w:r>
      <w:r w:rsidRPr="008353A5">
        <w:rPr>
          <w:szCs w:val="23"/>
        </w:rPr>
        <w:t xml:space="preserve"> </w:t>
      </w:r>
      <w:hyperlink r:id="rId234" w:history="1">
        <w:r w:rsidR="00ED1B9D" w:rsidRPr="007966A2">
          <w:rPr>
            <w:rStyle w:val="Hyperlink"/>
            <w:szCs w:val="23"/>
          </w:rPr>
          <w:t>http://europa.eu/about-eu/basic-information/symbols/europe-day/schuman-declaration/index_en.htm</w:t>
        </w:r>
      </w:hyperlink>
      <w:r w:rsidR="00ED1B9D">
        <w:rPr>
          <w:szCs w:val="23"/>
        </w:rPr>
        <w:t xml:space="preserve"> </w:t>
      </w:r>
      <w:r w:rsidRPr="008353A5">
        <w:rPr>
          <w:szCs w:val="23"/>
        </w:rPr>
        <w:t xml:space="preserve">[Accessed 19 June 2012]. </w:t>
      </w:r>
      <w:r w:rsidRPr="008353A5">
        <w:rPr>
          <w:szCs w:val="23"/>
        </w:rPr>
        <w:tab/>
      </w:r>
    </w:p>
    <w:p w14:paraId="4BB656C6" w14:textId="05805CAC" w:rsidR="003B1EB5" w:rsidRPr="008353A5" w:rsidRDefault="00ED1B9D" w:rsidP="00EC2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26" w:hanging="426"/>
        <w:rPr>
          <w:sz w:val="23"/>
          <w:szCs w:val="23"/>
        </w:rPr>
      </w:pPr>
      <w:proofErr w:type="gramStart"/>
      <w:r>
        <w:rPr>
          <w:sz w:val="23"/>
          <w:szCs w:val="23"/>
        </w:rPr>
        <w:t>Stokes, S. (2001) ‘</w:t>
      </w:r>
      <w:r w:rsidR="003B1EB5" w:rsidRPr="008353A5">
        <w:rPr>
          <w:sz w:val="23"/>
          <w:szCs w:val="23"/>
        </w:rPr>
        <w:t>Mandates and Democracy.</w:t>
      </w:r>
      <w:proofErr w:type="gramEnd"/>
      <w:r w:rsidR="003B1EB5" w:rsidRPr="008353A5">
        <w:rPr>
          <w:sz w:val="23"/>
          <w:szCs w:val="23"/>
        </w:rPr>
        <w:t xml:space="preserve"> </w:t>
      </w:r>
      <w:proofErr w:type="gramStart"/>
      <w:r w:rsidR="003B1EB5" w:rsidRPr="008353A5">
        <w:rPr>
          <w:sz w:val="23"/>
          <w:szCs w:val="23"/>
        </w:rPr>
        <w:t>Neoliberali</w:t>
      </w:r>
      <w:r>
        <w:rPr>
          <w:sz w:val="23"/>
          <w:szCs w:val="23"/>
        </w:rPr>
        <w:t>sm by Surprise in Latin America’</w:t>
      </w:r>
      <w:r w:rsidR="003B1EB5" w:rsidRPr="008353A5">
        <w:rPr>
          <w:sz w:val="23"/>
          <w:szCs w:val="23"/>
        </w:rPr>
        <w:t>.</w:t>
      </w:r>
      <w:proofErr w:type="gramEnd"/>
      <w:r w:rsidR="003B1EB5" w:rsidRPr="008353A5">
        <w:rPr>
          <w:sz w:val="23"/>
          <w:szCs w:val="23"/>
        </w:rPr>
        <w:t xml:space="preserve"> </w:t>
      </w:r>
      <w:r>
        <w:rPr>
          <w:sz w:val="23"/>
          <w:szCs w:val="23"/>
        </w:rPr>
        <w:t xml:space="preserve">Cambdrige: </w:t>
      </w:r>
      <w:r w:rsidR="003B1EB5" w:rsidRPr="008353A5">
        <w:rPr>
          <w:sz w:val="23"/>
          <w:szCs w:val="23"/>
        </w:rPr>
        <w:t>Cambridge University Press.</w:t>
      </w:r>
    </w:p>
    <w:p w14:paraId="37B73C3E" w14:textId="2FC3727B" w:rsidR="003B1EB5" w:rsidRPr="008353A5" w:rsidRDefault="00BF5172" w:rsidP="00EC20CB">
      <w:pPr>
        <w:pStyle w:val="Reference"/>
        <w:ind w:left="426" w:hanging="426"/>
        <w:rPr>
          <w:szCs w:val="23"/>
        </w:rPr>
      </w:pPr>
      <w:proofErr w:type="gramStart"/>
      <w:r>
        <w:rPr>
          <w:szCs w:val="23"/>
        </w:rPr>
        <w:t>Tranholm-Mikkelsen, J. (1991) ‘</w:t>
      </w:r>
      <w:r w:rsidR="003B1EB5" w:rsidRPr="008353A5">
        <w:rPr>
          <w:szCs w:val="23"/>
        </w:rPr>
        <w:t>The European Community and Regional Integr</w:t>
      </w:r>
      <w:r w:rsidR="003B1EB5" w:rsidRPr="008353A5">
        <w:rPr>
          <w:szCs w:val="23"/>
        </w:rPr>
        <w:t>a</w:t>
      </w:r>
      <w:r>
        <w:rPr>
          <w:szCs w:val="23"/>
        </w:rPr>
        <w:t>tion Theory’</w:t>
      </w:r>
      <w:r w:rsidR="003B1EB5" w:rsidRPr="008353A5">
        <w:rPr>
          <w:szCs w:val="23"/>
        </w:rPr>
        <w:t>.</w:t>
      </w:r>
      <w:proofErr w:type="gramEnd"/>
      <w:r w:rsidR="003B1EB5" w:rsidRPr="008353A5">
        <w:rPr>
          <w:szCs w:val="23"/>
        </w:rPr>
        <w:t xml:space="preserve"> </w:t>
      </w:r>
      <w:r w:rsidR="003B1EB5" w:rsidRPr="008353A5">
        <w:rPr>
          <w:i/>
          <w:szCs w:val="23"/>
        </w:rPr>
        <w:t>Millennium - Journal of International Studies</w:t>
      </w:r>
      <w:r w:rsidR="003B1EB5" w:rsidRPr="008353A5">
        <w:rPr>
          <w:szCs w:val="23"/>
        </w:rPr>
        <w:t>, Volume 20 (1): 1.</w:t>
      </w:r>
    </w:p>
    <w:p w14:paraId="32B2265C" w14:textId="77777777" w:rsidR="003B1EB5" w:rsidRPr="008353A5" w:rsidRDefault="003B1EB5" w:rsidP="00EC2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eastAsiaTheme="minorEastAsia" w:cs="Helvetica"/>
          <w:sz w:val="23"/>
          <w:szCs w:val="23"/>
        </w:rPr>
      </w:pPr>
      <w:r w:rsidRPr="008353A5">
        <w:rPr>
          <w:rFonts w:eastAsiaTheme="minorEastAsia" w:cs="Helvetica"/>
          <w:sz w:val="23"/>
          <w:szCs w:val="23"/>
        </w:rPr>
        <w:t>Treaty of Nice amending the Treaty on European Union, signed in 9 March 2001. Official Journal of the European Communities, issue 10/03/2001.</w:t>
      </w:r>
    </w:p>
    <w:p w14:paraId="190BBC4C" w14:textId="18E0F78B" w:rsidR="00D36276" w:rsidRPr="008353A5" w:rsidRDefault="00D36276" w:rsidP="00EC20CB">
      <w:pPr>
        <w:pStyle w:val="Reference"/>
        <w:ind w:left="426" w:hanging="426"/>
        <w:rPr>
          <w:szCs w:val="23"/>
        </w:rPr>
      </w:pPr>
      <w:proofErr w:type="gramStart"/>
      <w:r w:rsidRPr="008353A5">
        <w:rPr>
          <w:szCs w:val="23"/>
        </w:rPr>
        <w:t>Tsebelis, G. (1994) ‘The power of the European Parliament as a conditional age</w:t>
      </w:r>
      <w:r w:rsidRPr="008353A5">
        <w:rPr>
          <w:szCs w:val="23"/>
        </w:rPr>
        <w:t>n</w:t>
      </w:r>
      <w:r w:rsidRPr="008353A5">
        <w:rPr>
          <w:szCs w:val="23"/>
        </w:rPr>
        <w:t>da setter’.</w:t>
      </w:r>
      <w:proofErr w:type="gramEnd"/>
      <w:r w:rsidRPr="008353A5">
        <w:rPr>
          <w:szCs w:val="23"/>
        </w:rPr>
        <w:t xml:space="preserve"> </w:t>
      </w:r>
      <w:r w:rsidRPr="008353A5">
        <w:rPr>
          <w:i/>
          <w:szCs w:val="23"/>
        </w:rPr>
        <w:t>The American Political Science Review</w:t>
      </w:r>
      <w:r w:rsidRPr="008353A5">
        <w:rPr>
          <w:szCs w:val="23"/>
        </w:rPr>
        <w:t xml:space="preserve"> Vol. 88, No. 1 (Mar., 1994), pp. 128-142</w:t>
      </w:r>
      <w:r w:rsidR="00EC20CB">
        <w:rPr>
          <w:szCs w:val="23"/>
        </w:rPr>
        <w:t>.</w:t>
      </w:r>
    </w:p>
    <w:p w14:paraId="7EAA4A4E" w14:textId="3D985AD2" w:rsidR="00D36276" w:rsidRPr="008353A5" w:rsidRDefault="00D36276" w:rsidP="00EC20CB">
      <w:pPr>
        <w:pStyle w:val="Reference"/>
        <w:ind w:left="426" w:hanging="426"/>
        <w:rPr>
          <w:szCs w:val="23"/>
        </w:rPr>
      </w:pPr>
      <w:r w:rsidRPr="008353A5">
        <w:rPr>
          <w:szCs w:val="23"/>
        </w:rPr>
        <w:t xml:space="preserve">Wyplosz, C. (1994) ‘European Monetary Union: the dark sides of a major success’. Volume </w:t>
      </w:r>
      <w:r w:rsidRPr="008353A5">
        <w:rPr>
          <w:i/>
          <w:szCs w:val="23"/>
        </w:rPr>
        <w:t>Economic Policy,</w:t>
      </w:r>
      <w:r w:rsidRPr="008353A5">
        <w:rPr>
          <w:szCs w:val="23"/>
        </w:rPr>
        <w:t xml:space="preserve"> vol. 21(46), pp. 207-261</w:t>
      </w:r>
      <w:r w:rsidR="00EC20CB">
        <w:rPr>
          <w:szCs w:val="23"/>
        </w:rPr>
        <w:t>.</w:t>
      </w:r>
    </w:p>
    <w:p w14:paraId="65F19A41" w14:textId="77777777" w:rsidR="00D36276" w:rsidRPr="008353A5" w:rsidRDefault="00D36276" w:rsidP="00D36276">
      <w:pPr>
        <w:pStyle w:val="Reference"/>
        <w:rPr>
          <w:szCs w:val="23"/>
        </w:rPr>
      </w:pPr>
    </w:p>
    <w:p w14:paraId="058D90DA" w14:textId="7BCA61BF" w:rsidR="005B2E54" w:rsidRPr="0021495E" w:rsidRDefault="005B2E54" w:rsidP="001D2480">
      <w:pPr>
        <w:pStyle w:val="Reference"/>
        <w:ind w:left="0" w:firstLine="0"/>
      </w:pPr>
    </w:p>
    <w:sectPr w:rsidR="005B2E54" w:rsidRPr="0021495E" w:rsidSect="008E4247">
      <w:headerReference w:type="even" r:id="rId235"/>
      <w:endnotePr>
        <w:numFmt w:val="decimal"/>
      </w:endnotePr>
      <w:pgSz w:w="11906" w:h="16838" w:code="9"/>
      <w:pgMar w:top="1701" w:right="2268" w:bottom="1134" w:left="2268" w:header="709" w:footer="851"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FDB93" w14:textId="77777777" w:rsidR="00694B29" w:rsidRPr="00FE124C" w:rsidRDefault="00694B29" w:rsidP="00FE124C">
      <w:pPr>
        <w:pStyle w:val="Footer"/>
        <w:rPr>
          <w:sz w:val="4"/>
          <w:szCs w:val="4"/>
        </w:rPr>
      </w:pPr>
    </w:p>
  </w:endnote>
  <w:endnote w:type="continuationSeparator" w:id="0">
    <w:p w14:paraId="0FDBA4A9" w14:textId="77777777" w:rsidR="00694B29" w:rsidRPr="00BE1BB7" w:rsidRDefault="00694B29" w:rsidP="00BE1BB7">
      <w:pPr>
        <w:pStyle w:val="Footer"/>
        <w:rPr>
          <w:sz w:val="4"/>
          <w:szCs w:val="4"/>
        </w:rPr>
      </w:pPr>
    </w:p>
    <w:p w14:paraId="78489D57" w14:textId="77777777" w:rsidR="00694B29" w:rsidRDefault="00694B29"/>
  </w:endnote>
  <w:endnote w:type="continuationNotice" w:id="1">
    <w:p w14:paraId="7FA16F6D" w14:textId="77777777" w:rsidR="00694B29" w:rsidRPr="00BE1BB7" w:rsidRDefault="00694B29">
      <w:pPr>
        <w:rPr>
          <w:sz w:val="4"/>
          <w:szCs w:val="4"/>
        </w:rPr>
      </w:pPr>
    </w:p>
    <w:p w14:paraId="6F3CB084" w14:textId="77777777" w:rsidR="00694B29" w:rsidRDefault="00694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Adobe Garamond Pro">
    <w:panose1 w:val="02020502060506020403"/>
    <w:charset w:val="00"/>
    <w:family w:val="auto"/>
    <w:pitch w:val="variable"/>
    <w:sig w:usb0="00000007" w:usb1="00000001" w:usb2="00000000" w:usb3="00000000" w:csb0="00000093"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1C963" w14:textId="77777777" w:rsidR="00694B29" w:rsidRPr="008B3247" w:rsidRDefault="00694B29" w:rsidP="00E217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77A824" w14:textId="77777777" w:rsidR="00694B29" w:rsidRPr="008B3247" w:rsidRDefault="00694B29" w:rsidP="007A0F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3B118" w14:textId="77777777" w:rsidR="00694B29" w:rsidRDefault="00694B29" w:rsidP="00E2172B">
    <w:pPr>
      <w:pStyle w:val="Footer"/>
      <w:framePr w:wrap="around" w:vAnchor="text" w:hAnchor="margin" w:xAlign="center" w:y="1"/>
      <w:spacing w:before="60" w:after="0"/>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A31F2">
      <w:rPr>
        <w:rStyle w:val="PageNumber"/>
        <w:noProof/>
      </w:rPr>
      <w:t>10</w:t>
    </w:r>
    <w:r>
      <w:rPr>
        <w:rStyle w:val="PageNumber"/>
      </w:rPr>
      <w:fldChar w:fldCharType="end"/>
    </w:r>
  </w:p>
  <w:p w14:paraId="7D2DC15A" w14:textId="77777777" w:rsidR="00694B29" w:rsidRPr="008B3247" w:rsidRDefault="00694B29" w:rsidP="000908A6">
    <w:pPr>
      <w:pStyle w:val="Footer"/>
      <w:spacing w:before="100"/>
      <w:ind w:firstLine="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5062F" w14:textId="77777777" w:rsidR="00694B29" w:rsidRDefault="00694B29" w:rsidP="00397138">
    <w:pPr>
      <w:pStyle w:val="Footer"/>
      <w:framePr w:wrap="around" w:vAnchor="text" w:hAnchor="margin" w:xAlign="center" w:y="1"/>
      <w:rPr>
        <w:rStyle w:val="PageNumber"/>
      </w:rPr>
    </w:pPr>
  </w:p>
  <w:p w14:paraId="2FFADE9D" w14:textId="77777777" w:rsidR="00694B29" w:rsidRDefault="00694B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9E6A6" w14:textId="77777777" w:rsidR="00694B29" w:rsidRDefault="00694B29" w:rsidP="002F2282">
      <w:pPr>
        <w:spacing w:after="40"/>
        <w:ind w:firstLine="0"/>
      </w:pPr>
      <w:r>
        <w:separator/>
      </w:r>
    </w:p>
  </w:footnote>
  <w:footnote w:type="continuationSeparator" w:id="0">
    <w:p w14:paraId="11DC1B3F" w14:textId="77777777" w:rsidR="00694B29" w:rsidRDefault="00694B29" w:rsidP="001F4E93">
      <w:pPr>
        <w:ind w:firstLine="0"/>
      </w:pPr>
      <w:r>
        <w:continuationSeparator/>
      </w:r>
    </w:p>
  </w:footnote>
  <w:footnote w:type="continuationNotice" w:id="1">
    <w:p w14:paraId="694BE547" w14:textId="77777777" w:rsidR="00694B29" w:rsidRPr="002F2282" w:rsidRDefault="00694B29" w:rsidP="002F2282">
      <w:pPr>
        <w:pStyle w:val="Footer"/>
        <w:ind w:firstLine="0"/>
        <w:rPr>
          <w:lang w:val="en-US"/>
        </w:rPr>
      </w:pPr>
    </w:p>
  </w:footnote>
  <w:footnote w:id="2">
    <w:p w14:paraId="7588493B" w14:textId="104DB2C8" w:rsidR="00694B29" w:rsidRPr="00AD53D3" w:rsidRDefault="00694B29">
      <w:pPr>
        <w:pStyle w:val="FootnoteText"/>
        <w:rPr>
          <w:lang w:val="en-US"/>
        </w:rPr>
      </w:pPr>
      <w:r>
        <w:rPr>
          <w:rStyle w:val="FootnoteReference"/>
        </w:rPr>
        <w:footnoteRef/>
      </w:r>
      <w:r>
        <w:t xml:space="preserve"> </w:t>
      </w:r>
      <w:r w:rsidRPr="00AD53D3">
        <w:t>Even when it may sound superfluous to some readers, I find necessary to make clear that ‘integration’ is not a synonym of ‘more delegated sovereignty’ or ‘more vertical federalism’, but a synonym of ‘more centralized decisions’ regardless of their model.</w:t>
      </w:r>
      <w:r>
        <w:tab/>
      </w:r>
    </w:p>
  </w:footnote>
  <w:footnote w:id="3">
    <w:p w14:paraId="2D05AD3B" w14:textId="7D8126F8" w:rsidR="00694B29" w:rsidRPr="00080EA5" w:rsidRDefault="00694B29">
      <w:pPr>
        <w:pStyle w:val="FootnoteText"/>
        <w:rPr>
          <w:lang w:val="en-US"/>
        </w:rPr>
      </w:pPr>
      <w:r>
        <w:rPr>
          <w:rStyle w:val="FootnoteReference"/>
        </w:rPr>
        <w:footnoteRef/>
      </w:r>
      <w:r>
        <w:t xml:space="preserve"> </w:t>
      </w:r>
      <w:r w:rsidRPr="00080EA5">
        <w:t>Natural unemployment rate is much higher in Spain than the OECD average, thus anything below 9%-10% is considered as relatively normal.</w:t>
      </w:r>
    </w:p>
  </w:footnote>
  <w:footnote w:id="4">
    <w:p w14:paraId="60C0CCAF" w14:textId="06B166EB" w:rsidR="00694B29" w:rsidRPr="008B0D45" w:rsidRDefault="00694B29">
      <w:pPr>
        <w:pStyle w:val="FootnoteText"/>
        <w:rPr>
          <w:lang w:val="en-US"/>
        </w:rPr>
      </w:pPr>
      <w:r>
        <w:rPr>
          <w:rStyle w:val="FootnoteReference"/>
        </w:rPr>
        <w:footnoteRef/>
      </w:r>
      <w:r>
        <w:t xml:space="preserve"> </w:t>
      </w:r>
      <w:r w:rsidRPr="008B0D45">
        <w:t>‘Strong’ and ‘weak’ are relative categories based on economic performance evalu</w:t>
      </w:r>
      <w:r w:rsidRPr="008B0D45">
        <w:t>a</w:t>
      </w:r>
      <w:r w:rsidRPr="008B0D45">
        <w:t>tion, more than pure debt and deficit parameters: current account (</w:t>
      </w:r>
      <w:proofErr w:type="spellStart"/>
      <w:proofErr w:type="gramStart"/>
      <w:r w:rsidRPr="008B0D45">
        <w:t>im</w:t>
      </w:r>
      <w:proofErr w:type="spellEnd"/>
      <w:r w:rsidRPr="008B0D45">
        <w:t>)balances</w:t>
      </w:r>
      <w:proofErr w:type="gramEnd"/>
      <w:r w:rsidRPr="008B0D45">
        <w:t>, GDP per capita, unemployment figures, and in sum present as well as expected growth.</w:t>
      </w:r>
    </w:p>
  </w:footnote>
  <w:footnote w:id="5">
    <w:p w14:paraId="250BDC17" w14:textId="23AB8075" w:rsidR="00694B29" w:rsidRPr="00F46388" w:rsidRDefault="00694B29">
      <w:pPr>
        <w:pStyle w:val="FootnoteText"/>
        <w:rPr>
          <w:lang w:val="en-US"/>
        </w:rPr>
      </w:pPr>
      <w:r>
        <w:rPr>
          <w:rStyle w:val="FootnoteReference"/>
        </w:rPr>
        <w:footnoteRef/>
      </w:r>
      <w:r>
        <w:t xml:space="preserve"> </w:t>
      </w:r>
      <w:r w:rsidRPr="00F46388">
        <w:t>A ‘reverse shift’ from delegated to inter-government scheme is out of the scope of the present work, but it may be explained within the same framework as a contrary spillover that ends up returning power to the nation-states through the re-creation of intra-national coalitions that still find profitable to keep a common bargaining mech</w:t>
      </w:r>
      <w:r w:rsidRPr="00F46388">
        <w:t>a</w:t>
      </w:r>
      <w:r w:rsidRPr="00F46388">
        <w:t>nism. Very little research has been done for these cases because it is a rare, almost non-existent event, given the fact that federation breakups are usually, well, breakups, and after them there is almost no scope for peaceful relations between the resulting parts. Nevertheless, some current and expected dynamics within the EU (Belgium, Catalonia to some extent) suggest that this may change soon. But, as stated, the pr</w:t>
      </w:r>
      <w:r w:rsidRPr="00F46388">
        <w:t>e</w:t>
      </w:r>
      <w:r w:rsidRPr="00F46388">
        <w:t>sent framework should be able to give account of such a situation by considering spillovers not only as incremental externalities but also as non-cooperative games.</w:t>
      </w:r>
    </w:p>
  </w:footnote>
  <w:footnote w:id="6">
    <w:p w14:paraId="273B6854" w14:textId="6F11FE0E" w:rsidR="00694B29" w:rsidRPr="00840754" w:rsidRDefault="00694B29">
      <w:pPr>
        <w:pStyle w:val="FootnoteText"/>
        <w:rPr>
          <w:lang w:val="en-US"/>
        </w:rPr>
      </w:pPr>
      <w:r>
        <w:rPr>
          <w:rStyle w:val="FootnoteReference"/>
        </w:rPr>
        <w:footnoteRef/>
      </w:r>
      <w:r>
        <w:t xml:space="preserve"> </w:t>
      </w:r>
      <w:r w:rsidRPr="00840754">
        <w:t xml:space="preserve">This </w:t>
      </w:r>
      <w:r>
        <w:t>may</w:t>
      </w:r>
      <w:r w:rsidRPr="00840754">
        <w:t xml:space="preserve"> appear clear</w:t>
      </w:r>
      <w:r>
        <w:t>er</w:t>
      </w:r>
      <w:r w:rsidRPr="00840754">
        <w:t xml:space="preserve"> under the light of the following exposition of the role of time in social reality: given a moment t, society is constituted by an indeterminate number of individuals interacting with each other. This network of interactions is i</w:t>
      </w:r>
      <w:r w:rsidRPr="00840754">
        <w:t>n</w:t>
      </w:r>
      <w:r w:rsidRPr="00840754">
        <w:t>complete (in the sense that not everyone interacts with everyone) and conditioned by the outcome in the previous moment t-1. It follows logically that the outcome of moment t will influence t+1, and so on. In a nutshell, the network of interactions in the past creates the conditions and the opportunities (the structure) for the next inte</w:t>
      </w:r>
      <w:r w:rsidRPr="00840754">
        <w:t>r</w:t>
      </w:r>
      <w:r w:rsidRPr="00840754">
        <w:t>actions. Agency creates the structure while it is essentially defined and conditioned by it. Assuming this logic, it is possible to enunciate that there is nothing but agency, and structure is a (very useful) concept that we use to understand how some (</w:t>
      </w:r>
      <w:proofErr w:type="gramStart"/>
      <w:r w:rsidRPr="00840754">
        <w:t>inter)actions</w:t>
      </w:r>
      <w:proofErr w:type="gramEnd"/>
      <w:r w:rsidRPr="00840754">
        <w:t xml:space="preserve"> limit others, both diachronically and synchronically. It is a black box by definition that we should be able to open up systematically when needed, building an explanatory path through events.</w:t>
      </w:r>
    </w:p>
  </w:footnote>
  <w:footnote w:id="7">
    <w:p w14:paraId="17494B45" w14:textId="5DE3163A" w:rsidR="00694B29" w:rsidRPr="00C909CF" w:rsidRDefault="00694B29">
      <w:pPr>
        <w:pStyle w:val="FootnoteText"/>
        <w:rPr>
          <w:lang w:val="en-US"/>
        </w:rPr>
      </w:pPr>
      <w:r>
        <w:rPr>
          <w:rStyle w:val="FootnoteReference"/>
        </w:rPr>
        <w:footnoteRef/>
      </w:r>
      <w:r>
        <w:t xml:space="preserve"> Thus, a Bayesian model would not apply.</w:t>
      </w:r>
    </w:p>
  </w:footnote>
  <w:footnote w:id="8">
    <w:p w14:paraId="3A36DA7E" w14:textId="5E4865A3" w:rsidR="00694B29" w:rsidRPr="004C6B04" w:rsidRDefault="00694B29">
      <w:pPr>
        <w:pStyle w:val="FootnoteText"/>
        <w:rPr>
          <w:lang w:val="en-US"/>
        </w:rPr>
      </w:pPr>
      <w:r>
        <w:rPr>
          <w:rStyle w:val="FootnoteReference"/>
        </w:rPr>
        <w:footnoteRef/>
      </w:r>
      <w:r>
        <w:t xml:space="preserve"> The specific number is irrelevant for the question of the present paper, as it is a ‘when?’ dilemma, but may be achieved in further work through more detailed math</w:t>
      </w:r>
      <w:r>
        <w:t>e</w:t>
      </w:r>
      <w:r>
        <w:t>matical analysis.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74AD" w14:textId="77777777" w:rsidR="00694B29" w:rsidRDefault="00694B29" w:rsidP="00816D21">
    <w:pPr>
      <w:ind w:firstLine="0"/>
      <w:jc w:val="center"/>
      <w:rPr>
        <w:rFonts w:ascii="Arial" w:hAnsi="Arial" w:cs="Arial"/>
        <w:spacing w:val="4"/>
        <w:w w:val="115"/>
        <w:position w:val="-18"/>
      </w:rPr>
    </w:pPr>
  </w:p>
  <w:p w14:paraId="6BC3F600" w14:textId="77777777" w:rsidR="00694B29" w:rsidRDefault="00694B29" w:rsidP="00816D21">
    <w:pPr>
      <w:ind w:firstLine="0"/>
      <w:jc w:val="center"/>
      <w:rPr>
        <w:rFonts w:ascii="Arial" w:hAnsi="Arial" w:cs="Arial"/>
        <w:spacing w:val="4"/>
        <w:w w:val="115"/>
        <w:position w:val="-18"/>
      </w:rPr>
    </w:pPr>
    <w:r>
      <w:rPr>
        <w:noProof/>
        <w:lang w:val="en-US" w:eastAsia="en-US"/>
      </w:rPr>
      <w:drawing>
        <wp:anchor distT="0" distB="0" distL="114300" distR="114300" simplePos="0" relativeHeight="251657728" behindDoc="0" locked="0" layoutInCell="1" allowOverlap="0" wp14:anchorId="7D6E1130" wp14:editId="02966709">
          <wp:simplePos x="0" y="0"/>
          <wp:positionH relativeFrom="column">
            <wp:posOffset>254000</wp:posOffset>
          </wp:positionH>
          <wp:positionV relativeFrom="page">
            <wp:posOffset>813435</wp:posOffset>
          </wp:positionV>
          <wp:extent cx="3695700" cy="1400175"/>
          <wp:effectExtent l="0" t="0" r="12700" b="0"/>
          <wp:wrapTopAndBottom/>
          <wp:docPr id="1" name="Picture 1" descr="Description: a logo 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 ISS-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1400175"/>
                  </a:xfrm>
                  <a:prstGeom prst="rect">
                    <a:avLst/>
                  </a:prstGeom>
                  <a:noFill/>
                </pic:spPr>
              </pic:pic>
            </a:graphicData>
          </a:graphic>
          <wp14:sizeRelH relativeFrom="page">
            <wp14:pctWidth>0</wp14:pctWidth>
          </wp14:sizeRelH>
          <wp14:sizeRelV relativeFrom="page">
            <wp14:pctHeight>0</wp14:pctHeight>
          </wp14:sizeRelV>
        </wp:anchor>
      </w:drawing>
    </w:r>
  </w:p>
  <w:p w14:paraId="57C1403B" w14:textId="77777777" w:rsidR="00694B29" w:rsidRDefault="00694B29" w:rsidP="00816D21">
    <w:pPr>
      <w:ind w:firstLine="0"/>
      <w:jc w:val="center"/>
      <w:rPr>
        <w:rFonts w:ascii="Arial" w:hAnsi="Arial" w:cs="Arial"/>
        <w:spacing w:val="4"/>
        <w:w w:val="115"/>
        <w:position w:val="-18"/>
      </w:rPr>
    </w:pPr>
  </w:p>
  <w:p w14:paraId="2BC9F65F" w14:textId="77777777" w:rsidR="00694B29" w:rsidRDefault="00694B29" w:rsidP="00816D21">
    <w:pPr>
      <w:ind w:firstLine="0"/>
      <w:jc w:val="center"/>
      <w:rPr>
        <w:rFonts w:ascii="Arial" w:hAnsi="Arial" w:cs="Arial"/>
        <w:spacing w:val="4"/>
        <w:w w:val="115"/>
        <w:position w:val="-18"/>
      </w:rPr>
    </w:pPr>
  </w:p>
  <w:p w14:paraId="7DFD534E" w14:textId="77777777" w:rsidR="00694B29" w:rsidRDefault="00694B29" w:rsidP="00816D21">
    <w:pPr>
      <w:ind w:firstLine="0"/>
      <w:jc w:val="center"/>
      <w:rPr>
        <w:rFonts w:ascii="Arial" w:hAnsi="Arial" w:cs="Arial"/>
        <w:spacing w:val="4"/>
        <w:w w:val="115"/>
        <w:position w:val="-18"/>
      </w:rPr>
    </w:pPr>
  </w:p>
  <w:p w14:paraId="7A71CB66" w14:textId="77777777" w:rsidR="00694B29" w:rsidRDefault="00694B29" w:rsidP="00816D21">
    <w:pPr>
      <w:ind w:firstLine="0"/>
      <w:jc w:val="center"/>
      <w:rPr>
        <w:rFonts w:ascii="Arial" w:hAnsi="Arial" w:cs="Arial"/>
        <w:spacing w:val="4"/>
        <w:w w:val="115"/>
        <w:position w:val="-18"/>
      </w:rPr>
    </w:pPr>
  </w:p>
  <w:p w14:paraId="7A94EFD4" w14:textId="77777777" w:rsidR="00694B29" w:rsidRDefault="00694B29" w:rsidP="00816D21">
    <w:pPr>
      <w:ind w:firstLine="0"/>
      <w:jc w:val="center"/>
      <w:rPr>
        <w:rFonts w:ascii="Arial" w:hAnsi="Arial" w:cs="Arial"/>
        <w:spacing w:val="4"/>
        <w:w w:val="115"/>
        <w:position w:val="-18"/>
      </w:rPr>
    </w:pPr>
  </w:p>
  <w:p w14:paraId="3EC187E2" w14:textId="77777777" w:rsidR="00694B29" w:rsidRDefault="00694B29" w:rsidP="00816D21">
    <w:pPr>
      <w:ind w:firstLine="0"/>
      <w:jc w:val="center"/>
      <w:rPr>
        <w:rFonts w:ascii="Arial" w:hAnsi="Arial" w:cs="Arial"/>
        <w:spacing w:val="4"/>
        <w:w w:val="115"/>
        <w:position w:val="-18"/>
      </w:rPr>
    </w:pPr>
  </w:p>
  <w:p w14:paraId="2186CA49" w14:textId="77777777" w:rsidR="00694B29" w:rsidRDefault="00694B29">
    <w:pPr>
      <w:pStyle w:val="Header"/>
    </w:pPr>
  </w:p>
  <w:p w14:paraId="4B0B1C8C" w14:textId="77777777" w:rsidR="00694B29" w:rsidRDefault="00694B2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687EB" w14:textId="77777777" w:rsidR="00694B29" w:rsidRDefault="00694B2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661E96"/>
    <w:lvl w:ilvl="0">
      <w:start w:val="1"/>
      <w:numFmt w:val="decimal"/>
      <w:lvlText w:val="%1."/>
      <w:lvlJc w:val="left"/>
      <w:pPr>
        <w:tabs>
          <w:tab w:val="num" w:pos="1492"/>
        </w:tabs>
        <w:ind w:left="1492" w:hanging="360"/>
      </w:pPr>
    </w:lvl>
  </w:abstractNum>
  <w:abstractNum w:abstractNumId="1">
    <w:nsid w:val="FFFFFF7D"/>
    <w:multiLevelType w:val="singleLevel"/>
    <w:tmpl w:val="37505266"/>
    <w:lvl w:ilvl="0">
      <w:start w:val="1"/>
      <w:numFmt w:val="decimal"/>
      <w:lvlText w:val="%1."/>
      <w:lvlJc w:val="left"/>
      <w:pPr>
        <w:tabs>
          <w:tab w:val="num" w:pos="1209"/>
        </w:tabs>
        <w:ind w:left="1209" w:hanging="360"/>
      </w:pPr>
    </w:lvl>
  </w:abstractNum>
  <w:abstractNum w:abstractNumId="2">
    <w:nsid w:val="FFFFFF7E"/>
    <w:multiLevelType w:val="singleLevel"/>
    <w:tmpl w:val="59C2C8AE"/>
    <w:lvl w:ilvl="0">
      <w:start w:val="1"/>
      <w:numFmt w:val="decimal"/>
      <w:lvlText w:val="%1."/>
      <w:lvlJc w:val="left"/>
      <w:pPr>
        <w:tabs>
          <w:tab w:val="num" w:pos="926"/>
        </w:tabs>
        <w:ind w:left="926" w:hanging="360"/>
      </w:pPr>
    </w:lvl>
  </w:abstractNum>
  <w:abstractNum w:abstractNumId="3">
    <w:nsid w:val="FFFFFF7F"/>
    <w:multiLevelType w:val="singleLevel"/>
    <w:tmpl w:val="6ACEBBE4"/>
    <w:lvl w:ilvl="0">
      <w:start w:val="1"/>
      <w:numFmt w:val="decimal"/>
      <w:lvlText w:val="%1."/>
      <w:lvlJc w:val="left"/>
      <w:pPr>
        <w:tabs>
          <w:tab w:val="num" w:pos="643"/>
        </w:tabs>
        <w:ind w:left="643" w:hanging="360"/>
      </w:pPr>
    </w:lvl>
  </w:abstractNum>
  <w:abstractNum w:abstractNumId="4">
    <w:nsid w:val="FFFFFF80"/>
    <w:multiLevelType w:val="singleLevel"/>
    <w:tmpl w:val="F42859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38CC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4663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E6AF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3AEB64"/>
    <w:lvl w:ilvl="0">
      <w:start w:val="1"/>
      <w:numFmt w:val="decimal"/>
      <w:lvlText w:val="%1."/>
      <w:lvlJc w:val="left"/>
      <w:pPr>
        <w:tabs>
          <w:tab w:val="num" w:pos="360"/>
        </w:tabs>
        <w:ind w:left="360" w:hanging="360"/>
      </w:pPr>
    </w:lvl>
  </w:abstractNum>
  <w:abstractNum w:abstractNumId="9">
    <w:nsid w:val="FFFFFF89"/>
    <w:multiLevelType w:val="singleLevel"/>
    <w:tmpl w:val="6D82B518"/>
    <w:lvl w:ilvl="0">
      <w:start w:val="1"/>
      <w:numFmt w:val="bullet"/>
      <w:lvlText w:val=""/>
      <w:lvlJc w:val="left"/>
      <w:pPr>
        <w:tabs>
          <w:tab w:val="num" w:pos="360"/>
        </w:tabs>
        <w:ind w:left="0" w:firstLine="0"/>
      </w:pPr>
      <w:rPr>
        <w:rFonts w:ascii="Symbol" w:hAnsi="Symbol" w:hint="default"/>
        <w:sz w:val="16"/>
      </w:rPr>
    </w:lvl>
  </w:abstractNum>
  <w:abstractNum w:abstractNumId="10">
    <w:nsid w:val="FFFFFFFE"/>
    <w:multiLevelType w:val="singleLevel"/>
    <w:tmpl w:val="B8C4CA6A"/>
    <w:lvl w:ilvl="0">
      <w:numFmt w:val="bullet"/>
      <w:lvlText w:val="*"/>
      <w:lvlJc w:val="left"/>
    </w:lvl>
  </w:abstractNum>
  <w:abstractNum w:abstractNumId="11">
    <w:nsid w:val="016124AA"/>
    <w:multiLevelType w:val="multilevel"/>
    <w:tmpl w:val="42529E9E"/>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
      <w:lvlJc w:val="left"/>
      <w:pPr>
        <w:tabs>
          <w:tab w:val="num" w:pos="3240"/>
        </w:tabs>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2">
    <w:nsid w:val="0189005F"/>
    <w:multiLevelType w:val="hybridMultilevel"/>
    <w:tmpl w:val="36E4388A"/>
    <w:lvl w:ilvl="0" w:tplc="8DC8C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957948"/>
    <w:multiLevelType w:val="multilevel"/>
    <w:tmpl w:val="210054F2"/>
    <w:lvl w:ilvl="0">
      <w:start w:val="1"/>
      <w:numFmt w:val="decimal"/>
      <w:lvlText w:val="%1"/>
      <w:lvlJc w:val="left"/>
      <w:pPr>
        <w:tabs>
          <w:tab w:val="num" w:pos="720"/>
        </w:tabs>
        <w:ind w:left="360" w:hanging="360"/>
      </w:pPr>
      <w:rPr>
        <w:rFonts w:hint="default"/>
      </w:rPr>
    </w:lvl>
    <w:lvl w:ilvl="1">
      <w:start w:val="1"/>
      <w:numFmt w:val="decimal"/>
      <w:lvlText w:val=".%2%1"/>
      <w:lvlJc w:val="left"/>
      <w:pPr>
        <w:tabs>
          <w:tab w:val="num" w:pos="1440"/>
        </w:tabs>
        <w:ind w:left="792" w:hanging="432"/>
      </w:pPr>
      <w:rPr>
        <w:rFonts w:hint="default"/>
      </w:rPr>
    </w:lvl>
    <w:lvl w:ilvl="2">
      <w:start w:val="1"/>
      <w:numFmt w:val="decimal"/>
      <w:lvlText w:val="%1.%3.%2"/>
      <w:lvlJc w:val="left"/>
      <w:pPr>
        <w:tabs>
          <w:tab w:val="num" w:pos="2160"/>
        </w:tabs>
        <w:ind w:left="1224" w:hanging="50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4">
    <w:nsid w:val="05FE0C3D"/>
    <w:multiLevelType w:val="hybridMultilevel"/>
    <w:tmpl w:val="A94C587E"/>
    <w:lvl w:ilvl="0" w:tplc="1C7E53F8">
      <w:start w:val="1"/>
      <w:numFmt w:val="decimal"/>
      <w:pStyle w:val="Numberedtext"/>
      <w:lvlText w:val="%1."/>
      <w:lvlJc w:val="left"/>
      <w:pPr>
        <w:tabs>
          <w:tab w:val="num" w:pos="284"/>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7BB3C4C"/>
    <w:multiLevelType w:val="multilevel"/>
    <w:tmpl w:val="315AC07A"/>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6">
    <w:nsid w:val="15405BF2"/>
    <w:multiLevelType w:val="multilevel"/>
    <w:tmpl w:val="D9FAC55E"/>
    <w:name w:val="ISSresearchpaper"/>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7">
    <w:nsid w:val="1576749B"/>
    <w:multiLevelType w:val="multilevel"/>
    <w:tmpl w:val="6016C480"/>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4.%3"/>
      <w:lvlJc w:val="left"/>
      <w:pPr>
        <w:tabs>
          <w:tab w:val="num" w:pos="3240"/>
        </w:tabs>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8">
    <w:nsid w:val="17250F75"/>
    <w:multiLevelType w:val="multilevel"/>
    <w:tmpl w:val="6A80274C"/>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4.%3"/>
      <w:lvlJc w:val="left"/>
      <w:pPr>
        <w:tabs>
          <w:tab w:val="num" w:pos="3240"/>
        </w:tabs>
        <w:ind w:left="567" w:hanging="567"/>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nsid w:val="1BD452C0"/>
    <w:multiLevelType w:val="multilevel"/>
    <w:tmpl w:val="5606B050"/>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0">
    <w:nsid w:val="1DDF2668"/>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221C4A2E"/>
    <w:multiLevelType w:val="multilevel"/>
    <w:tmpl w:val="46FCA67A"/>
    <w:lvl w:ilvl="0">
      <w:start w:val="1"/>
      <w:numFmt w:val="bullet"/>
      <w:lvlText w:val=""/>
      <w:lvlJc w:val="left"/>
      <w:pPr>
        <w:tabs>
          <w:tab w:val="num" w:pos="720"/>
        </w:tabs>
        <w:ind w:left="720" w:hanging="720"/>
      </w:pPr>
      <w:rPr>
        <w:rFonts w:ascii="Wingdings" w:hAnsi="Wingdings" w:hint="default"/>
      </w:rPr>
    </w:lvl>
    <w:lvl w:ilvl="1">
      <w:start w:val="1"/>
      <w:numFmt w:val="bullet"/>
      <w:lvlText w:val=""/>
      <w:lvlJc w:val="left"/>
      <w:pPr>
        <w:tabs>
          <w:tab w:val="num" w:pos="720"/>
        </w:tabs>
        <w:ind w:left="720" w:hanging="72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4702283"/>
    <w:multiLevelType w:val="hybridMultilevel"/>
    <w:tmpl w:val="EC702B1A"/>
    <w:lvl w:ilvl="0" w:tplc="DA98A982">
      <w:start w:val="1"/>
      <w:numFmt w:val="bullet"/>
      <w:lvlText w:val=""/>
      <w:lvlJc w:val="left"/>
      <w:pPr>
        <w:tabs>
          <w:tab w:val="num" w:pos="720"/>
        </w:tabs>
        <w:ind w:left="720" w:hanging="720"/>
      </w:pPr>
      <w:rPr>
        <w:rFonts w:ascii="Wingdings" w:hAnsi="Wingdings" w:hint="default"/>
      </w:rPr>
    </w:lvl>
    <w:lvl w:ilvl="1" w:tplc="DEEC8146">
      <w:start w:val="1"/>
      <w:numFmt w:val="bullet"/>
      <w:lvlText w:val=""/>
      <w:lvlJc w:val="left"/>
      <w:pPr>
        <w:tabs>
          <w:tab w:val="num" w:pos="360"/>
        </w:tabs>
        <w:ind w:left="360" w:hanging="360"/>
      </w:pPr>
      <w:rPr>
        <w:rFonts w:ascii="Wingdings" w:hAnsi="Wingdings"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57F3280"/>
    <w:multiLevelType w:val="multilevel"/>
    <w:tmpl w:val="5606B050"/>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4">
    <w:nsid w:val="29E45CD6"/>
    <w:multiLevelType w:val="multilevel"/>
    <w:tmpl w:val="C6986BD6"/>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794"/>
        </w:tabs>
        <w:ind w:left="792" w:hanging="792"/>
      </w:pPr>
      <w:rPr>
        <w:rFonts w:hint="default"/>
      </w:rPr>
    </w:lvl>
    <w:lvl w:ilvl="2">
      <w:start w:val="1"/>
      <w:numFmt w:val="decimal"/>
      <w:lvlText w:val="%1.%3.%2"/>
      <w:lvlJc w:val="left"/>
      <w:pPr>
        <w:tabs>
          <w:tab w:val="num" w:pos="794"/>
        </w:tabs>
        <w:ind w:left="794" w:hanging="79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5">
    <w:nsid w:val="31902538"/>
    <w:multiLevelType w:val="multilevel"/>
    <w:tmpl w:val="733AE1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AA472A5"/>
    <w:multiLevelType w:val="multilevel"/>
    <w:tmpl w:val="32A2CFE0"/>
    <w:lvl w:ilvl="0">
      <w:start w:val="1"/>
      <w:numFmt w:val="decimal"/>
      <w:lvlText w:val="Chapter %1"/>
      <w:lvlJc w:val="left"/>
      <w:pPr>
        <w:tabs>
          <w:tab w:val="num" w:pos="720"/>
        </w:tabs>
        <w:ind w:left="360" w:hanging="360"/>
      </w:pPr>
      <w:rPr>
        <w:rFonts w:hint="default"/>
      </w:rPr>
    </w:lvl>
    <w:lvl w:ilvl="1">
      <w:start w:val="1"/>
      <w:numFmt w:val="decimal"/>
      <w:lvlText w:val="%2.%1"/>
      <w:lvlJc w:val="left"/>
      <w:pPr>
        <w:tabs>
          <w:tab w:val="num" w:pos="1440"/>
        </w:tabs>
        <w:ind w:left="792" w:hanging="792"/>
      </w:pPr>
      <w:rPr>
        <w:rFonts w:hint="default"/>
      </w:rPr>
    </w:lvl>
    <w:lvl w:ilvl="2">
      <w:start w:val="1"/>
      <w:numFmt w:val="decimal"/>
      <w:lvlText w:val="%1.%3.%2"/>
      <w:lvlJc w:val="left"/>
      <w:pPr>
        <w:tabs>
          <w:tab w:val="num" w:pos="2160"/>
        </w:tabs>
        <w:ind w:left="1224" w:hanging="122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7">
    <w:nsid w:val="3AE5351B"/>
    <w:multiLevelType w:val="multilevel"/>
    <w:tmpl w:val="3C84165C"/>
    <w:lvl w:ilvl="0">
      <w:start w:val="1"/>
      <w:numFmt w:val="decimal"/>
      <w:lvlText w:val="Chapter %1"/>
      <w:lvlJc w:val="left"/>
      <w:pPr>
        <w:tabs>
          <w:tab w:val="num" w:pos="720"/>
        </w:tabs>
        <w:ind w:left="360" w:hanging="360"/>
      </w:pPr>
      <w:rPr>
        <w:rFonts w:hint="default"/>
      </w:rPr>
    </w:lvl>
    <w:lvl w:ilvl="1">
      <w:start w:val="1"/>
      <w:numFmt w:val="decimal"/>
      <w:lvlText w:val="%2.%1"/>
      <w:lvlJc w:val="left"/>
      <w:pPr>
        <w:tabs>
          <w:tab w:val="num" w:pos="1440"/>
        </w:tabs>
        <w:ind w:left="792" w:hanging="792"/>
      </w:pPr>
      <w:rPr>
        <w:rFonts w:hint="default"/>
      </w:rPr>
    </w:lvl>
    <w:lvl w:ilvl="2">
      <w:start w:val="1"/>
      <w:numFmt w:val="decimal"/>
      <w:lvlText w:val="%1.%3.%2"/>
      <w:lvlJc w:val="left"/>
      <w:pPr>
        <w:tabs>
          <w:tab w:val="num" w:pos="2160"/>
        </w:tabs>
        <w:ind w:left="1224" w:hanging="122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8">
    <w:nsid w:val="3C0253CE"/>
    <w:multiLevelType w:val="hybridMultilevel"/>
    <w:tmpl w:val="D230178C"/>
    <w:lvl w:ilvl="0" w:tplc="FFFFFFFF">
      <w:numFmt w:val="bullet"/>
      <w:lvlText w:val="-"/>
      <w:lvlJc w:val="left"/>
      <w:pPr>
        <w:tabs>
          <w:tab w:val="num" w:pos="360"/>
        </w:tabs>
        <w:ind w:left="360" w:hanging="360"/>
      </w:pPr>
      <w:rPr>
        <w:rFonts w:ascii="Garamond" w:eastAsia="SimSun" w:hAnsi="Garamond" w:cs="Comic Sans M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53D25610"/>
    <w:multiLevelType w:val="multilevel"/>
    <w:tmpl w:val="C270F2DE"/>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0">
    <w:nsid w:val="54E759E0"/>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1">
    <w:nsid w:val="5AF65227"/>
    <w:multiLevelType w:val="hybridMultilevel"/>
    <w:tmpl w:val="2A5A1E82"/>
    <w:lvl w:ilvl="0" w:tplc="3D9CF1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60A31852"/>
    <w:multiLevelType w:val="hybridMultilevel"/>
    <w:tmpl w:val="F0FA44AC"/>
    <w:lvl w:ilvl="0" w:tplc="2F84544A">
      <w:start w:val="1"/>
      <w:numFmt w:val="bullet"/>
      <w:pStyle w:val="bullet"/>
      <w:lvlText w:val=""/>
      <w:lvlJc w:val="left"/>
      <w:pPr>
        <w:tabs>
          <w:tab w:val="num" w:pos="284"/>
        </w:tabs>
        <w:ind w:left="567" w:hanging="142"/>
      </w:pPr>
      <w:rPr>
        <w:rFonts w:ascii="Wingdings" w:hAnsi="Wingdings" w:hint="default"/>
      </w:rPr>
    </w:lvl>
    <w:lvl w:ilvl="1" w:tplc="19483634">
      <w:start w:val="1"/>
      <w:numFmt w:val="bullet"/>
      <w:pStyle w:val="bullet"/>
      <w:lvlText w:val=""/>
      <w:lvlJc w:val="left"/>
      <w:pPr>
        <w:tabs>
          <w:tab w:val="num" w:pos="720"/>
        </w:tabs>
        <w:ind w:left="720" w:hanging="72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6D37A35"/>
    <w:multiLevelType w:val="multilevel"/>
    <w:tmpl w:val="A5729166"/>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4">
    <w:nsid w:val="6DC55BB0"/>
    <w:multiLevelType w:val="multilevel"/>
    <w:tmpl w:val="7C30B044"/>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5">
    <w:nsid w:val="702E6A86"/>
    <w:multiLevelType w:val="multilevel"/>
    <w:tmpl w:val="AEC654D4"/>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1.%3.%2"/>
      <w:lvlJc w:val="left"/>
      <w:pPr>
        <w:tabs>
          <w:tab w:val="num" w:pos="851"/>
        </w:tabs>
        <w:ind w:left="851" w:hanging="851"/>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6">
    <w:nsid w:val="70F357F2"/>
    <w:multiLevelType w:val="hybridMultilevel"/>
    <w:tmpl w:val="7F229E70"/>
    <w:lvl w:ilvl="0" w:tplc="50DEDB80">
      <w:start w:val="1"/>
      <w:numFmt w:val="decimal"/>
      <w:lvlText w:val="%1."/>
      <w:lvlJc w:val="left"/>
      <w:pPr>
        <w:ind w:left="1085" w:hanging="6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9"/>
  </w:num>
  <w:num w:numId="2">
    <w:abstractNumId w:val="32"/>
  </w:num>
  <w:num w:numId="3">
    <w:abstractNumId w:val="22"/>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6"/>
  </w:num>
  <w:num w:numId="15">
    <w:abstractNumId w:val="13"/>
  </w:num>
  <w:num w:numId="16">
    <w:abstractNumId w:val="27"/>
  </w:num>
  <w:num w:numId="17">
    <w:abstractNumId w:val="26"/>
  </w:num>
  <w:num w:numId="18">
    <w:abstractNumId w:val="24"/>
  </w:num>
  <w:num w:numId="19">
    <w:abstractNumId w:val="35"/>
  </w:num>
  <w:num w:numId="20">
    <w:abstractNumId w:val="33"/>
  </w:num>
  <w:num w:numId="21">
    <w:abstractNumId w:val="15"/>
  </w:num>
  <w:num w:numId="22">
    <w:abstractNumId w:val="29"/>
  </w:num>
  <w:num w:numId="23">
    <w:abstractNumId w:val="18"/>
  </w:num>
  <w:num w:numId="24">
    <w:abstractNumId w:val="17"/>
  </w:num>
  <w:num w:numId="25">
    <w:abstractNumId w:val="11"/>
  </w:num>
  <w:num w:numId="26">
    <w:abstractNumId w:val="34"/>
  </w:num>
  <w:num w:numId="27">
    <w:abstractNumId w:val="21"/>
  </w:num>
  <w:num w:numId="28">
    <w:abstractNumId w:val="25"/>
  </w:num>
  <w:num w:numId="29">
    <w:abstractNumId w:val="19"/>
  </w:num>
  <w:num w:numId="30">
    <w:abstractNumId w:val="23"/>
  </w:num>
  <w:num w:numId="31">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32">
    <w:abstractNumId w:val="28"/>
  </w:num>
  <w:num w:numId="33">
    <w:abstractNumId w:val="30"/>
  </w:num>
  <w:num w:numId="34">
    <w:abstractNumId w:val="20"/>
  </w:num>
  <w:num w:numId="35">
    <w:abstractNumId w:val="12"/>
  </w:num>
  <w:num w:numId="36">
    <w:abstractNumId w:val="3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7"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consecutiveHyphenLimit w:val="3"/>
  <w:hyphenationZone w:val="357"/>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D72"/>
    <w:rsid w:val="00005182"/>
    <w:rsid w:val="00007BFD"/>
    <w:rsid w:val="00010576"/>
    <w:rsid w:val="00013231"/>
    <w:rsid w:val="0001431E"/>
    <w:rsid w:val="00016120"/>
    <w:rsid w:val="000165B9"/>
    <w:rsid w:val="00020CDB"/>
    <w:rsid w:val="00021C0A"/>
    <w:rsid w:val="00022420"/>
    <w:rsid w:val="00025038"/>
    <w:rsid w:val="00026C9A"/>
    <w:rsid w:val="00027476"/>
    <w:rsid w:val="00033A4E"/>
    <w:rsid w:val="00036ACE"/>
    <w:rsid w:val="000379B8"/>
    <w:rsid w:val="000409FE"/>
    <w:rsid w:val="00043460"/>
    <w:rsid w:val="00043966"/>
    <w:rsid w:val="00044C15"/>
    <w:rsid w:val="00044E1E"/>
    <w:rsid w:val="0004709A"/>
    <w:rsid w:val="000528B4"/>
    <w:rsid w:val="0005515E"/>
    <w:rsid w:val="000609D2"/>
    <w:rsid w:val="00062230"/>
    <w:rsid w:val="000632CE"/>
    <w:rsid w:val="00064750"/>
    <w:rsid w:val="00065912"/>
    <w:rsid w:val="0006617D"/>
    <w:rsid w:val="000672B4"/>
    <w:rsid w:val="0007001C"/>
    <w:rsid w:val="000723A8"/>
    <w:rsid w:val="0008069B"/>
    <w:rsid w:val="00080EA5"/>
    <w:rsid w:val="000842BF"/>
    <w:rsid w:val="00086725"/>
    <w:rsid w:val="000876D5"/>
    <w:rsid w:val="000908A6"/>
    <w:rsid w:val="00090AFE"/>
    <w:rsid w:val="00093233"/>
    <w:rsid w:val="00095E63"/>
    <w:rsid w:val="00097574"/>
    <w:rsid w:val="000A0C2C"/>
    <w:rsid w:val="000A2FF6"/>
    <w:rsid w:val="000A345C"/>
    <w:rsid w:val="000B1776"/>
    <w:rsid w:val="000B280A"/>
    <w:rsid w:val="000B4D31"/>
    <w:rsid w:val="000B5B24"/>
    <w:rsid w:val="000B6EA9"/>
    <w:rsid w:val="000C11BB"/>
    <w:rsid w:val="000C1E84"/>
    <w:rsid w:val="000C264C"/>
    <w:rsid w:val="000C4686"/>
    <w:rsid w:val="000C6626"/>
    <w:rsid w:val="000C6761"/>
    <w:rsid w:val="000C794F"/>
    <w:rsid w:val="000D0496"/>
    <w:rsid w:val="000D41F1"/>
    <w:rsid w:val="000D6B85"/>
    <w:rsid w:val="000D7B6B"/>
    <w:rsid w:val="000D7E3C"/>
    <w:rsid w:val="000E032C"/>
    <w:rsid w:val="000E22B3"/>
    <w:rsid w:val="000E54C1"/>
    <w:rsid w:val="000E69F2"/>
    <w:rsid w:val="000E7B60"/>
    <w:rsid w:val="000F02F6"/>
    <w:rsid w:val="000F1169"/>
    <w:rsid w:val="000F3E98"/>
    <w:rsid w:val="000F41AC"/>
    <w:rsid w:val="000F5712"/>
    <w:rsid w:val="00102A74"/>
    <w:rsid w:val="00103EC7"/>
    <w:rsid w:val="00113102"/>
    <w:rsid w:val="0011458E"/>
    <w:rsid w:val="00114CE2"/>
    <w:rsid w:val="00122057"/>
    <w:rsid w:val="00122986"/>
    <w:rsid w:val="0012372C"/>
    <w:rsid w:val="001237F1"/>
    <w:rsid w:val="00124671"/>
    <w:rsid w:val="00124D63"/>
    <w:rsid w:val="00125763"/>
    <w:rsid w:val="0012674D"/>
    <w:rsid w:val="00130988"/>
    <w:rsid w:val="00135B20"/>
    <w:rsid w:val="0014118D"/>
    <w:rsid w:val="0014252F"/>
    <w:rsid w:val="00143653"/>
    <w:rsid w:val="00146235"/>
    <w:rsid w:val="00147392"/>
    <w:rsid w:val="00147FEB"/>
    <w:rsid w:val="00153F3D"/>
    <w:rsid w:val="00157388"/>
    <w:rsid w:val="0015775E"/>
    <w:rsid w:val="001613FE"/>
    <w:rsid w:val="00161DF0"/>
    <w:rsid w:val="00165D6E"/>
    <w:rsid w:val="00166C6C"/>
    <w:rsid w:val="00171E9C"/>
    <w:rsid w:val="00174BA5"/>
    <w:rsid w:val="001755E2"/>
    <w:rsid w:val="00182904"/>
    <w:rsid w:val="0019657E"/>
    <w:rsid w:val="001A2DA8"/>
    <w:rsid w:val="001A44F6"/>
    <w:rsid w:val="001B0DE2"/>
    <w:rsid w:val="001B2877"/>
    <w:rsid w:val="001C067F"/>
    <w:rsid w:val="001C76F3"/>
    <w:rsid w:val="001D20A0"/>
    <w:rsid w:val="001D2480"/>
    <w:rsid w:val="001D24EA"/>
    <w:rsid w:val="001D33B7"/>
    <w:rsid w:val="001E119A"/>
    <w:rsid w:val="001E408D"/>
    <w:rsid w:val="001E56D9"/>
    <w:rsid w:val="001E69F0"/>
    <w:rsid w:val="001E7C70"/>
    <w:rsid w:val="001F00AA"/>
    <w:rsid w:val="001F4E93"/>
    <w:rsid w:val="001F6877"/>
    <w:rsid w:val="00200EF8"/>
    <w:rsid w:val="00206136"/>
    <w:rsid w:val="0020660A"/>
    <w:rsid w:val="00207076"/>
    <w:rsid w:val="00207ECA"/>
    <w:rsid w:val="002144D0"/>
    <w:rsid w:val="0021495E"/>
    <w:rsid w:val="00223E0C"/>
    <w:rsid w:val="002275A9"/>
    <w:rsid w:val="002303BB"/>
    <w:rsid w:val="002310A5"/>
    <w:rsid w:val="0023127A"/>
    <w:rsid w:val="00233B8B"/>
    <w:rsid w:val="00233EB3"/>
    <w:rsid w:val="0023495D"/>
    <w:rsid w:val="00240FA8"/>
    <w:rsid w:val="0024140B"/>
    <w:rsid w:val="002418B2"/>
    <w:rsid w:val="00241B52"/>
    <w:rsid w:val="0024442E"/>
    <w:rsid w:val="002470BD"/>
    <w:rsid w:val="00250F80"/>
    <w:rsid w:val="0025335E"/>
    <w:rsid w:val="00255720"/>
    <w:rsid w:val="00257835"/>
    <w:rsid w:val="00260A38"/>
    <w:rsid w:val="00265402"/>
    <w:rsid w:val="00267C2B"/>
    <w:rsid w:val="00270720"/>
    <w:rsid w:val="00271D8F"/>
    <w:rsid w:val="0027267B"/>
    <w:rsid w:val="0027713D"/>
    <w:rsid w:val="00283D5B"/>
    <w:rsid w:val="00285C26"/>
    <w:rsid w:val="00286289"/>
    <w:rsid w:val="002929D0"/>
    <w:rsid w:val="00292C08"/>
    <w:rsid w:val="00296AFD"/>
    <w:rsid w:val="00296DB4"/>
    <w:rsid w:val="00297709"/>
    <w:rsid w:val="002A0626"/>
    <w:rsid w:val="002A086E"/>
    <w:rsid w:val="002A09A9"/>
    <w:rsid w:val="002A0BD3"/>
    <w:rsid w:val="002A3149"/>
    <w:rsid w:val="002A5703"/>
    <w:rsid w:val="002A5F6A"/>
    <w:rsid w:val="002A687F"/>
    <w:rsid w:val="002A6D04"/>
    <w:rsid w:val="002B0EEB"/>
    <w:rsid w:val="002B29C0"/>
    <w:rsid w:val="002B338E"/>
    <w:rsid w:val="002C016D"/>
    <w:rsid w:val="002C14BF"/>
    <w:rsid w:val="002C16D6"/>
    <w:rsid w:val="002C4F72"/>
    <w:rsid w:val="002C567F"/>
    <w:rsid w:val="002D15F5"/>
    <w:rsid w:val="002D422F"/>
    <w:rsid w:val="002E0385"/>
    <w:rsid w:val="002E4A59"/>
    <w:rsid w:val="002E7315"/>
    <w:rsid w:val="002E7887"/>
    <w:rsid w:val="002F171D"/>
    <w:rsid w:val="002F1F1F"/>
    <w:rsid w:val="002F2282"/>
    <w:rsid w:val="002F7667"/>
    <w:rsid w:val="003006B8"/>
    <w:rsid w:val="00300A45"/>
    <w:rsid w:val="003028AC"/>
    <w:rsid w:val="00306226"/>
    <w:rsid w:val="00310974"/>
    <w:rsid w:val="003111F8"/>
    <w:rsid w:val="0031340A"/>
    <w:rsid w:val="003144AE"/>
    <w:rsid w:val="00316183"/>
    <w:rsid w:val="00316EDA"/>
    <w:rsid w:val="00324D2C"/>
    <w:rsid w:val="00327BBA"/>
    <w:rsid w:val="00332A1C"/>
    <w:rsid w:val="003349F0"/>
    <w:rsid w:val="00337951"/>
    <w:rsid w:val="00337996"/>
    <w:rsid w:val="003404DC"/>
    <w:rsid w:val="0034165C"/>
    <w:rsid w:val="00342CCE"/>
    <w:rsid w:val="0034641C"/>
    <w:rsid w:val="003472D5"/>
    <w:rsid w:val="00347313"/>
    <w:rsid w:val="00350809"/>
    <w:rsid w:val="00350825"/>
    <w:rsid w:val="00352EEA"/>
    <w:rsid w:val="003548D4"/>
    <w:rsid w:val="00354D72"/>
    <w:rsid w:val="003573A3"/>
    <w:rsid w:val="00357DCE"/>
    <w:rsid w:val="003612FB"/>
    <w:rsid w:val="003651EA"/>
    <w:rsid w:val="00366D5C"/>
    <w:rsid w:val="00367A83"/>
    <w:rsid w:val="00372562"/>
    <w:rsid w:val="003729D7"/>
    <w:rsid w:val="00375112"/>
    <w:rsid w:val="003779B9"/>
    <w:rsid w:val="00380223"/>
    <w:rsid w:val="00382EC6"/>
    <w:rsid w:val="003844D8"/>
    <w:rsid w:val="00384C8D"/>
    <w:rsid w:val="00384FE6"/>
    <w:rsid w:val="00392422"/>
    <w:rsid w:val="00397138"/>
    <w:rsid w:val="003A4AF0"/>
    <w:rsid w:val="003A61A4"/>
    <w:rsid w:val="003B088D"/>
    <w:rsid w:val="003B1EB5"/>
    <w:rsid w:val="003B573C"/>
    <w:rsid w:val="003B7DC6"/>
    <w:rsid w:val="003B7F31"/>
    <w:rsid w:val="003D12AB"/>
    <w:rsid w:val="003D5A6A"/>
    <w:rsid w:val="003D75BB"/>
    <w:rsid w:val="003D7AD1"/>
    <w:rsid w:val="003E0170"/>
    <w:rsid w:val="003E471F"/>
    <w:rsid w:val="003E49B0"/>
    <w:rsid w:val="003E600A"/>
    <w:rsid w:val="003E662C"/>
    <w:rsid w:val="003E78E0"/>
    <w:rsid w:val="003F6464"/>
    <w:rsid w:val="004000E0"/>
    <w:rsid w:val="00401290"/>
    <w:rsid w:val="0040337E"/>
    <w:rsid w:val="00403856"/>
    <w:rsid w:val="00405300"/>
    <w:rsid w:val="00405751"/>
    <w:rsid w:val="0042002B"/>
    <w:rsid w:val="00420233"/>
    <w:rsid w:val="004230EC"/>
    <w:rsid w:val="00427977"/>
    <w:rsid w:val="00431E85"/>
    <w:rsid w:val="00432D07"/>
    <w:rsid w:val="004361DD"/>
    <w:rsid w:val="004433AA"/>
    <w:rsid w:val="004450B3"/>
    <w:rsid w:val="004451D7"/>
    <w:rsid w:val="0044607F"/>
    <w:rsid w:val="00446D7F"/>
    <w:rsid w:val="00447329"/>
    <w:rsid w:val="004473B4"/>
    <w:rsid w:val="0045073E"/>
    <w:rsid w:val="00451EDF"/>
    <w:rsid w:val="00452211"/>
    <w:rsid w:val="004578DF"/>
    <w:rsid w:val="00462B7C"/>
    <w:rsid w:val="00464053"/>
    <w:rsid w:val="00465081"/>
    <w:rsid w:val="00466ECF"/>
    <w:rsid w:val="0046711B"/>
    <w:rsid w:val="00471C54"/>
    <w:rsid w:val="004737C7"/>
    <w:rsid w:val="004745AA"/>
    <w:rsid w:val="00474F73"/>
    <w:rsid w:val="00483839"/>
    <w:rsid w:val="00485392"/>
    <w:rsid w:val="00487616"/>
    <w:rsid w:val="00492B00"/>
    <w:rsid w:val="004938ED"/>
    <w:rsid w:val="004A03F9"/>
    <w:rsid w:val="004A1BFD"/>
    <w:rsid w:val="004A2687"/>
    <w:rsid w:val="004A71A0"/>
    <w:rsid w:val="004B1BAF"/>
    <w:rsid w:val="004B35BA"/>
    <w:rsid w:val="004B40ED"/>
    <w:rsid w:val="004C1CF7"/>
    <w:rsid w:val="004C559E"/>
    <w:rsid w:val="004C6B04"/>
    <w:rsid w:val="004C6B1A"/>
    <w:rsid w:val="004D1238"/>
    <w:rsid w:val="004D1BA9"/>
    <w:rsid w:val="004D5A76"/>
    <w:rsid w:val="004D625F"/>
    <w:rsid w:val="004D77A4"/>
    <w:rsid w:val="004E32C5"/>
    <w:rsid w:val="004E3DED"/>
    <w:rsid w:val="004E4508"/>
    <w:rsid w:val="004E5403"/>
    <w:rsid w:val="004E61FF"/>
    <w:rsid w:val="004E6416"/>
    <w:rsid w:val="004E7905"/>
    <w:rsid w:val="004E7ADE"/>
    <w:rsid w:val="004F648F"/>
    <w:rsid w:val="004F7571"/>
    <w:rsid w:val="00506472"/>
    <w:rsid w:val="00507059"/>
    <w:rsid w:val="00510C9F"/>
    <w:rsid w:val="00512EE2"/>
    <w:rsid w:val="00515AC7"/>
    <w:rsid w:val="00522E45"/>
    <w:rsid w:val="005262FF"/>
    <w:rsid w:val="00532F55"/>
    <w:rsid w:val="0053440C"/>
    <w:rsid w:val="00534AF8"/>
    <w:rsid w:val="0053781E"/>
    <w:rsid w:val="00540DF6"/>
    <w:rsid w:val="005411D0"/>
    <w:rsid w:val="00542328"/>
    <w:rsid w:val="005432BB"/>
    <w:rsid w:val="005551AB"/>
    <w:rsid w:val="00555F7A"/>
    <w:rsid w:val="00561A39"/>
    <w:rsid w:val="0056326A"/>
    <w:rsid w:val="0056409F"/>
    <w:rsid w:val="00564170"/>
    <w:rsid w:val="00564CA8"/>
    <w:rsid w:val="0056696C"/>
    <w:rsid w:val="00572A5A"/>
    <w:rsid w:val="00575785"/>
    <w:rsid w:val="00576A13"/>
    <w:rsid w:val="005842A6"/>
    <w:rsid w:val="005862FC"/>
    <w:rsid w:val="00590B38"/>
    <w:rsid w:val="00591CA4"/>
    <w:rsid w:val="00592A36"/>
    <w:rsid w:val="005A1901"/>
    <w:rsid w:val="005A2960"/>
    <w:rsid w:val="005A63AE"/>
    <w:rsid w:val="005B2E54"/>
    <w:rsid w:val="005B4B6F"/>
    <w:rsid w:val="005B54AA"/>
    <w:rsid w:val="005B6CAC"/>
    <w:rsid w:val="005C14D8"/>
    <w:rsid w:val="005C1CFC"/>
    <w:rsid w:val="005C3912"/>
    <w:rsid w:val="005C5408"/>
    <w:rsid w:val="005D3061"/>
    <w:rsid w:val="005D46E6"/>
    <w:rsid w:val="005D7840"/>
    <w:rsid w:val="005E03E5"/>
    <w:rsid w:val="005E0690"/>
    <w:rsid w:val="005E0EBD"/>
    <w:rsid w:val="005E2A0F"/>
    <w:rsid w:val="005E5AFA"/>
    <w:rsid w:val="005E7D07"/>
    <w:rsid w:val="005F09DD"/>
    <w:rsid w:val="005F1390"/>
    <w:rsid w:val="005F3592"/>
    <w:rsid w:val="005F491A"/>
    <w:rsid w:val="005F5179"/>
    <w:rsid w:val="005F5705"/>
    <w:rsid w:val="005F70C7"/>
    <w:rsid w:val="005F715E"/>
    <w:rsid w:val="005F7479"/>
    <w:rsid w:val="006048EF"/>
    <w:rsid w:val="00605CFD"/>
    <w:rsid w:val="00617676"/>
    <w:rsid w:val="006237CD"/>
    <w:rsid w:val="00623844"/>
    <w:rsid w:val="00624AD1"/>
    <w:rsid w:val="00624BB5"/>
    <w:rsid w:val="0062515D"/>
    <w:rsid w:val="00632A68"/>
    <w:rsid w:val="00635014"/>
    <w:rsid w:val="0063633A"/>
    <w:rsid w:val="006368C2"/>
    <w:rsid w:val="00636BF7"/>
    <w:rsid w:val="00636E89"/>
    <w:rsid w:val="0064711B"/>
    <w:rsid w:val="00650ABE"/>
    <w:rsid w:val="00651B7F"/>
    <w:rsid w:val="006534CF"/>
    <w:rsid w:val="00657C67"/>
    <w:rsid w:val="006641A2"/>
    <w:rsid w:val="00665D23"/>
    <w:rsid w:val="006669A3"/>
    <w:rsid w:val="0066769C"/>
    <w:rsid w:val="006756B3"/>
    <w:rsid w:val="00683498"/>
    <w:rsid w:val="00687605"/>
    <w:rsid w:val="00694B29"/>
    <w:rsid w:val="00695E33"/>
    <w:rsid w:val="006A0580"/>
    <w:rsid w:val="006A0F01"/>
    <w:rsid w:val="006A2B37"/>
    <w:rsid w:val="006A38CA"/>
    <w:rsid w:val="006B0335"/>
    <w:rsid w:val="006B0EA2"/>
    <w:rsid w:val="006B78F5"/>
    <w:rsid w:val="006B791E"/>
    <w:rsid w:val="006C0338"/>
    <w:rsid w:val="006C04C7"/>
    <w:rsid w:val="006C65AA"/>
    <w:rsid w:val="006D1FD2"/>
    <w:rsid w:val="006D3A11"/>
    <w:rsid w:val="006E10A2"/>
    <w:rsid w:val="006E1CDF"/>
    <w:rsid w:val="006E2760"/>
    <w:rsid w:val="006E2DC5"/>
    <w:rsid w:val="006E4635"/>
    <w:rsid w:val="006E6E72"/>
    <w:rsid w:val="006F1E39"/>
    <w:rsid w:val="006F666D"/>
    <w:rsid w:val="007046B3"/>
    <w:rsid w:val="007048C7"/>
    <w:rsid w:val="0070541F"/>
    <w:rsid w:val="007124D0"/>
    <w:rsid w:val="00714CF9"/>
    <w:rsid w:val="00720691"/>
    <w:rsid w:val="00720A67"/>
    <w:rsid w:val="00723147"/>
    <w:rsid w:val="007232F7"/>
    <w:rsid w:val="0072337E"/>
    <w:rsid w:val="007233AB"/>
    <w:rsid w:val="007269A8"/>
    <w:rsid w:val="0073129C"/>
    <w:rsid w:val="007325DE"/>
    <w:rsid w:val="007334D4"/>
    <w:rsid w:val="007341B9"/>
    <w:rsid w:val="00735043"/>
    <w:rsid w:val="007364E6"/>
    <w:rsid w:val="0073753F"/>
    <w:rsid w:val="00737946"/>
    <w:rsid w:val="0074136D"/>
    <w:rsid w:val="007415DB"/>
    <w:rsid w:val="00742C60"/>
    <w:rsid w:val="007437E8"/>
    <w:rsid w:val="00744F1D"/>
    <w:rsid w:val="0075048D"/>
    <w:rsid w:val="00753605"/>
    <w:rsid w:val="007539A7"/>
    <w:rsid w:val="00757803"/>
    <w:rsid w:val="0076061A"/>
    <w:rsid w:val="00761D37"/>
    <w:rsid w:val="0076231C"/>
    <w:rsid w:val="00767425"/>
    <w:rsid w:val="007705FC"/>
    <w:rsid w:val="0077224D"/>
    <w:rsid w:val="0077282B"/>
    <w:rsid w:val="00777949"/>
    <w:rsid w:val="007809ED"/>
    <w:rsid w:val="007819AE"/>
    <w:rsid w:val="00786825"/>
    <w:rsid w:val="00794093"/>
    <w:rsid w:val="007944F4"/>
    <w:rsid w:val="007A0F82"/>
    <w:rsid w:val="007A3AA5"/>
    <w:rsid w:val="007A48F7"/>
    <w:rsid w:val="007A5AF6"/>
    <w:rsid w:val="007B0DDE"/>
    <w:rsid w:val="007B7540"/>
    <w:rsid w:val="007B7F3E"/>
    <w:rsid w:val="007C195D"/>
    <w:rsid w:val="007C79AE"/>
    <w:rsid w:val="007D1B5A"/>
    <w:rsid w:val="007D34E9"/>
    <w:rsid w:val="007D4AE3"/>
    <w:rsid w:val="007D4DD9"/>
    <w:rsid w:val="007E20FD"/>
    <w:rsid w:val="007E3B4D"/>
    <w:rsid w:val="007E602F"/>
    <w:rsid w:val="007F5496"/>
    <w:rsid w:val="007F65C0"/>
    <w:rsid w:val="007F681B"/>
    <w:rsid w:val="007F6F02"/>
    <w:rsid w:val="00801FB7"/>
    <w:rsid w:val="00814D7D"/>
    <w:rsid w:val="00816D21"/>
    <w:rsid w:val="00817659"/>
    <w:rsid w:val="00821455"/>
    <w:rsid w:val="008276F0"/>
    <w:rsid w:val="0083147A"/>
    <w:rsid w:val="00832140"/>
    <w:rsid w:val="00835905"/>
    <w:rsid w:val="00835DE1"/>
    <w:rsid w:val="0084071B"/>
    <w:rsid w:val="00840754"/>
    <w:rsid w:val="00843396"/>
    <w:rsid w:val="00845539"/>
    <w:rsid w:val="0084696A"/>
    <w:rsid w:val="00850D3F"/>
    <w:rsid w:val="0085282E"/>
    <w:rsid w:val="00854B8C"/>
    <w:rsid w:val="00855D91"/>
    <w:rsid w:val="00856238"/>
    <w:rsid w:val="008565DF"/>
    <w:rsid w:val="00860649"/>
    <w:rsid w:val="008608A6"/>
    <w:rsid w:val="008628A5"/>
    <w:rsid w:val="00862E3E"/>
    <w:rsid w:val="008644CA"/>
    <w:rsid w:val="008705AC"/>
    <w:rsid w:val="00871543"/>
    <w:rsid w:val="00873C05"/>
    <w:rsid w:val="0087532C"/>
    <w:rsid w:val="00875DA6"/>
    <w:rsid w:val="008764AE"/>
    <w:rsid w:val="008838D2"/>
    <w:rsid w:val="00884608"/>
    <w:rsid w:val="0088512F"/>
    <w:rsid w:val="00892990"/>
    <w:rsid w:val="0089767D"/>
    <w:rsid w:val="00897E12"/>
    <w:rsid w:val="008A20C2"/>
    <w:rsid w:val="008A2C42"/>
    <w:rsid w:val="008A33CB"/>
    <w:rsid w:val="008A5575"/>
    <w:rsid w:val="008A5637"/>
    <w:rsid w:val="008A5A4F"/>
    <w:rsid w:val="008A6993"/>
    <w:rsid w:val="008B0D45"/>
    <w:rsid w:val="008B3247"/>
    <w:rsid w:val="008B361A"/>
    <w:rsid w:val="008B3AB7"/>
    <w:rsid w:val="008B6697"/>
    <w:rsid w:val="008B7D7A"/>
    <w:rsid w:val="008C3453"/>
    <w:rsid w:val="008C4028"/>
    <w:rsid w:val="008C5033"/>
    <w:rsid w:val="008C74F8"/>
    <w:rsid w:val="008D0185"/>
    <w:rsid w:val="008D078B"/>
    <w:rsid w:val="008D1D1B"/>
    <w:rsid w:val="008D40CA"/>
    <w:rsid w:val="008D4ED0"/>
    <w:rsid w:val="008D6E25"/>
    <w:rsid w:val="008E050F"/>
    <w:rsid w:val="008E24CD"/>
    <w:rsid w:val="008E3466"/>
    <w:rsid w:val="008E4247"/>
    <w:rsid w:val="008E57AA"/>
    <w:rsid w:val="008E7091"/>
    <w:rsid w:val="008F3617"/>
    <w:rsid w:val="008F53AF"/>
    <w:rsid w:val="008F5EE4"/>
    <w:rsid w:val="008F6159"/>
    <w:rsid w:val="008F62BC"/>
    <w:rsid w:val="008F723B"/>
    <w:rsid w:val="00904ACD"/>
    <w:rsid w:val="00912D06"/>
    <w:rsid w:val="00914383"/>
    <w:rsid w:val="00916282"/>
    <w:rsid w:val="00916CD6"/>
    <w:rsid w:val="00921451"/>
    <w:rsid w:val="00922BB4"/>
    <w:rsid w:val="00927FE0"/>
    <w:rsid w:val="00930068"/>
    <w:rsid w:val="00932190"/>
    <w:rsid w:val="00933804"/>
    <w:rsid w:val="00933D73"/>
    <w:rsid w:val="009400BC"/>
    <w:rsid w:val="00941376"/>
    <w:rsid w:val="0094262E"/>
    <w:rsid w:val="00942671"/>
    <w:rsid w:val="0094280B"/>
    <w:rsid w:val="0095119D"/>
    <w:rsid w:val="0095278A"/>
    <w:rsid w:val="0095707F"/>
    <w:rsid w:val="0095764B"/>
    <w:rsid w:val="009601FF"/>
    <w:rsid w:val="0096115C"/>
    <w:rsid w:val="0097352B"/>
    <w:rsid w:val="00973906"/>
    <w:rsid w:val="00976BE6"/>
    <w:rsid w:val="0098102E"/>
    <w:rsid w:val="00981142"/>
    <w:rsid w:val="0098125C"/>
    <w:rsid w:val="0098782E"/>
    <w:rsid w:val="00994D3F"/>
    <w:rsid w:val="009A795E"/>
    <w:rsid w:val="009B0715"/>
    <w:rsid w:val="009B07FA"/>
    <w:rsid w:val="009B618B"/>
    <w:rsid w:val="009C03EA"/>
    <w:rsid w:val="009C2229"/>
    <w:rsid w:val="009C3D05"/>
    <w:rsid w:val="009C5C33"/>
    <w:rsid w:val="009D275D"/>
    <w:rsid w:val="009D434A"/>
    <w:rsid w:val="009E2D6A"/>
    <w:rsid w:val="009E7930"/>
    <w:rsid w:val="009F0B29"/>
    <w:rsid w:val="009F0E1B"/>
    <w:rsid w:val="009F4EF8"/>
    <w:rsid w:val="009F539B"/>
    <w:rsid w:val="009F57ED"/>
    <w:rsid w:val="009F615F"/>
    <w:rsid w:val="009F69B7"/>
    <w:rsid w:val="00A003C7"/>
    <w:rsid w:val="00A007F5"/>
    <w:rsid w:val="00A042DF"/>
    <w:rsid w:val="00A0522C"/>
    <w:rsid w:val="00A113AC"/>
    <w:rsid w:val="00A122B4"/>
    <w:rsid w:val="00A23F99"/>
    <w:rsid w:val="00A24193"/>
    <w:rsid w:val="00A260C8"/>
    <w:rsid w:val="00A270FB"/>
    <w:rsid w:val="00A319A9"/>
    <w:rsid w:val="00A31ACE"/>
    <w:rsid w:val="00A34636"/>
    <w:rsid w:val="00A37796"/>
    <w:rsid w:val="00A40C0C"/>
    <w:rsid w:val="00A41F75"/>
    <w:rsid w:val="00A46846"/>
    <w:rsid w:val="00A50C0A"/>
    <w:rsid w:val="00A51003"/>
    <w:rsid w:val="00A53967"/>
    <w:rsid w:val="00A54D42"/>
    <w:rsid w:val="00A567C6"/>
    <w:rsid w:val="00A60176"/>
    <w:rsid w:val="00A602FC"/>
    <w:rsid w:val="00A61444"/>
    <w:rsid w:val="00A632B4"/>
    <w:rsid w:val="00A65659"/>
    <w:rsid w:val="00A66501"/>
    <w:rsid w:val="00A67F7E"/>
    <w:rsid w:val="00A739BB"/>
    <w:rsid w:val="00A76923"/>
    <w:rsid w:val="00A76D9F"/>
    <w:rsid w:val="00A83549"/>
    <w:rsid w:val="00A84D5E"/>
    <w:rsid w:val="00A87416"/>
    <w:rsid w:val="00A91322"/>
    <w:rsid w:val="00A91C26"/>
    <w:rsid w:val="00A92659"/>
    <w:rsid w:val="00A95A81"/>
    <w:rsid w:val="00A95C18"/>
    <w:rsid w:val="00AA284A"/>
    <w:rsid w:val="00AA6B64"/>
    <w:rsid w:val="00AA6E08"/>
    <w:rsid w:val="00AA7602"/>
    <w:rsid w:val="00AA76B0"/>
    <w:rsid w:val="00AB2679"/>
    <w:rsid w:val="00AB3A30"/>
    <w:rsid w:val="00AB651D"/>
    <w:rsid w:val="00AB7A7E"/>
    <w:rsid w:val="00AC19CD"/>
    <w:rsid w:val="00AC458F"/>
    <w:rsid w:val="00AC62B3"/>
    <w:rsid w:val="00AD3C18"/>
    <w:rsid w:val="00AD53D3"/>
    <w:rsid w:val="00AD5829"/>
    <w:rsid w:val="00AD5C31"/>
    <w:rsid w:val="00AD73C6"/>
    <w:rsid w:val="00AE039E"/>
    <w:rsid w:val="00AE100F"/>
    <w:rsid w:val="00AE23D6"/>
    <w:rsid w:val="00AE396A"/>
    <w:rsid w:val="00AE493C"/>
    <w:rsid w:val="00AE4AB4"/>
    <w:rsid w:val="00AE4B1B"/>
    <w:rsid w:val="00AE6F1C"/>
    <w:rsid w:val="00AE7F78"/>
    <w:rsid w:val="00AF0571"/>
    <w:rsid w:val="00AF1C22"/>
    <w:rsid w:val="00AF1CBD"/>
    <w:rsid w:val="00AF4A3C"/>
    <w:rsid w:val="00AF6140"/>
    <w:rsid w:val="00AF7035"/>
    <w:rsid w:val="00AF76F6"/>
    <w:rsid w:val="00B01844"/>
    <w:rsid w:val="00B030EC"/>
    <w:rsid w:val="00B04664"/>
    <w:rsid w:val="00B0786F"/>
    <w:rsid w:val="00B11F79"/>
    <w:rsid w:val="00B12066"/>
    <w:rsid w:val="00B13341"/>
    <w:rsid w:val="00B20AE4"/>
    <w:rsid w:val="00B2181E"/>
    <w:rsid w:val="00B23ED0"/>
    <w:rsid w:val="00B2525A"/>
    <w:rsid w:val="00B260C5"/>
    <w:rsid w:val="00B26B4C"/>
    <w:rsid w:val="00B302FE"/>
    <w:rsid w:val="00B30E46"/>
    <w:rsid w:val="00B363F2"/>
    <w:rsid w:val="00B4146B"/>
    <w:rsid w:val="00B4246B"/>
    <w:rsid w:val="00B42D37"/>
    <w:rsid w:val="00B447A8"/>
    <w:rsid w:val="00B44F18"/>
    <w:rsid w:val="00B45F6E"/>
    <w:rsid w:val="00B5060B"/>
    <w:rsid w:val="00B50BF3"/>
    <w:rsid w:val="00B605EE"/>
    <w:rsid w:val="00B6194B"/>
    <w:rsid w:val="00B62686"/>
    <w:rsid w:val="00B64203"/>
    <w:rsid w:val="00B6449E"/>
    <w:rsid w:val="00B64B6C"/>
    <w:rsid w:val="00B64CDC"/>
    <w:rsid w:val="00B66E64"/>
    <w:rsid w:val="00B72DA9"/>
    <w:rsid w:val="00B8146E"/>
    <w:rsid w:val="00B81D5C"/>
    <w:rsid w:val="00B949D5"/>
    <w:rsid w:val="00B97431"/>
    <w:rsid w:val="00BA0DCF"/>
    <w:rsid w:val="00BA6B02"/>
    <w:rsid w:val="00BB38E0"/>
    <w:rsid w:val="00BB5BDB"/>
    <w:rsid w:val="00BB7451"/>
    <w:rsid w:val="00BC40DE"/>
    <w:rsid w:val="00BC4226"/>
    <w:rsid w:val="00BC4286"/>
    <w:rsid w:val="00BC7C7D"/>
    <w:rsid w:val="00BD06AE"/>
    <w:rsid w:val="00BD0A69"/>
    <w:rsid w:val="00BD2325"/>
    <w:rsid w:val="00BD3464"/>
    <w:rsid w:val="00BD725B"/>
    <w:rsid w:val="00BD7E07"/>
    <w:rsid w:val="00BE074D"/>
    <w:rsid w:val="00BE1BB7"/>
    <w:rsid w:val="00BE5E60"/>
    <w:rsid w:val="00BE64A0"/>
    <w:rsid w:val="00BF1987"/>
    <w:rsid w:val="00BF234F"/>
    <w:rsid w:val="00BF27F2"/>
    <w:rsid w:val="00BF3C6B"/>
    <w:rsid w:val="00BF5172"/>
    <w:rsid w:val="00BF5C6C"/>
    <w:rsid w:val="00BF7D28"/>
    <w:rsid w:val="00C0310F"/>
    <w:rsid w:val="00C03E05"/>
    <w:rsid w:val="00C04AD2"/>
    <w:rsid w:val="00C04B74"/>
    <w:rsid w:val="00C06D39"/>
    <w:rsid w:val="00C06EC9"/>
    <w:rsid w:val="00C11304"/>
    <w:rsid w:val="00C114E5"/>
    <w:rsid w:val="00C11515"/>
    <w:rsid w:val="00C2089D"/>
    <w:rsid w:val="00C20F63"/>
    <w:rsid w:val="00C213A7"/>
    <w:rsid w:val="00C37C43"/>
    <w:rsid w:val="00C37E53"/>
    <w:rsid w:val="00C407B4"/>
    <w:rsid w:val="00C4358B"/>
    <w:rsid w:val="00C520E4"/>
    <w:rsid w:val="00C55682"/>
    <w:rsid w:val="00C66D52"/>
    <w:rsid w:val="00C6736D"/>
    <w:rsid w:val="00C67E5A"/>
    <w:rsid w:val="00C71778"/>
    <w:rsid w:val="00C74035"/>
    <w:rsid w:val="00C746EF"/>
    <w:rsid w:val="00C84C4E"/>
    <w:rsid w:val="00C86042"/>
    <w:rsid w:val="00C9079A"/>
    <w:rsid w:val="00C909CF"/>
    <w:rsid w:val="00C91436"/>
    <w:rsid w:val="00C946CE"/>
    <w:rsid w:val="00C9776D"/>
    <w:rsid w:val="00CA0105"/>
    <w:rsid w:val="00CA31F2"/>
    <w:rsid w:val="00CB0ECC"/>
    <w:rsid w:val="00CB33F8"/>
    <w:rsid w:val="00CB6874"/>
    <w:rsid w:val="00CB6990"/>
    <w:rsid w:val="00CC36C3"/>
    <w:rsid w:val="00CC7839"/>
    <w:rsid w:val="00CD1542"/>
    <w:rsid w:val="00CD1614"/>
    <w:rsid w:val="00CD2B87"/>
    <w:rsid w:val="00CD787C"/>
    <w:rsid w:val="00CE0799"/>
    <w:rsid w:val="00CE5ECC"/>
    <w:rsid w:val="00CE6C3B"/>
    <w:rsid w:val="00CF28D1"/>
    <w:rsid w:val="00D00DC1"/>
    <w:rsid w:val="00D03CBF"/>
    <w:rsid w:val="00D04FDF"/>
    <w:rsid w:val="00D10CFD"/>
    <w:rsid w:val="00D15442"/>
    <w:rsid w:val="00D17C50"/>
    <w:rsid w:val="00D20B0C"/>
    <w:rsid w:val="00D212BE"/>
    <w:rsid w:val="00D214F4"/>
    <w:rsid w:val="00D22EA6"/>
    <w:rsid w:val="00D27CD8"/>
    <w:rsid w:val="00D30F6C"/>
    <w:rsid w:val="00D32D67"/>
    <w:rsid w:val="00D33908"/>
    <w:rsid w:val="00D33E7B"/>
    <w:rsid w:val="00D34CE3"/>
    <w:rsid w:val="00D36276"/>
    <w:rsid w:val="00D36BC3"/>
    <w:rsid w:val="00D37B22"/>
    <w:rsid w:val="00D402B9"/>
    <w:rsid w:val="00D41AD9"/>
    <w:rsid w:val="00D547F5"/>
    <w:rsid w:val="00D54C9D"/>
    <w:rsid w:val="00D54E5D"/>
    <w:rsid w:val="00D6785D"/>
    <w:rsid w:val="00D77622"/>
    <w:rsid w:val="00D84BD5"/>
    <w:rsid w:val="00D86DD1"/>
    <w:rsid w:val="00D87576"/>
    <w:rsid w:val="00D907F7"/>
    <w:rsid w:val="00D92F12"/>
    <w:rsid w:val="00DA014F"/>
    <w:rsid w:val="00DA344E"/>
    <w:rsid w:val="00DA67AB"/>
    <w:rsid w:val="00DA7D48"/>
    <w:rsid w:val="00DB316B"/>
    <w:rsid w:val="00DC114A"/>
    <w:rsid w:val="00DC144E"/>
    <w:rsid w:val="00DC1733"/>
    <w:rsid w:val="00DC410A"/>
    <w:rsid w:val="00DC5B49"/>
    <w:rsid w:val="00DC5E66"/>
    <w:rsid w:val="00DD0D36"/>
    <w:rsid w:val="00DD5D00"/>
    <w:rsid w:val="00DD63AC"/>
    <w:rsid w:val="00DE469F"/>
    <w:rsid w:val="00DE51EA"/>
    <w:rsid w:val="00DE6BDD"/>
    <w:rsid w:val="00DF01B5"/>
    <w:rsid w:val="00DF3A75"/>
    <w:rsid w:val="00DF3D0E"/>
    <w:rsid w:val="00E00E0A"/>
    <w:rsid w:val="00E0151E"/>
    <w:rsid w:val="00E020F9"/>
    <w:rsid w:val="00E039EB"/>
    <w:rsid w:val="00E050A5"/>
    <w:rsid w:val="00E108B2"/>
    <w:rsid w:val="00E1284E"/>
    <w:rsid w:val="00E12CC0"/>
    <w:rsid w:val="00E2172B"/>
    <w:rsid w:val="00E22DF1"/>
    <w:rsid w:val="00E24AB9"/>
    <w:rsid w:val="00E2519A"/>
    <w:rsid w:val="00E26879"/>
    <w:rsid w:val="00E346B7"/>
    <w:rsid w:val="00E34ACB"/>
    <w:rsid w:val="00E35C6E"/>
    <w:rsid w:val="00E36F61"/>
    <w:rsid w:val="00E4740A"/>
    <w:rsid w:val="00E50B11"/>
    <w:rsid w:val="00E5231B"/>
    <w:rsid w:val="00E533BA"/>
    <w:rsid w:val="00E54146"/>
    <w:rsid w:val="00E54DBF"/>
    <w:rsid w:val="00E5510C"/>
    <w:rsid w:val="00E65F7A"/>
    <w:rsid w:val="00E67758"/>
    <w:rsid w:val="00E67ED8"/>
    <w:rsid w:val="00E70315"/>
    <w:rsid w:val="00E70A46"/>
    <w:rsid w:val="00E77806"/>
    <w:rsid w:val="00E813A1"/>
    <w:rsid w:val="00E82EE9"/>
    <w:rsid w:val="00E83518"/>
    <w:rsid w:val="00E84068"/>
    <w:rsid w:val="00E907D4"/>
    <w:rsid w:val="00E91BA7"/>
    <w:rsid w:val="00E9256A"/>
    <w:rsid w:val="00E92D6D"/>
    <w:rsid w:val="00E93357"/>
    <w:rsid w:val="00E97419"/>
    <w:rsid w:val="00EA0784"/>
    <w:rsid w:val="00EA24D2"/>
    <w:rsid w:val="00EA2F62"/>
    <w:rsid w:val="00EA3A2D"/>
    <w:rsid w:val="00EA6350"/>
    <w:rsid w:val="00EB1441"/>
    <w:rsid w:val="00EB2554"/>
    <w:rsid w:val="00EB423D"/>
    <w:rsid w:val="00EB5ECC"/>
    <w:rsid w:val="00EC1492"/>
    <w:rsid w:val="00EC20CB"/>
    <w:rsid w:val="00EC2750"/>
    <w:rsid w:val="00EC4C39"/>
    <w:rsid w:val="00EC5323"/>
    <w:rsid w:val="00EC588C"/>
    <w:rsid w:val="00ED1B9D"/>
    <w:rsid w:val="00ED215B"/>
    <w:rsid w:val="00ED6E6C"/>
    <w:rsid w:val="00EE2402"/>
    <w:rsid w:val="00EE27CF"/>
    <w:rsid w:val="00EE4289"/>
    <w:rsid w:val="00EE5AA0"/>
    <w:rsid w:val="00EF564A"/>
    <w:rsid w:val="00F002E3"/>
    <w:rsid w:val="00F00E12"/>
    <w:rsid w:val="00F072BC"/>
    <w:rsid w:val="00F155A7"/>
    <w:rsid w:val="00F204B7"/>
    <w:rsid w:val="00F22058"/>
    <w:rsid w:val="00F25E52"/>
    <w:rsid w:val="00F2746A"/>
    <w:rsid w:val="00F27565"/>
    <w:rsid w:val="00F278B0"/>
    <w:rsid w:val="00F3261C"/>
    <w:rsid w:val="00F36230"/>
    <w:rsid w:val="00F36449"/>
    <w:rsid w:val="00F37C89"/>
    <w:rsid w:val="00F42DAA"/>
    <w:rsid w:val="00F43604"/>
    <w:rsid w:val="00F4360E"/>
    <w:rsid w:val="00F46312"/>
    <w:rsid w:val="00F46388"/>
    <w:rsid w:val="00F4696C"/>
    <w:rsid w:val="00F50154"/>
    <w:rsid w:val="00F51F05"/>
    <w:rsid w:val="00F54C11"/>
    <w:rsid w:val="00F54EF0"/>
    <w:rsid w:val="00F5650B"/>
    <w:rsid w:val="00F656A8"/>
    <w:rsid w:val="00F75299"/>
    <w:rsid w:val="00F756EE"/>
    <w:rsid w:val="00F80AB7"/>
    <w:rsid w:val="00F83475"/>
    <w:rsid w:val="00F86DB7"/>
    <w:rsid w:val="00F873FB"/>
    <w:rsid w:val="00F93000"/>
    <w:rsid w:val="00F944B9"/>
    <w:rsid w:val="00F94DE6"/>
    <w:rsid w:val="00FA248F"/>
    <w:rsid w:val="00FA4460"/>
    <w:rsid w:val="00FB12AB"/>
    <w:rsid w:val="00FB1A15"/>
    <w:rsid w:val="00FB2E75"/>
    <w:rsid w:val="00FB3FC5"/>
    <w:rsid w:val="00FB6CCC"/>
    <w:rsid w:val="00FB7A9E"/>
    <w:rsid w:val="00FC3314"/>
    <w:rsid w:val="00FD3257"/>
    <w:rsid w:val="00FD3B91"/>
    <w:rsid w:val="00FD5B62"/>
    <w:rsid w:val="00FD79F4"/>
    <w:rsid w:val="00FE124C"/>
    <w:rsid w:val="00FE3A0F"/>
    <w:rsid w:val="00FE624B"/>
    <w:rsid w:val="00FE7595"/>
    <w:rsid w:val="00FF0F88"/>
    <w:rsid w:val="00FF304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F1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header" w:uiPriority="99"/>
    <w:lsdException w:name="table of figures"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364E6"/>
    <w:pPr>
      <w:spacing w:after="100"/>
      <w:ind w:firstLine="425"/>
    </w:pPr>
    <w:rPr>
      <w:rFonts w:ascii="Garamond" w:hAnsi="Garamond"/>
      <w:sz w:val="24"/>
      <w:szCs w:val="24"/>
      <w:lang w:val="en-GB" w:eastAsia="en-GB"/>
    </w:rPr>
  </w:style>
  <w:style w:type="paragraph" w:styleId="Heading1">
    <w:name w:val="heading 1"/>
    <w:aliases w:val="Chapter title"/>
    <w:next w:val="Normalfirstparagraph"/>
    <w:link w:val="Heading1Char"/>
    <w:qFormat/>
    <w:rsid w:val="001F4E93"/>
    <w:pPr>
      <w:keepNext/>
      <w:pageBreakBefore/>
      <w:numPr>
        <w:numId w:val="3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300A45"/>
    <w:pPr>
      <w:keepNext/>
      <w:numPr>
        <w:ilvl w:val="1"/>
        <w:numId w:val="33"/>
      </w:numPr>
      <w:tabs>
        <w:tab w:val="left" w:pos="567"/>
      </w:tabs>
      <w:suppressAutoHyphens/>
      <w:spacing w:before="400" w:after="200"/>
      <w:outlineLvl w:val="1"/>
    </w:pPr>
    <w:rPr>
      <w:rFonts w:ascii="Garamond" w:hAnsi="Garamond"/>
      <w:b/>
      <w:sz w:val="32"/>
      <w:szCs w:val="28"/>
      <w:lang w:val="en-GB" w:eastAsia="en-GB"/>
    </w:rPr>
  </w:style>
  <w:style w:type="paragraph" w:styleId="Heading3">
    <w:name w:val="heading 3"/>
    <w:next w:val="Normalfirstparagraph"/>
    <w:qFormat/>
    <w:rsid w:val="00233EB3"/>
    <w:pPr>
      <w:keepNext/>
      <w:numPr>
        <w:ilvl w:val="2"/>
        <w:numId w:val="33"/>
      </w:numPr>
      <w:tabs>
        <w:tab w:val="left" w:pos="567"/>
      </w:tabs>
      <w:suppressAutoHyphens/>
      <w:spacing w:before="300" w:after="160"/>
      <w:outlineLvl w:val="2"/>
    </w:pPr>
    <w:rPr>
      <w:rFonts w:ascii="Garamond" w:hAnsi="Garamond"/>
      <w:b/>
      <w:i/>
      <w:sz w:val="26"/>
      <w:szCs w:val="26"/>
      <w:lang w:val="en-GB" w:eastAsia="en-GB"/>
    </w:rPr>
  </w:style>
  <w:style w:type="paragraph" w:styleId="Heading4">
    <w:name w:val="heading 4"/>
    <w:next w:val="Normal"/>
    <w:qFormat/>
    <w:rsid w:val="00233EB3"/>
    <w:pPr>
      <w:keepNext/>
      <w:numPr>
        <w:ilvl w:val="3"/>
        <w:numId w:val="33"/>
      </w:numPr>
      <w:tabs>
        <w:tab w:val="left" w:pos="851"/>
      </w:tabs>
      <w:suppressAutoHyphens/>
      <w:spacing w:before="200" w:after="100"/>
      <w:outlineLvl w:val="3"/>
    </w:pPr>
    <w:rPr>
      <w:rFonts w:ascii="Garamond" w:hAnsi="Garamond"/>
      <w:b/>
      <w:sz w:val="24"/>
      <w:szCs w:val="24"/>
      <w:lang w:val="en-GB" w:eastAsia="en-GB"/>
    </w:rPr>
  </w:style>
  <w:style w:type="paragraph" w:styleId="Heading5">
    <w:name w:val="heading 5"/>
    <w:basedOn w:val="Normal"/>
    <w:next w:val="Normal"/>
    <w:rsid w:val="003729D7"/>
    <w:pPr>
      <w:keepNext/>
      <w:numPr>
        <w:ilvl w:val="4"/>
        <w:numId w:val="33"/>
      </w:numPr>
      <w:outlineLvl w:val="4"/>
    </w:pPr>
  </w:style>
  <w:style w:type="paragraph" w:styleId="Heading6">
    <w:name w:val="heading 6"/>
    <w:basedOn w:val="Normal"/>
    <w:next w:val="Normal"/>
    <w:rsid w:val="00B4246B"/>
    <w:pPr>
      <w:keepNext/>
      <w:numPr>
        <w:ilvl w:val="5"/>
        <w:numId w:val="33"/>
      </w:numPr>
      <w:outlineLvl w:val="5"/>
    </w:pPr>
  </w:style>
  <w:style w:type="paragraph" w:styleId="Heading7">
    <w:name w:val="heading 7"/>
    <w:basedOn w:val="Normal"/>
    <w:next w:val="Normal"/>
    <w:rsid w:val="00B4246B"/>
    <w:pPr>
      <w:keepNext/>
      <w:numPr>
        <w:ilvl w:val="6"/>
        <w:numId w:val="33"/>
      </w:numPr>
      <w:outlineLvl w:val="6"/>
    </w:pPr>
  </w:style>
  <w:style w:type="paragraph" w:styleId="Heading8">
    <w:name w:val="heading 8"/>
    <w:basedOn w:val="Normal"/>
    <w:next w:val="Normal"/>
    <w:rsid w:val="00B4246B"/>
    <w:pPr>
      <w:keepNext/>
      <w:numPr>
        <w:ilvl w:val="7"/>
        <w:numId w:val="33"/>
      </w:numPr>
      <w:outlineLvl w:val="7"/>
    </w:pPr>
  </w:style>
  <w:style w:type="paragraph" w:styleId="Heading9">
    <w:name w:val="heading 9"/>
    <w:basedOn w:val="Normal"/>
    <w:next w:val="Normal"/>
    <w:rsid w:val="00B4246B"/>
    <w:pPr>
      <w:numPr>
        <w:ilvl w:val="8"/>
        <w:numId w:val="3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link w:val="FootnoteTextChar"/>
    <w:rsid w:val="00817659"/>
    <w:pPr>
      <w:spacing w:after="0"/>
      <w:ind w:firstLine="0"/>
    </w:pPr>
    <w:rPr>
      <w:sz w:val="22"/>
    </w:rPr>
  </w:style>
  <w:style w:type="character" w:styleId="FootnoteReference">
    <w:name w:val="footnote reference"/>
    <w:rsid w:val="006756B3"/>
    <w:rPr>
      <w:rFonts w:ascii="Garamond" w:hAnsi="Garamond"/>
      <w:sz w:val="22"/>
      <w:vertAlign w:val="superscript"/>
    </w:rPr>
  </w:style>
  <w:style w:type="paragraph" w:styleId="Footer">
    <w:name w:val="footer"/>
    <w:basedOn w:val="Normal"/>
    <w:semiHidden/>
    <w:rsid w:val="00735043"/>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rsid w:val="00735043"/>
    <w:pPr>
      <w:ind w:left="720"/>
    </w:pPr>
    <w:rPr>
      <w:sz w:val="20"/>
    </w:rPr>
  </w:style>
  <w:style w:type="paragraph" w:styleId="TOC6">
    <w:name w:val="toc 6"/>
    <w:basedOn w:val="Normal"/>
    <w:next w:val="Normal"/>
    <w:autoRedefine/>
    <w:semiHidden/>
    <w:rsid w:val="00735043"/>
    <w:pPr>
      <w:ind w:left="960"/>
    </w:pPr>
    <w:rPr>
      <w:sz w:val="20"/>
    </w:rPr>
  </w:style>
  <w:style w:type="paragraph" w:styleId="TOC7">
    <w:name w:val="toc 7"/>
    <w:basedOn w:val="Normal"/>
    <w:next w:val="Normal"/>
    <w:autoRedefine/>
    <w:semiHidden/>
    <w:rsid w:val="00735043"/>
    <w:pPr>
      <w:ind w:left="1200"/>
    </w:pPr>
    <w:rPr>
      <w:sz w:val="20"/>
    </w:rPr>
  </w:style>
  <w:style w:type="paragraph" w:styleId="TOC8">
    <w:name w:val="toc 8"/>
    <w:basedOn w:val="Normal"/>
    <w:next w:val="Normal"/>
    <w:autoRedefine/>
    <w:semiHidden/>
    <w:rsid w:val="00735043"/>
    <w:pPr>
      <w:ind w:left="1440"/>
    </w:pPr>
    <w:rPr>
      <w:sz w:val="20"/>
    </w:rPr>
  </w:style>
  <w:style w:type="paragraph" w:styleId="TOC9">
    <w:name w:val="toc 9"/>
    <w:basedOn w:val="Normal"/>
    <w:next w:val="Normal"/>
    <w:autoRedefine/>
    <w:semiHidden/>
    <w:rsid w:val="00735043"/>
    <w:pPr>
      <w:ind w:left="1680"/>
    </w:pPr>
    <w:rPr>
      <w:sz w:val="20"/>
    </w:rPr>
  </w:style>
  <w:style w:type="paragraph" w:styleId="Header">
    <w:name w:val="header"/>
    <w:basedOn w:val="Normal"/>
    <w:link w:val="HeaderChar"/>
    <w:uiPriority w:val="99"/>
    <w:rsid w:val="00735043"/>
    <w:pPr>
      <w:tabs>
        <w:tab w:val="center" w:pos="4320"/>
        <w:tab w:val="right" w:pos="8640"/>
      </w:tabs>
      <w:ind w:firstLine="284"/>
    </w:pPr>
    <w:rPr>
      <w:sz w:val="22"/>
    </w:rPr>
  </w:style>
  <w:style w:type="paragraph" w:styleId="NormalWeb">
    <w:name w:val="Normal (Web)"/>
    <w:basedOn w:val="Normal"/>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lang w:val="en-GB" w:eastAsia="en-GB"/>
    </w:rPr>
  </w:style>
  <w:style w:type="paragraph" w:styleId="Caption">
    <w:name w:val="caption"/>
    <w:next w:val="Normalfirstparagraph"/>
    <w:rsid w:val="0015775E"/>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sid w:val="00735043"/>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sid w:val="00735043"/>
    <w:rPr>
      <w:rFonts w:ascii="Tahoma" w:hAnsi="Tahoma" w:cs="Tahoma"/>
      <w:sz w:val="16"/>
      <w:szCs w:val="16"/>
    </w:rPr>
  </w:style>
  <w:style w:type="character" w:styleId="CommentReference">
    <w:name w:val="annotation reference"/>
    <w:semiHidden/>
    <w:rsid w:val="00735043"/>
    <w:rPr>
      <w:sz w:val="16"/>
    </w:rPr>
  </w:style>
  <w:style w:type="paragraph" w:styleId="CommentText">
    <w:name w:val="annotation text"/>
    <w:basedOn w:val="Normal"/>
    <w:semiHidden/>
    <w:rsid w:val="00735043"/>
    <w:pPr>
      <w:ind w:firstLine="0"/>
    </w:pPr>
    <w:rPr>
      <w:sz w:val="20"/>
    </w:rPr>
  </w:style>
  <w:style w:type="paragraph" w:customStyle="1" w:styleId="bullet">
    <w:name w:val="bullet"/>
    <w:basedOn w:val="Normal"/>
    <w:rsid w:val="00337996"/>
    <w:pPr>
      <w:numPr>
        <w:numId w:val="2"/>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lang w:val="en-GB" w:eastAsia="en-GB"/>
    </w:rPr>
  </w:style>
  <w:style w:type="paragraph" w:customStyle="1" w:styleId="Tableheader">
    <w:name w:val="Table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1F4E93"/>
    <w:rPr>
      <w:rFonts w:ascii="Garamond" w:hAnsi="Garamond"/>
      <w:b/>
      <w:kern w:val="28"/>
      <w:sz w:val="36"/>
      <w:szCs w:val="28"/>
      <w:lang w:bidi="ar-SA"/>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13"/>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lang w:val="en-GB" w:eastAsia="en-GB"/>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7364E6"/>
    <w:pPr>
      <w:spacing w:before="100" w:after="200"/>
      <w:ind w:left="425" w:firstLine="0"/>
    </w:pPr>
    <w:rPr>
      <w:sz w:val="23"/>
      <w:szCs w:val="22"/>
    </w:rPr>
  </w:style>
  <w:style w:type="character" w:customStyle="1" w:styleId="QuoteChar">
    <w:name w:val="Quote Char"/>
    <w:link w:val="Quote"/>
    <w:uiPriority w:val="29"/>
    <w:rsid w:val="007364E6"/>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styleId="ListParagraph">
    <w:name w:val="List Paragraph"/>
    <w:basedOn w:val="Normal"/>
    <w:uiPriority w:val="34"/>
    <w:rsid w:val="000528B4"/>
    <w:pPr>
      <w:ind w:left="720"/>
      <w:contextualSpacing/>
    </w:pPr>
  </w:style>
  <w:style w:type="character" w:customStyle="1" w:styleId="FootnoteTextChar">
    <w:name w:val="Footnote Text Char"/>
    <w:basedOn w:val="DefaultParagraphFont"/>
    <w:link w:val="FootnoteText"/>
    <w:rsid w:val="00C909CF"/>
    <w:rPr>
      <w:rFonts w:ascii="Garamond" w:hAnsi="Garamond"/>
      <w:sz w:val="22"/>
      <w:szCs w:val="24"/>
      <w:lang w:val="en-GB" w:eastAsia="en-GB"/>
    </w:rPr>
  </w:style>
  <w:style w:type="table" w:styleId="TableGrid">
    <w:name w:val="Table Grid"/>
    <w:basedOn w:val="TableNormal"/>
    <w:rsid w:val="00C06EC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header" w:uiPriority="99"/>
    <w:lsdException w:name="table of figures"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364E6"/>
    <w:pPr>
      <w:spacing w:after="100"/>
      <w:ind w:firstLine="425"/>
    </w:pPr>
    <w:rPr>
      <w:rFonts w:ascii="Garamond" w:hAnsi="Garamond"/>
      <w:sz w:val="24"/>
      <w:szCs w:val="24"/>
      <w:lang w:val="en-GB" w:eastAsia="en-GB"/>
    </w:rPr>
  </w:style>
  <w:style w:type="paragraph" w:styleId="Heading1">
    <w:name w:val="heading 1"/>
    <w:aliases w:val="Chapter title"/>
    <w:next w:val="Normalfirstparagraph"/>
    <w:link w:val="Heading1Char"/>
    <w:qFormat/>
    <w:rsid w:val="001F4E93"/>
    <w:pPr>
      <w:keepNext/>
      <w:pageBreakBefore/>
      <w:numPr>
        <w:numId w:val="3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300A45"/>
    <w:pPr>
      <w:keepNext/>
      <w:numPr>
        <w:ilvl w:val="1"/>
        <w:numId w:val="33"/>
      </w:numPr>
      <w:tabs>
        <w:tab w:val="left" w:pos="567"/>
      </w:tabs>
      <w:suppressAutoHyphens/>
      <w:spacing w:before="400" w:after="200"/>
      <w:outlineLvl w:val="1"/>
    </w:pPr>
    <w:rPr>
      <w:rFonts w:ascii="Garamond" w:hAnsi="Garamond"/>
      <w:b/>
      <w:sz w:val="32"/>
      <w:szCs w:val="28"/>
      <w:lang w:val="en-GB" w:eastAsia="en-GB"/>
    </w:rPr>
  </w:style>
  <w:style w:type="paragraph" w:styleId="Heading3">
    <w:name w:val="heading 3"/>
    <w:next w:val="Normalfirstparagraph"/>
    <w:qFormat/>
    <w:rsid w:val="00233EB3"/>
    <w:pPr>
      <w:keepNext/>
      <w:numPr>
        <w:ilvl w:val="2"/>
        <w:numId w:val="33"/>
      </w:numPr>
      <w:tabs>
        <w:tab w:val="left" w:pos="567"/>
      </w:tabs>
      <w:suppressAutoHyphens/>
      <w:spacing w:before="300" w:after="160"/>
      <w:outlineLvl w:val="2"/>
    </w:pPr>
    <w:rPr>
      <w:rFonts w:ascii="Garamond" w:hAnsi="Garamond"/>
      <w:b/>
      <w:i/>
      <w:sz w:val="26"/>
      <w:szCs w:val="26"/>
      <w:lang w:val="en-GB" w:eastAsia="en-GB"/>
    </w:rPr>
  </w:style>
  <w:style w:type="paragraph" w:styleId="Heading4">
    <w:name w:val="heading 4"/>
    <w:next w:val="Normal"/>
    <w:qFormat/>
    <w:rsid w:val="00233EB3"/>
    <w:pPr>
      <w:keepNext/>
      <w:numPr>
        <w:ilvl w:val="3"/>
        <w:numId w:val="33"/>
      </w:numPr>
      <w:tabs>
        <w:tab w:val="left" w:pos="851"/>
      </w:tabs>
      <w:suppressAutoHyphens/>
      <w:spacing w:before="200" w:after="100"/>
      <w:outlineLvl w:val="3"/>
    </w:pPr>
    <w:rPr>
      <w:rFonts w:ascii="Garamond" w:hAnsi="Garamond"/>
      <w:b/>
      <w:sz w:val="24"/>
      <w:szCs w:val="24"/>
      <w:lang w:val="en-GB" w:eastAsia="en-GB"/>
    </w:rPr>
  </w:style>
  <w:style w:type="paragraph" w:styleId="Heading5">
    <w:name w:val="heading 5"/>
    <w:basedOn w:val="Normal"/>
    <w:next w:val="Normal"/>
    <w:rsid w:val="003729D7"/>
    <w:pPr>
      <w:keepNext/>
      <w:numPr>
        <w:ilvl w:val="4"/>
        <w:numId w:val="33"/>
      </w:numPr>
      <w:outlineLvl w:val="4"/>
    </w:pPr>
  </w:style>
  <w:style w:type="paragraph" w:styleId="Heading6">
    <w:name w:val="heading 6"/>
    <w:basedOn w:val="Normal"/>
    <w:next w:val="Normal"/>
    <w:rsid w:val="00B4246B"/>
    <w:pPr>
      <w:keepNext/>
      <w:numPr>
        <w:ilvl w:val="5"/>
        <w:numId w:val="33"/>
      </w:numPr>
      <w:outlineLvl w:val="5"/>
    </w:pPr>
  </w:style>
  <w:style w:type="paragraph" w:styleId="Heading7">
    <w:name w:val="heading 7"/>
    <w:basedOn w:val="Normal"/>
    <w:next w:val="Normal"/>
    <w:rsid w:val="00B4246B"/>
    <w:pPr>
      <w:keepNext/>
      <w:numPr>
        <w:ilvl w:val="6"/>
        <w:numId w:val="33"/>
      </w:numPr>
      <w:outlineLvl w:val="6"/>
    </w:pPr>
  </w:style>
  <w:style w:type="paragraph" w:styleId="Heading8">
    <w:name w:val="heading 8"/>
    <w:basedOn w:val="Normal"/>
    <w:next w:val="Normal"/>
    <w:rsid w:val="00B4246B"/>
    <w:pPr>
      <w:keepNext/>
      <w:numPr>
        <w:ilvl w:val="7"/>
        <w:numId w:val="33"/>
      </w:numPr>
      <w:outlineLvl w:val="7"/>
    </w:pPr>
  </w:style>
  <w:style w:type="paragraph" w:styleId="Heading9">
    <w:name w:val="heading 9"/>
    <w:basedOn w:val="Normal"/>
    <w:next w:val="Normal"/>
    <w:rsid w:val="00B4246B"/>
    <w:pPr>
      <w:numPr>
        <w:ilvl w:val="8"/>
        <w:numId w:val="3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link w:val="FootnoteTextChar"/>
    <w:rsid w:val="00817659"/>
    <w:pPr>
      <w:spacing w:after="0"/>
      <w:ind w:firstLine="0"/>
    </w:pPr>
    <w:rPr>
      <w:sz w:val="22"/>
    </w:rPr>
  </w:style>
  <w:style w:type="character" w:styleId="FootnoteReference">
    <w:name w:val="footnote reference"/>
    <w:rsid w:val="006756B3"/>
    <w:rPr>
      <w:rFonts w:ascii="Garamond" w:hAnsi="Garamond"/>
      <w:sz w:val="22"/>
      <w:vertAlign w:val="superscript"/>
    </w:rPr>
  </w:style>
  <w:style w:type="paragraph" w:styleId="Footer">
    <w:name w:val="footer"/>
    <w:basedOn w:val="Normal"/>
    <w:semiHidden/>
    <w:rsid w:val="00735043"/>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rsid w:val="00735043"/>
    <w:pPr>
      <w:ind w:left="720"/>
    </w:pPr>
    <w:rPr>
      <w:sz w:val="20"/>
    </w:rPr>
  </w:style>
  <w:style w:type="paragraph" w:styleId="TOC6">
    <w:name w:val="toc 6"/>
    <w:basedOn w:val="Normal"/>
    <w:next w:val="Normal"/>
    <w:autoRedefine/>
    <w:semiHidden/>
    <w:rsid w:val="00735043"/>
    <w:pPr>
      <w:ind w:left="960"/>
    </w:pPr>
    <w:rPr>
      <w:sz w:val="20"/>
    </w:rPr>
  </w:style>
  <w:style w:type="paragraph" w:styleId="TOC7">
    <w:name w:val="toc 7"/>
    <w:basedOn w:val="Normal"/>
    <w:next w:val="Normal"/>
    <w:autoRedefine/>
    <w:semiHidden/>
    <w:rsid w:val="00735043"/>
    <w:pPr>
      <w:ind w:left="1200"/>
    </w:pPr>
    <w:rPr>
      <w:sz w:val="20"/>
    </w:rPr>
  </w:style>
  <w:style w:type="paragraph" w:styleId="TOC8">
    <w:name w:val="toc 8"/>
    <w:basedOn w:val="Normal"/>
    <w:next w:val="Normal"/>
    <w:autoRedefine/>
    <w:semiHidden/>
    <w:rsid w:val="00735043"/>
    <w:pPr>
      <w:ind w:left="1440"/>
    </w:pPr>
    <w:rPr>
      <w:sz w:val="20"/>
    </w:rPr>
  </w:style>
  <w:style w:type="paragraph" w:styleId="TOC9">
    <w:name w:val="toc 9"/>
    <w:basedOn w:val="Normal"/>
    <w:next w:val="Normal"/>
    <w:autoRedefine/>
    <w:semiHidden/>
    <w:rsid w:val="00735043"/>
    <w:pPr>
      <w:ind w:left="1680"/>
    </w:pPr>
    <w:rPr>
      <w:sz w:val="20"/>
    </w:rPr>
  </w:style>
  <w:style w:type="paragraph" w:styleId="Header">
    <w:name w:val="header"/>
    <w:basedOn w:val="Normal"/>
    <w:link w:val="HeaderChar"/>
    <w:uiPriority w:val="99"/>
    <w:rsid w:val="00735043"/>
    <w:pPr>
      <w:tabs>
        <w:tab w:val="center" w:pos="4320"/>
        <w:tab w:val="right" w:pos="8640"/>
      </w:tabs>
      <w:ind w:firstLine="284"/>
    </w:pPr>
    <w:rPr>
      <w:sz w:val="22"/>
    </w:rPr>
  </w:style>
  <w:style w:type="paragraph" w:styleId="NormalWeb">
    <w:name w:val="Normal (Web)"/>
    <w:basedOn w:val="Normal"/>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lang w:val="en-GB" w:eastAsia="en-GB"/>
    </w:rPr>
  </w:style>
  <w:style w:type="paragraph" w:styleId="Caption">
    <w:name w:val="caption"/>
    <w:next w:val="Normalfirstparagraph"/>
    <w:rsid w:val="0015775E"/>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sid w:val="00735043"/>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sid w:val="00735043"/>
    <w:rPr>
      <w:rFonts w:ascii="Tahoma" w:hAnsi="Tahoma" w:cs="Tahoma"/>
      <w:sz w:val="16"/>
      <w:szCs w:val="16"/>
    </w:rPr>
  </w:style>
  <w:style w:type="character" w:styleId="CommentReference">
    <w:name w:val="annotation reference"/>
    <w:semiHidden/>
    <w:rsid w:val="00735043"/>
    <w:rPr>
      <w:sz w:val="16"/>
    </w:rPr>
  </w:style>
  <w:style w:type="paragraph" w:styleId="CommentText">
    <w:name w:val="annotation text"/>
    <w:basedOn w:val="Normal"/>
    <w:semiHidden/>
    <w:rsid w:val="00735043"/>
    <w:pPr>
      <w:ind w:firstLine="0"/>
    </w:pPr>
    <w:rPr>
      <w:sz w:val="20"/>
    </w:rPr>
  </w:style>
  <w:style w:type="paragraph" w:customStyle="1" w:styleId="bullet">
    <w:name w:val="bullet"/>
    <w:basedOn w:val="Normal"/>
    <w:rsid w:val="00337996"/>
    <w:pPr>
      <w:numPr>
        <w:numId w:val="2"/>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lang w:val="en-GB" w:eastAsia="en-GB"/>
    </w:rPr>
  </w:style>
  <w:style w:type="paragraph" w:customStyle="1" w:styleId="Tableheader">
    <w:name w:val="Table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1F4E93"/>
    <w:rPr>
      <w:rFonts w:ascii="Garamond" w:hAnsi="Garamond"/>
      <w:b/>
      <w:kern w:val="28"/>
      <w:sz w:val="36"/>
      <w:szCs w:val="28"/>
      <w:lang w:bidi="ar-SA"/>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13"/>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lang w:val="en-GB" w:eastAsia="en-GB"/>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7364E6"/>
    <w:pPr>
      <w:spacing w:before="100" w:after="200"/>
      <w:ind w:left="425" w:firstLine="0"/>
    </w:pPr>
    <w:rPr>
      <w:sz w:val="23"/>
      <w:szCs w:val="22"/>
    </w:rPr>
  </w:style>
  <w:style w:type="character" w:customStyle="1" w:styleId="QuoteChar">
    <w:name w:val="Quote Char"/>
    <w:link w:val="Quote"/>
    <w:uiPriority w:val="29"/>
    <w:rsid w:val="007364E6"/>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styleId="ListParagraph">
    <w:name w:val="List Paragraph"/>
    <w:basedOn w:val="Normal"/>
    <w:uiPriority w:val="34"/>
    <w:rsid w:val="000528B4"/>
    <w:pPr>
      <w:ind w:left="720"/>
      <w:contextualSpacing/>
    </w:pPr>
  </w:style>
  <w:style w:type="character" w:customStyle="1" w:styleId="FootnoteTextChar">
    <w:name w:val="Footnote Text Char"/>
    <w:basedOn w:val="DefaultParagraphFont"/>
    <w:link w:val="FootnoteText"/>
    <w:rsid w:val="00C909CF"/>
    <w:rPr>
      <w:rFonts w:ascii="Garamond" w:hAnsi="Garamond"/>
      <w:sz w:val="22"/>
      <w:szCs w:val="24"/>
      <w:lang w:val="en-GB" w:eastAsia="en-GB"/>
    </w:rPr>
  </w:style>
  <w:style w:type="table" w:styleId="TableGrid">
    <w:name w:val="Table Grid"/>
    <w:basedOn w:val="TableNormal"/>
    <w:rsid w:val="00C06EC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oleObject" Target="embeddings/oleObject62.bin"/><Relationship Id="rId143" Type="http://schemas.openxmlformats.org/officeDocument/2006/relationships/image" Target="media/image70.emf"/><Relationship Id="rId144" Type="http://schemas.openxmlformats.org/officeDocument/2006/relationships/oleObject" Target="embeddings/oleObject63.bin"/><Relationship Id="rId145" Type="http://schemas.openxmlformats.org/officeDocument/2006/relationships/image" Target="media/image71.emf"/><Relationship Id="rId146" Type="http://schemas.openxmlformats.org/officeDocument/2006/relationships/oleObject" Target="embeddings/oleObject64.bin"/><Relationship Id="rId147" Type="http://schemas.openxmlformats.org/officeDocument/2006/relationships/image" Target="media/image72.emf"/><Relationship Id="rId148" Type="http://schemas.openxmlformats.org/officeDocument/2006/relationships/oleObject" Target="embeddings/oleObject65.bin"/><Relationship Id="rId149" Type="http://schemas.openxmlformats.org/officeDocument/2006/relationships/image" Target="media/image73.emf"/><Relationship Id="rId180" Type="http://schemas.openxmlformats.org/officeDocument/2006/relationships/oleObject" Target="embeddings/oleObject81.bin"/><Relationship Id="rId181" Type="http://schemas.openxmlformats.org/officeDocument/2006/relationships/image" Target="media/image89.emf"/><Relationship Id="rId182" Type="http://schemas.openxmlformats.org/officeDocument/2006/relationships/oleObject" Target="embeddings/oleObject82.bin"/><Relationship Id="rId40" Type="http://schemas.openxmlformats.org/officeDocument/2006/relationships/image" Target="media/image18.emf"/><Relationship Id="rId41" Type="http://schemas.openxmlformats.org/officeDocument/2006/relationships/oleObject" Target="embeddings/oleObject12.bin"/><Relationship Id="rId42" Type="http://schemas.openxmlformats.org/officeDocument/2006/relationships/image" Target="media/image19.emf"/><Relationship Id="rId43" Type="http://schemas.openxmlformats.org/officeDocument/2006/relationships/oleObject" Target="embeddings/oleObject13.bin"/><Relationship Id="rId44" Type="http://schemas.openxmlformats.org/officeDocument/2006/relationships/image" Target="media/image20.emf"/><Relationship Id="rId45" Type="http://schemas.openxmlformats.org/officeDocument/2006/relationships/oleObject" Target="embeddings/oleObject14.bin"/><Relationship Id="rId46" Type="http://schemas.openxmlformats.org/officeDocument/2006/relationships/image" Target="media/image21.emf"/><Relationship Id="rId47" Type="http://schemas.openxmlformats.org/officeDocument/2006/relationships/oleObject" Target="embeddings/oleObject15.bin"/><Relationship Id="rId48" Type="http://schemas.openxmlformats.org/officeDocument/2006/relationships/image" Target="media/image22.emf"/><Relationship Id="rId49" Type="http://schemas.openxmlformats.org/officeDocument/2006/relationships/oleObject" Target="embeddings/oleObject16.bin"/><Relationship Id="rId183" Type="http://schemas.openxmlformats.org/officeDocument/2006/relationships/image" Target="media/image90.emf"/><Relationship Id="rId184" Type="http://schemas.openxmlformats.org/officeDocument/2006/relationships/oleObject" Target="embeddings/oleObject83.bin"/><Relationship Id="rId185" Type="http://schemas.openxmlformats.org/officeDocument/2006/relationships/image" Target="media/image91.emf"/><Relationship Id="rId186" Type="http://schemas.openxmlformats.org/officeDocument/2006/relationships/oleObject" Target="embeddings/oleObject84.bin"/><Relationship Id="rId187" Type="http://schemas.openxmlformats.org/officeDocument/2006/relationships/image" Target="media/image92.emf"/><Relationship Id="rId188" Type="http://schemas.openxmlformats.org/officeDocument/2006/relationships/oleObject" Target="embeddings/oleObject85.bin"/><Relationship Id="rId189" Type="http://schemas.openxmlformats.org/officeDocument/2006/relationships/image" Target="media/image93.emf"/><Relationship Id="rId220" Type="http://schemas.openxmlformats.org/officeDocument/2006/relationships/oleObject" Target="embeddings/oleObject101.bin"/><Relationship Id="rId221" Type="http://schemas.openxmlformats.org/officeDocument/2006/relationships/image" Target="media/image109.emf"/><Relationship Id="rId222" Type="http://schemas.openxmlformats.org/officeDocument/2006/relationships/oleObject" Target="embeddings/oleObject102.bin"/><Relationship Id="rId223" Type="http://schemas.openxmlformats.org/officeDocument/2006/relationships/image" Target="media/image110.emf"/><Relationship Id="rId80" Type="http://schemas.openxmlformats.org/officeDocument/2006/relationships/image" Target="media/image38.emf"/><Relationship Id="rId81" Type="http://schemas.openxmlformats.org/officeDocument/2006/relationships/oleObject" Target="embeddings/oleObject32.bin"/><Relationship Id="rId82" Type="http://schemas.openxmlformats.org/officeDocument/2006/relationships/image" Target="media/image39.emf"/><Relationship Id="rId83" Type="http://schemas.openxmlformats.org/officeDocument/2006/relationships/oleObject" Target="embeddings/oleObject33.bin"/><Relationship Id="rId84" Type="http://schemas.openxmlformats.org/officeDocument/2006/relationships/image" Target="media/image40.png"/><Relationship Id="rId85" Type="http://schemas.openxmlformats.org/officeDocument/2006/relationships/image" Target="media/image41.emf"/><Relationship Id="rId86" Type="http://schemas.openxmlformats.org/officeDocument/2006/relationships/oleObject" Target="embeddings/oleObject34.bin"/><Relationship Id="rId87" Type="http://schemas.openxmlformats.org/officeDocument/2006/relationships/image" Target="media/image42.emf"/><Relationship Id="rId88" Type="http://schemas.openxmlformats.org/officeDocument/2006/relationships/oleObject" Target="embeddings/oleObject35.bin"/><Relationship Id="rId89" Type="http://schemas.openxmlformats.org/officeDocument/2006/relationships/image" Target="media/image43.emf"/><Relationship Id="rId224" Type="http://schemas.openxmlformats.org/officeDocument/2006/relationships/oleObject" Target="embeddings/oleObject103.bin"/><Relationship Id="rId225" Type="http://schemas.openxmlformats.org/officeDocument/2006/relationships/image" Target="media/image111.emf"/><Relationship Id="rId226" Type="http://schemas.openxmlformats.org/officeDocument/2006/relationships/oleObject" Target="embeddings/oleObject104.bin"/><Relationship Id="rId227" Type="http://schemas.openxmlformats.org/officeDocument/2006/relationships/hyperlink" Target="http://elpais.com/diario/2010/02/25/economia/1267052401_850215.html" TargetMode="External"/><Relationship Id="rId228" Type="http://schemas.openxmlformats.org/officeDocument/2006/relationships/hyperlink" Target="http://elpais.com/diario/2010/02/07/espana/1265497201_850215.html" TargetMode="External"/><Relationship Id="rId229" Type="http://schemas.openxmlformats.org/officeDocument/2006/relationships/hyperlink" Target="http://www.expansion.com/2010/05/10/economia-politica/1273526175.html?a=de6433144b7429e851e190f2535c040a&amp;t=1339457987" TargetMode="External"/><Relationship Id="rId110" Type="http://schemas.openxmlformats.org/officeDocument/2006/relationships/oleObject" Target="embeddings/oleObject46.bin"/><Relationship Id="rId111" Type="http://schemas.openxmlformats.org/officeDocument/2006/relationships/image" Target="media/image54.emf"/><Relationship Id="rId112" Type="http://schemas.openxmlformats.org/officeDocument/2006/relationships/oleObject" Target="embeddings/oleObject47.bin"/><Relationship Id="rId113" Type="http://schemas.openxmlformats.org/officeDocument/2006/relationships/image" Target="media/image55.emf"/><Relationship Id="rId114" Type="http://schemas.openxmlformats.org/officeDocument/2006/relationships/oleObject" Target="embeddings/oleObject48.bin"/><Relationship Id="rId115" Type="http://schemas.openxmlformats.org/officeDocument/2006/relationships/image" Target="media/image56.emf"/><Relationship Id="rId116" Type="http://schemas.openxmlformats.org/officeDocument/2006/relationships/oleObject" Target="embeddings/oleObject49.bin"/><Relationship Id="rId117" Type="http://schemas.openxmlformats.org/officeDocument/2006/relationships/image" Target="media/image57.emf"/><Relationship Id="rId118" Type="http://schemas.openxmlformats.org/officeDocument/2006/relationships/oleObject" Target="embeddings/oleObject50.bin"/><Relationship Id="rId119" Type="http://schemas.openxmlformats.org/officeDocument/2006/relationships/image" Target="media/image58.emf"/><Relationship Id="rId150" Type="http://schemas.openxmlformats.org/officeDocument/2006/relationships/oleObject" Target="embeddings/oleObject66.bin"/><Relationship Id="rId151" Type="http://schemas.openxmlformats.org/officeDocument/2006/relationships/image" Target="media/image74.emf"/><Relationship Id="rId152" Type="http://schemas.openxmlformats.org/officeDocument/2006/relationships/oleObject" Target="embeddings/oleObject67.bin"/><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oleObject" Target="embeddings/oleObject1.bin"/><Relationship Id="rId153" Type="http://schemas.openxmlformats.org/officeDocument/2006/relationships/image" Target="media/image75.emf"/><Relationship Id="rId154" Type="http://schemas.openxmlformats.org/officeDocument/2006/relationships/oleObject" Target="embeddings/oleObject68.bin"/><Relationship Id="rId155" Type="http://schemas.openxmlformats.org/officeDocument/2006/relationships/image" Target="media/image76.emf"/><Relationship Id="rId156" Type="http://schemas.openxmlformats.org/officeDocument/2006/relationships/oleObject" Target="embeddings/oleObject69.bin"/><Relationship Id="rId157" Type="http://schemas.openxmlformats.org/officeDocument/2006/relationships/image" Target="media/image77.emf"/><Relationship Id="rId158" Type="http://schemas.openxmlformats.org/officeDocument/2006/relationships/oleObject" Target="embeddings/oleObject70.bin"/><Relationship Id="rId159" Type="http://schemas.openxmlformats.org/officeDocument/2006/relationships/image" Target="media/image78.emf"/><Relationship Id="rId190" Type="http://schemas.openxmlformats.org/officeDocument/2006/relationships/oleObject" Target="embeddings/oleObject86.bin"/><Relationship Id="rId191" Type="http://schemas.openxmlformats.org/officeDocument/2006/relationships/image" Target="media/image94.emf"/><Relationship Id="rId192" Type="http://schemas.openxmlformats.org/officeDocument/2006/relationships/oleObject" Target="embeddings/oleObject87.bin"/><Relationship Id="rId50" Type="http://schemas.openxmlformats.org/officeDocument/2006/relationships/image" Target="media/image23.emf"/><Relationship Id="rId51" Type="http://schemas.openxmlformats.org/officeDocument/2006/relationships/oleObject" Target="embeddings/oleObject17.bin"/><Relationship Id="rId52" Type="http://schemas.openxmlformats.org/officeDocument/2006/relationships/image" Target="media/image24.emf"/><Relationship Id="rId53" Type="http://schemas.openxmlformats.org/officeDocument/2006/relationships/oleObject" Target="embeddings/oleObject18.bin"/><Relationship Id="rId54" Type="http://schemas.openxmlformats.org/officeDocument/2006/relationships/image" Target="media/image25.emf"/><Relationship Id="rId55" Type="http://schemas.openxmlformats.org/officeDocument/2006/relationships/oleObject" Target="embeddings/oleObject19.bin"/><Relationship Id="rId56" Type="http://schemas.openxmlformats.org/officeDocument/2006/relationships/image" Target="media/image26.emf"/><Relationship Id="rId57" Type="http://schemas.openxmlformats.org/officeDocument/2006/relationships/oleObject" Target="embeddings/oleObject20.bin"/><Relationship Id="rId58" Type="http://schemas.openxmlformats.org/officeDocument/2006/relationships/image" Target="media/image27.emf"/><Relationship Id="rId59" Type="http://schemas.openxmlformats.org/officeDocument/2006/relationships/oleObject" Target="embeddings/oleObject21.bin"/><Relationship Id="rId193" Type="http://schemas.openxmlformats.org/officeDocument/2006/relationships/image" Target="media/image95.emf"/><Relationship Id="rId194" Type="http://schemas.openxmlformats.org/officeDocument/2006/relationships/oleObject" Target="embeddings/oleObject88.bin"/><Relationship Id="rId195" Type="http://schemas.openxmlformats.org/officeDocument/2006/relationships/image" Target="media/image96.emf"/><Relationship Id="rId196" Type="http://schemas.openxmlformats.org/officeDocument/2006/relationships/oleObject" Target="embeddings/oleObject89.bin"/><Relationship Id="rId197" Type="http://schemas.openxmlformats.org/officeDocument/2006/relationships/image" Target="media/image97.emf"/><Relationship Id="rId198" Type="http://schemas.openxmlformats.org/officeDocument/2006/relationships/oleObject" Target="embeddings/oleObject90.bin"/><Relationship Id="rId199" Type="http://schemas.openxmlformats.org/officeDocument/2006/relationships/image" Target="media/image98.emf"/><Relationship Id="rId230" Type="http://schemas.openxmlformats.org/officeDocument/2006/relationships/hyperlink" Target="http://elpais.com/diario/2010/05/13/espana/1273701601_850215.html" TargetMode="External"/><Relationship Id="rId231" Type="http://schemas.openxmlformats.org/officeDocument/2006/relationships/hyperlink" Target="http://elpais.com/diario/2010/05/10/economia/1273442401_850215.html" TargetMode="External"/><Relationship Id="rId232" Type="http://schemas.openxmlformats.org/officeDocument/2006/relationships/hyperlink" Target="http://elpais.com/diario/2010/02/09/economia/1265670001_850215.html" TargetMode="External"/><Relationship Id="rId233" Type="http://schemas.openxmlformats.org/officeDocument/2006/relationships/hyperlink" Target="http://euce.org/eusa/2011/papers/6e_puetter.pdf" TargetMode="External"/><Relationship Id="rId90" Type="http://schemas.openxmlformats.org/officeDocument/2006/relationships/oleObject" Target="embeddings/oleObject36.bin"/><Relationship Id="rId91" Type="http://schemas.openxmlformats.org/officeDocument/2006/relationships/image" Target="media/image44.emf"/><Relationship Id="rId92" Type="http://schemas.openxmlformats.org/officeDocument/2006/relationships/oleObject" Target="embeddings/oleObject37.bin"/><Relationship Id="rId93" Type="http://schemas.openxmlformats.org/officeDocument/2006/relationships/image" Target="media/image45.emf"/><Relationship Id="rId94" Type="http://schemas.openxmlformats.org/officeDocument/2006/relationships/oleObject" Target="embeddings/oleObject38.bin"/><Relationship Id="rId95" Type="http://schemas.openxmlformats.org/officeDocument/2006/relationships/image" Target="media/image46.emf"/><Relationship Id="rId96" Type="http://schemas.openxmlformats.org/officeDocument/2006/relationships/oleObject" Target="embeddings/oleObject39.bin"/><Relationship Id="rId97" Type="http://schemas.openxmlformats.org/officeDocument/2006/relationships/image" Target="media/image47.emf"/><Relationship Id="rId98" Type="http://schemas.openxmlformats.org/officeDocument/2006/relationships/oleObject" Target="embeddings/oleObject40.bin"/><Relationship Id="rId99" Type="http://schemas.openxmlformats.org/officeDocument/2006/relationships/image" Target="media/image48.emf"/><Relationship Id="rId234" Type="http://schemas.openxmlformats.org/officeDocument/2006/relationships/hyperlink" Target="http://europa.eu/about-eu/basic-information/symbols/europe-day/schuman-declaration/index_en.htm" TargetMode="External"/><Relationship Id="rId235" Type="http://schemas.openxmlformats.org/officeDocument/2006/relationships/header" Target="header2.xml"/><Relationship Id="rId236" Type="http://schemas.openxmlformats.org/officeDocument/2006/relationships/fontTable" Target="fontTable.xml"/><Relationship Id="rId237" Type="http://schemas.openxmlformats.org/officeDocument/2006/relationships/theme" Target="theme/theme1.xml"/><Relationship Id="rId120" Type="http://schemas.openxmlformats.org/officeDocument/2006/relationships/oleObject" Target="embeddings/oleObject51.bin"/><Relationship Id="rId121" Type="http://schemas.openxmlformats.org/officeDocument/2006/relationships/image" Target="media/image59.emf"/><Relationship Id="rId122" Type="http://schemas.openxmlformats.org/officeDocument/2006/relationships/oleObject" Target="embeddings/oleObject52.bin"/><Relationship Id="rId123" Type="http://schemas.openxmlformats.org/officeDocument/2006/relationships/image" Target="media/image60.emf"/><Relationship Id="rId124" Type="http://schemas.openxmlformats.org/officeDocument/2006/relationships/oleObject" Target="embeddings/oleObject53.bin"/><Relationship Id="rId125" Type="http://schemas.openxmlformats.org/officeDocument/2006/relationships/image" Target="media/image61.emf"/><Relationship Id="rId126" Type="http://schemas.openxmlformats.org/officeDocument/2006/relationships/oleObject" Target="embeddings/oleObject54.bin"/><Relationship Id="rId127" Type="http://schemas.openxmlformats.org/officeDocument/2006/relationships/image" Target="media/image62.emf"/><Relationship Id="rId128" Type="http://schemas.openxmlformats.org/officeDocument/2006/relationships/oleObject" Target="embeddings/oleObject55.bin"/><Relationship Id="rId129" Type="http://schemas.openxmlformats.org/officeDocument/2006/relationships/image" Target="media/image63.emf"/><Relationship Id="rId160" Type="http://schemas.openxmlformats.org/officeDocument/2006/relationships/oleObject" Target="embeddings/oleObject71.bin"/><Relationship Id="rId161" Type="http://schemas.openxmlformats.org/officeDocument/2006/relationships/image" Target="media/image79.emf"/><Relationship Id="rId162" Type="http://schemas.openxmlformats.org/officeDocument/2006/relationships/oleObject" Target="embeddings/oleObject72.bin"/><Relationship Id="rId20" Type="http://schemas.openxmlformats.org/officeDocument/2006/relationships/image" Target="media/image8.emf"/><Relationship Id="rId21" Type="http://schemas.openxmlformats.org/officeDocument/2006/relationships/oleObject" Target="embeddings/oleObject2.bin"/><Relationship Id="rId22" Type="http://schemas.openxmlformats.org/officeDocument/2006/relationships/image" Target="media/image9.emf"/><Relationship Id="rId23" Type="http://schemas.openxmlformats.org/officeDocument/2006/relationships/oleObject" Target="embeddings/oleObject3.bin"/><Relationship Id="rId24" Type="http://schemas.openxmlformats.org/officeDocument/2006/relationships/image" Target="media/image10.emf"/><Relationship Id="rId25" Type="http://schemas.openxmlformats.org/officeDocument/2006/relationships/oleObject" Target="embeddings/oleObject4.bin"/><Relationship Id="rId26" Type="http://schemas.openxmlformats.org/officeDocument/2006/relationships/image" Target="media/image11.emf"/><Relationship Id="rId27" Type="http://schemas.openxmlformats.org/officeDocument/2006/relationships/oleObject" Target="embeddings/oleObject5.bin"/><Relationship Id="rId28" Type="http://schemas.openxmlformats.org/officeDocument/2006/relationships/image" Target="media/image12.emf"/><Relationship Id="rId29" Type="http://schemas.openxmlformats.org/officeDocument/2006/relationships/oleObject" Target="embeddings/oleObject6.bin"/><Relationship Id="rId163" Type="http://schemas.openxmlformats.org/officeDocument/2006/relationships/image" Target="media/image80.emf"/><Relationship Id="rId164" Type="http://schemas.openxmlformats.org/officeDocument/2006/relationships/oleObject" Target="embeddings/oleObject73.bin"/><Relationship Id="rId165" Type="http://schemas.openxmlformats.org/officeDocument/2006/relationships/image" Target="media/image81.emf"/><Relationship Id="rId166" Type="http://schemas.openxmlformats.org/officeDocument/2006/relationships/oleObject" Target="embeddings/oleObject74.bin"/><Relationship Id="rId167" Type="http://schemas.openxmlformats.org/officeDocument/2006/relationships/image" Target="media/image82.emf"/><Relationship Id="rId168" Type="http://schemas.openxmlformats.org/officeDocument/2006/relationships/oleObject" Target="embeddings/oleObject75.bin"/><Relationship Id="rId169" Type="http://schemas.openxmlformats.org/officeDocument/2006/relationships/image" Target="media/image83.emf"/><Relationship Id="rId200" Type="http://schemas.openxmlformats.org/officeDocument/2006/relationships/oleObject" Target="embeddings/oleObject91.bin"/><Relationship Id="rId201" Type="http://schemas.openxmlformats.org/officeDocument/2006/relationships/image" Target="media/image99.emf"/><Relationship Id="rId202" Type="http://schemas.openxmlformats.org/officeDocument/2006/relationships/oleObject" Target="embeddings/oleObject92.bin"/><Relationship Id="rId203" Type="http://schemas.openxmlformats.org/officeDocument/2006/relationships/image" Target="media/image100.emf"/><Relationship Id="rId60" Type="http://schemas.openxmlformats.org/officeDocument/2006/relationships/image" Target="media/image28.emf"/><Relationship Id="rId61" Type="http://schemas.openxmlformats.org/officeDocument/2006/relationships/oleObject" Target="embeddings/oleObject22.bin"/><Relationship Id="rId62" Type="http://schemas.openxmlformats.org/officeDocument/2006/relationships/image" Target="media/image29.emf"/><Relationship Id="rId63" Type="http://schemas.openxmlformats.org/officeDocument/2006/relationships/oleObject" Target="embeddings/oleObject23.bin"/><Relationship Id="rId64" Type="http://schemas.openxmlformats.org/officeDocument/2006/relationships/image" Target="media/image30.emf"/><Relationship Id="rId65" Type="http://schemas.openxmlformats.org/officeDocument/2006/relationships/oleObject" Target="embeddings/oleObject24.bin"/><Relationship Id="rId66" Type="http://schemas.openxmlformats.org/officeDocument/2006/relationships/image" Target="media/image31.emf"/><Relationship Id="rId67" Type="http://schemas.openxmlformats.org/officeDocument/2006/relationships/oleObject" Target="embeddings/oleObject25.bin"/><Relationship Id="rId68" Type="http://schemas.openxmlformats.org/officeDocument/2006/relationships/image" Target="media/image32.emf"/><Relationship Id="rId69" Type="http://schemas.openxmlformats.org/officeDocument/2006/relationships/oleObject" Target="embeddings/oleObject26.bin"/><Relationship Id="rId204" Type="http://schemas.openxmlformats.org/officeDocument/2006/relationships/oleObject" Target="embeddings/oleObject93.bin"/><Relationship Id="rId205" Type="http://schemas.openxmlformats.org/officeDocument/2006/relationships/image" Target="media/image101.emf"/><Relationship Id="rId206" Type="http://schemas.openxmlformats.org/officeDocument/2006/relationships/oleObject" Target="embeddings/oleObject94.bin"/><Relationship Id="rId207" Type="http://schemas.openxmlformats.org/officeDocument/2006/relationships/image" Target="media/image102.emf"/><Relationship Id="rId208" Type="http://schemas.openxmlformats.org/officeDocument/2006/relationships/oleObject" Target="embeddings/oleObject95.bin"/><Relationship Id="rId209" Type="http://schemas.openxmlformats.org/officeDocument/2006/relationships/image" Target="media/image103.emf"/><Relationship Id="rId130" Type="http://schemas.openxmlformats.org/officeDocument/2006/relationships/oleObject" Target="embeddings/oleObject56.bin"/><Relationship Id="rId131" Type="http://schemas.openxmlformats.org/officeDocument/2006/relationships/image" Target="media/image64.emf"/><Relationship Id="rId132" Type="http://schemas.openxmlformats.org/officeDocument/2006/relationships/oleObject" Target="embeddings/oleObject57.bin"/><Relationship Id="rId133" Type="http://schemas.openxmlformats.org/officeDocument/2006/relationships/image" Target="media/image65.emf"/><Relationship Id="rId134" Type="http://schemas.openxmlformats.org/officeDocument/2006/relationships/oleObject" Target="embeddings/oleObject58.bin"/><Relationship Id="rId135" Type="http://schemas.openxmlformats.org/officeDocument/2006/relationships/image" Target="media/image66.emf"/><Relationship Id="rId136" Type="http://schemas.openxmlformats.org/officeDocument/2006/relationships/oleObject" Target="embeddings/oleObject59.bin"/><Relationship Id="rId137" Type="http://schemas.openxmlformats.org/officeDocument/2006/relationships/image" Target="media/image67.emf"/><Relationship Id="rId138" Type="http://schemas.openxmlformats.org/officeDocument/2006/relationships/oleObject" Target="embeddings/oleObject60.bin"/><Relationship Id="rId139" Type="http://schemas.openxmlformats.org/officeDocument/2006/relationships/image" Target="media/image68.emf"/><Relationship Id="rId170" Type="http://schemas.openxmlformats.org/officeDocument/2006/relationships/oleObject" Target="embeddings/oleObject76.bin"/><Relationship Id="rId171" Type="http://schemas.openxmlformats.org/officeDocument/2006/relationships/image" Target="media/image84.emf"/><Relationship Id="rId172" Type="http://schemas.openxmlformats.org/officeDocument/2006/relationships/oleObject" Target="embeddings/oleObject77.bin"/><Relationship Id="rId30" Type="http://schemas.openxmlformats.org/officeDocument/2006/relationships/image" Target="media/image13.emf"/><Relationship Id="rId31" Type="http://schemas.openxmlformats.org/officeDocument/2006/relationships/oleObject" Target="embeddings/oleObject7.bin"/><Relationship Id="rId32" Type="http://schemas.openxmlformats.org/officeDocument/2006/relationships/image" Target="media/image14.emf"/><Relationship Id="rId33" Type="http://schemas.openxmlformats.org/officeDocument/2006/relationships/oleObject" Target="embeddings/oleObject8.bin"/><Relationship Id="rId34" Type="http://schemas.openxmlformats.org/officeDocument/2006/relationships/image" Target="media/image15.emf"/><Relationship Id="rId35" Type="http://schemas.openxmlformats.org/officeDocument/2006/relationships/oleObject" Target="embeddings/oleObject9.bin"/><Relationship Id="rId36" Type="http://schemas.openxmlformats.org/officeDocument/2006/relationships/image" Target="media/image16.emf"/><Relationship Id="rId37" Type="http://schemas.openxmlformats.org/officeDocument/2006/relationships/oleObject" Target="embeddings/oleObject10.bin"/><Relationship Id="rId38" Type="http://schemas.openxmlformats.org/officeDocument/2006/relationships/image" Target="media/image17.emf"/><Relationship Id="rId39" Type="http://schemas.openxmlformats.org/officeDocument/2006/relationships/oleObject" Target="embeddings/oleObject11.bin"/><Relationship Id="rId173" Type="http://schemas.openxmlformats.org/officeDocument/2006/relationships/image" Target="media/image85.emf"/><Relationship Id="rId174" Type="http://schemas.openxmlformats.org/officeDocument/2006/relationships/oleObject" Target="embeddings/oleObject78.bin"/><Relationship Id="rId175" Type="http://schemas.openxmlformats.org/officeDocument/2006/relationships/image" Target="media/image86.emf"/><Relationship Id="rId176" Type="http://schemas.openxmlformats.org/officeDocument/2006/relationships/oleObject" Target="embeddings/oleObject79.bin"/><Relationship Id="rId177" Type="http://schemas.openxmlformats.org/officeDocument/2006/relationships/image" Target="media/image87.emf"/><Relationship Id="rId178" Type="http://schemas.openxmlformats.org/officeDocument/2006/relationships/oleObject" Target="embeddings/oleObject80.bin"/><Relationship Id="rId179" Type="http://schemas.openxmlformats.org/officeDocument/2006/relationships/image" Target="media/image88.emf"/><Relationship Id="rId210" Type="http://schemas.openxmlformats.org/officeDocument/2006/relationships/oleObject" Target="embeddings/oleObject96.bin"/><Relationship Id="rId211" Type="http://schemas.openxmlformats.org/officeDocument/2006/relationships/image" Target="media/image104.emf"/><Relationship Id="rId212" Type="http://schemas.openxmlformats.org/officeDocument/2006/relationships/oleObject" Target="embeddings/oleObject97.bin"/><Relationship Id="rId213" Type="http://schemas.openxmlformats.org/officeDocument/2006/relationships/image" Target="media/image105.emf"/><Relationship Id="rId70" Type="http://schemas.openxmlformats.org/officeDocument/2006/relationships/image" Target="media/image33.emf"/><Relationship Id="rId71" Type="http://schemas.openxmlformats.org/officeDocument/2006/relationships/oleObject" Target="embeddings/oleObject27.bin"/><Relationship Id="rId72" Type="http://schemas.openxmlformats.org/officeDocument/2006/relationships/image" Target="media/image34.emf"/><Relationship Id="rId73" Type="http://schemas.openxmlformats.org/officeDocument/2006/relationships/oleObject" Target="embeddings/oleObject28.bin"/><Relationship Id="rId74" Type="http://schemas.openxmlformats.org/officeDocument/2006/relationships/image" Target="media/image35.emf"/><Relationship Id="rId75" Type="http://schemas.openxmlformats.org/officeDocument/2006/relationships/oleObject" Target="embeddings/oleObject29.bin"/><Relationship Id="rId76" Type="http://schemas.openxmlformats.org/officeDocument/2006/relationships/image" Target="media/image36.emf"/><Relationship Id="rId77" Type="http://schemas.openxmlformats.org/officeDocument/2006/relationships/oleObject" Target="embeddings/oleObject30.bin"/><Relationship Id="rId78" Type="http://schemas.openxmlformats.org/officeDocument/2006/relationships/image" Target="media/image37.emf"/><Relationship Id="rId79" Type="http://schemas.openxmlformats.org/officeDocument/2006/relationships/oleObject" Target="embeddings/oleObject31.bin"/><Relationship Id="rId214" Type="http://schemas.openxmlformats.org/officeDocument/2006/relationships/oleObject" Target="embeddings/oleObject98.bin"/><Relationship Id="rId215" Type="http://schemas.openxmlformats.org/officeDocument/2006/relationships/image" Target="media/image106.emf"/><Relationship Id="rId216" Type="http://schemas.openxmlformats.org/officeDocument/2006/relationships/oleObject" Target="embeddings/oleObject99.bin"/><Relationship Id="rId217" Type="http://schemas.openxmlformats.org/officeDocument/2006/relationships/image" Target="media/image107.emf"/><Relationship Id="rId218" Type="http://schemas.openxmlformats.org/officeDocument/2006/relationships/oleObject" Target="embeddings/oleObject100.bin"/><Relationship Id="rId219" Type="http://schemas.openxmlformats.org/officeDocument/2006/relationships/image" Target="media/image10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oleObject" Target="embeddings/oleObject41.bin"/><Relationship Id="rId101" Type="http://schemas.openxmlformats.org/officeDocument/2006/relationships/image" Target="media/image49.emf"/><Relationship Id="rId102" Type="http://schemas.openxmlformats.org/officeDocument/2006/relationships/oleObject" Target="embeddings/oleObject42.bin"/><Relationship Id="rId103" Type="http://schemas.openxmlformats.org/officeDocument/2006/relationships/image" Target="media/image50.emf"/><Relationship Id="rId104" Type="http://schemas.openxmlformats.org/officeDocument/2006/relationships/oleObject" Target="embeddings/oleObject43.bin"/><Relationship Id="rId105" Type="http://schemas.openxmlformats.org/officeDocument/2006/relationships/image" Target="media/image51.emf"/><Relationship Id="rId106" Type="http://schemas.openxmlformats.org/officeDocument/2006/relationships/oleObject" Target="embeddings/oleObject44.bin"/><Relationship Id="rId107" Type="http://schemas.openxmlformats.org/officeDocument/2006/relationships/image" Target="media/image52.emf"/><Relationship Id="rId108" Type="http://schemas.openxmlformats.org/officeDocument/2006/relationships/oleObject" Target="embeddings/oleObject45.bin"/><Relationship Id="rId109" Type="http://schemas.openxmlformats.org/officeDocument/2006/relationships/image" Target="media/image53.e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oleObject" Target="embeddings/oleObject61.bin"/><Relationship Id="rId141" Type="http://schemas.openxmlformats.org/officeDocument/2006/relationships/image" Target="media/image69.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rgegalindoalfonso:Downloads:ISS_RP_template_February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5550E-3B8A-3840-BFC6-0D14577B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ISS_RP_template_February_2012.dotx</Template>
  <TotalTime>628</TotalTime>
  <Pages>55</Pages>
  <Words>20262</Words>
  <Characters>115494</Characters>
  <Application>Microsoft Macintosh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vt:lpstr>
    </vt:vector>
  </TitlesOfParts>
  <Company>Institute of Social Studies</Company>
  <LinksUpToDate>false</LinksUpToDate>
  <CharactersWithSpaces>135486</CharactersWithSpaces>
  <SharedDoc>false</SharedDoc>
  <HLinks>
    <vt:vector size="114" baseType="variant">
      <vt:variant>
        <vt:i4>1179707</vt:i4>
      </vt:variant>
      <vt:variant>
        <vt:i4>119</vt:i4>
      </vt:variant>
      <vt:variant>
        <vt:i4>0</vt:i4>
      </vt:variant>
      <vt:variant>
        <vt:i4>5</vt:i4>
      </vt:variant>
      <vt:variant>
        <vt:lpwstr/>
      </vt:variant>
      <vt:variant>
        <vt:lpwstr>_Toc267482654</vt:lpwstr>
      </vt:variant>
      <vt:variant>
        <vt:i4>1245243</vt:i4>
      </vt:variant>
      <vt:variant>
        <vt:i4>110</vt:i4>
      </vt:variant>
      <vt:variant>
        <vt:i4>0</vt:i4>
      </vt:variant>
      <vt:variant>
        <vt:i4>5</vt:i4>
      </vt:variant>
      <vt:variant>
        <vt:lpwstr/>
      </vt:variant>
      <vt:variant>
        <vt:lpwstr>_Toc267482648</vt:lpwstr>
      </vt:variant>
      <vt:variant>
        <vt:i4>1245243</vt:i4>
      </vt:variant>
      <vt:variant>
        <vt:i4>101</vt:i4>
      </vt:variant>
      <vt:variant>
        <vt:i4>0</vt:i4>
      </vt:variant>
      <vt:variant>
        <vt:i4>5</vt:i4>
      </vt:variant>
      <vt:variant>
        <vt:lpwstr/>
      </vt:variant>
      <vt:variant>
        <vt:lpwstr>_Toc267482642</vt:lpwstr>
      </vt:variant>
      <vt:variant>
        <vt:i4>1900595</vt:i4>
      </vt:variant>
      <vt:variant>
        <vt:i4>92</vt:i4>
      </vt:variant>
      <vt:variant>
        <vt:i4>0</vt:i4>
      </vt:variant>
      <vt:variant>
        <vt:i4>5</vt:i4>
      </vt:variant>
      <vt:variant>
        <vt:lpwstr/>
      </vt:variant>
      <vt:variant>
        <vt:lpwstr>_Toc272248774</vt:lpwstr>
      </vt:variant>
      <vt:variant>
        <vt:i4>1900595</vt:i4>
      </vt:variant>
      <vt:variant>
        <vt:i4>86</vt:i4>
      </vt:variant>
      <vt:variant>
        <vt:i4>0</vt:i4>
      </vt:variant>
      <vt:variant>
        <vt:i4>5</vt:i4>
      </vt:variant>
      <vt:variant>
        <vt:lpwstr/>
      </vt:variant>
      <vt:variant>
        <vt:lpwstr>_Toc272248773</vt:lpwstr>
      </vt:variant>
      <vt:variant>
        <vt:i4>1900595</vt:i4>
      </vt:variant>
      <vt:variant>
        <vt:i4>80</vt:i4>
      </vt:variant>
      <vt:variant>
        <vt:i4>0</vt:i4>
      </vt:variant>
      <vt:variant>
        <vt:i4>5</vt:i4>
      </vt:variant>
      <vt:variant>
        <vt:lpwstr/>
      </vt:variant>
      <vt:variant>
        <vt:lpwstr>_Toc272248772</vt:lpwstr>
      </vt:variant>
      <vt:variant>
        <vt:i4>1900595</vt:i4>
      </vt:variant>
      <vt:variant>
        <vt:i4>74</vt:i4>
      </vt:variant>
      <vt:variant>
        <vt:i4>0</vt:i4>
      </vt:variant>
      <vt:variant>
        <vt:i4>5</vt:i4>
      </vt:variant>
      <vt:variant>
        <vt:lpwstr/>
      </vt:variant>
      <vt:variant>
        <vt:lpwstr>_Toc272248771</vt:lpwstr>
      </vt:variant>
      <vt:variant>
        <vt:i4>1900595</vt:i4>
      </vt:variant>
      <vt:variant>
        <vt:i4>68</vt:i4>
      </vt:variant>
      <vt:variant>
        <vt:i4>0</vt:i4>
      </vt:variant>
      <vt:variant>
        <vt:i4>5</vt:i4>
      </vt:variant>
      <vt:variant>
        <vt:lpwstr/>
      </vt:variant>
      <vt:variant>
        <vt:lpwstr>_Toc272248770</vt:lpwstr>
      </vt:variant>
      <vt:variant>
        <vt:i4>1835059</vt:i4>
      </vt:variant>
      <vt:variant>
        <vt:i4>62</vt:i4>
      </vt:variant>
      <vt:variant>
        <vt:i4>0</vt:i4>
      </vt:variant>
      <vt:variant>
        <vt:i4>5</vt:i4>
      </vt:variant>
      <vt:variant>
        <vt:lpwstr/>
      </vt:variant>
      <vt:variant>
        <vt:lpwstr>_Toc272248769</vt:lpwstr>
      </vt:variant>
      <vt:variant>
        <vt:i4>1835059</vt:i4>
      </vt:variant>
      <vt:variant>
        <vt:i4>56</vt:i4>
      </vt:variant>
      <vt:variant>
        <vt:i4>0</vt:i4>
      </vt:variant>
      <vt:variant>
        <vt:i4>5</vt:i4>
      </vt:variant>
      <vt:variant>
        <vt:lpwstr/>
      </vt:variant>
      <vt:variant>
        <vt:lpwstr>_Toc272248768</vt:lpwstr>
      </vt:variant>
      <vt:variant>
        <vt:i4>1835059</vt:i4>
      </vt:variant>
      <vt:variant>
        <vt:i4>50</vt:i4>
      </vt:variant>
      <vt:variant>
        <vt:i4>0</vt:i4>
      </vt:variant>
      <vt:variant>
        <vt:i4>5</vt:i4>
      </vt:variant>
      <vt:variant>
        <vt:lpwstr/>
      </vt:variant>
      <vt:variant>
        <vt:lpwstr>_Toc272248767</vt:lpwstr>
      </vt:variant>
      <vt:variant>
        <vt:i4>1835059</vt:i4>
      </vt:variant>
      <vt:variant>
        <vt:i4>44</vt:i4>
      </vt:variant>
      <vt:variant>
        <vt:i4>0</vt:i4>
      </vt:variant>
      <vt:variant>
        <vt:i4>5</vt:i4>
      </vt:variant>
      <vt:variant>
        <vt:lpwstr/>
      </vt:variant>
      <vt:variant>
        <vt:lpwstr>_Toc272248766</vt:lpwstr>
      </vt:variant>
      <vt:variant>
        <vt:i4>1835059</vt:i4>
      </vt:variant>
      <vt:variant>
        <vt:i4>38</vt:i4>
      </vt:variant>
      <vt:variant>
        <vt:i4>0</vt:i4>
      </vt:variant>
      <vt:variant>
        <vt:i4>5</vt:i4>
      </vt:variant>
      <vt:variant>
        <vt:lpwstr/>
      </vt:variant>
      <vt:variant>
        <vt:lpwstr>_Toc272248765</vt:lpwstr>
      </vt:variant>
      <vt:variant>
        <vt:i4>1835059</vt:i4>
      </vt:variant>
      <vt:variant>
        <vt:i4>32</vt:i4>
      </vt:variant>
      <vt:variant>
        <vt:i4>0</vt:i4>
      </vt:variant>
      <vt:variant>
        <vt:i4>5</vt:i4>
      </vt:variant>
      <vt:variant>
        <vt:lpwstr/>
      </vt:variant>
      <vt:variant>
        <vt:lpwstr>_Toc272248764</vt:lpwstr>
      </vt:variant>
      <vt:variant>
        <vt:i4>1835059</vt:i4>
      </vt:variant>
      <vt:variant>
        <vt:i4>26</vt:i4>
      </vt:variant>
      <vt:variant>
        <vt:i4>0</vt:i4>
      </vt:variant>
      <vt:variant>
        <vt:i4>5</vt:i4>
      </vt:variant>
      <vt:variant>
        <vt:lpwstr/>
      </vt:variant>
      <vt:variant>
        <vt:lpwstr>_Toc272248763</vt:lpwstr>
      </vt:variant>
      <vt:variant>
        <vt:i4>1835059</vt:i4>
      </vt:variant>
      <vt:variant>
        <vt:i4>20</vt:i4>
      </vt:variant>
      <vt:variant>
        <vt:i4>0</vt:i4>
      </vt:variant>
      <vt:variant>
        <vt:i4>5</vt:i4>
      </vt:variant>
      <vt:variant>
        <vt:lpwstr/>
      </vt:variant>
      <vt:variant>
        <vt:lpwstr>_Toc272248762</vt:lpwstr>
      </vt:variant>
      <vt:variant>
        <vt:i4>1835059</vt:i4>
      </vt:variant>
      <vt:variant>
        <vt:i4>14</vt:i4>
      </vt:variant>
      <vt:variant>
        <vt:i4>0</vt:i4>
      </vt:variant>
      <vt:variant>
        <vt:i4>5</vt:i4>
      </vt:variant>
      <vt:variant>
        <vt:lpwstr/>
      </vt:variant>
      <vt:variant>
        <vt:lpwstr>_Toc272248761</vt:lpwstr>
      </vt:variant>
      <vt:variant>
        <vt:i4>1835059</vt:i4>
      </vt:variant>
      <vt:variant>
        <vt:i4>8</vt:i4>
      </vt:variant>
      <vt:variant>
        <vt:i4>0</vt:i4>
      </vt:variant>
      <vt:variant>
        <vt:i4>5</vt:i4>
      </vt:variant>
      <vt:variant>
        <vt:lpwstr/>
      </vt:variant>
      <vt:variant>
        <vt:lpwstr>_Toc272248760</vt:lpwstr>
      </vt:variant>
      <vt:variant>
        <vt:i4>2031667</vt:i4>
      </vt:variant>
      <vt:variant>
        <vt:i4>2</vt:i4>
      </vt:variant>
      <vt:variant>
        <vt:i4>0</vt:i4>
      </vt:variant>
      <vt:variant>
        <vt:i4>5</vt:i4>
      </vt:variant>
      <vt:variant>
        <vt:lpwstr/>
      </vt:variant>
      <vt:variant>
        <vt:lpwstr>_Toc272248759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Jorge Galindo</dc:creator>
  <cp:keywords/>
  <dc:description/>
  <cp:lastModifiedBy>Jorge Galindo</cp:lastModifiedBy>
  <cp:revision>565</cp:revision>
  <cp:lastPrinted>2012-01-11T13:52:00Z</cp:lastPrinted>
  <dcterms:created xsi:type="dcterms:W3CDTF">2012-08-29T18:46:00Z</dcterms:created>
  <dcterms:modified xsi:type="dcterms:W3CDTF">2012-09-02T21:36:00Z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1259139703</vt:i4>
  </property>
</Properties>
</file>