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5A0" w:rsidRDefault="005055A0" w:rsidP="00385E00">
      <w:pPr>
        <w:suppressAutoHyphens/>
        <w:spacing w:line="240" w:lineRule="auto"/>
        <w:jc w:val="center"/>
        <w:outlineLvl w:val="0"/>
        <w:rPr>
          <w:rFonts w:ascii="Garamond" w:eastAsia="Times New Roman" w:hAnsi="Garamond" w:cs="Times New Roman"/>
          <w:b/>
          <w:sz w:val="40"/>
          <w:szCs w:val="40"/>
          <w:lang w:val="en-GB" w:eastAsia="en-GB"/>
        </w:rPr>
      </w:pPr>
    </w:p>
    <w:p w:rsidR="00385E00" w:rsidRPr="002C510B" w:rsidRDefault="005055A0" w:rsidP="005D3007">
      <w:pPr>
        <w:jc w:val="center"/>
        <w:rPr>
          <w:rFonts w:ascii="Garamond" w:eastAsia="Times New Roman" w:hAnsi="Garamond" w:cs="Times New Roman"/>
          <w:sz w:val="56"/>
          <w:szCs w:val="56"/>
          <w:lang w:val="en-GB" w:eastAsia="en-GB"/>
        </w:rPr>
      </w:pPr>
      <w:r w:rsidRPr="002C510B">
        <w:rPr>
          <w:rFonts w:ascii="Garamond" w:eastAsia="Times New Roman" w:hAnsi="Garamond" w:cs="Times New Roman"/>
          <w:sz w:val="56"/>
          <w:szCs w:val="56"/>
          <w:lang w:val="en-GB" w:eastAsia="en-GB"/>
        </w:rPr>
        <w:t>Kintsugi</w:t>
      </w:r>
    </w:p>
    <w:p w:rsidR="00385E00" w:rsidRDefault="00385E00" w:rsidP="00385E00">
      <w:pPr>
        <w:suppressAutoHyphens/>
        <w:spacing w:line="240" w:lineRule="auto"/>
        <w:jc w:val="center"/>
        <w:outlineLvl w:val="0"/>
        <w:rPr>
          <w:rFonts w:ascii="Garamond" w:eastAsia="Times New Roman" w:hAnsi="Garamond" w:cs="Times New Roman"/>
          <w:b/>
          <w:sz w:val="28"/>
          <w:szCs w:val="20"/>
          <w:lang w:val="en-GB" w:eastAsia="en-GB"/>
        </w:rPr>
      </w:pPr>
    </w:p>
    <w:p w:rsidR="00385E00" w:rsidRPr="00385E00" w:rsidRDefault="00385E00" w:rsidP="00385E00">
      <w:pPr>
        <w:suppressAutoHyphens/>
        <w:spacing w:line="240" w:lineRule="auto"/>
        <w:jc w:val="center"/>
        <w:outlineLvl w:val="0"/>
        <w:rPr>
          <w:rFonts w:ascii="Garamond" w:eastAsia="Times New Roman" w:hAnsi="Garamond" w:cs="Times New Roman"/>
          <w:b/>
          <w:sz w:val="28"/>
          <w:szCs w:val="20"/>
          <w:lang w:val="en-GB" w:eastAsia="en-GB"/>
        </w:rPr>
      </w:pPr>
    </w:p>
    <w:p w:rsidR="00801CF8" w:rsidRDefault="00385E00" w:rsidP="00801CF8">
      <w:pPr>
        <w:jc w:val="center"/>
        <w:rPr>
          <w:rFonts w:ascii="Garamond" w:hAnsi="Garamond"/>
          <w:sz w:val="28"/>
          <w:szCs w:val="28"/>
        </w:rPr>
      </w:pPr>
      <w:r>
        <w:rPr>
          <w:rFonts w:ascii="Garamond" w:hAnsi="Garamond"/>
          <w:noProof/>
          <w:sz w:val="28"/>
          <w:szCs w:val="28"/>
          <w:lang w:eastAsia="en-ZA"/>
        </w:rPr>
        <w:drawing>
          <wp:inline distT="0" distB="0" distL="0" distR="0">
            <wp:extent cx="5173317" cy="6897757"/>
            <wp:effectExtent l="0" t="0" r="8890" b="0"/>
            <wp:docPr id="3" name="Picture 3" descr="G:\The final countdown\to 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e final countdown\to us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8553" cy="6904738"/>
                    </a:xfrm>
                    <a:prstGeom prst="rect">
                      <a:avLst/>
                    </a:prstGeom>
                    <a:noFill/>
                    <a:ln>
                      <a:noFill/>
                    </a:ln>
                  </pic:spPr>
                </pic:pic>
              </a:graphicData>
            </a:graphic>
          </wp:inline>
        </w:drawing>
      </w:r>
    </w:p>
    <w:p w:rsidR="00801CF8" w:rsidRDefault="00801CF8" w:rsidP="00801CF8">
      <w:pPr>
        <w:jc w:val="center"/>
        <w:rPr>
          <w:rFonts w:ascii="Garamond" w:hAnsi="Garamond"/>
          <w:sz w:val="28"/>
          <w:szCs w:val="28"/>
        </w:rPr>
      </w:pPr>
    </w:p>
    <w:p w:rsidR="00385E00" w:rsidRDefault="00385E00" w:rsidP="00801CF8">
      <w:pPr>
        <w:jc w:val="center"/>
        <w:rPr>
          <w:rFonts w:ascii="Garamond" w:hAnsi="Garamond"/>
          <w:sz w:val="28"/>
          <w:szCs w:val="28"/>
        </w:rPr>
      </w:pPr>
    </w:p>
    <w:p w:rsidR="00801CF8" w:rsidRDefault="00385E00" w:rsidP="00801CF8">
      <w:pPr>
        <w:jc w:val="center"/>
        <w:rPr>
          <w:rFonts w:ascii="Garamond" w:hAnsi="Garamond"/>
          <w:sz w:val="28"/>
          <w:szCs w:val="28"/>
        </w:rPr>
      </w:pPr>
      <w:r>
        <w:rPr>
          <w:rFonts w:ascii="Garamond" w:hAnsi="Garamond"/>
          <w:noProof/>
          <w:sz w:val="28"/>
          <w:szCs w:val="28"/>
          <w:lang w:eastAsia="en-ZA"/>
        </w:rPr>
        <w:drawing>
          <wp:inline distT="0" distB="0" distL="0" distR="0" wp14:anchorId="3DC5EE04">
            <wp:extent cx="3694430" cy="140208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4430" cy="1402080"/>
                    </a:xfrm>
                    <a:prstGeom prst="rect">
                      <a:avLst/>
                    </a:prstGeom>
                    <a:noFill/>
                  </pic:spPr>
                </pic:pic>
              </a:graphicData>
            </a:graphic>
          </wp:inline>
        </w:drawing>
      </w:r>
    </w:p>
    <w:p w:rsidR="00385E00" w:rsidRDefault="00385E00" w:rsidP="00385E00">
      <w:pPr>
        <w:suppressAutoHyphens/>
        <w:spacing w:after="60" w:line="240" w:lineRule="auto"/>
        <w:jc w:val="center"/>
        <w:rPr>
          <w:rFonts w:ascii="Garamond" w:eastAsia="Times New Roman" w:hAnsi="Garamond" w:cs="Times New Roman"/>
          <w:sz w:val="26"/>
          <w:szCs w:val="26"/>
          <w:lang w:val="en-GB" w:eastAsia="en-GB"/>
        </w:rPr>
      </w:pPr>
    </w:p>
    <w:p w:rsidR="00385E00" w:rsidRDefault="00385E00" w:rsidP="00385E00">
      <w:pPr>
        <w:suppressAutoHyphens/>
        <w:spacing w:after="60" w:line="240" w:lineRule="auto"/>
        <w:jc w:val="center"/>
        <w:rPr>
          <w:rFonts w:ascii="Garamond" w:eastAsia="Times New Roman" w:hAnsi="Garamond" w:cs="Times New Roman"/>
          <w:sz w:val="26"/>
          <w:szCs w:val="26"/>
          <w:lang w:val="en-GB" w:eastAsia="en-GB"/>
        </w:rPr>
      </w:pPr>
    </w:p>
    <w:p w:rsidR="00385E00" w:rsidRDefault="00385E00" w:rsidP="00385E00">
      <w:pPr>
        <w:suppressAutoHyphens/>
        <w:spacing w:after="60" w:line="240" w:lineRule="auto"/>
        <w:jc w:val="center"/>
        <w:rPr>
          <w:rFonts w:ascii="Garamond" w:eastAsia="Times New Roman" w:hAnsi="Garamond" w:cs="Times New Roman"/>
          <w:sz w:val="26"/>
          <w:szCs w:val="26"/>
          <w:lang w:val="en-GB" w:eastAsia="en-GB"/>
        </w:rPr>
      </w:pPr>
    </w:p>
    <w:p w:rsidR="00385E00" w:rsidRPr="00385E00" w:rsidRDefault="00385E00" w:rsidP="00385E00">
      <w:pPr>
        <w:suppressAutoHyphens/>
        <w:spacing w:after="60" w:line="240" w:lineRule="auto"/>
        <w:jc w:val="center"/>
        <w:rPr>
          <w:rFonts w:ascii="Garamond" w:eastAsia="Times New Roman" w:hAnsi="Garamond" w:cs="Times New Roman"/>
          <w:sz w:val="26"/>
          <w:szCs w:val="26"/>
          <w:lang w:val="en-GB" w:eastAsia="en-GB"/>
        </w:rPr>
      </w:pPr>
      <w:r w:rsidRPr="00385E00">
        <w:rPr>
          <w:rFonts w:ascii="Garamond" w:eastAsia="Times New Roman" w:hAnsi="Garamond" w:cs="Times New Roman"/>
          <w:sz w:val="26"/>
          <w:szCs w:val="26"/>
          <w:lang w:val="en-GB" w:eastAsia="en-GB"/>
        </w:rPr>
        <w:t>A  Research Paper presented by:</w:t>
      </w:r>
    </w:p>
    <w:p w:rsidR="00385E00" w:rsidRPr="00385E00" w:rsidRDefault="005A2D5B" w:rsidP="00385E00">
      <w:pPr>
        <w:suppressAutoHyphens/>
        <w:spacing w:before="200" w:after="60" w:line="240" w:lineRule="auto"/>
        <w:jc w:val="center"/>
        <w:rPr>
          <w:rFonts w:ascii="Garamond" w:eastAsia="Times New Roman" w:hAnsi="Garamond" w:cs="Times New Roman"/>
          <w:b/>
          <w:i/>
          <w:sz w:val="30"/>
          <w:szCs w:val="30"/>
          <w:lang w:val="es-ES" w:eastAsia="en-GB"/>
        </w:rPr>
      </w:pPr>
      <w:r>
        <w:rPr>
          <w:rFonts w:ascii="Garamond" w:eastAsia="Times New Roman" w:hAnsi="Garamond" w:cs="Times New Roman"/>
          <w:b/>
          <w:i/>
          <w:sz w:val="28"/>
          <w:szCs w:val="20"/>
          <w:lang w:val="en-GB" w:eastAsia="en-GB"/>
        </w:rPr>
        <w:t>Sacha Knox</w:t>
      </w:r>
    </w:p>
    <w:p w:rsidR="00385E00" w:rsidRPr="00385E00" w:rsidRDefault="00385E00" w:rsidP="00385E00">
      <w:pPr>
        <w:suppressAutoHyphens/>
        <w:spacing w:after="60" w:line="240" w:lineRule="auto"/>
        <w:jc w:val="center"/>
        <w:rPr>
          <w:rFonts w:ascii="Garamond" w:eastAsia="Times New Roman" w:hAnsi="Garamond" w:cs="Times New Roman"/>
          <w:sz w:val="28"/>
          <w:szCs w:val="24"/>
          <w:lang w:val="en-GB" w:eastAsia="en-GB"/>
        </w:rPr>
      </w:pPr>
      <w:r w:rsidRPr="00385E00">
        <w:rPr>
          <w:rFonts w:ascii="Garamond" w:eastAsia="Times New Roman" w:hAnsi="Garamond" w:cs="Times New Roman"/>
          <w:sz w:val="28"/>
          <w:szCs w:val="24"/>
          <w:lang w:val="en-GB" w:eastAsia="en-GB"/>
        </w:rPr>
        <w:t>(</w:t>
      </w:r>
      <w:r w:rsidR="005A2D5B">
        <w:rPr>
          <w:rFonts w:ascii="Garamond" w:eastAsia="Times New Roman" w:hAnsi="Garamond" w:cs="Times New Roman"/>
          <w:sz w:val="28"/>
          <w:szCs w:val="24"/>
          <w:lang w:val="en-GB" w:eastAsia="en-GB"/>
        </w:rPr>
        <w:t>South Africa</w:t>
      </w:r>
      <w:r w:rsidRPr="00385E00">
        <w:rPr>
          <w:rFonts w:ascii="Garamond" w:eastAsia="Times New Roman" w:hAnsi="Garamond" w:cs="Times New Roman"/>
          <w:sz w:val="28"/>
          <w:szCs w:val="24"/>
          <w:lang w:val="en-GB" w:eastAsia="en-GB"/>
        </w:rPr>
        <w:t>)</w:t>
      </w:r>
    </w:p>
    <w:p w:rsidR="00385E00" w:rsidRPr="00385E00" w:rsidRDefault="00385E00" w:rsidP="00385E00">
      <w:pPr>
        <w:suppressAutoHyphens/>
        <w:spacing w:before="500" w:after="60" w:line="240" w:lineRule="auto"/>
        <w:jc w:val="center"/>
        <w:rPr>
          <w:rFonts w:ascii="Garamond" w:eastAsia="Times New Roman" w:hAnsi="Garamond" w:cs="Times New Roman"/>
          <w:sz w:val="26"/>
          <w:szCs w:val="26"/>
          <w:lang w:val="en-GB" w:eastAsia="en-GB"/>
        </w:rPr>
      </w:pPr>
      <w:r w:rsidRPr="00385E00">
        <w:rPr>
          <w:rFonts w:ascii="Garamond" w:eastAsia="Times New Roman" w:hAnsi="Garamond" w:cs="Times New Roman"/>
          <w:sz w:val="26"/>
          <w:szCs w:val="26"/>
          <w:lang w:val="en-GB" w:eastAsia="en-GB"/>
        </w:rPr>
        <w:t xml:space="preserve">in partial </w:t>
      </w:r>
      <w:r w:rsidR="00266B50" w:rsidRPr="00385E00">
        <w:rPr>
          <w:rFonts w:ascii="Garamond" w:eastAsia="Times New Roman" w:hAnsi="Garamond" w:cs="Times New Roman"/>
          <w:sz w:val="26"/>
          <w:szCs w:val="26"/>
          <w:lang w:val="en-GB" w:eastAsia="en-GB"/>
        </w:rPr>
        <w:t>fulfilment</w:t>
      </w:r>
      <w:r w:rsidRPr="00385E00">
        <w:rPr>
          <w:rFonts w:ascii="Garamond" w:eastAsia="Times New Roman" w:hAnsi="Garamond" w:cs="Times New Roman"/>
          <w:sz w:val="26"/>
          <w:szCs w:val="26"/>
          <w:lang w:val="en-GB" w:eastAsia="en-GB"/>
        </w:rPr>
        <w:t xml:space="preserve"> of the requirements for obtaining the degree of</w:t>
      </w:r>
    </w:p>
    <w:p w:rsidR="00385E00" w:rsidRPr="00385E00" w:rsidRDefault="00385E00" w:rsidP="00385E00">
      <w:pPr>
        <w:suppressAutoHyphens/>
        <w:spacing w:after="60" w:line="240" w:lineRule="auto"/>
        <w:jc w:val="center"/>
        <w:rPr>
          <w:rFonts w:ascii="Garamond" w:eastAsia="Times New Roman" w:hAnsi="Garamond" w:cs="Times New Roman"/>
          <w:sz w:val="26"/>
          <w:szCs w:val="26"/>
          <w:lang w:val="en-GB" w:eastAsia="en-GB"/>
        </w:rPr>
      </w:pPr>
      <w:r w:rsidRPr="00385E00">
        <w:rPr>
          <w:rFonts w:ascii="Garamond" w:eastAsia="Times New Roman" w:hAnsi="Garamond" w:cs="Times New Roman"/>
          <w:sz w:val="26"/>
          <w:szCs w:val="26"/>
          <w:lang w:val="en-GB" w:eastAsia="en-GB"/>
        </w:rPr>
        <w:t>MASTERS OF ARTS IN DEVELOPMENT STUDIES</w:t>
      </w:r>
    </w:p>
    <w:p w:rsidR="00385E00" w:rsidRPr="00385E00" w:rsidRDefault="00385E00" w:rsidP="00385E00">
      <w:pPr>
        <w:suppressAutoHyphens/>
        <w:spacing w:before="200" w:after="60" w:line="240" w:lineRule="auto"/>
        <w:jc w:val="center"/>
        <w:rPr>
          <w:rFonts w:ascii="Garamond" w:eastAsia="Times New Roman" w:hAnsi="Garamond" w:cs="Times New Roman"/>
          <w:sz w:val="26"/>
          <w:szCs w:val="26"/>
          <w:lang w:val="en-GB" w:eastAsia="en-GB"/>
        </w:rPr>
      </w:pPr>
      <w:r w:rsidRPr="00385E00">
        <w:rPr>
          <w:rFonts w:ascii="Garamond" w:eastAsia="Times New Roman" w:hAnsi="Garamond" w:cs="Times New Roman"/>
          <w:sz w:val="26"/>
          <w:szCs w:val="26"/>
          <w:lang w:val="en-GB" w:eastAsia="en-GB"/>
        </w:rPr>
        <w:t>Specialization:</w:t>
      </w:r>
    </w:p>
    <w:p w:rsidR="00385E00" w:rsidRPr="00385E00" w:rsidRDefault="005A2D5B" w:rsidP="00385E00">
      <w:pPr>
        <w:suppressAutoHyphens/>
        <w:spacing w:after="60" w:line="240" w:lineRule="auto"/>
        <w:jc w:val="center"/>
        <w:rPr>
          <w:rFonts w:ascii="Garamond" w:eastAsia="Times New Roman" w:hAnsi="Garamond" w:cs="Times New Roman"/>
          <w:b/>
          <w:sz w:val="26"/>
          <w:szCs w:val="26"/>
          <w:lang w:val="en-GB" w:eastAsia="en-GB"/>
        </w:rPr>
      </w:pPr>
      <w:r>
        <w:rPr>
          <w:rFonts w:ascii="Garamond" w:eastAsia="Times New Roman" w:hAnsi="Garamond" w:cs="Times New Roman"/>
          <w:b/>
          <w:sz w:val="26"/>
          <w:szCs w:val="26"/>
          <w:lang w:val="en-GB" w:eastAsia="en-GB"/>
        </w:rPr>
        <w:t>Conflict, Reconstruction and Human Security</w:t>
      </w:r>
      <w:r w:rsidR="00385E00" w:rsidRPr="00385E00">
        <w:rPr>
          <w:rFonts w:ascii="Garamond" w:eastAsia="Times New Roman" w:hAnsi="Garamond" w:cs="Times New Roman"/>
          <w:b/>
          <w:sz w:val="26"/>
          <w:szCs w:val="26"/>
          <w:lang w:val="en-GB" w:eastAsia="en-GB"/>
        </w:rPr>
        <w:br/>
        <w:t>(</w:t>
      </w:r>
      <w:r>
        <w:rPr>
          <w:rFonts w:ascii="Garamond" w:eastAsia="Times New Roman" w:hAnsi="Garamond" w:cs="Times New Roman"/>
          <w:b/>
          <w:sz w:val="26"/>
          <w:szCs w:val="26"/>
          <w:lang w:val="en-GB" w:eastAsia="en-GB"/>
        </w:rPr>
        <w:t>CRS</w:t>
      </w:r>
      <w:r w:rsidR="00385E00" w:rsidRPr="00385E00">
        <w:rPr>
          <w:rFonts w:ascii="Garamond" w:eastAsia="Times New Roman" w:hAnsi="Garamond" w:cs="Times New Roman"/>
          <w:b/>
          <w:sz w:val="26"/>
          <w:szCs w:val="26"/>
          <w:lang w:val="en-GB" w:eastAsia="en-GB"/>
        </w:rPr>
        <w:t>)</w:t>
      </w:r>
    </w:p>
    <w:p w:rsidR="00385E00" w:rsidRPr="00385E00" w:rsidRDefault="00385E00" w:rsidP="00385E00">
      <w:pPr>
        <w:suppressAutoHyphens/>
        <w:spacing w:before="600" w:line="240" w:lineRule="auto"/>
        <w:jc w:val="center"/>
        <w:rPr>
          <w:rFonts w:ascii="Garamond" w:eastAsia="Times New Roman" w:hAnsi="Garamond" w:cs="Times New Roman"/>
          <w:sz w:val="26"/>
          <w:szCs w:val="26"/>
          <w:lang w:val="en-GB" w:eastAsia="en-GB"/>
        </w:rPr>
      </w:pPr>
      <w:r w:rsidRPr="00385E00">
        <w:rPr>
          <w:rFonts w:ascii="Garamond" w:eastAsia="Times New Roman" w:hAnsi="Garamond" w:cs="Times New Roman"/>
          <w:sz w:val="26"/>
          <w:szCs w:val="26"/>
          <w:lang w:val="en-GB" w:eastAsia="en-GB"/>
        </w:rPr>
        <w:t>Members of the examining committee:</w:t>
      </w:r>
    </w:p>
    <w:p w:rsidR="00385E00" w:rsidRPr="00385E00" w:rsidRDefault="00E04EAB" w:rsidP="00385E00">
      <w:pPr>
        <w:suppressAutoHyphens/>
        <w:spacing w:after="60" w:line="240" w:lineRule="auto"/>
        <w:jc w:val="center"/>
        <w:rPr>
          <w:rFonts w:ascii="Garamond" w:eastAsia="Times New Roman" w:hAnsi="Garamond" w:cs="Times New Roman"/>
          <w:sz w:val="26"/>
          <w:szCs w:val="26"/>
          <w:lang w:val="en-GB" w:eastAsia="en-GB"/>
        </w:rPr>
      </w:pPr>
      <w:r>
        <w:rPr>
          <w:rFonts w:ascii="Garamond" w:eastAsia="Times New Roman" w:hAnsi="Garamond" w:cs="Times New Roman"/>
          <w:sz w:val="26"/>
          <w:szCs w:val="26"/>
          <w:lang w:val="en-GB" w:eastAsia="en-GB"/>
        </w:rPr>
        <w:t>Dr. Helen Hintjens</w:t>
      </w:r>
      <w:r w:rsidR="00385E00" w:rsidRPr="00385E00">
        <w:rPr>
          <w:rFonts w:ascii="Garamond" w:eastAsia="Times New Roman" w:hAnsi="Garamond" w:cs="Times New Roman"/>
          <w:sz w:val="26"/>
          <w:szCs w:val="26"/>
          <w:lang w:val="en-GB" w:eastAsia="en-GB"/>
        </w:rPr>
        <w:t xml:space="preserve"> [Supervisor]</w:t>
      </w:r>
    </w:p>
    <w:p w:rsidR="00385E00" w:rsidRPr="00385E00" w:rsidRDefault="00385E00" w:rsidP="00385E00">
      <w:pPr>
        <w:suppressAutoHyphens/>
        <w:spacing w:after="60" w:line="240" w:lineRule="auto"/>
        <w:jc w:val="center"/>
        <w:rPr>
          <w:rFonts w:ascii="Garamond" w:eastAsia="Times New Roman" w:hAnsi="Garamond" w:cs="Times New Roman"/>
          <w:sz w:val="26"/>
          <w:szCs w:val="26"/>
          <w:lang w:val="en-GB" w:eastAsia="en-GB"/>
        </w:rPr>
      </w:pPr>
      <w:r w:rsidRPr="00385E00">
        <w:rPr>
          <w:rFonts w:ascii="Garamond" w:eastAsia="Times New Roman" w:hAnsi="Garamond" w:cs="Times New Roman"/>
          <w:sz w:val="26"/>
          <w:szCs w:val="26"/>
          <w:lang w:val="en-GB" w:eastAsia="en-GB"/>
        </w:rPr>
        <w:t>Dr</w:t>
      </w:r>
      <w:r w:rsidR="00E04EAB">
        <w:rPr>
          <w:rFonts w:ascii="Garamond" w:eastAsia="Times New Roman" w:hAnsi="Garamond" w:cs="Times New Roman"/>
          <w:sz w:val="26"/>
          <w:szCs w:val="26"/>
          <w:lang w:val="en-GB" w:eastAsia="en-GB"/>
        </w:rPr>
        <w:t>. Silke Heumann</w:t>
      </w:r>
      <w:r w:rsidRPr="00385E00">
        <w:rPr>
          <w:rFonts w:ascii="Garamond" w:eastAsia="Times New Roman" w:hAnsi="Garamond" w:cs="Times New Roman"/>
          <w:sz w:val="26"/>
          <w:szCs w:val="26"/>
          <w:lang w:val="en-GB" w:eastAsia="en-GB"/>
        </w:rPr>
        <w:t xml:space="preserve"> [Reader]</w:t>
      </w:r>
    </w:p>
    <w:p w:rsidR="00801CF8" w:rsidRDefault="00801CF8" w:rsidP="00801CF8">
      <w:pPr>
        <w:jc w:val="center"/>
        <w:rPr>
          <w:rFonts w:ascii="Garamond" w:hAnsi="Garamond"/>
          <w:sz w:val="28"/>
          <w:szCs w:val="28"/>
        </w:rPr>
      </w:pPr>
    </w:p>
    <w:p w:rsidR="00385E00" w:rsidRDefault="00385E00" w:rsidP="00801CF8">
      <w:pPr>
        <w:jc w:val="center"/>
        <w:rPr>
          <w:rFonts w:ascii="Garamond" w:hAnsi="Garamond"/>
          <w:sz w:val="28"/>
          <w:szCs w:val="28"/>
        </w:rPr>
      </w:pPr>
    </w:p>
    <w:p w:rsidR="00385E00" w:rsidRDefault="00385E00" w:rsidP="00801CF8">
      <w:pPr>
        <w:jc w:val="center"/>
        <w:rPr>
          <w:rFonts w:ascii="Garamond" w:hAnsi="Garamond"/>
          <w:sz w:val="28"/>
          <w:szCs w:val="28"/>
        </w:rPr>
      </w:pPr>
    </w:p>
    <w:p w:rsidR="00385E00" w:rsidRDefault="00385E00" w:rsidP="00801CF8">
      <w:pPr>
        <w:jc w:val="center"/>
        <w:rPr>
          <w:rFonts w:ascii="Garamond" w:hAnsi="Garamond"/>
          <w:sz w:val="28"/>
          <w:szCs w:val="28"/>
        </w:rPr>
      </w:pPr>
    </w:p>
    <w:p w:rsidR="00385E00" w:rsidRPr="00385E00" w:rsidRDefault="00385E00" w:rsidP="00385E00">
      <w:pPr>
        <w:suppressAutoHyphens/>
        <w:spacing w:before="800" w:after="60" w:line="240" w:lineRule="auto"/>
        <w:jc w:val="center"/>
        <w:rPr>
          <w:rFonts w:ascii="Garamond" w:eastAsia="Times New Roman" w:hAnsi="Garamond" w:cs="Times New Roman"/>
          <w:sz w:val="26"/>
          <w:szCs w:val="26"/>
          <w:lang w:val="en-GB" w:eastAsia="en-GB"/>
        </w:rPr>
      </w:pPr>
      <w:r w:rsidRPr="00385E00">
        <w:rPr>
          <w:rFonts w:ascii="Garamond" w:eastAsia="Times New Roman" w:hAnsi="Garamond" w:cs="Times New Roman"/>
          <w:sz w:val="26"/>
          <w:szCs w:val="26"/>
          <w:lang w:val="en-GB" w:eastAsia="en-GB"/>
        </w:rPr>
        <w:t>The Hague, The Netherlands</w:t>
      </w:r>
      <w:r w:rsidRPr="00385E00">
        <w:rPr>
          <w:rFonts w:ascii="Garamond" w:eastAsia="Times New Roman" w:hAnsi="Garamond" w:cs="Times New Roman"/>
          <w:sz w:val="26"/>
          <w:szCs w:val="26"/>
          <w:lang w:val="en-GB" w:eastAsia="en-GB"/>
        </w:rPr>
        <w:br/>
      </w:r>
      <w:r w:rsidR="00266B50">
        <w:rPr>
          <w:rFonts w:ascii="Garamond" w:eastAsia="Times New Roman" w:hAnsi="Garamond" w:cs="Times New Roman"/>
          <w:sz w:val="26"/>
          <w:szCs w:val="26"/>
          <w:lang w:val="en-GB" w:eastAsia="en-GB"/>
        </w:rPr>
        <w:t>December</w:t>
      </w:r>
      <w:r w:rsidRPr="00385E00">
        <w:rPr>
          <w:rFonts w:ascii="Garamond" w:eastAsia="Times New Roman" w:hAnsi="Garamond" w:cs="Times New Roman"/>
          <w:sz w:val="26"/>
          <w:szCs w:val="26"/>
          <w:lang w:val="en-GB" w:eastAsia="en-GB"/>
        </w:rPr>
        <w:t xml:space="preserve">, </w:t>
      </w:r>
      <w:r w:rsidR="00266B50">
        <w:rPr>
          <w:rFonts w:ascii="Garamond" w:eastAsia="Times New Roman" w:hAnsi="Garamond" w:cs="Times New Roman"/>
          <w:sz w:val="26"/>
          <w:szCs w:val="26"/>
          <w:lang w:val="en-GB" w:eastAsia="en-GB"/>
        </w:rPr>
        <w:t>2012</w:t>
      </w:r>
    </w:p>
    <w:p w:rsidR="00385E00" w:rsidRDefault="00385E00" w:rsidP="00801CF8">
      <w:pPr>
        <w:jc w:val="center"/>
        <w:rPr>
          <w:rFonts w:ascii="Garamond" w:hAnsi="Garamond"/>
          <w:sz w:val="28"/>
          <w:szCs w:val="28"/>
        </w:rPr>
      </w:pPr>
    </w:p>
    <w:p w:rsidR="00385E00" w:rsidRDefault="00385E00" w:rsidP="00801CF8">
      <w:pPr>
        <w:jc w:val="center"/>
        <w:rPr>
          <w:rFonts w:ascii="Garamond" w:hAnsi="Garamond"/>
          <w:sz w:val="28"/>
          <w:szCs w:val="28"/>
        </w:rPr>
      </w:pPr>
    </w:p>
    <w:p w:rsidR="00385E00" w:rsidRDefault="00385E00" w:rsidP="00385E00">
      <w:pPr>
        <w:jc w:val="center"/>
        <w:rPr>
          <w:rFonts w:ascii="Garamond" w:hAnsi="Garamond"/>
          <w:sz w:val="28"/>
          <w:szCs w:val="28"/>
        </w:rPr>
      </w:pPr>
    </w:p>
    <w:p w:rsidR="00385E00" w:rsidRDefault="00385E00" w:rsidP="00385E00">
      <w:pPr>
        <w:jc w:val="center"/>
        <w:rPr>
          <w:rFonts w:ascii="Garamond" w:hAnsi="Garamond"/>
          <w:sz w:val="28"/>
          <w:szCs w:val="28"/>
        </w:rPr>
      </w:pPr>
    </w:p>
    <w:p w:rsidR="00385E00" w:rsidRDefault="00385E00" w:rsidP="00385E00">
      <w:pPr>
        <w:jc w:val="center"/>
        <w:rPr>
          <w:rFonts w:ascii="Garamond" w:hAnsi="Garamond"/>
          <w:sz w:val="28"/>
          <w:szCs w:val="28"/>
        </w:rPr>
      </w:pPr>
    </w:p>
    <w:p w:rsidR="00385E00" w:rsidRDefault="00385E00" w:rsidP="00385E00">
      <w:pPr>
        <w:jc w:val="center"/>
        <w:rPr>
          <w:rFonts w:ascii="Garamond" w:hAnsi="Garamond"/>
          <w:sz w:val="28"/>
          <w:szCs w:val="28"/>
        </w:rPr>
      </w:pPr>
    </w:p>
    <w:p w:rsidR="00385E00" w:rsidRDefault="00385E00" w:rsidP="00385E00">
      <w:pPr>
        <w:jc w:val="center"/>
        <w:rPr>
          <w:rFonts w:ascii="Garamond" w:hAnsi="Garamond"/>
          <w:sz w:val="28"/>
          <w:szCs w:val="28"/>
        </w:rPr>
      </w:pPr>
    </w:p>
    <w:p w:rsidR="00385E00" w:rsidRDefault="00385E00" w:rsidP="00385E00">
      <w:pPr>
        <w:jc w:val="center"/>
        <w:rPr>
          <w:rFonts w:ascii="Garamond" w:hAnsi="Garamond"/>
          <w:sz w:val="28"/>
          <w:szCs w:val="28"/>
        </w:rPr>
      </w:pPr>
    </w:p>
    <w:p w:rsidR="00385E00" w:rsidRDefault="00385E00" w:rsidP="00385E00">
      <w:pPr>
        <w:jc w:val="center"/>
        <w:rPr>
          <w:rFonts w:ascii="Garamond" w:hAnsi="Garamond"/>
          <w:sz w:val="28"/>
          <w:szCs w:val="28"/>
        </w:rPr>
      </w:pPr>
    </w:p>
    <w:p w:rsidR="00385E00" w:rsidRDefault="00385E00" w:rsidP="00385E00">
      <w:pPr>
        <w:jc w:val="center"/>
        <w:rPr>
          <w:rFonts w:ascii="Garamond" w:hAnsi="Garamond"/>
          <w:sz w:val="28"/>
          <w:szCs w:val="28"/>
        </w:rPr>
      </w:pPr>
    </w:p>
    <w:p w:rsidR="00385E00" w:rsidRDefault="00385E00" w:rsidP="00385E00">
      <w:pPr>
        <w:jc w:val="center"/>
        <w:rPr>
          <w:rFonts w:ascii="Garamond" w:hAnsi="Garamond"/>
          <w:sz w:val="28"/>
          <w:szCs w:val="28"/>
        </w:rPr>
      </w:pPr>
    </w:p>
    <w:p w:rsidR="00801CF8" w:rsidRDefault="00801CF8" w:rsidP="00385E00">
      <w:pPr>
        <w:jc w:val="center"/>
        <w:rPr>
          <w:rFonts w:ascii="Garamond" w:hAnsi="Garamond"/>
          <w:sz w:val="28"/>
          <w:szCs w:val="28"/>
        </w:rPr>
      </w:pPr>
      <w:r>
        <w:rPr>
          <w:noProof/>
          <w:lang w:eastAsia="en-ZA"/>
        </w:rPr>
        <mc:AlternateContent>
          <mc:Choice Requires="wps">
            <w:drawing>
              <wp:anchor distT="0" distB="0" distL="114300" distR="114300" simplePos="0" relativeHeight="251659264" behindDoc="0" locked="0" layoutInCell="1" allowOverlap="1" wp14:anchorId="3B0960DE" wp14:editId="71D5FA37">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6B50" w:rsidRDefault="00266B5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ANxPXIJAIAAFUEAAAOAAAAAAAAAAAAAAAAAC4CAABkcnMvZTJvRG9jLnhtbFBLAQIt&#10;ABQABgAIAAAAIQBLiSbN1gAAAAUBAAAPAAAAAAAAAAAAAAAAAH4EAABkcnMvZG93bnJldi54bWxQ&#10;SwUGAAAAAAQABADzAAAAgQUAAAAA&#10;" filled="f" stroked="f">
                <v:textbox style="mso-fit-shape-to-text:t">
                  <w:txbxContent>
                    <w:p w:rsidR="00266B50" w:rsidRDefault="00266B50"/>
                  </w:txbxContent>
                </v:textbox>
              </v:shape>
            </w:pict>
          </mc:Fallback>
        </mc:AlternateContent>
      </w:r>
      <w:r>
        <w:rPr>
          <w:rFonts w:ascii="Garamond" w:hAnsi="Garamond"/>
          <w:sz w:val="28"/>
          <w:szCs w:val="28"/>
        </w:rPr>
        <w:t xml:space="preserve">This paper is dedicated to </w:t>
      </w:r>
      <w:r w:rsidR="00AE4E5B">
        <w:rPr>
          <w:rFonts w:ascii="Garamond" w:hAnsi="Garamond"/>
          <w:sz w:val="28"/>
          <w:szCs w:val="28"/>
        </w:rPr>
        <w:t>my father and my mother.</w:t>
      </w:r>
    </w:p>
    <w:p w:rsidR="00AE4E5B" w:rsidRPr="00AE4E5B" w:rsidRDefault="00AE4E5B" w:rsidP="00385E00">
      <w:pPr>
        <w:jc w:val="center"/>
        <w:rPr>
          <w:rFonts w:ascii="Garamond" w:hAnsi="Garamond"/>
          <w:sz w:val="28"/>
          <w:szCs w:val="28"/>
        </w:rPr>
      </w:pPr>
      <w:r>
        <w:rPr>
          <w:rFonts w:ascii="Garamond" w:hAnsi="Garamond"/>
          <w:sz w:val="28"/>
          <w:szCs w:val="28"/>
        </w:rPr>
        <w:t xml:space="preserve">The ultimate constructed duality </w:t>
      </w:r>
      <w:r w:rsidRPr="00AE4E5B">
        <w:rPr>
          <w:rFonts w:ascii="Garamond" w:hAnsi="Garamond"/>
          <w:sz w:val="28"/>
          <w:szCs w:val="28"/>
        </w:rPr>
        <w:t>and yet,</w:t>
      </w:r>
      <w:r>
        <w:rPr>
          <w:rFonts w:ascii="Garamond" w:hAnsi="Garamond"/>
          <w:sz w:val="28"/>
          <w:szCs w:val="28"/>
        </w:rPr>
        <w:t xml:space="preserve"> somehow </w:t>
      </w:r>
      <w:r w:rsidRPr="00AE4E5B">
        <w:rPr>
          <w:rFonts w:ascii="Garamond" w:hAnsi="Garamond"/>
          <w:i/>
          <w:sz w:val="28"/>
          <w:szCs w:val="28"/>
        </w:rPr>
        <w:t>en fuite</w:t>
      </w:r>
      <w:r>
        <w:rPr>
          <w:rFonts w:ascii="Garamond" w:hAnsi="Garamond"/>
          <w:i/>
          <w:sz w:val="28"/>
          <w:szCs w:val="28"/>
        </w:rPr>
        <w:t xml:space="preserve"> </w:t>
      </w:r>
      <w:r w:rsidR="003E331B">
        <w:rPr>
          <w:rFonts w:ascii="Garamond" w:hAnsi="Garamond"/>
          <w:sz w:val="28"/>
          <w:szCs w:val="28"/>
        </w:rPr>
        <w:t>through</w:t>
      </w:r>
      <w:r>
        <w:rPr>
          <w:rFonts w:ascii="Garamond" w:hAnsi="Garamond"/>
          <w:sz w:val="28"/>
          <w:szCs w:val="28"/>
        </w:rPr>
        <w:t xml:space="preserve"> me</w:t>
      </w: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801CF8" w:rsidRDefault="00801CF8" w:rsidP="00801CF8">
      <w:pPr>
        <w:jc w:val="center"/>
        <w:rPr>
          <w:rFonts w:ascii="Garamond" w:hAnsi="Garamond"/>
          <w:sz w:val="28"/>
          <w:szCs w:val="28"/>
        </w:rPr>
      </w:pPr>
    </w:p>
    <w:p w:rsidR="00A76A71" w:rsidRDefault="00A76A71" w:rsidP="00801CF8">
      <w:pPr>
        <w:jc w:val="center"/>
        <w:rPr>
          <w:rFonts w:ascii="Garamond" w:hAnsi="Garamond"/>
          <w:sz w:val="28"/>
          <w:szCs w:val="28"/>
          <w:u w:val="single"/>
        </w:rPr>
      </w:pPr>
    </w:p>
    <w:p w:rsidR="00A76A71" w:rsidRDefault="00A76A71" w:rsidP="00801CF8">
      <w:pPr>
        <w:jc w:val="center"/>
        <w:rPr>
          <w:rFonts w:ascii="Garamond" w:hAnsi="Garamond"/>
          <w:sz w:val="28"/>
          <w:szCs w:val="28"/>
          <w:u w:val="single"/>
        </w:rPr>
      </w:pPr>
    </w:p>
    <w:p w:rsidR="00801CF8" w:rsidRPr="00D01DCF" w:rsidRDefault="00733AAC" w:rsidP="00801CF8">
      <w:pPr>
        <w:jc w:val="center"/>
        <w:rPr>
          <w:rFonts w:ascii="Garamond" w:hAnsi="Garamond"/>
          <w:b/>
          <w:sz w:val="32"/>
          <w:szCs w:val="32"/>
        </w:rPr>
      </w:pPr>
      <w:r>
        <w:rPr>
          <w:rFonts w:ascii="Garamond" w:hAnsi="Garamond"/>
          <w:b/>
          <w:sz w:val="32"/>
          <w:szCs w:val="32"/>
        </w:rPr>
        <w:t>Acknowledgments</w:t>
      </w:r>
      <w:r w:rsidR="00801CF8" w:rsidRPr="00D01DCF">
        <w:rPr>
          <w:rFonts w:ascii="Garamond" w:hAnsi="Garamond"/>
          <w:b/>
          <w:sz w:val="32"/>
          <w:szCs w:val="32"/>
        </w:rPr>
        <w:t xml:space="preserve"> </w:t>
      </w:r>
    </w:p>
    <w:p w:rsidR="00801CF8" w:rsidRDefault="00801CF8" w:rsidP="00801CF8">
      <w:pPr>
        <w:jc w:val="center"/>
        <w:rPr>
          <w:rFonts w:ascii="Garamond" w:hAnsi="Garamond"/>
          <w:sz w:val="28"/>
          <w:szCs w:val="28"/>
          <w:u w:val="single"/>
        </w:rPr>
      </w:pPr>
    </w:p>
    <w:p w:rsidR="00801CF8" w:rsidRPr="00801CF8" w:rsidRDefault="00801CF8" w:rsidP="00801CF8">
      <w:pPr>
        <w:rPr>
          <w:rFonts w:ascii="Garamond" w:hAnsi="Garamond"/>
          <w:sz w:val="28"/>
          <w:szCs w:val="28"/>
        </w:rPr>
      </w:pPr>
      <w:r w:rsidRPr="00801CF8">
        <w:rPr>
          <w:rFonts w:ascii="Garamond" w:hAnsi="Garamond"/>
          <w:sz w:val="28"/>
          <w:szCs w:val="28"/>
        </w:rPr>
        <w:t xml:space="preserve">I would like to thank </w:t>
      </w:r>
      <w:r w:rsidR="00EC3A52">
        <w:rPr>
          <w:rFonts w:ascii="Garamond" w:hAnsi="Garamond"/>
          <w:sz w:val="28"/>
          <w:szCs w:val="28"/>
        </w:rPr>
        <w:t xml:space="preserve">Dr. </w:t>
      </w:r>
      <w:r w:rsidRPr="00801CF8">
        <w:rPr>
          <w:rFonts w:ascii="Garamond" w:hAnsi="Garamond"/>
          <w:sz w:val="28"/>
          <w:szCs w:val="28"/>
        </w:rPr>
        <w:t xml:space="preserve">Helen Hintjens, </w:t>
      </w:r>
      <w:r w:rsidR="00EC3A52">
        <w:rPr>
          <w:rFonts w:ascii="Garamond" w:hAnsi="Garamond"/>
          <w:sz w:val="28"/>
          <w:szCs w:val="28"/>
        </w:rPr>
        <w:t xml:space="preserve">Dr. </w:t>
      </w:r>
      <w:r w:rsidRPr="00801CF8">
        <w:rPr>
          <w:rFonts w:ascii="Garamond" w:hAnsi="Garamond"/>
          <w:sz w:val="28"/>
          <w:szCs w:val="28"/>
        </w:rPr>
        <w:t xml:space="preserve">Dubravka Zarkov and </w:t>
      </w:r>
      <w:r w:rsidR="00EC3A52">
        <w:rPr>
          <w:rFonts w:ascii="Garamond" w:hAnsi="Garamond"/>
          <w:sz w:val="28"/>
          <w:szCs w:val="28"/>
        </w:rPr>
        <w:t xml:space="preserve">Dr. </w:t>
      </w:r>
      <w:r w:rsidRPr="00801CF8">
        <w:rPr>
          <w:rFonts w:ascii="Garamond" w:hAnsi="Garamond"/>
          <w:sz w:val="28"/>
          <w:szCs w:val="28"/>
        </w:rPr>
        <w:t>Shyamika Jayasund</w:t>
      </w:r>
      <w:r>
        <w:rPr>
          <w:rFonts w:ascii="Garamond" w:hAnsi="Garamond"/>
          <w:sz w:val="28"/>
          <w:szCs w:val="28"/>
        </w:rPr>
        <w:t>a</w:t>
      </w:r>
      <w:r w:rsidRPr="00801CF8">
        <w:rPr>
          <w:rFonts w:ascii="Garamond" w:hAnsi="Garamond"/>
          <w:sz w:val="28"/>
          <w:szCs w:val="28"/>
        </w:rPr>
        <w:t xml:space="preserve">ra for being </w:t>
      </w:r>
      <w:r>
        <w:rPr>
          <w:rFonts w:ascii="Garamond" w:hAnsi="Garamond"/>
          <w:sz w:val="28"/>
          <w:szCs w:val="28"/>
        </w:rPr>
        <w:t xml:space="preserve">such </w:t>
      </w:r>
      <w:r w:rsidRPr="00801CF8">
        <w:rPr>
          <w:rFonts w:ascii="Garamond" w:hAnsi="Garamond"/>
          <w:sz w:val="28"/>
          <w:szCs w:val="28"/>
        </w:rPr>
        <w:t>an inspirational trio</w:t>
      </w:r>
      <w:r w:rsidR="00EC3A52">
        <w:rPr>
          <w:rFonts w:ascii="Garamond" w:hAnsi="Garamond"/>
          <w:sz w:val="28"/>
          <w:szCs w:val="28"/>
        </w:rPr>
        <w:t>, and Dr. Silke Heumann for her input.</w:t>
      </w:r>
    </w:p>
    <w:p w:rsidR="00801CF8" w:rsidRDefault="00104CC2" w:rsidP="00801CF8">
      <w:pPr>
        <w:rPr>
          <w:rFonts w:ascii="Garamond" w:hAnsi="Garamond"/>
          <w:sz w:val="28"/>
          <w:szCs w:val="28"/>
        </w:rPr>
      </w:pPr>
      <w:r>
        <w:rPr>
          <w:rFonts w:ascii="Garamond" w:hAnsi="Garamond"/>
          <w:sz w:val="28"/>
          <w:szCs w:val="28"/>
        </w:rPr>
        <w:t xml:space="preserve">I would also like to thank all of the practitioners who </w:t>
      </w:r>
      <w:r w:rsidR="00A76A71">
        <w:rPr>
          <w:rFonts w:ascii="Garamond" w:hAnsi="Garamond"/>
          <w:sz w:val="28"/>
          <w:szCs w:val="28"/>
        </w:rPr>
        <w:t>g</w:t>
      </w:r>
      <w:r>
        <w:rPr>
          <w:rFonts w:ascii="Garamond" w:hAnsi="Garamond"/>
          <w:sz w:val="28"/>
          <w:szCs w:val="28"/>
        </w:rPr>
        <w:t>ave</w:t>
      </w:r>
      <w:r w:rsidR="00A76A71">
        <w:rPr>
          <w:rFonts w:ascii="Garamond" w:hAnsi="Garamond"/>
          <w:sz w:val="28"/>
          <w:szCs w:val="28"/>
        </w:rPr>
        <w:t xml:space="preserve"> so generously: </w:t>
      </w:r>
      <w:r w:rsidR="00801CF8" w:rsidRPr="00801CF8">
        <w:rPr>
          <w:rFonts w:ascii="Garamond" w:hAnsi="Garamond"/>
          <w:sz w:val="28"/>
          <w:szCs w:val="28"/>
        </w:rPr>
        <w:t xml:space="preserve"> </w:t>
      </w:r>
      <w:r w:rsidR="00A76A71">
        <w:rPr>
          <w:rFonts w:ascii="Garamond" w:hAnsi="Garamond"/>
          <w:sz w:val="28"/>
          <w:szCs w:val="28"/>
        </w:rPr>
        <w:t xml:space="preserve">Mamela Nyamza, James Webb, Francis Burger, </w:t>
      </w:r>
      <w:r>
        <w:rPr>
          <w:rFonts w:ascii="Garamond" w:hAnsi="Garamond"/>
          <w:sz w:val="28"/>
          <w:szCs w:val="28"/>
        </w:rPr>
        <w:t xml:space="preserve">Josh Ginsburg, </w:t>
      </w:r>
      <w:r w:rsidR="00A76A71">
        <w:rPr>
          <w:rFonts w:ascii="Garamond" w:hAnsi="Garamond"/>
          <w:sz w:val="28"/>
          <w:szCs w:val="28"/>
        </w:rPr>
        <w:t>Igshaan Adams</w:t>
      </w:r>
      <w:r>
        <w:rPr>
          <w:rFonts w:ascii="Garamond" w:hAnsi="Garamond"/>
          <w:sz w:val="28"/>
          <w:szCs w:val="28"/>
        </w:rPr>
        <w:t>, Renee Holleman</w:t>
      </w:r>
      <w:r w:rsidR="00A76A71">
        <w:rPr>
          <w:rFonts w:ascii="Garamond" w:hAnsi="Garamond"/>
          <w:sz w:val="28"/>
          <w:szCs w:val="28"/>
        </w:rPr>
        <w:t xml:space="preserve"> and Clare Butcher. </w:t>
      </w:r>
    </w:p>
    <w:p w:rsidR="00A76A71" w:rsidRDefault="00104CC2" w:rsidP="00801CF8">
      <w:pPr>
        <w:rPr>
          <w:rFonts w:ascii="Garamond" w:hAnsi="Garamond"/>
          <w:sz w:val="28"/>
          <w:szCs w:val="28"/>
        </w:rPr>
      </w:pPr>
      <w:r>
        <w:rPr>
          <w:rFonts w:ascii="Garamond" w:hAnsi="Garamond"/>
          <w:sz w:val="28"/>
          <w:szCs w:val="28"/>
        </w:rPr>
        <w:t>Finally, t</w:t>
      </w:r>
      <w:r w:rsidR="00A76A71">
        <w:rPr>
          <w:rFonts w:ascii="Garamond" w:hAnsi="Garamond"/>
          <w:sz w:val="28"/>
          <w:szCs w:val="28"/>
        </w:rPr>
        <w:t xml:space="preserve">hank you to </w:t>
      </w:r>
      <w:r w:rsidR="00A76A71" w:rsidRPr="00A76A71">
        <w:rPr>
          <w:rFonts w:ascii="Garamond" w:hAnsi="Garamond"/>
          <w:sz w:val="28"/>
          <w:szCs w:val="28"/>
        </w:rPr>
        <w:t xml:space="preserve">Amber Knox for </w:t>
      </w:r>
      <w:r>
        <w:rPr>
          <w:rFonts w:ascii="Garamond" w:hAnsi="Garamond"/>
          <w:sz w:val="28"/>
          <w:szCs w:val="28"/>
        </w:rPr>
        <w:t xml:space="preserve">being the biggest little sister, and to </w:t>
      </w:r>
      <w:r w:rsidR="00A76A71">
        <w:rPr>
          <w:rFonts w:ascii="Garamond" w:hAnsi="Garamond"/>
          <w:sz w:val="28"/>
          <w:szCs w:val="28"/>
        </w:rPr>
        <w:t>Grimes, for keeping me company through most of it</w:t>
      </w:r>
      <w:r>
        <w:rPr>
          <w:rFonts w:ascii="Garamond" w:hAnsi="Garamond"/>
          <w:sz w:val="28"/>
          <w:szCs w:val="28"/>
        </w:rPr>
        <w:t xml:space="preserve"> all</w:t>
      </w:r>
      <w:r w:rsidR="00A76A71">
        <w:rPr>
          <w:rFonts w:ascii="Garamond" w:hAnsi="Garamond"/>
          <w:sz w:val="28"/>
          <w:szCs w:val="28"/>
        </w:rPr>
        <w:t>.</w:t>
      </w: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DA6B6E" w:rsidRDefault="00DA6B6E"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sdt>
      <w:sdtPr>
        <w:id w:val="-636958541"/>
        <w:docPartObj>
          <w:docPartGallery w:val="Table of Contents"/>
          <w:docPartUnique/>
        </w:docPartObj>
      </w:sdtPr>
      <w:sdtEndPr>
        <w:rPr>
          <w:rFonts w:ascii="Garamond" w:eastAsiaTheme="minorHAnsi" w:hAnsi="Garamond" w:cstheme="minorBidi"/>
          <w:noProof/>
          <w:color w:val="auto"/>
          <w:lang w:val="en-ZA" w:eastAsia="en-US"/>
        </w:rPr>
      </w:sdtEndPr>
      <w:sdtContent>
        <w:p w:rsidR="0083470D" w:rsidRPr="0090113B" w:rsidRDefault="0083470D">
          <w:pPr>
            <w:pStyle w:val="TOCHeading"/>
            <w:rPr>
              <w:rFonts w:ascii="Garamond" w:hAnsi="Garamond"/>
              <w:color w:val="auto"/>
              <w:sz w:val="32"/>
              <w:szCs w:val="32"/>
            </w:rPr>
          </w:pPr>
          <w:r w:rsidRPr="0090113B">
            <w:rPr>
              <w:rFonts w:ascii="Garamond" w:hAnsi="Garamond"/>
              <w:color w:val="auto"/>
              <w:sz w:val="32"/>
              <w:szCs w:val="32"/>
            </w:rPr>
            <w:t>Table of Contents</w:t>
          </w:r>
        </w:p>
        <w:p w:rsidR="00211CAD" w:rsidRPr="00211CAD" w:rsidRDefault="00211CAD" w:rsidP="00211CAD">
          <w:pPr>
            <w:rPr>
              <w:lang w:val="en-US" w:eastAsia="ja-JP"/>
            </w:rPr>
          </w:pPr>
        </w:p>
        <w:p w:rsidR="005D3007" w:rsidRPr="0090113B" w:rsidRDefault="0083470D">
          <w:pPr>
            <w:pStyle w:val="TOC1"/>
            <w:tabs>
              <w:tab w:val="right" w:leader="dot" w:pos="9016"/>
            </w:tabs>
            <w:rPr>
              <w:rFonts w:ascii="Garamond" w:eastAsiaTheme="minorEastAsia" w:hAnsi="Garamond"/>
              <w:noProof/>
              <w:sz w:val="28"/>
              <w:szCs w:val="28"/>
              <w:lang w:eastAsia="en-ZA"/>
            </w:rPr>
          </w:pPr>
          <w:r w:rsidRPr="0090113B">
            <w:rPr>
              <w:rFonts w:ascii="Garamond" w:hAnsi="Garamond"/>
              <w:sz w:val="28"/>
              <w:szCs w:val="28"/>
            </w:rPr>
            <w:fldChar w:fldCharType="begin"/>
          </w:r>
          <w:r w:rsidRPr="0090113B">
            <w:rPr>
              <w:rFonts w:ascii="Garamond" w:hAnsi="Garamond"/>
              <w:sz w:val="28"/>
              <w:szCs w:val="28"/>
            </w:rPr>
            <w:instrText xml:space="preserve"> TOC \o "1-3" \h \z \u </w:instrText>
          </w:r>
          <w:r w:rsidRPr="0090113B">
            <w:rPr>
              <w:rFonts w:ascii="Garamond" w:hAnsi="Garamond"/>
              <w:sz w:val="28"/>
              <w:szCs w:val="28"/>
            </w:rPr>
            <w:fldChar w:fldCharType="separate"/>
          </w:r>
          <w:hyperlink w:anchor="_Toc343854800" w:history="1">
            <w:r w:rsidR="005D3007" w:rsidRPr="0090113B">
              <w:rPr>
                <w:rStyle w:val="Hyperlink"/>
                <w:rFonts w:ascii="Garamond" w:hAnsi="Garamond"/>
                <w:noProof/>
                <w:sz w:val="28"/>
                <w:szCs w:val="28"/>
              </w:rPr>
              <w:t>aside</w:t>
            </w:r>
            <w:r w:rsidR="005D3007" w:rsidRPr="0090113B">
              <w:rPr>
                <w:rFonts w:ascii="Garamond" w:hAnsi="Garamond"/>
                <w:noProof/>
                <w:webHidden/>
                <w:sz w:val="28"/>
                <w:szCs w:val="28"/>
              </w:rPr>
              <w:tab/>
            </w:r>
            <w:r w:rsidR="005D3007" w:rsidRPr="0090113B">
              <w:rPr>
                <w:rFonts w:ascii="Garamond" w:hAnsi="Garamond"/>
                <w:noProof/>
                <w:webHidden/>
                <w:sz w:val="28"/>
                <w:szCs w:val="28"/>
              </w:rPr>
              <w:fldChar w:fldCharType="begin"/>
            </w:r>
            <w:r w:rsidR="005D3007" w:rsidRPr="0090113B">
              <w:rPr>
                <w:rFonts w:ascii="Garamond" w:hAnsi="Garamond"/>
                <w:noProof/>
                <w:webHidden/>
                <w:sz w:val="28"/>
                <w:szCs w:val="28"/>
              </w:rPr>
              <w:instrText xml:space="preserve"> PAGEREF _Toc343854800 \h </w:instrText>
            </w:r>
            <w:r w:rsidR="005D3007" w:rsidRPr="0090113B">
              <w:rPr>
                <w:rFonts w:ascii="Garamond" w:hAnsi="Garamond"/>
                <w:noProof/>
                <w:webHidden/>
                <w:sz w:val="28"/>
                <w:szCs w:val="28"/>
              </w:rPr>
            </w:r>
            <w:r w:rsidR="005D3007" w:rsidRPr="0090113B">
              <w:rPr>
                <w:rFonts w:ascii="Garamond" w:hAnsi="Garamond"/>
                <w:noProof/>
                <w:webHidden/>
                <w:sz w:val="28"/>
                <w:szCs w:val="28"/>
              </w:rPr>
              <w:fldChar w:fldCharType="separate"/>
            </w:r>
            <w:r w:rsidR="006604EC">
              <w:rPr>
                <w:rFonts w:ascii="Garamond" w:hAnsi="Garamond"/>
                <w:noProof/>
                <w:webHidden/>
                <w:sz w:val="28"/>
                <w:szCs w:val="28"/>
              </w:rPr>
              <w:t>6</w:t>
            </w:r>
            <w:r w:rsidR="005D3007" w:rsidRPr="0090113B">
              <w:rPr>
                <w:rFonts w:ascii="Garamond" w:hAnsi="Garamond"/>
                <w:noProof/>
                <w:webHidden/>
                <w:sz w:val="28"/>
                <w:szCs w:val="28"/>
              </w:rPr>
              <w:fldChar w:fldCharType="end"/>
            </w:r>
          </w:hyperlink>
        </w:p>
        <w:p w:rsidR="005D3007" w:rsidRPr="0090113B" w:rsidRDefault="005D3007">
          <w:pPr>
            <w:pStyle w:val="TOC1"/>
            <w:tabs>
              <w:tab w:val="right" w:leader="dot" w:pos="9016"/>
            </w:tabs>
            <w:rPr>
              <w:rFonts w:ascii="Garamond" w:eastAsiaTheme="minorEastAsia" w:hAnsi="Garamond"/>
              <w:noProof/>
              <w:sz w:val="28"/>
              <w:szCs w:val="28"/>
              <w:lang w:eastAsia="en-ZA"/>
            </w:rPr>
          </w:pPr>
          <w:hyperlink w:anchor="_Toc343854801" w:history="1">
            <w:r w:rsidRPr="0090113B">
              <w:rPr>
                <w:rStyle w:val="Hyperlink"/>
                <w:rFonts w:ascii="Garamond" w:eastAsia="Calibri" w:hAnsi="Garamond" w:cs="Times New Roman"/>
                <w:noProof/>
                <w:sz w:val="28"/>
                <w:szCs w:val="28"/>
                <w:lang w:val="en-US"/>
              </w:rPr>
              <w:t>about-face</w:t>
            </w:r>
            <w:r w:rsidRPr="0090113B">
              <w:rPr>
                <w:rFonts w:ascii="Garamond" w:hAnsi="Garamond"/>
                <w:noProof/>
                <w:webHidden/>
                <w:sz w:val="28"/>
                <w:szCs w:val="28"/>
              </w:rPr>
              <w:tab/>
            </w:r>
            <w:r w:rsidRPr="0090113B">
              <w:rPr>
                <w:rFonts w:ascii="Garamond" w:hAnsi="Garamond"/>
                <w:noProof/>
                <w:webHidden/>
                <w:sz w:val="28"/>
                <w:szCs w:val="28"/>
              </w:rPr>
              <w:fldChar w:fldCharType="begin"/>
            </w:r>
            <w:r w:rsidRPr="0090113B">
              <w:rPr>
                <w:rFonts w:ascii="Garamond" w:hAnsi="Garamond"/>
                <w:noProof/>
                <w:webHidden/>
                <w:sz w:val="28"/>
                <w:szCs w:val="28"/>
              </w:rPr>
              <w:instrText xml:space="preserve"> PAGEREF _Toc343854801 \h </w:instrText>
            </w:r>
            <w:r w:rsidRPr="0090113B">
              <w:rPr>
                <w:rFonts w:ascii="Garamond" w:hAnsi="Garamond"/>
                <w:noProof/>
                <w:webHidden/>
                <w:sz w:val="28"/>
                <w:szCs w:val="28"/>
              </w:rPr>
            </w:r>
            <w:r w:rsidRPr="0090113B">
              <w:rPr>
                <w:rFonts w:ascii="Garamond" w:hAnsi="Garamond"/>
                <w:noProof/>
                <w:webHidden/>
                <w:sz w:val="28"/>
                <w:szCs w:val="28"/>
              </w:rPr>
              <w:fldChar w:fldCharType="separate"/>
            </w:r>
            <w:r w:rsidR="006604EC">
              <w:rPr>
                <w:rFonts w:ascii="Garamond" w:hAnsi="Garamond"/>
                <w:noProof/>
                <w:webHidden/>
                <w:sz w:val="28"/>
                <w:szCs w:val="28"/>
              </w:rPr>
              <w:t>9</w:t>
            </w:r>
            <w:r w:rsidRPr="0090113B">
              <w:rPr>
                <w:rFonts w:ascii="Garamond" w:hAnsi="Garamond"/>
                <w:noProof/>
                <w:webHidden/>
                <w:sz w:val="28"/>
                <w:szCs w:val="28"/>
              </w:rPr>
              <w:fldChar w:fldCharType="end"/>
            </w:r>
          </w:hyperlink>
        </w:p>
        <w:p w:rsidR="005D3007" w:rsidRPr="0090113B" w:rsidRDefault="005D3007">
          <w:pPr>
            <w:pStyle w:val="TOC1"/>
            <w:tabs>
              <w:tab w:val="right" w:leader="dot" w:pos="9016"/>
            </w:tabs>
            <w:rPr>
              <w:rFonts w:ascii="Garamond" w:eastAsiaTheme="minorEastAsia" w:hAnsi="Garamond"/>
              <w:noProof/>
              <w:sz w:val="28"/>
              <w:szCs w:val="28"/>
              <w:lang w:eastAsia="en-ZA"/>
            </w:rPr>
          </w:pPr>
          <w:hyperlink w:anchor="_Toc343854802" w:history="1">
            <w:r w:rsidRPr="0090113B">
              <w:rPr>
                <w:rStyle w:val="Hyperlink"/>
                <w:rFonts w:ascii="Garamond" w:hAnsi="Garamond"/>
                <w:noProof/>
                <w:sz w:val="28"/>
                <w:szCs w:val="28"/>
              </w:rPr>
              <w:t>for the kids in class that swung on their seats</w:t>
            </w:r>
            <w:r w:rsidRPr="0090113B">
              <w:rPr>
                <w:rFonts w:ascii="Garamond" w:hAnsi="Garamond"/>
                <w:noProof/>
                <w:webHidden/>
                <w:sz w:val="28"/>
                <w:szCs w:val="28"/>
              </w:rPr>
              <w:tab/>
            </w:r>
            <w:r w:rsidRPr="0090113B">
              <w:rPr>
                <w:rFonts w:ascii="Garamond" w:hAnsi="Garamond"/>
                <w:noProof/>
                <w:webHidden/>
                <w:sz w:val="28"/>
                <w:szCs w:val="28"/>
              </w:rPr>
              <w:fldChar w:fldCharType="begin"/>
            </w:r>
            <w:r w:rsidRPr="0090113B">
              <w:rPr>
                <w:rFonts w:ascii="Garamond" w:hAnsi="Garamond"/>
                <w:noProof/>
                <w:webHidden/>
                <w:sz w:val="28"/>
                <w:szCs w:val="28"/>
              </w:rPr>
              <w:instrText xml:space="preserve"> PAGEREF _Toc343854802 \h </w:instrText>
            </w:r>
            <w:r w:rsidRPr="0090113B">
              <w:rPr>
                <w:rFonts w:ascii="Garamond" w:hAnsi="Garamond"/>
                <w:noProof/>
                <w:webHidden/>
                <w:sz w:val="28"/>
                <w:szCs w:val="28"/>
              </w:rPr>
            </w:r>
            <w:r w:rsidRPr="0090113B">
              <w:rPr>
                <w:rFonts w:ascii="Garamond" w:hAnsi="Garamond"/>
                <w:noProof/>
                <w:webHidden/>
                <w:sz w:val="28"/>
                <w:szCs w:val="28"/>
              </w:rPr>
              <w:fldChar w:fldCharType="separate"/>
            </w:r>
            <w:r w:rsidR="006604EC">
              <w:rPr>
                <w:rFonts w:ascii="Garamond" w:hAnsi="Garamond"/>
                <w:noProof/>
                <w:webHidden/>
                <w:sz w:val="28"/>
                <w:szCs w:val="28"/>
              </w:rPr>
              <w:t>16</w:t>
            </w:r>
            <w:r w:rsidRPr="0090113B">
              <w:rPr>
                <w:rFonts w:ascii="Garamond" w:hAnsi="Garamond"/>
                <w:noProof/>
                <w:webHidden/>
                <w:sz w:val="28"/>
                <w:szCs w:val="28"/>
              </w:rPr>
              <w:fldChar w:fldCharType="end"/>
            </w:r>
          </w:hyperlink>
        </w:p>
        <w:p w:rsidR="005D3007" w:rsidRPr="0090113B" w:rsidRDefault="005D3007">
          <w:pPr>
            <w:pStyle w:val="TOC1"/>
            <w:tabs>
              <w:tab w:val="right" w:leader="dot" w:pos="9016"/>
            </w:tabs>
            <w:rPr>
              <w:rFonts w:ascii="Garamond" w:eastAsiaTheme="minorEastAsia" w:hAnsi="Garamond"/>
              <w:noProof/>
              <w:sz w:val="28"/>
              <w:szCs w:val="28"/>
              <w:lang w:eastAsia="en-ZA"/>
            </w:rPr>
          </w:pPr>
          <w:hyperlink w:anchor="_Toc343854803" w:history="1">
            <w:r w:rsidRPr="0090113B">
              <w:rPr>
                <w:rStyle w:val="Hyperlink"/>
                <w:rFonts w:ascii="Garamond" w:hAnsi="Garamond"/>
                <w:noProof/>
                <w:sz w:val="28"/>
                <w:szCs w:val="28"/>
              </w:rPr>
              <w:t>it ain’t easy to speak of trees</w:t>
            </w:r>
            <w:r w:rsidRPr="0090113B">
              <w:rPr>
                <w:rFonts w:ascii="Garamond" w:hAnsi="Garamond"/>
                <w:noProof/>
                <w:webHidden/>
                <w:sz w:val="28"/>
                <w:szCs w:val="28"/>
              </w:rPr>
              <w:tab/>
            </w:r>
            <w:r w:rsidRPr="0090113B">
              <w:rPr>
                <w:rFonts w:ascii="Garamond" w:hAnsi="Garamond"/>
                <w:noProof/>
                <w:webHidden/>
                <w:sz w:val="28"/>
                <w:szCs w:val="28"/>
              </w:rPr>
              <w:fldChar w:fldCharType="begin"/>
            </w:r>
            <w:r w:rsidRPr="0090113B">
              <w:rPr>
                <w:rFonts w:ascii="Garamond" w:hAnsi="Garamond"/>
                <w:noProof/>
                <w:webHidden/>
                <w:sz w:val="28"/>
                <w:szCs w:val="28"/>
              </w:rPr>
              <w:instrText xml:space="preserve"> PAGEREF _Toc343854803 \h </w:instrText>
            </w:r>
            <w:r w:rsidRPr="0090113B">
              <w:rPr>
                <w:rFonts w:ascii="Garamond" w:hAnsi="Garamond"/>
                <w:noProof/>
                <w:webHidden/>
                <w:sz w:val="28"/>
                <w:szCs w:val="28"/>
              </w:rPr>
            </w:r>
            <w:r w:rsidRPr="0090113B">
              <w:rPr>
                <w:rFonts w:ascii="Garamond" w:hAnsi="Garamond"/>
                <w:noProof/>
                <w:webHidden/>
                <w:sz w:val="28"/>
                <w:szCs w:val="28"/>
              </w:rPr>
              <w:fldChar w:fldCharType="separate"/>
            </w:r>
            <w:r w:rsidR="006604EC">
              <w:rPr>
                <w:rFonts w:ascii="Garamond" w:hAnsi="Garamond"/>
                <w:noProof/>
                <w:webHidden/>
                <w:sz w:val="28"/>
                <w:szCs w:val="28"/>
              </w:rPr>
              <w:t>22</w:t>
            </w:r>
            <w:r w:rsidRPr="0090113B">
              <w:rPr>
                <w:rFonts w:ascii="Garamond" w:hAnsi="Garamond"/>
                <w:noProof/>
                <w:webHidden/>
                <w:sz w:val="28"/>
                <w:szCs w:val="28"/>
              </w:rPr>
              <w:fldChar w:fldCharType="end"/>
            </w:r>
          </w:hyperlink>
        </w:p>
        <w:p w:rsidR="005D3007" w:rsidRPr="0090113B" w:rsidRDefault="005D3007">
          <w:pPr>
            <w:pStyle w:val="TOC1"/>
            <w:tabs>
              <w:tab w:val="right" w:leader="dot" w:pos="9016"/>
            </w:tabs>
            <w:rPr>
              <w:rFonts w:ascii="Garamond" w:eastAsiaTheme="minorEastAsia" w:hAnsi="Garamond"/>
              <w:noProof/>
              <w:sz w:val="28"/>
              <w:szCs w:val="28"/>
              <w:lang w:eastAsia="en-ZA"/>
            </w:rPr>
          </w:pPr>
          <w:hyperlink w:anchor="_Toc343854804" w:history="1">
            <w:r w:rsidRPr="0090113B">
              <w:rPr>
                <w:rStyle w:val="Hyperlink"/>
                <w:rFonts w:ascii="Garamond" w:hAnsi="Garamond"/>
                <w:noProof/>
                <w:sz w:val="28"/>
                <w:szCs w:val="28"/>
              </w:rPr>
              <w:t>unravelling bastards</w:t>
            </w:r>
            <w:r w:rsidRPr="0090113B">
              <w:rPr>
                <w:rFonts w:ascii="Garamond" w:hAnsi="Garamond"/>
                <w:noProof/>
                <w:webHidden/>
                <w:sz w:val="28"/>
                <w:szCs w:val="28"/>
              </w:rPr>
              <w:tab/>
            </w:r>
            <w:r w:rsidRPr="0090113B">
              <w:rPr>
                <w:rFonts w:ascii="Garamond" w:hAnsi="Garamond"/>
                <w:noProof/>
                <w:webHidden/>
                <w:sz w:val="28"/>
                <w:szCs w:val="28"/>
              </w:rPr>
              <w:fldChar w:fldCharType="begin"/>
            </w:r>
            <w:r w:rsidRPr="0090113B">
              <w:rPr>
                <w:rFonts w:ascii="Garamond" w:hAnsi="Garamond"/>
                <w:noProof/>
                <w:webHidden/>
                <w:sz w:val="28"/>
                <w:szCs w:val="28"/>
              </w:rPr>
              <w:instrText xml:space="preserve"> PAGEREF _Toc343854804 \h </w:instrText>
            </w:r>
            <w:r w:rsidRPr="0090113B">
              <w:rPr>
                <w:rFonts w:ascii="Garamond" w:hAnsi="Garamond"/>
                <w:noProof/>
                <w:webHidden/>
                <w:sz w:val="28"/>
                <w:szCs w:val="28"/>
              </w:rPr>
            </w:r>
            <w:r w:rsidRPr="0090113B">
              <w:rPr>
                <w:rFonts w:ascii="Garamond" w:hAnsi="Garamond"/>
                <w:noProof/>
                <w:webHidden/>
                <w:sz w:val="28"/>
                <w:szCs w:val="28"/>
              </w:rPr>
              <w:fldChar w:fldCharType="separate"/>
            </w:r>
            <w:r w:rsidR="006604EC">
              <w:rPr>
                <w:rFonts w:ascii="Garamond" w:hAnsi="Garamond"/>
                <w:noProof/>
                <w:webHidden/>
                <w:sz w:val="28"/>
                <w:szCs w:val="28"/>
              </w:rPr>
              <w:t>29</w:t>
            </w:r>
            <w:r w:rsidRPr="0090113B">
              <w:rPr>
                <w:rFonts w:ascii="Garamond" w:hAnsi="Garamond"/>
                <w:noProof/>
                <w:webHidden/>
                <w:sz w:val="28"/>
                <w:szCs w:val="28"/>
              </w:rPr>
              <w:fldChar w:fldCharType="end"/>
            </w:r>
          </w:hyperlink>
        </w:p>
        <w:p w:rsidR="005D3007" w:rsidRPr="0090113B" w:rsidRDefault="005D3007">
          <w:pPr>
            <w:pStyle w:val="TOC1"/>
            <w:tabs>
              <w:tab w:val="right" w:leader="dot" w:pos="9016"/>
            </w:tabs>
            <w:rPr>
              <w:rFonts w:ascii="Garamond" w:eastAsiaTheme="minorEastAsia" w:hAnsi="Garamond"/>
              <w:noProof/>
              <w:sz w:val="28"/>
              <w:szCs w:val="28"/>
              <w:lang w:eastAsia="en-ZA"/>
            </w:rPr>
          </w:pPr>
          <w:hyperlink w:anchor="_Toc343854805" w:history="1">
            <w:r w:rsidRPr="0090113B">
              <w:rPr>
                <w:rStyle w:val="Hyperlink"/>
                <w:rFonts w:ascii="Garamond" w:hAnsi="Garamond"/>
                <w:noProof/>
                <w:sz w:val="28"/>
                <w:szCs w:val="28"/>
              </w:rPr>
              <w:t>of rainbows and other monsters</w:t>
            </w:r>
            <w:r w:rsidRPr="0090113B">
              <w:rPr>
                <w:rFonts w:ascii="Garamond" w:hAnsi="Garamond"/>
                <w:noProof/>
                <w:webHidden/>
                <w:sz w:val="28"/>
                <w:szCs w:val="28"/>
              </w:rPr>
              <w:tab/>
            </w:r>
            <w:r w:rsidRPr="0090113B">
              <w:rPr>
                <w:rFonts w:ascii="Garamond" w:hAnsi="Garamond"/>
                <w:noProof/>
                <w:webHidden/>
                <w:sz w:val="28"/>
                <w:szCs w:val="28"/>
              </w:rPr>
              <w:fldChar w:fldCharType="begin"/>
            </w:r>
            <w:r w:rsidRPr="0090113B">
              <w:rPr>
                <w:rFonts w:ascii="Garamond" w:hAnsi="Garamond"/>
                <w:noProof/>
                <w:webHidden/>
                <w:sz w:val="28"/>
                <w:szCs w:val="28"/>
              </w:rPr>
              <w:instrText xml:space="preserve"> PAGEREF _Toc343854805 \h </w:instrText>
            </w:r>
            <w:r w:rsidRPr="0090113B">
              <w:rPr>
                <w:rFonts w:ascii="Garamond" w:hAnsi="Garamond"/>
                <w:noProof/>
                <w:webHidden/>
                <w:sz w:val="28"/>
                <w:szCs w:val="28"/>
              </w:rPr>
            </w:r>
            <w:r w:rsidRPr="0090113B">
              <w:rPr>
                <w:rFonts w:ascii="Garamond" w:hAnsi="Garamond"/>
                <w:noProof/>
                <w:webHidden/>
                <w:sz w:val="28"/>
                <w:szCs w:val="28"/>
              </w:rPr>
              <w:fldChar w:fldCharType="separate"/>
            </w:r>
            <w:r w:rsidR="006604EC">
              <w:rPr>
                <w:rFonts w:ascii="Garamond" w:hAnsi="Garamond"/>
                <w:noProof/>
                <w:webHidden/>
                <w:sz w:val="28"/>
                <w:szCs w:val="28"/>
              </w:rPr>
              <w:t>36</w:t>
            </w:r>
            <w:r w:rsidRPr="0090113B">
              <w:rPr>
                <w:rFonts w:ascii="Garamond" w:hAnsi="Garamond"/>
                <w:noProof/>
                <w:webHidden/>
                <w:sz w:val="28"/>
                <w:szCs w:val="28"/>
              </w:rPr>
              <w:fldChar w:fldCharType="end"/>
            </w:r>
          </w:hyperlink>
        </w:p>
        <w:p w:rsidR="00211CAD" w:rsidRPr="0090113B" w:rsidRDefault="00211CAD">
          <w:pPr>
            <w:pStyle w:val="TOC1"/>
            <w:tabs>
              <w:tab w:val="right" w:leader="dot" w:pos="9016"/>
            </w:tabs>
            <w:rPr>
              <w:rStyle w:val="Hyperlink"/>
              <w:rFonts w:ascii="Garamond" w:hAnsi="Garamond"/>
              <w:noProof/>
              <w:sz w:val="28"/>
              <w:szCs w:val="28"/>
            </w:rPr>
          </w:pPr>
        </w:p>
        <w:p w:rsidR="005D3007" w:rsidRPr="0090113B" w:rsidRDefault="005D3007">
          <w:pPr>
            <w:pStyle w:val="TOC1"/>
            <w:tabs>
              <w:tab w:val="right" w:leader="dot" w:pos="9016"/>
            </w:tabs>
            <w:rPr>
              <w:rFonts w:ascii="Garamond" w:eastAsiaTheme="minorEastAsia" w:hAnsi="Garamond"/>
              <w:noProof/>
              <w:sz w:val="28"/>
              <w:szCs w:val="28"/>
              <w:lang w:eastAsia="en-ZA"/>
            </w:rPr>
          </w:pPr>
          <w:hyperlink w:anchor="_Toc343854806" w:history="1">
            <w:r w:rsidRPr="0090113B">
              <w:rPr>
                <w:rStyle w:val="Hyperlink"/>
                <w:rFonts w:ascii="Garamond" w:eastAsia="Calibri" w:hAnsi="Garamond" w:cs="Times New Roman"/>
                <w:noProof/>
                <w:sz w:val="28"/>
                <w:szCs w:val="28"/>
                <w:lang w:val="en-US"/>
              </w:rPr>
              <w:t>References:</w:t>
            </w:r>
            <w:r w:rsidRPr="0090113B">
              <w:rPr>
                <w:rFonts w:ascii="Garamond" w:hAnsi="Garamond"/>
                <w:noProof/>
                <w:webHidden/>
                <w:sz w:val="28"/>
                <w:szCs w:val="28"/>
              </w:rPr>
              <w:tab/>
            </w:r>
            <w:r w:rsidRPr="0090113B">
              <w:rPr>
                <w:rFonts w:ascii="Garamond" w:hAnsi="Garamond"/>
                <w:noProof/>
                <w:webHidden/>
                <w:sz w:val="28"/>
                <w:szCs w:val="28"/>
              </w:rPr>
              <w:fldChar w:fldCharType="begin"/>
            </w:r>
            <w:r w:rsidRPr="0090113B">
              <w:rPr>
                <w:rFonts w:ascii="Garamond" w:hAnsi="Garamond"/>
                <w:noProof/>
                <w:webHidden/>
                <w:sz w:val="28"/>
                <w:szCs w:val="28"/>
              </w:rPr>
              <w:instrText xml:space="preserve"> PAGEREF _Toc343854806 \h </w:instrText>
            </w:r>
            <w:r w:rsidRPr="0090113B">
              <w:rPr>
                <w:rFonts w:ascii="Garamond" w:hAnsi="Garamond"/>
                <w:noProof/>
                <w:webHidden/>
                <w:sz w:val="28"/>
                <w:szCs w:val="28"/>
              </w:rPr>
            </w:r>
            <w:r w:rsidRPr="0090113B">
              <w:rPr>
                <w:rFonts w:ascii="Garamond" w:hAnsi="Garamond"/>
                <w:noProof/>
                <w:webHidden/>
                <w:sz w:val="28"/>
                <w:szCs w:val="28"/>
              </w:rPr>
              <w:fldChar w:fldCharType="separate"/>
            </w:r>
            <w:r w:rsidR="006604EC">
              <w:rPr>
                <w:rFonts w:ascii="Garamond" w:hAnsi="Garamond"/>
                <w:noProof/>
                <w:webHidden/>
                <w:sz w:val="28"/>
                <w:szCs w:val="28"/>
              </w:rPr>
              <w:t>46</w:t>
            </w:r>
            <w:r w:rsidRPr="0090113B">
              <w:rPr>
                <w:rFonts w:ascii="Garamond" w:hAnsi="Garamond"/>
                <w:noProof/>
                <w:webHidden/>
                <w:sz w:val="28"/>
                <w:szCs w:val="28"/>
              </w:rPr>
              <w:fldChar w:fldCharType="end"/>
            </w:r>
          </w:hyperlink>
        </w:p>
        <w:p w:rsidR="0083470D" w:rsidRPr="0090113B" w:rsidRDefault="0083470D">
          <w:pPr>
            <w:rPr>
              <w:rFonts w:ascii="Garamond" w:hAnsi="Garamond"/>
              <w:sz w:val="28"/>
              <w:szCs w:val="28"/>
            </w:rPr>
          </w:pPr>
          <w:r w:rsidRPr="0090113B">
            <w:rPr>
              <w:rFonts w:ascii="Garamond" w:hAnsi="Garamond"/>
              <w:b/>
              <w:bCs/>
              <w:noProof/>
              <w:sz w:val="28"/>
              <w:szCs w:val="28"/>
            </w:rPr>
            <w:fldChar w:fldCharType="end"/>
          </w:r>
        </w:p>
      </w:sdtContent>
    </w:sdt>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5C5518" w:rsidRDefault="005C5518" w:rsidP="00801CF8">
      <w:pPr>
        <w:rPr>
          <w:rFonts w:ascii="Garamond" w:hAnsi="Garamond"/>
          <w:sz w:val="28"/>
          <w:szCs w:val="28"/>
        </w:rPr>
      </w:pPr>
    </w:p>
    <w:p w:rsidR="006953E0" w:rsidRDefault="006953E0" w:rsidP="00801CF8">
      <w:pPr>
        <w:rPr>
          <w:rFonts w:ascii="Garamond" w:hAnsi="Garamond"/>
          <w:sz w:val="28"/>
          <w:szCs w:val="28"/>
        </w:rPr>
        <w:sectPr w:rsidR="006953E0" w:rsidSect="00CE3FCD">
          <w:headerReference w:type="default" r:id="rId11"/>
          <w:pgSz w:w="11906" w:h="16838"/>
          <w:pgMar w:top="1440" w:right="1440" w:bottom="1440" w:left="1440" w:header="708" w:footer="708" w:gutter="0"/>
          <w:pgNumType w:start="0"/>
          <w:cols w:space="708"/>
          <w:docGrid w:linePitch="360"/>
        </w:sectPr>
      </w:pPr>
    </w:p>
    <w:p w:rsidR="00C67F51" w:rsidRPr="006953E0" w:rsidRDefault="00C67F51" w:rsidP="00266B50">
      <w:pPr>
        <w:pStyle w:val="Heading1"/>
        <w:jc w:val="center"/>
        <w:rPr>
          <w:rFonts w:ascii="Garamond" w:hAnsi="Garamond"/>
          <w:color w:val="auto"/>
          <w:sz w:val="36"/>
          <w:szCs w:val="36"/>
        </w:rPr>
      </w:pPr>
      <w:bookmarkStart w:id="0" w:name="_Toc343854800"/>
      <w:r w:rsidRPr="006953E0">
        <w:rPr>
          <w:rFonts w:ascii="Garamond" w:hAnsi="Garamond"/>
          <w:color w:val="auto"/>
          <w:sz w:val="36"/>
          <w:szCs w:val="36"/>
        </w:rPr>
        <w:lastRenderedPageBreak/>
        <w:t>aside</w:t>
      </w:r>
      <w:bookmarkEnd w:id="0"/>
    </w:p>
    <w:p w:rsidR="00C67F51" w:rsidRDefault="00C67F51" w:rsidP="00C67F51">
      <w:pPr>
        <w:jc w:val="center"/>
        <w:rPr>
          <w:rFonts w:ascii="Garamond" w:hAnsi="Garamond"/>
          <w:sz w:val="32"/>
          <w:szCs w:val="32"/>
        </w:rPr>
      </w:pPr>
    </w:p>
    <w:p w:rsidR="00C67F51" w:rsidRDefault="00C67F51" w:rsidP="00C67F51">
      <w:pPr>
        <w:spacing w:line="360" w:lineRule="auto"/>
        <w:rPr>
          <w:rFonts w:ascii="Garamond" w:hAnsi="Garamond"/>
          <w:sz w:val="24"/>
          <w:szCs w:val="24"/>
        </w:rPr>
      </w:pPr>
      <w:r>
        <w:rPr>
          <w:rFonts w:ascii="Garamond" w:hAnsi="Garamond"/>
          <w:sz w:val="24"/>
          <w:szCs w:val="24"/>
        </w:rPr>
        <w:t xml:space="preserve">This is perhaps an ‘introduction’ as an aside. I began this process with questions: Does a deconstructionist/ post-modernist approach necessarily imply relativism or an ‘anything-goes approach’? Is there space for the complexity of the empirical existence of emotions in ‘development studies’ and ‘conflict studies’? Can these complexities perhaps be engaged through considerations and activations of the aesthetic (both literary and ‘artistic’) and, if so, how may these perhaps interface with ‘development studies’ and ‘conflict studies’? </w:t>
      </w:r>
    </w:p>
    <w:p w:rsidR="00C67F51" w:rsidRDefault="00C67F51" w:rsidP="00C67F51">
      <w:pPr>
        <w:spacing w:line="360" w:lineRule="auto"/>
        <w:rPr>
          <w:rFonts w:ascii="Garamond" w:hAnsi="Garamond"/>
          <w:sz w:val="24"/>
          <w:szCs w:val="24"/>
        </w:rPr>
      </w:pPr>
      <w:r>
        <w:rPr>
          <w:rFonts w:ascii="Garamond" w:hAnsi="Garamond"/>
          <w:sz w:val="24"/>
          <w:szCs w:val="24"/>
        </w:rPr>
        <w:t xml:space="preserve">At the onset of this process (which is not necessarily so easy to actually pin-down) I knew that, given certain constraints (for example the spatial constraints of this research paper) I would not be able to entertain imaginings of comprehensive engagements with these interfaces, that this entertainment would be for arrogance, for the comfort of the phantom of ‘mastery’. That is, I had an </w:t>
      </w:r>
      <w:r w:rsidRPr="00FB57CF">
        <w:rPr>
          <w:rFonts w:ascii="Garamond" w:hAnsi="Garamond"/>
          <w:sz w:val="24"/>
          <w:szCs w:val="24"/>
        </w:rPr>
        <w:t>idea at the</w:t>
      </w:r>
      <w:r>
        <w:rPr>
          <w:rFonts w:ascii="Garamond" w:hAnsi="Garamond"/>
          <w:sz w:val="24"/>
          <w:szCs w:val="24"/>
        </w:rPr>
        <w:t xml:space="preserve"> ‘beginning’ that, in the ‘end’, it would perhaps be most productive to generate frictions, moments of complicity, to engaging in seepages and smugglings in ways that could perhaps provide starting points for further explorations. </w:t>
      </w:r>
    </w:p>
    <w:p w:rsidR="00C67F51" w:rsidRDefault="00C67F51" w:rsidP="00C67F51">
      <w:pPr>
        <w:spacing w:line="360" w:lineRule="auto"/>
        <w:rPr>
          <w:rFonts w:ascii="Garamond" w:hAnsi="Garamond"/>
          <w:sz w:val="24"/>
          <w:szCs w:val="24"/>
        </w:rPr>
      </w:pPr>
      <w:r>
        <w:rPr>
          <w:rFonts w:ascii="Garamond" w:hAnsi="Garamond"/>
          <w:sz w:val="24"/>
          <w:szCs w:val="24"/>
        </w:rPr>
        <w:t xml:space="preserve">In this paper: monsters, monstrations, </w:t>
      </w:r>
      <w:r w:rsidRPr="0013631F">
        <w:rPr>
          <w:rFonts w:ascii="Garamond" w:hAnsi="Garamond"/>
          <w:sz w:val="24"/>
          <w:szCs w:val="24"/>
        </w:rPr>
        <w:t>supplements, symposiums</w:t>
      </w:r>
      <w:r>
        <w:rPr>
          <w:rFonts w:ascii="Garamond" w:hAnsi="Garamond"/>
          <w:sz w:val="24"/>
          <w:szCs w:val="24"/>
        </w:rPr>
        <w:t>, paranoia, dirt, disciplines, intuitions, experientiality, readings, readers, intimacies, frames, prosthetic bodies, threads, unravellings, systems, neural networks, masquerades, contraband, violence,  inventiveness, banalities, florescences, embarrassments, claustrophobia, unfastenings, and more, and less.</w:t>
      </w:r>
    </w:p>
    <w:p w:rsidR="00C67F51" w:rsidRDefault="00C67F51" w:rsidP="00C67F51">
      <w:pPr>
        <w:spacing w:line="360" w:lineRule="auto"/>
        <w:rPr>
          <w:rFonts w:ascii="Garamond" w:hAnsi="Garamond"/>
          <w:sz w:val="24"/>
          <w:szCs w:val="24"/>
        </w:rPr>
      </w:pPr>
      <w:r>
        <w:rPr>
          <w:rFonts w:ascii="Garamond" w:hAnsi="Garamond"/>
          <w:sz w:val="24"/>
          <w:szCs w:val="24"/>
        </w:rPr>
        <w:t xml:space="preserve">Metaphors stand in place of assertions of the ‘objects’ of this paper due to shifts that will be made in ink; the reader is implored to read, to take what is experienced to be relevant, to risk. There is thus already complicity of subject matter and operating methodology; a complicity that will be explored and experimented with throughout this research paper. </w:t>
      </w:r>
    </w:p>
    <w:p w:rsidR="00C67F51" w:rsidRDefault="00C67F51" w:rsidP="00C67F51">
      <w:pPr>
        <w:spacing w:line="360" w:lineRule="auto"/>
        <w:rPr>
          <w:rFonts w:ascii="Garamond" w:hAnsi="Garamond"/>
          <w:sz w:val="24"/>
          <w:szCs w:val="24"/>
        </w:rPr>
      </w:pPr>
      <w:r>
        <w:rPr>
          <w:rFonts w:ascii="Garamond" w:hAnsi="Garamond"/>
          <w:sz w:val="24"/>
          <w:szCs w:val="24"/>
        </w:rPr>
        <w:t xml:space="preserve">The research of this paper occurred, to a large degree, in the form of eight encounters, discussions and engagements regarding the aesthetic, and with various practitioners differently ‘of the aesthetic’. This research pointed me in a variety of directions and provided me with a number of considerations that have been pivotal to my process and central to the construction of this research paper. While the various ‘objects’ of these practitioners were discussed in process, these are not included here, cannot be in turns taken. Rather, these encounters provided me with the opportunity to </w:t>
      </w:r>
      <w:r w:rsidRPr="004817DB">
        <w:rPr>
          <w:rFonts w:ascii="Garamond" w:hAnsi="Garamond"/>
          <w:i/>
          <w:sz w:val="24"/>
          <w:szCs w:val="24"/>
        </w:rPr>
        <w:t>think through the visual</w:t>
      </w:r>
      <w:r>
        <w:rPr>
          <w:rFonts w:ascii="Garamond" w:hAnsi="Garamond"/>
          <w:sz w:val="24"/>
          <w:szCs w:val="24"/>
        </w:rPr>
        <w:t xml:space="preserve"> in more complex and nuanced ways, in ways which are inseparable from the entirety of the text. For this reason, they have been referenced </w:t>
      </w:r>
      <w:r>
        <w:rPr>
          <w:rFonts w:ascii="Garamond" w:hAnsi="Garamond"/>
          <w:sz w:val="24"/>
          <w:szCs w:val="24"/>
        </w:rPr>
        <w:lastRenderedPageBreak/>
        <w:t xml:space="preserve">throughout as critical informants, as a complex network, rather than being constructed as some separable structure neatly confined in await of analysis. </w:t>
      </w:r>
    </w:p>
    <w:p w:rsidR="00C67F51" w:rsidRDefault="00C67F51" w:rsidP="00C67F51">
      <w:pPr>
        <w:spacing w:line="360" w:lineRule="auto"/>
        <w:rPr>
          <w:rFonts w:ascii="Garamond" w:hAnsi="Garamond"/>
          <w:sz w:val="24"/>
          <w:szCs w:val="24"/>
        </w:rPr>
      </w:pPr>
      <w:r>
        <w:rPr>
          <w:rFonts w:ascii="Garamond" w:hAnsi="Garamond"/>
          <w:sz w:val="24"/>
          <w:szCs w:val="24"/>
        </w:rPr>
        <w:t>Here is a territory, “fundamentally in contact with an elsewhere. As such, it is a space that is not only ‘produced’; it is also a space that circulates, that is constantly in motion”, it is “</w:t>
      </w:r>
      <w:r w:rsidRPr="009B4485">
        <w:rPr>
          <w:rFonts w:ascii="Garamond" w:hAnsi="Garamond"/>
          <w:i/>
          <w:sz w:val="24"/>
          <w:szCs w:val="24"/>
        </w:rPr>
        <w:t>en fuite</w:t>
      </w:r>
      <w:r>
        <w:rPr>
          <w:rFonts w:ascii="Garamond" w:hAnsi="Garamond"/>
          <w:sz w:val="24"/>
          <w:szCs w:val="24"/>
        </w:rPr>
        <w:t xml:space="preserve"> (leaking, fleeing)” (Mbembe and Nuttall, 2004: 12). </w:t>
      </w:r>
    </w:p>
    <w:p w:rsidR="00C67F51" w:rsidRDefault="00C67F51" w:rsidP="00C67F51">
      <w:pPr>
        <w:spacing w:line="360" w:lineRule="auto"/>
        <w:rPr>
          <w:rFonts w:ascii="Garamond" w:hAnsi="Garamond"/>
          <w:sz w:val="24"/>
          <w:szCs w:val="24"/>
        </w:rPr>
      </w:pPr>
      <w:r>
        <w:rPr>
          <w:rFonts w:ascii="Garamond" w:hAnsi="Garamond"/>
          <w:sz w:val="24"/>
          <w:szCs w:val="24"/>
        </w:rPr>
        <w:t xml:space="preserve">In modesty, in the end this only: while some seepages may sink, that others may swim.     </w:t>
      </w:r>
    </w:p>
    <w:p w:rsidR="00C67F51" w:rsidRDefault="00C67F51" w:rsidP="00C67F51">
      <w:pPr>
        <w:spacing w:line="360" w:lineRule="auto"/>
        <w:rPr>
          <w:rFonts w:ascii="Garamond" w:hAnsi="Garamond"/>
          <w:sz w:val="24"/>
          <w:szCs w:val="24"/>
        </w:rPr>
      </w:pPr>
    </w:p>
    <w:p w:rsidR="00C67F51" w:rsidRPr="00AD57A4" w:rsidRDefault="00C67F51" w:rsidP="00C67F51">
      <w:pPr>
        <w:spacing w:line="360" w:lineRule="auto"/>
        <w:rPr>
          <w:rFonts w:ascii="Garamond" w:hAnsi="Garamond"/>
          <w:sz w:val="24"/>
          <w:szCs w:val="24"/>
        </w:rPr>
      </w:pPr>
    </w:p>
    <w:p w:rsidR="005C5518" w:rsidRDefault="005C5518"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801CF8">
      <w:pPr>
        <w:rPr>
          <w:rFonts w:ascii="Garamond" w:hAnsi="Garamond"/>
          <w:sz w:val="28"/>
          <w:szCs w:val="28"/>
        </w:rPr>
      </w:pPr>
    </w:p>
    <w:p w:rsidR="00C67F51" w:rsidRDefault="00C67F51" w:rsidP="00253BEE">
      <w:pPr>
        <w:jc w:val="center"/>
        <w:rPr>
          <w:rFonts w:ascii="Garamond" w:hAnsi="Garamond"/>
          <w:sz w:val="28"/>
          <w:szCs w:val="28"/>
        </w:rPr>
      </w:pPr>
      <w:r>
        <w:rPr>
          <w:rFonts w:ascii="Garamond" w:hAnsi="Garamond"/>
          <w:noProof/>
          <w:sz w:val="28"/>
          <w:szCs w:val="28"/>
          <w:lang w:eastAsia="en-ZA"/>
        </w:rPr>
        <w:lastRenderedPageBreak/>
        <w:drawing>
          <wp:inline distT="0" distB="0" distL="0" distR="0" wp14:anchorId="054DACC7" wp14:editId="0FE9F449">
            <wp:extent cx="5725160" cy="7851775"/>
            <wp:effectExtent l="0" t="0" r="8890" b="0"/>
            <wp:docPr id="8" name="Picture 8" descr="G:\The final countdown\to us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he final countdown\to use\2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7851775"/>
                    </a:xfrm>
                    <a:prstGeom prst="rect">
                      <a:avLst/>
                    </a:prstGeom>
                    <a:noFill/>
                    <a:ln>
                      <a:noFill/>
                    </a:ln>
                  </pic:spPr>
                </pic:pic>
              </a:graphicData>
            </a:graphic>
          </wp:inline>
        </w:drawing>
      </w:r>
    </w:p>
    <w:p w:rsidR="00C67F51" w:rsidRDefault="00445FDD" w:rsidP="00445FDD">
      <w:pPr>
        <w:jc w:val="center"/>
        <w:rPr>
          <w:rFonts w:ascii="Garamond" w:hAnsi="Garamond"/>
          <w:sz w:val="28"/>
          <w:szCs w:val="28"/>
        </w:rPr>
      </w:pPr>
      <w:r>
        <w:rPr>
          <w:rFonts w:ascii="Garamond" w:hAnsi="Garamond"/>
          <w:sz w:val="28"/>
          <w:szCs w:val="28"/>
        </w:rPr>
        <w:t>Image 1</w:t>
      </w:r>
    </w:p>
    <w:p w:rsidR="00DA6B6E" w:rsidRDefault="00DA6B6E" w:rsidP="00801CF8">
      <w:pPr>
        <w:rPr>
          <w:rFonts w:ascii="Garamond" w:hAnsi="Garamond"/>
          <w:sz w:val="28"/>
          <w:szCs w:val="28"/>
        </w:rPr>
      </w:pPr>
    </w:p>
    <w:p w:rsidR="00C67F51" w:rsidRPr="007A28BA" w:rsidRDefault="00C67F51" w:rsidP="00266B50">
      <w:pPr>
        <w:pStyle w:val="Heading1"/>
        <w:jc w:val="center"/>
        <w:rPr>
          <w:rFonts w:ascii="Garamond" w:eastAsia="Calibri" w:hAnsi="Garamond" w:cs="Times New Roman"/>
          <w:color w:val="auto"/>
          <w:sz w:val="36"/>
          <w:szCs w:val="36"/>
          <w:lang w:val="en-US"/>
        </w:rPr>
      </w:pPr>
      <w:bookmarkStart w:id="1" w:name="_Toc343854801"/>
      <w:r w:rsidRPr="007A28BA">
        <w:rPr>
          <w:rFonts w:ascii="Garamond" w:eastAsia="Calibri" w:hAnsi="Garamond" w:cs="Times New Roman"/>
          <w:color w:val="auto"/>
          <w:sz w:val="36"/>
          <w:szCs w:val="36"/>
          <w:lang w:val="en-US"/>
        </w:rPr>
        <w:lastRenderedPageBreak/>
        <w:t>about-face</w:t>
      </w:r>
      <w:bookmarkEnd w:id="1"/>
    </w:p>
    <w:p w:rsidR="00C67F51" w:rsidRPr="00C67F51" w:rsidRDefault="00C67F51" w:rsidP="00C67F51">
      <w:pPr>
        <w:tabs>
          <w:tab w:val="left" w:pos="3174"/>
          <w:tab w:val="center" w:pos="4680"/>
        </w:tabs>
        <w:spacing w:line="360" w:lineRule="auto"/>
        <w:rPr>
          <w:rFonts w:ascii="Garamond" w:eastAsia="Calibri" w:hAnsi="Garamond" w:cs="Times New Roman"/>
          <w:sz w:val="36"/>
          <w:szCs w:val="36"/>
          <w:lang w:val="en-US"/>
        </w:rPr>
      </w:pPr>
    </w:p>
    <w:p w:rsidR="00C67F51" w:rsidRPr="00C67F51" w:rsidRDefault="00C67F51" w:rsidP="00C67F51">
      <w:pPr>
        <w:tabs>
          <w:tab w:val="left" w:pos="3174"/>
          <w:tab w:val="center" w:pos="4680"/>
        </w:tabs>
        <w:spacing w:line="360" w:lineRule="auto"/>
        <w:jc w:val="center"/>
        <w:rPr>
          <w:rFonts w:ascii="Garamond" w:eastAsia="Calibri" w:hAnsi="Garamond" w:cs="Times New Roman"/>
          <w:sz w:val="36"/>
          <w:szCs w:val="36"/>
          <w:lang w:val="en-US"/>
        </w:rPr>
      </w:pPr>
      <w:r w:rsidRPr="00C67F51">
        <w:rPr>
          <w:rFonts w:ascii="Garamond" w:eastAsia="Calibri" w:hAnsi="Garamond" w:cs="Times New Roman"/>
          <w:sz w:val="24"/>
          <w:szCs w:val="24"/>
          <w:lang w:val="en-US"/>
        </w:rPr>
        <w:t>“The ‘social life of things’ (Appadurai, 1986) cannot be grasped by grasping an object in your hands”</w:t>
      </w:r>
      <w:r w:rsidRPr="00C67F51">
        <w:rPr>
          <w:rFonts w:ascii="Garamond" w:eastAsia="Calibri" w:hAnsi="Garamond" w:cs="Times New Roman"/>
          <w:sz w:val="24"/>
          <w:szCs w:val="24"/>
          <w:lang w:val="en-US"/>
        </w:rPr>
        <w:br/>
        <w:t xml:space="preserve">- Mieke Bal, </w:t>
      </w:r>
      <w:r w:rsidRPr="00C67F51">
        <w:rPr>
          <w:rFonts w:ascii="Garamond" w:eastAsia="Calibri" w:hAnsi="Garamond" w:cs="Times New Roman"/>
          <w:i/>
          <w:sz w:val="24"/>
          <w:szCs w:val="24"/>
          <w:lang w:val="en-US"/>
        </w:rPr>
        <w:t>Visual Essentialism and the Object of Visual Culture</w:t>
      </w:r>
      <w:r w:rsidRPr="00C67F51">
        <w:rPr>
          <w:rFonts w:ascii="Garamond" w:eastAsia="Calibri" w:hAnsi="Garamond" w:cs="Times New Roman"/>
          <w:sz w:val="24"/>
          <w:szCs w:val="24"/>
          <w:lang w:val="en-US"/>
        </w:rPr>
        <w:t xml:space="preserve"> (2003)</w:t>
      </w:r>
    </w:p>
    <w:p w:rsidR="00C67F51" w:rsidRPr="00C67F51" w:rsidRDefault="00C67F51" w:rsidP="00C67F51">
      <w:pPr>
        <w:spacing w:line="360" w:lineRule="auto"/>
        <w:jc w:val="center"/>
        <w:rPr>
          <w:rFonts w:ascii="Garamond" w:eastAsia="Calibri" w:hAnsi="Garamond" w:cs="Times New Roman"/>
          <w:sz w:val="24"/>
          <w:szCs w:val="24"/>
          <w:lang w:val="en-US"/>
        </w:rPr>
      </w:pPr>
      <w:r w:rsidRPr="00C67F51">
        <w:rPr>
          <w:rFonts w:ascii="Garamond" w:eastAsia="Calibri" w:hAnsi="Garamond" w:cs="Times New Roman"/>
          <w:sz w:val="24"/>
          <w:szCs w:val="24"/>
          <w:lang w:val="en-US"/>
        </w:rPr>
        <w:t xml:space="preserve">“I imagined myself approaching an author from behind and giving him a child that would indeed be his but would nonetheless be monstrous” </w:t>
      </w:r>
      <w:r w:rsidRPr="00C67F51">
        <w:rPr>
          <w:rFonts w:ascii="Garamond" w:eastAsia="Calibri" w:hAnsi="Garamond" w:cs="Times New Roman"/>
          <w:sz w:val="24"/>
          <w:szCs w:val="24"/>
          <w:lang w:val="en-US"/>
        </w:rPr>
        <w:br/>
        <w:t xml:space="preserve">- Gilles Deleuze and Felix Guattari, </w:t>
      </w:r>
      <w:r w:rsidRPr="00C67F51">
        <w:rPr>
          <w:rFonts w:ascii="Garamond" w:eastAsia="Calibri" w:hAnsi="Garamond" w:cs="Times New Roman"/>
          <w:i/>
          <w:sz w:val="24"/>
          <w:szCs w:val="24"/>
          <w:lang w:val="en-US"/>
        </w:rPr>
        <w:t>A Thousand Plateaus</w:t>
      </w:r>
      <w:r w:rsidRPr="00C67F51">
        <w:rPr>
          <w:rFonts w:ascii="Garamond" w:eastAsia="Calibri" w:hAnsi="Garamond" w:cs="Times New Roman"/>
          <w:sz w:val="24"/>
          <w:szCs w:val="24"/>
          <w:lang w:val="en-US"/>
        </w:rPr>
        <w:t xml:space="preserve"> (1987)</w:t>
      </w:r>
      <w:r w:rsidRPr="00C67F51">
        <w:rPr>
          <w:rFonts w:ascii="Garamond" w:eastAsia="Calibri" w:hAnsi="Garamond" w:cs="Times New Roman"/>
          <w:sz w:val="24"/>
          <w:szCs w:val="24"/>
          <w:vertAlign w:val="superscript"/>
          <w:lang w:val="en-US"/>
        </w:rPr>
        <w:footnoteReference w:id="1"/>
      </w:r>
    </w:p>
    <w:p w:rsidR="00C67F51" w:rsidRPr="00C67F51" w:rsidRDefault="00C67F51" w:rsidP="00C67F51">
      <w:pPr>
        <w:spacing w:line="360" w:lineRule="auto"/>
        <w:rPr>
          <w:rFonts w:ascii="Garamond" w:eastAsia="Calibri" w:hAnsi="Garamond" w:cs="Times New Roman"/>
          <w:sz w:val="24"/>
          <w:szCs w:val="24"/>
          <w:lang w:val="en-US"/>
        </w:rPr>
      </w:pPr>
    </w:p>
    <w:p w:rsidR="00C67F51" w:rsidRPr="00C67F51" w:rsidRDefault="00C67F51" w:rsidP="00C67F51">
      <w:pPr>
        <w:spacing w:line="360" w:lineRule="auto"/>
        <w:rPr>
          <w:rFonts w:ascii="Garamond" w:eastAsia="Calibri" w:hAnsi="Garamond" w:cs="Times New Roman"/>
          <w:sz w:val="24"/>
          <w:szCs w:val="24"/>
          <w:lang w:val="en-US"/>
        </w:rPr>
      </w:pPr>
      <w:r w:rsidRPr="00C67F51">
        <w:rPr>
          <w:rFonts w:ascii="Garamond" w:eastAsia="Calibri" w:hAnsi="Garamond" w:cs="Times New Roman"/>
          <w:sz w:val="24"/>
          <w:szCs w:val="24"/>
          <w:lang w:val="en-US"/>
        </w:rPr>
        <w:t>Here there was a chimera. To begin in the past tense is to move against the metaphysical certainty of ‘the origin’</w:t>
      </w:r>
      <w:r w:rsidRPr="00C67F51">
        <w:rPr>
          <w:rFonts w:ascii="Garamond" w:eastAsia="Calibri" w:hAnsi="Garamond" w:cs="Times New Roman"/>
          <w:sz w:val="24"/>
          <w:szCs w:val="24"/>
          <w:vertAlign w:val="superscript"/>
          <w:lang w:val="en-US"/>
        </w:rPr>
        <w:footnoteReference w:id="2"/>
      </w:r>
      <w:r w:rsidRPr="00C67F51">
        <w:rPr>
          <w:rFonts w:ascii="Garamond" w:eastAsia="Calibri" w:hAnsi="Garamond" w:cs="Times New Roman"/>
          <w:sz w:val="24"/>
          <w:szCs w:val="24"/>
          <w:lang w:val="en-US"/>
        </w:rPr>
        <w:t>, the latter evoking, for me, an image of amber “which holds the fly so as to know nothing of its flight” (Lacan in Lemaire, 1977: xv)</w:t>
      </w:r>
      <w:r w:rsidRPr="00C67F51">
        <w:rPr>
          <w:rFonts w:ascii="Garamond" w:eastAsia="Calibri" w:hAnsi="Garamond" w:cs="Times New Roman"/>
          <w:sz w:val="24"/>
          <w:szCs w:val="24"/>
          <w:vertAlign w:val="superscript"/>
          <w:lang w:val="en-US"/>
        </w:rPr>
        <w:footnoteReference w:id="3"/>
      </w:r>
      <w:r w:rsidRPr="00C67F51">
        <w:rPr>
          <w:rFonts w:ascii="Garamond" w:eastAsia="Calibri" w:hAnsi="Garamond" w:cs="Times New Roman"/>
          <w:sz w:val="24"/>
          <w:szCs w:val="24"/>
          <w:lang w:val="en-US"/>
        </w:rPr>
        <w:t>.  To begin with this siren is at one ‘turn’</w:t>
      </w:r>
      <w:r w:rsidRPr="00C67F51">
        <w:rPr>
          <w:rFonts w:ascii="Garamond" w:eastAsia="Calibri" w:hAnsi="Garamond" w:cs="Times New Roman"/>
          <w:sz w:val="24"/>
          <w:szCs w:val="24"/>
          <w:vertAlign w:val="superscript"/>
          <w:lang w:val="en-US"/>
        </w:rPr>
        <w:footnoteReference w:id="4"/>
      </w:r>
      <w:r w:rsidRPr="00C67F51">
        <w:rPr>
          <w:rFonts w:ascii="Garamond" w:eastAsia="Calibri" w:hAnsi="Garamond" w:cs="Times New Roman"/>
          <w:sz w:val="24"/>
          <w:szCs w:val="24"/>
          <w:lang w:val="en-US"/>
        </w:rPr>
        <w:t xml:space="preserve"> to draw attention to the dangers of the </w:t>
      </w:r>
      <w:r w:rsidRPr="00C67F51">
        <w:rPr>
          <w:rFonts w:ascii="Garamond" w:eastAsia="Calibri" w:hAnsi="Garamond" w:cs="Times New Roman"/>
          <w:i/>
          <w:sz w:val="24"/>
          <w:szCs w:val="24"/>
          <w:lang w:val="en-US"/>
        </w:rPr>
        <w:t>form</w:t>
      </w:r>
      <w:r w:rsidRPr="00C67F51">
        <w:rPr>
          <w:rFonts w:ascii="Garamond" w:eastAsia="Calibri" w:hAnsi="Garamond" w:cs="Times New Roman"/>
          <w:sz w:val="24"/>
          <w:szCs w:val="24"/>
          <w:lang w:val="en-US"/>
        </w:rPr>
        <w:t xml:space="preserve"> in which these words are written. Here is an assemblage</w:t>
      </w:r>
      <w:r w:rsidRPr="00C67F51">
        <w:rPr>
          <w:rFonts w:ascii="Garamond" w:eastAsia="Calibri" w:hAnsi="Garamond" w:cs="Times New Roman"/>
          <w:sz w:val="24"/>
          <w:szCs w:val="24"/>
          <w:vertAlign w:val="superscript"/>
          <w:lang w:val="en-US"/>
        </w:rPr>
        <w:footnoteReference w:id="5"/>
      </w:r>
      <w:r w:rsidRPr="00C67F51">
        <w:rPr>
          <w:rFonts w:ascii="Garamond" w:eastAsia="Calibri" w:hAnsi="Garamond" w:cs="Times New Roman"/>
          <w:sz w:val="24"/>
          <w:szCs w:val="24"/>
          <w:lang w:val="en-US"/>
        </w:rPr>
        <w:t xml:space="preserve"> that attempts to recognize that “blasphemy is not apostasy” (Haraway, 1991: 150). It is to acknowledge my complicity in creating concepts which are ‘mutilated’ and ‘mutilating’ (Morin, 1992: 3)</w:t>
      </w:r>
      <w:r w:rsidRPr="00C67F51">
        <w:rPr>
          <w:rFonts w:ascii="Garamond" w:eastAsia="Calibri" w:hAnsi="Garamond" w:cs="Times New Roman"/>
          <w:sz w:val="24"/>
          <w:szCs w:val="24"/>
          <w:vertAlign w:val="superscript"/>
          <w:lang w:val="en-US"/>
        </w:rPr>
        <w:footnoteReference w:id="6"/>
      </w:r>
      <w:r w:rsidRPr="00C67F51">
        <w:rPr>
          <w:rFonts w:ascii="Garamond" w:eastAsia="Calibri" w:hAnsi="Garamond" w:cs="Times New Roman"/>
          <w:sz w:val="24"/>
          <w:szCs w:val="24"/>
          <w:lang w:val="en-US"/>
        </w:rPr>
        <w:t>. Importantly, for me, the very act or action of writing this is, another ‘turn’, a move against the knot that bound Lacan into a “silent stupor of Nietzschean aphasia” (Roudinesco, 1997: 359)</w:t>
      </w:r>
      <w:r w:rsidRPr="00C67F51">
        <w:rPr>
          <w:rFonts w:ascii="Garamond" w:eastAsia="Calibri" w:hAnsi="Garamond" w:cs="Times New Roman"/>
          <w:sz w:val="24"/>
          <w:szCs w:val="24"/>
          <w:vertAlign w:val="superscript"/>
          <w:lang w:val="en-US"/>
        </w:rPr>
        <w:footnoteReference w:id="7"/>
      </w:r>
      <w:r w:rsidRPr="00C67F51">
        <w:rPr>
          <w:rFonts w:ascii="Garamond" w:eastAsia="Calibri" w:hAnsi="Garamond" w:cs="Times New Roman"/>
          <w:sz w:val="24"/>
          <w:szCs w:val="24"/>
          <w:lang w:val="en-US"/>
        </w:rPr>
        <w:t xml:space="preserve">. It is the grasp that while “we cannot make purely objective and final claims about our complex world”, we still “have to make choices and thus cannot escape the normative or ethical domain” (Cilliers, 2005: 259). This action may perhaps thus be read as a </w:t>
      </w:r>
      <w:r w:rsidRPr="00C67F51">
        <w:rPr>
          <w:rFonts w:ascii="Garamond" w:eastAsia="Calibri" w:hAnsi="Garamond" w:cs="Times New Roman"/>
          <w:sz w:val="24"/>
          <w:szCs w:val="24"/>
          <w:lang w:val="en-US"/>
        </w:rPr>
        <w:lastRenderedPageBreak/>
        <w:t xml:space="preserve">critically informed ethical </w:t>
      </w:r>
      <w:r w:rsidRPr="00C67F51">
        <w:rPr>
          <w:rFonts w:ascii="Garamond" w:eastAsia="Calibri" w:hAnsi="Garamond" w:cs="Times New Roman"/>
          <w:i/>
          <w:sz w:val="24"/>
          <w:szCs w:val="24"/>
          <w:lang w:val="en-US"/>
        </w:rPr>
        <w:t>decision</w:t>
      </w:r>
      <w:r w:rsidRPr="00C67F51">
        <w:rPr>
          <w:rFonts w:ascii="Garamond" w:eastAsia="Calibri" w:hAnsi="Garamond" w:cs="Times New Roman"/>
          <w:sz w:val="24"/>
          <w:szCs w:val="24"/>
          <w:lang w:val="en-US"/>
        </w:rPr>
        <w:t>, born through dissatisfaction</w:t>
      </w:r>
      <w:r w:rsidRPr="00C67F51">
        <w:rPr>
          <w:rFonts w:ascii="Garamond" w:eastAsia="Calibri" w:hAnsi="Garamond" w:cs="Times New Roman"/>
          <w:sz w:val="24"/>
          <w:szCs w:val="24"/>
          <w:vertAlign w:val="superscript"/>
          <w:lang w:val="en-US"/>
        </w:rPr>
        <w:footnoteReference w:id="8"/>
      </w:r>
      <w:r w:rsidRPr="00C67F51">
        <w:rPr>
          <w:rFonts w:ascii="Garamond" w:eastAsia="Calibri" w:hAnsi="Garamond" w:cs="Times New Roman"/>
          <w:sz w:val="24"/>
          <w:szCs w:val="24"/>
          <w:lang w:val="en-US"/>
        </w:rPr>
        <w:t xml:space="preserve"> and through urgency</w:t>
      </w:r>
      <w:r w:rsidRPr="00C67F51">
        <w:rPr>
          <w:rFonts w:ascii="Garamond" w:eastAsia="Calibri" w:hAnsi="Garamond" w:cs="Times New Roman"/>
          <w:sz w:val="24"/>
          <w:szCs w:val="24"/>
          <w:vertAlign w:val="superscript"/>
          <w:lang w:val="en-US"/>
        </w:rPr>
        <w:footnoteReference w:id="9"/>
      </w:r>
      <w:r w:rsidRPr="00C67F51">
        <w:rPr>
          <w:rFonts w:ascii="Garamond" w:eastAsia="Calibri" w:hAnsi="Garamond" w:cs="Times New Roman"/>
          <w:sz w:val="24"/>
          <w:szCs w:val="24"/>
          <w:lang w:val="en-US"/>
        </w:rPr>
        <w:t xml:space="preserve"> or an acknowledgement that “mutilating thought is not confined to theory, it has effects in the world and leads to mutilating action” (Hermanus, 2010: 23)</w:t>
      </w:r>
      <w:r w:rsidRPr="00C67F51">
        <w:rPr>
          <w:rFonts w:ascii="Garamond" w:eastAsia="Calibri" w:hAnsi="Garamond" w:cs="Times New Roman"/>
          <w:sz w:val="24"/>
          <w:szCs w:val="24"/>
          <w:vertAlign w:val="superscript"/>
          <w:lang w:val="en-US"/>
        </w:rPr>
        <w:footnoteReference w:id="10"/>
      </w:r>
      <w:r w:rsidRPr="00C67F51">
        <w:rPr>
          <w:rFonts w:ascii="Garamond" w:eastAsia="Calibri" w:hAnsi="Garamond" w:cs="Times New Roman"/>
          <w:sz w:val="24"/>
          <w:szCs w:val="24"/>
          <w:lang w:val="en-US"/>
        </w:rPr>
        <w:t xml:space="preserve">. </w:t>
      </w:r>
    </w:p>
    <w:p w:rsidR="00C67F51" w:rsidRPr="00C67F51" w:rsidRDefault="00C67F51" w:rsidP="00C67F51">
      <w:pPr>
        <w:spacing w:line="360" w:lineRule="auto"/>
        <w:rPr>
          <w:rFonts w:ascii="Garamond" w:eastAsia="Calibri" w:hAnsi="Garamond" w:cs="Times New Roman"/>
          <w:sz w:val="24"/>
          <w:szCs w:val="24"/>
          <w:lang w:val="en-US"/>
        </w:rPr>
      </w:pPr>
      <w:r w:rsidRPr="00C67F51">
        <w:rPr>
          <w:rFonts w:ascii="Garamond" w:eastAsia="Calibri" w:hAnsi="Garamond" w:cs="Times New Roman"/>
          <w:sz w:val="24"/>
          <w:szCs w:val="24"/>
          <w:lang w:val="en-US"/>
        </w:rPr>
        <w:t>The invocation of the monster in the context of this experiment with form is an attempt to move away from stupefying horror and to look rather towards productive and generative strategies; to perhaps see the potential of ‘monstration’</w:t>
      </w:r>
      <w:r w:rsidRPr="00C67F51">
        <w:rPr>
          <w:rFonts w:ascii="Garamond" w:eastAsia="Calibri" w:hAnsi="Garamond" w:cs="Times New Roman"/>
          <w:sz w:val="24"/>
          <w:szCs w:val="24"/>
          <w:vertAlign w:val="superscript"/>
          <w:lang w:val="en-US"/>
        </w:rPr>
        <w:footnoteReference w:id="11"/>
      </w:r>
      <w:r w:rsidRPr="00C67F51">
        <w:rPr>
          <w:rFonts w:ascii="Garamond" w:eastAsia="Calibri" w:hAnsi="Garamond" w:cs="Times New Roman"/>
          <w:sz w:val="24"/>
          <w:szCs w:val="24"/>
          <w:lang w:val="en-US"/>
        </w:rPr>
        <w:t>.  It is to look at Montaigne’s ‘cannibals’ rather than simply disregarding them in ‘liberal’ indignation or revolt</w:t>
      </w:r>
      <w:r w:rsidRPr="00C67F51">
        <w:rPr>
          <w:rFonts w:ascii="Garamond" w:eastAsia="Calibri" w:hAnsi="Garamond" w:cs="Times New Roman"/>
          <w:sz w:val="24"/>
          <w:szCs w:val="24"/>
          <w:vertAlign w:val="superscript"/>
          <w:lang w:val="en-US"/>
        </w:rPr>
        <w:footnoteReference w:id="12"/>
      </w:r>
      <w:r w:rsidRPr="00C67F51">
        <w:rPr>
          <w:rFonts w:ascii="Garamond" w:eastAsia="Calibri" w:hAnsi="Garamond" w:cs="Times New Roman"/>
          <w:sz w:val="24"/>
          <w:szCs w:val="24"/>
          <w:lang w:val="en-US"/>
        </w:rPr>
        <w:t xml:space="preserve">. This gestural writing may perhaps be aligned with Roland Barthes’ use of ‘ink blots’ which longed for a space before and beyond “gestures that work as discourses of intimidation… of domination” </w:t>
      </w:r>
      <w:r w:rsidRPr="00C67F51">
        <w:rPr>
          <w:rFonts w:ascii="Times New Roman" w:eastAsia="Calibri" w:hAnsi="Times New Roman" w:cs="Times New Roman"/>
          <w:sz w:val="24"/>
          <w:szCs w:val="20"/>
        </w:rPr>
        <w:t>(</w:t>
      </w:r>
      <w:r w:rsidRPr="00C67F51">
        <w:rPr>
          <w:rFonts w:ascii="Garamond" w:eastAsia="Calibri" w:hAnsi="Garamond" w:cs="Times New Roman"/>
          <w:sz w:val="24"/>
          <w:szCs w:val="20"/>
        </w:rPr>
        <w:t>Barthes in Badmington, 2008: 89)</w:t>
      </w:r>
      <w:r w:rsidRPr="00C67F51">
        <w:rPr>
          <w:rFonts w:ascii="Times New Roman" w:eastAsia="Calibri" w:hAnsi="Times New Roman" w:cs="Times New Roman"/>
          <w:sz w:val="24"/>
          <w:szCs w:val="20"/>
        </w:rPr>
        <w:t>.</w:t>
      </w:r>
      <w:r w:rsidRPr="00C67F51">
        <w:rPr>
          <w:rFonts w:ascii="Garamond" w:eastAsia="Calibri" w:hAnsi="Garamond" w:cs="Times New Roman"/>
          <w:sz w:val="24"/>
          <w:szCs w:val="24"/>
          <w:lang w:val="en-US"/>
        </w:rPr>
        <w:t xml:space="preserve"> There is at least the possibility that this domination may be weakened at the knees when faced with Bakhtin’s ‘grotesque’, in which any particular utterance is always already a part of a “potentially endless chain of signification” (Gardiner, 2004: 36). To here perhaps appropriately supplement this supplement, Hermanus, in reference to both Derrida and Rudolph Gasché, states, “the chain of infrastructures is always open to further supplementation” (2010: 6).  The movement away from the amber closure of the ‘origin’, where the “unoriginal </w:t>
      </w:r>
      <w:r w:rsidRPr="00C67F51">
        <w:rPr>
          <w:rFonts w:ascii="Garamond" w:eastAsia="Calibri" w:hAnsi="Garamond" w:cs="Times New Roman"/>
          <w:sz w:val="24"/>
          <w:szCs w:val="24"/>
          <w:lang w:val="en-US"/>
        </w:rPr>
        <w:lastRenderedPageBreak/>
        <w:t>usurps the place of the origin” (Hermanus, 2010: 61) is to also to make a move against linearity, to move rather towards relationality</w:t>
      </w:r>
      <w:r w:rsidRPr="00C67F51">
        <w:rPr>
          <w:rFonts w:ascii="Garamond" w:eastAsia="Calibri" w:hAnsi="Garamond" w:cs="Times New Roman"/>
          <w:sz w:val="24"/>
          <w:szCs w:val="24"/>
          <w:vertAlign w:val="superscript"/>
          <w:lang w:val="en-US"/>
        </w:rPr>
        <w:footnoteReference w:id="13"/>
      </w:r>
      <w:r w:rsidRPr="00C67F51">
        <w:rPr>
          <w:rFonts w:ascii="Garamond" w:eastAsia="Calibri" w:hAnsi="Garamond" w:cs="Times New Roman"/>
          <w:sz w:val="24"/>
          <w:szCs w:val="24"/>
          <w:lang w:val="en-US"/>
        </w:rPr>
        <w:t xml:space="preserve">, towards the intransitive verb of </w:t>
      </w:r>
      <w:r w:rsidRPr="00C67F51">
        <w:rPr>
          <w:rFonts w:ascii="Garamond" w:eastAsia="Calibri" w:hAnsi="Garamond" w:cs="Times New Roman"/>
          <w:i/>
          <w:sz w:val="24"/>
          <w:szCs w:val="24"/>
          <w:lang w:val="en-US"/>
        </w:rPr>
        <w:t>becoming</w:t>
      </w:r>
      <w:r w:rsidRPr="00C67F51">
        <w:rPr>
          <w:rFonts w:ascii="Garamond" w:eastAsia="Calibri" w:hAnsi="Garamond" w:cs="Times New Roman"/>
          <w:sz w:val="24"/>
          <w:szCs w:val="24"/>
          <w:lang w:val="en-US"/>
        </w:rPr>
        <w:t xml:space="preserve">. </w:t>
      </w:r>
    </w:p>
    <w:p w:rsidR="00C67F51" w:rsidRPr="00C67F51" w:rsidRDefault="00C67F51" w:rsidP="00C67F51">
      <w:pPr>
        <w:spacing w:line="360" w:lineRule="auto"/>
        <w:rPr>
          <w:rFonts w:ascii="Garamond" w:eastAsia="Calibri" w:hAnsi="Garamond" w:cs="Times New Roman"/>
          <w:sz w:val="24"/>
          <w:szCs w:val="24"/>
        </w:rPr>
      </w:pPr>
      <w:r w:rsidRPr="00C67F51">
        <w:rPr>
          <w:rFonts w:ascii="Garamond" w:eastAsia="Calibri" w:hAnsi="Garamond" w:cs="Times New Roman"/>
          <w:sz w:val="24"/>
          <w:szCs w:val="24"/>
          <w:lang w:val="en-US"/>
        </w:rPr>
        <w:t xml:space="preserve">In the word ‘becoming’ (as well as in others that have already been put to paper) </w:t>
      </w:r>
      <w:r w:rsidRPr="00C67F51">
        <w:rPr>
          <w:rFonts w:ascii="Garamond" w:eastAsia="Calibri" w:hAnsi="Garamond" w:cs="Times New Roman"/>
          <w:i/>
          <w:sz w:val="24"/>
          <w:szCs w:val="24"/>
          <w:lang w:val="en-US"/>
        </w:rPr>
        <w:t>movement</w:t>
      </w:r>
      <w:r w:rsidRPr="00C67F51">
        <w:rPr>
          <w:rFonts w:ascii="Garamond" w:eastAsia="Calibri" w:hAnsi="Garamond" w:cs="Times New Roman"/>
          <w:sz w:val="24"/>
          <w:szCs w:val="24"/>
          <w:lang w:val="en-US"/>
        </w:rPr>
        <w:t xml:space="preserve"> clearly operates and, I will here say, that this could perhaps be an alternative to the inertia identified by Fanon where the focus is “a hard core of culture”  which, he argued was “becoming more and more shriveled up… and empty” (1959: 2)</w:t>
      </w:r>
      <w:r w:rsidRPr="00C67F51">
        <w:rPr>
          <w:rFonts w:ascii="Garamond" w:eastAsia="Calibri" w:hAnsi="Garamond" w:cs="Times New Roman"/>
          <w:sz w:val="24"/>
          <w:szCs w:val="24"/>
          <w:vertAlign w:val="superscript"/>
          <w:lang w:val="en-US"/>
        </w:rPr>
        <w:footnoteReference w:id="14"/>
      </w:r>
      <w:r w:rsidRPr="00C67F51">
        <w:rPr>
          <w:rFonts w:ascii="Garamond" w:eastAsia="Calibri" w:hAnsi="Garamond" w:cs="Times New Roman"/>
          <w:sz w:val="24"/>
          <w:szCs w:val="24"/>
          <w:lang w:val="en-US"/>
        </w:rPr>
        <w:t xml:space="preserve">. Becoming as movement could also speak to Mbembe’s observation that “politics can only be placed as a spiral transgression, as that difference that disorients the very idea of the limit” (2003: 16). As </w:t>
      </w:r>
      <w:r w:rsidRPr="00C67F51">
        <w:rPr>
          <w:rFonts w:ascii="Garamond" w:eastAsia="Calibri" w:hAnsi="Garamond" w:cs="Times New Roman"/>
          <w:sz w:val="24"/>
          <w:szCs w:val="24"/>
        </w:rPr>
        <w:t>Deleuze and Guattari recognized, becoming “has a consistency all of its own; it does not reduce to, or lead back to, ‘appearing’, ‘being’, ‘equalling’, or ‘producing’” (1987: 239). From the perspective of becoming, no fixed, ordered, endogenous identity may be identified. Rather, this perspective allows for the complexity of persons in process</w:t>
      </w:r>
      <w:r w:rsidRPr="00C67F51">
        <w:rPr>
          <w:rFonts w:ascii="Garamond" w:eastAsia="Calibri" w:hAnsi="Garamond" w:cs="Times New Roman"/>
          <w:sz w:val="24"/>
          <w:szCs w:val="24"/>
          <w:vertAlign w:val="superscript"/>
        </w:rPr>
        <w:footnoteReference w:id="15"/>
      </w:r>
      <w:r w:rsidRPr="00C67F51">
        <w:rPr>
          <w:rFonts w:ascii="Garamond" w:eastAsia="Calibri" w:hAnsi="Garamond" w:cs="Times New Roman"/>
          <w:sz w:val="24"/>
          <w:szCs w:val="24"/>
        </w:rPr>
        <w:t>, a possibly ‘urgent’ perspective granting that “to immobilize the difference of subjectivity in the singularity of identity is a deception of breathtaking proportions... for what it requires is nothing less than that we treat the flux of the real as imaginary, on order to treat the fixity of the imaginary as real” (Sayer, 2004: 75).</w:t>
      </w:r>
      <w:r w:rsidRPr="00C67F51">
        <w:rPr>
          <w:rFonts w:ascii="Garamond" w:eastAsia="Calibri" w:hAnsi="Garamond" w:cs="Times New Roman"/>
          <w:sz w:val="24"/>
          <w:szCs w:val="24"/>
          <w:vertAlign w:val="superscript"/>
        </w:rPr>
        <w:footnoteReference w:id="16"/>
      </w:r>
      <w:r w:rsidRPr="00C67F51">
        <w:rPr>
          <w:rFonts w:ascii="Garamond" w:eastAsia="Calibri" w:hAnsi="Garamond" w:cs="Times New Roman"/>
          <w:sz w:val="24"/>
          <w:szCs w:val="24"/>
        </w:rPr>
        <w:t xml:space="preserve">  To move closer, “identity- whether of an individual or collective (a race, a class, a gender, a nation, a society) - </w:t>
      </w:r>
      <w:r w:rsidRPr="00C67F51">
        <w:rPr>
          <w:rFonts w:ascii="Garamond" w:eastAsia="Calibri" w:hAnsi="Garamond" w:cs="Times New Roman"/>
          <w:i/>
          <w:sz w:val="24"/>
          <w:szCs w:val="24"/>
        </w:rPr>
        <w:t>cannot</w:t>
      </w:r>
      <w:r w:rsidRPr="00C67F51">
        <w:rPr>
          <w:rFonts w:ascii="Garamond" w:eastAsia="Calibri" w:hAnsi="Garamond" w:cs="Times New Roman"/>
          <w:sz w:val="24"/>
          <w:szCs w:val="24"/>
        </w:rPr>
        <w:t xml:space="preserve"> be what we usually imagine it to be; at least, not so long as we continue to equate identity with the subject, and reduce the subject to his, her, or its identity” (2004: 70, emphasis in original). It is perhaps here that Benedict Anderson’s caution against the tendency to hypostasize ‘Nationalism-with-a-big-N’ may be embodied (1991: 49). Further, to place the acknowledgement that “all human societies participate in a complex order” (Mbembe, 2001: 8) in a more intimate relation with ‘development’; “By imaginary significations, we mean ‘that something invented’ that, paradoxically becomes necessary because ‘that something’ plays a key role, both in the world the West constitutes for itself and in the West’s apologetic concerns and exclusionary and </w:t>
      </w:r>
      <w:r w:rsidRPr="00C67F51">
        <w:rPr>
          <w:rFonts w:ascii="Garamond" w:eastAsia="Calibri" w:hAnsi="Garamond" w:cs="Times New Roman"/>
          <w:sz w:val="24"/>
          <w:szCs w:val="24"/>
        </w:rPr>
        <w:lastRenderedPageBreak/>
        <w:t>brutal practices towards others” (Mbembe, 2001: 2)</w:t>
      </w:r>
      <w:r w:rsidRPr="00C67F51">
        <w:rPr>
          <w:rFonts w:ascii="Garamond" w:eastAsia="Calibri" w:hAnsi="Garamond" w:cs="Times New Roman"/>
          <w:sz w:val="24"/>
          <w:szCs w:val="24"/>
          <w:vertAlign w:val="superscript"/>
        </w:rPr>
        <w:footnoteReference w:id="17"/>
      </w:r>
      <w:r w:rsidRPr="00C67F51">
        <w:rPr>
          <w:rFonts w:ascii="Garamond" w:eastAsia="Calibri" w:hAnsi="Garamond" w:cs="Times New Roman"/>
          <w:sz w:val="24"/>
          <w:szCs w:val="24"/>
        </w:rPr>
        <w:t xml:space="preserve">. In other words, monsters can </w:t>
      </w:r>
      <w:r w:rsidRPr="00C67F51">
        <w:rPr>
          <w:rFonts w:ascii="Garamond" w:eastAsia="Calibri" w:hAnsi="Garamond" w:cs="Times New Roman"/>
          <w:i/>
          <w:sz w:val="24"/>
          <w:szCs w:val="24"/>
        </w:rPr>
        <w:t>and do</w:t>
      </w:r>
      <w:r w:rsidRPr="00C67F51">
        <w:rPr>
          <w:rFonts w:ascii="Garamond" w:eastAsia="Calibri" w:hAnsi="Garamond" w:cs="Times New Roman"/>
          <w:sz w:val="24"/>
          <w:szCs w:val="24"/>
        </w:rPr>
        <w:t xml:space="preserve"> destroy. </w:t>
      </w:r>
    </w:p>
    <w:p w:rsidR="00C67F51" w:rsidRPr="00C67F51" w:rsidRDefault="00C67F51" w:rsidP="00C67F51">
      <w:pPr>
        <w:spacing w:line="360" w:lineRule="auto"/>
        <w:rPr>
          <w:rFonts w:ascii="Garamond" w:eastAsia="Calibri" w:hAnsi="Garamond" w:cs="Times New Roman"/>
          <w:sz w:val="24"/>
          <w:szCs w:val="24"/>
        </w:rPr>
      </w:pPr>
      <w:r w:rsidRPr="00C67F51">
        <w:rPr>
          <w:rFonts w:ascii="Garamond" w:eastAsia="Calibri" w:hAnsi="Garamond" w:cs="Times New Roman"/>
          <w:sz w:val="24"/>
          <w:szCs w:val="24"/>
        </w:rPr>
        <w:t xml:space="preserve">To return again to the </w:t>
      </w:r>
      <w:r w:rsidRPr="00C67F51">
        <w:rPr>
          <w:rFonts w:ascii="Garamond" w:eastAsia="Calibri" w:hAnsi="Garamond" w:cs="Times New Roman"/>
          <w:i/>
          <w:sz w:val="24"/>
          <w:szCs w:val="24"/>
        </w:rPr>
        <w:t>critical choice</w:t>
      </w:r>
      <w:r w:rsidRPr="00C67F51">
        <w:rPr>
          <w:rFonts w:ascii="Garamond" w:eastAsia="Calibri" w:hAnsi="Garamond" w:cs="Times New Roman"/>
          <w:sz w:val="24"/>
          <w:szCs w:val="24"/>
        </w:rPr>
        <w:t>, the pervasiveness of simultaneously insidious and palpable mutilations has, in many ways, contributed to the prescriptive nature of what Paul Ricoeur termed the ‘hermeneutics of suspicion’ (Ricoeur in Sedgwick, 1997: 4)</w:t>
      </w:r>
      <w:r w:rsidRPr="00C67F51">
        <w:rPr>
          <w:rFonts w:ascii="Garamond" w:eastAsia="Calibri" w:hAnsi="Garamond" w:cs="Times New Roman"/>
          <w:sz w:val="24"/>
          <w:szCs w:val="24"/>
          <w:vertAlign w:val="superscript"/>
        </w:rPr>
        <w:footnoteReference w:id="18"/>
      </w:r>
      <w:r w:rsidRPr="00C67F51">
        <w:rPr>
          <w:rFonts w:ascii="Garamond" w:eastAsia="Calibri" w:hAnsi="Garamond" w:cs="Times New Roman"/>
          <w:sz w:val="24"/>
          <w:szCs w:val="24"/>
        </w:rPr>
        <w:t>. However, as Sedgwick hazards, “these infinitely doable and teachable protocols of unveiling” (1997: 19)</w:t>
      </w:r>
      <w:r w:rsidRPr="00C67F51">
        <w:rPr>
          <w:rFonts w:ascii="Garamond" w:eastAsia="Calibri" w:hAnsi="Garamond" w:cs="Times New Roman"/>
          <w:sz w:val="24"/>
          <w:szCs w:val="24"/>
          <w:vertAlign w:val="superscript"/>
        </w:rPr>
        <w:footnoteReference w:id="19"/>
      </w:r>
      <w:r w:rsidRPr="00C67F51">
        <w:rPr>
          <w:rFonts w:ascii="Garamond" w:eastAsia="Calibri" w:hAnsi="Garamond" w:cs="Times New Roman"/>
          <w:sz w:val="24"/>
          <w:szCs w:val="24"/>
        </w:rPr>
        <w:t xml:space="preserve"> may have had an “unintentionally stultifying side effect: they may have made it less rather than more possible to unpack the local, contingent relations between any given piece of knowledge and its narrative/ epistemological entailments for the seeker, knower, or teller” (1997: 4). In response to the “privileging of the concept of paranoia” (1997: 5), Sedgwick humbly suggests that “while paranoid theoretical proceedings both depend upon and reinforce the structural dominance of monopolistic ‘strong theory’, there may be benefit in exploring the extremely varied, dynamic, and historically contingent ways that strong theoretical constructs interact with weak ones in the ecology of knowing” (1997: 21). Rogoff makes a similar observation; “While being able to exercise critical judgment is clearly important, it operates by providing a series of sign posts and warnings but does not actualise people’s… often intuitive notions of how to produce criticality through inhabiting a problem rather than by analysing it. This is true across education whether theoretical or practice oriented.” (2006: 1). </w:t>
      </w:r>
    </w:p>
    <w:p w:rsidR="00C67F51" w:rsidRPr="00C67F51" w:rsidRDefault="00C67F51" w:rsidP="00C67F51">
      <w:pPr>
        <w:spacing w:line="360" w:lineRule="auto"/>
        <w:rPr>
          <w:rFonts w:ascii="Garamond" w:eastAsia="Calibri" w:hAnsi="Garamond" w:cs="Times New Roman"/>
          <w:sz w:val="24"/>
          <w:szCs w:val="24"/>
        </w:rPr>
      </w:pPr>
      <w:r w:rsidRPr="00C67F51">
        <w:rPr>
          <w:rFonts w:ascii="Garamond" w:eastAsia="Calibri" w:hAnsi="Garamond" w:cs="Times New Roman"/>
          <w:sz w:val="24"/>
          <w:szCs w:val="24"/>
        </w:rPr>
        <w:t>If, as Sedgwick suggests, there is a reservoir of practices and approaches, of different modes of inhabitation, that already crucially exceed “the theorizations of a consensual hermeneutic of suspicion” (1997: 3), then how may we begin to face things differently? How may we begin to move away from reflexive and mimetic theories that do not do justice to complexity? How can we create perhaps different kinds of monsters?</w:t>
      </w:r>
    </w:p>
    <w:p w:rsidR="00C67F51" w:rsidRPr="00C67F51" w:rsidRDefault="00C67F51" w:rsidP="00C67F51">
      <w:pPr>
        <w:spacing w:line="360" w:lineRule="auto"/>
        <w:rPr>
          <w:rFonts w:ascii="Garamond" w:eastAsia="Calibri" w:hAnsi="Garamond" w:cs="Times New Roman"/>
          <w:sz w:val="24"/>
          <w:szCs w:val="24"/>
          <w:lang w:val="en-US"/>
        </w:rPr>
      </w:pPr>
      <w:r w:rsidRPr="00C67F51">
        <w:rPr>
          <w:rFonts w:ascii="Garamond" w:eastAsia="Calibri" w:hAnsi="Garamond" w:cs="Times New Roman"/>
          <w:sz w:val="24"/>
          <w:szCs w:val="24"/>
        </w:rPr>
        <w:t xml:space="preserve">Rogoff’s notion of ‘smuggling’ may here provide a clue. Smuggling operates as a “form of surreptitious transfer, of clandestine transfer from one realm into another. The passage of </w:t>
      </w:r>
      <w:r w:rsidRPr="00C67F51">
        <w:rPr>
          <w:rFonts w:ascii="Garamond" w:eastAsia="Calibri" w:hAnsi="Garamond" w:cs="Times New Roman"/>
          <w:sz w:val="24"/>
          <w:szCs w:val="24"/>
        </w:rPr>
        <w:lastRenderedPageBreak/>
        <w:t>contraband from here to there is not sanctioned and does not have visible and available protocols to follow. Its workings embody a state of precariousness… Smuggling operates as a principle of movement, of fluidity and of dissemination that disregards boundaries’ (2006: 4).  This paper, at the onset, embraces this notion as both subject matter and operating methodology</w:t>
      </w:r>
      <w:r w:rsidRPr="00C67F51">
        <w:rPr>
          <w:rFonts w:ascii="Garamond" w:eastAsia="Calibri" w:hAnsi="Garamond" w:cs="Times New Roman"/>
          <w:sz w:val="24"/>
          <w:szCs w:val="24"/>
          <w:vertAlign w:val="superscript"/>
        </w:rPr>
        <w:footnoteReference w:id="20"/>
      </w:r>
      <w:r w:rsidRPr="00C67F51">
        <w:rPr>
          <w:rFonts w:ascii="Garamond" w:eastAsia="Calibri" w:hAnsi="Garamond" w:cs="Times New Roman"/>
          <w:sz w:val="24"/>
          <w:szCs w:val="24"/>
        </w:rPr>
        <w:t>; assembling a grotesque fantasy from orphaned thoughts</w:t>
      </w:r>
      <w:r w:rsidRPr="00C67F51">
        <w:rPr>
          <w:rFonts w:ascii="Garamond" w:eastAsia="Calibri" w:hAnsi="Garamond" w:cs="Times New Roman"/>
          <w:sz w:val="24"/>
          <w:szCs w:val="24"/>
          <w:vertAlign w:val="superscript"/>
        </w:rPr>
        <w:footnoteReference w:id="21"/>
      </w:r>
      <w:r w:rsidRPr="00C67F51">
        <w:rPr>
          <w:rFonts w:ascii="Garamond" w:eastAsia="Calibri" w:hAnsi="Garamond" w:cs="Times New Roman"/>
          <w:sz w:val="24"/>
          <w:szCs w:val="24"/>
        </w:rPr>
        <w:t xml:space="preserve"> through smuggling against discipline(s.). To </w:t>
      </w:r>
      <w:r w:rsidRPr="00C67F51">
        <w:rPr>
          <w:rFonts w:ascii="Garamond" w:eastAsia="Calibri" w:hAnsi="Garamond" w:cs="Times New Roman"/>
          <w:sz w:val="24"/>
          <w:szCs w:val="24"/>
          <w:lang w:val="en-US"/>
        </w:rPr>
        <w:t>begin in a critical fantasy is to operate in the hope of modesty</w:t>
      </w:r>
      <w:r w:rsidRPr="00C67F51">
        <w:rPr>
          <w:rFonts w:ascii="Garamond" w:eastAsia="Calibri" w:hAnsi="Garamond" w:cs="Times New Roman"/>
          <w:sz w:val="24"/>
          <w:szCs w:val="24"/>
          <w:vertAlign w:val="superscript"/>
          <w:lang w:val="en-US"/>
        </w:rPr>
        <w:footnoteReference w:id="22"/>
      </w:r>
      <w:r w:rsidRPr="00C67F51">
        <w:rPr>
          <w:rFonts w:ascii="Garamond" w:eastAsia="Calibri" w:hAnsi="Garamond" w:cs="Times New Roman"/>
          <w:sz w:val="24"/>
          <w:szCs w:val="20"/>
        </w:rPr>
        <w:t>, while nonetheless being aware of a particular meaning of ‘becoming’ in terms of a response-ability, in terms of becoming “answerable for what we learn how to see</w:t>
      </w:r>
      <w:r w:rsidRPr="00C67F51">
        <w:rPr>
          <w:rFonts w:ascii="Garamond" w:eastAsia="Calibri" w:hAnsi="Garamond" w:cs="Times New Roman"/>
          <w:sz w:val="24"/>
          <w:szCs w:val="24"/>
          <w:lang w:val="en-US"/>
        </w:rPr>
        <w:t xml:space="preserve">” (Haraway in Bartsch, et. al, 2001: 134) as it may be “precisely this effort that parses the distinction between relativism and its alternative, relationality” (Bartsch, et. al, 2001: 134). </w:t>
      </w:r>
    </w:p>
    <w:p w:rsidR="00C67F51" w:rsidRPr="00C67F51" w:rsidRDefault="00C67F51" w:rsidP="00C67F51">
      <w:pPr>
        <w:spacing w:line="360" w:lineRule="auto"/>
        <w:rPr>
          <w:rFonts w:ascii="Garamond" w:eastAsia="Calibri" w:hAnsi="Garamond" w:cs="Times New Roman"/>
          <w:sz w:val="24"/>
          <w:szCs w:val="24"/>
          <w:lang w:val="en-US"/>
        </w:rPr>
      </w:pPr>
      <w:r w:rsidRPr="00C67F51">
        <w:rPr>
          <w:rFonts w:ascii="Garamond" w:eastAsia="Calibri" w:hAnsi="Garamond" w:cs="Times New Roman"/>
          <w:sz w:val="24"/>
          <w:szCs w:val="24"/>
          <w:lang w:val="en-US"/>
        </w:rPr>
        <w:t xml:space="preserve">In the ‘end’, there is, simultaneously the ‘beginning’: the title of this section. As linear time has already been undermined as a strategy, ‘about-face’, in its play on ‘pre-face’, is not meant to here signify a temporal location somehow before identity. Rather, it is a play on conventional words often employed, in order to suggest a turn towards another kind of identity- an identity based not on boundaries formed from static conceptions of an immobile ‘I’, but rather, “to think of identity as a site of difference- an ontology of becoming” (Linstead and Pullen, 2006: 1295). As Sayer states, “beyond the </w:t>
      </w:r>
      <w:r w:rsidRPr="00C67F51">
        <w:rPr>
          <w:rFonts w:ascii="Garamond" w:eastAsia="Calibri" w:hAnsi="Garamond" w:cs="Times New Roman"/>
          <w:i/>
          <w:sz w:val="24"/>
          <w:szCs w:val="24"/>
          <w:lang w:val="en-US"/>
        </w:rPr>
        <w:t>imago</w:t>
      </w:r>
      <w:r w:rsidRPr="00C67F51">
        <w:rPr>
          <w:rFonts w:ascii="Garamond" w:eastAsia="Calibri" w:hAnsi="Garamond" w:cs="Times New Roman"/>
          <w:sz w:val="24"/>
          <w:szCs w:val="24"/>
          <w:lang w:val="en-US"/>
        </w:rPr>
        <w:t xml:space="preserve"> we catch a glimpse of the unadorned subject, who is both a good deal more and very much less than the imagined I, the remembered self, that we are so used to admiring in the mirror” (2004: 87). Again, to reiterate responsibility in closure (here, bearing in mind the double meaning as to also indicate </w:t>
      </w:r>
      <w:r w:rsidRPr="00C67F51">
        <w:rPr>
          <w:rFonts w:ascii="Garamond" w:eastAsia="Calibri" w:hAnsi="Garamond" w:cs="Times New Roman"/>
          <w:i/>
          <w:sz w:val="24"/>
          <w:szCs w:val="24"/>
          <w:lang w:val="en-US"/>
        </w:rPr>
        <w:t>my</w:t>
      </w:r>
      <w:r w:rsidRPr="00C67F51">
        <w:rPr>
          <w:rFonts w:ascii="Garamond" w:eastAsia="Calibri" w:hAnsi="Garamond" w:cs="Times New Roman"/>
          <w:sz w:val="24"/>
          <w:szCs w:val="24"/>
          <w:lang w:val="en-US"/>
        </w:rPr>
        <w:t xml:space="preserve"> violence in setting down a specific articulation which can never, in itself, be complete), Kristeva’s idea of identity is possibly a pertinent supplement; as Ziarek states, “Kristeva’s famous formulation of the subject-in-process/on-trial suggests, the instability of the symbolic order and the fragility of subjective identity do not imply subjective complacency or the ‘happy’ celebration of linguistic multiplicity but impose responsibility in the face of judgment coming from the other” (1995: 18). Linking this firmly to development studies, Ananta Giri evokes a related proposition, “that development ethics should draw on the tradition of self-cultivation found in ‘aesthetic ethics’ but must also avoid the </w:t>
      </w:r>
      <w:r w:rsidRPr="00C67F51">
        <w:rPr>
          <w:rFonts w:ascii="Garamond" w:eastAsia="Calibri" w:hAnsi="Garamond" w:cs="Times New Roman"/>
          <w:sz w:val="24"/>
          <w:szCs w:val="24"/>
          <w:lang w:val="en-US"/>
        </w:rPr>
        <w:lastRenderedPageBreak/>
        <w:t>possible associated narcissism, by strengthening its own tradition of facing suffering others” (Gasper and Truong, 2008: 20).</w:t>
      </w:r>
    </w:p>
    <w:p w:rsidR="00C67F51" w:rsidRPr="00C67F51" w:rsidRDefault="00C67F51" w:rsidP="00C67F51">
      <w:pPr>
        <w:spacing w:line="360" w:lineRule="auto"/>
        <w:rPr>
          <w:rFonts w:ascii="Garamond" w:eastAsia="Calibri" w:hAnsi="Garamond" w:cs="Times New Roman"/>
          <w:sz w:val="24"/>
          <w:szCs w:val="24"/>
          <w:lang w:val="en-US"/>
        </w:rPr>
      </w:pPr>
      <w:r w:rsidRPr="00C67F51">
        <w:rPr>
          <w:rFonts w:ascii="Garamond" w:eastAsia="Calibri" w:hAnsi="Garamond" w:cs="Times New Roman"/>
          <w:sz w:val="24"/>
          <w:szCs w:val="24"/>
          <w:lang w:val="en-US"/>
        </w:rPr>
        <w:t>Embracing relationality; if theorists such as Kristeva, Anderson and Bhabha, among others, have all sustained an interest in “the place of aesthetics in the construction of national narratives” (Ziarek, 1995), and if these constructions have intense and substantial ramifications through the concept and practice of ‘development’</w:t>
      </w:r>
      <w:r w:rsidRPr="00C67F51">
        <w:rPr>
          <w:rFonts w:ascii="Garamond" w:eastAsia="Calibri" w:hAnsi="Garamond" w:cs="Times New Roman"/>
          <w:sz w:val="24"/>
          <w:szCs w:val="24"/>
          <w:vertAlign w:val="superscript"/>
          <w:lang w:val="en-US"/>
        </w:rPr>
        <w:footnoteReference w:id="23"/>
      </w:r>
      <w:r w:rsidRPr="00C67F51">
        <w:rPr>
          <w:rFonts w:ascii="Garamond" w:eastAsia="Calibri" w:hAnsi="Garamond" w:cs="Times New Roman"/>
          <w:sz w:val="24"/>
          <w:szCs w:val="24"/>
          <w:lang w:val="en-US"/>
        </w:rPr>
        <w:t>, then perhaps it is to aesthetics that we should now more fully turn. However, taking into account the move away from a definitely definable ‘I’- a neatly constructed object that may be easily analyzed and consumed- the turn here is towards a consideration of aesthetic approaches that do not necessarily privilege the object-as-such (whether that ‘object’ be a person, a theory, a nation, a state and so on) but that rather open up possibilities for an acknowledgement of complexity and being-in-process. Positions in which the ‘human’ is critically complicated</w:t>
      </w:r>
      <w:r w:rsidRPr="00C67F51">
        <w:rPr>
          <w:rFonts w:ascii="Garamond" w:eastAsia="Calibri" w:hAnsi="Garamond" w:cs="Times New Roman"/>
          <w:sz w:val="24"/>
          <w:szCs w:val="24"/>
          <w:vertAlign w:val="superscript"/>
          <w:lang w:val="en-US"/>
        </w:rPr>
        <w:footnoteReference w:id="24"/>
      </w:r>
      <w:r w:rsidRPr="00C67F51">
        <w:rPr>
          <w:rFonts w:ascii="Garamond" w:eastAsia="Calibri" w:hAnsi="Garamond" w:cs="Times New Roman"/>
          <w:sz w:val="24"/>
          <w:szCs w:val="24"/>
          <w:lang w:val="en-US"/>
        </w:rPr>
        <w:t xml:space="preserve">. In opening then:  </w:t>
      </w:r>
    </w:p>
    <w:p w:rsidR="00C67F51" w:rsidRPr="00C67F51" w:rsidRDefault="00C67F51" w:rsidP="00C67F51">
      <w:pPr>
        <w:spacing w:line="360" w:lineRule="auto"/>
        <w:rPr>
          <w:rFonts w:ascii="Garamond" w:eastAsia="Calibri" w:hAnsi="Garamond" w:cs="Times New Roman"/>
          <w:sz w:val="24"/>
          <w:szCs w:val="24"/>
          <w:lang w:val="en-US"/>
        </w:rPr>
      </w:pPr>
      <w:r w:rsidRPr="00C67F51">
        <w:rPr>
          <w:rFonts w:ascii="Garamond" w:eastAsia="Calibri" w:hAnsi="Garamond" w:cs="Times New Roman"/>
          <w:sz w:val="24"/>
          <w:szCs w:val="24"/>
          <w:lang w:val="en-US"/>
        </w:rPr>
        <w:t xml:space="preserve">“Engaging in the intersections between the postmodern and the postcolonial, Kwame Appiah rightly observes that humanism ‘can be provisional, historically contingent, anti-essentialist… and still be demanding (1995: 123). A ‘critical humanism’ that is not simple naïve advocacy, liberal hubris or indeed wishful thinking is difficult to envision. Whatever such a humanism might mean, it must involve something like Alain Badiou’s provocative conception of the ‘inhuman’ energy of affirmation in art ‘to take up once again the uninhabited, the immoral, and- when successful- fundamentally inhuman, energy of affirmation. Let’s proclaim again, over and against humanity, the artistic rights of inhuman truths… rather than governing as justly as possible the minor modes of our expression’ (2006: 134).” (Richards, 2011: 50-51). </w:t>
      </w:r>
    </w:p>
    <w:p w:rsidR="00116912" w:rsidRDefault="00116912" w:rsidP="00801CF8">
      <w:pPr>
        <w:rPr>
          <w:rFonts w:ascii="Garamond" w:hAnsi="Garamond"/>
          <w:sz w:val="28"/>
          <w:szCs w:val="28"/>
        </w:rPr>
      </w:pPr>
    </w:p>
    <w:p w:rsidR="00B614BB" w:rsidRDefault="00B614BB" w:rsidP="00801CF8">
      <w:pPr>
        <w:rPr>
          <w:rFonts w:ascii="Garamond" w:hAnsi="Garamond"/>
          <w:sz w:val="28"/>
          <w:szCs w:val="28"/>
        </w:rPr>
      </w:pPr>
    </w:p>
    <w:p w:rsidR="00B614BB" w:rsidRDefault="00B614BB" w:rsidP="00801CF8">
      <w:pPr>
        <w:rPr>
          <w:rFonts w:ascii="Garamond" w:hAnsi="Garamond"/>
          <w:sz w:val="28"/>
          <w:szCs w:val="28"/>
        </w:rPr>
      </w:pPr>
    </w:p>
    <w:p w:rsidR="00B614BB" w:rsidRDefault="00B614BB" w:rsidP="00801CF8">
      <w:pPr>
        <w:rPr>
          <w:rFonts w:ascii="Garamond" w:hAnsi="Garamond"/>
          <w:sz w:val="28"/>
          <w:szCs w:val="28"/>
        </w:rPr>
      </w:pPr>
    </w:p>
    <w:p w:rsidR="00B614BB" w:rsidRDefault="00B614BB" w:rsidP="00801CF8">
      <w:pPr>
        <w:rPr>
          <w:rFonts w:ascii="Garamond" w:hAnsi="Garamond"/>
          <w:sz w:val="28"/>
          <w:szCs w:val="28"/>
        </w:rPr>
      </w:pPr>
    </w:p>
    <w:p w:rsidR="00B614BB" w:rsidRDefault="00B614BB" w:rsidP="00253BEE">
      <w:pPr>
        <w:jc w:val="center"/>
        <w:rPr>
          <w:rFonts w:ascii="Garamond" w:hAnsi="Garamond"/>
          <w:sz w:val="28"/>
          <w:szCs w:val="28"/>
        </w:rPr>
      </w:pPr>
      <w:r>
        <w:rPr>
          <w:rFonts w:ascii="Garamond" w:hAnsi="Garamond"/>
          <w:noProof/>
          <w:sz w:val="28"/>
          <w:szCs w:val="28"/>
          <w:lang w:eastAsia="en-ZA"/>
        </w:rPr>
        <w:lastRenderedPageBreak/>
        <w:drawing>
          <wp:inline distT="0" distB="0" distL="0" distR="0" wp14:anchorId="1D4D4B85" wp14:editId="3956ED3B">
            <wp:extent cx="8230196" cy="5486189"/>
            <wp:effectExtent l="317" t="0" r="318" b="317"/>
            <wp:docPr id="9" name="Picture 9" descr="G:\The final countdown\to u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he final countdown\to us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230514" cy="5486401"/>
                    </a:xfrm>
                    <a:prstGeom prst="rect">
                      <a:avLst/>
                    </a:prstGeom>
                    <a:noFill/>
                    <a:ln>
                      <a:noFill/>
                    </a:ln>
                  </pic:spPr>
                </pic:pic>
              </a:graphicData>
            </a:graphic>
          </wp:inline>
        </w:drawing>
      </w:r>
    </w:p>
    <w:p w:rsidR="00B614BB" w:rsidRDefault="00563A36" w:rsidP="00563A36">
      <w:pPr>
        <w:jc w:val="center"/>
        <w:rPr>
          <w:rFonts w:ascii="Garamond" w:hAnsi="Garamond"/>
          <w:sz w:val="28"/>
          <w:szCs w:val="28"/>
        </w:rPr>
      </w:pPr>
      <w:r>
        <w:rPr>
          <w:rFonts w:ascii="Garamond" w:hAnsi="Garamond"/>
          <w:sz w:val="28"/>
          <w:szCs w:val="28"/>
        </w:rPr>
        <w:t>Image 2</w:t>
      </w:r>
    </w:p>
    <w:p w:rsidR="00B614BB" w:rsidRPr="007A28BA" w:rsidRDefault="00B614BB" w:rsidP="00266B50">
      <w:pPr>
        <w:pStyle w:val="Heading1"/>
        <w:jc w:val="center"/>
        <w:rPr>
          <w:rFonts w:ascii="Garamond" w:hAnsi="Garamond"/>
          <w:color w:val="auto"/>
          <w:sz w:val="36"/>
          <w:szCs w:val="36"/>
        </w:rPr>
      </w:pPr>
      <w:bookmarkStart w:id="2" w:name="_Toc343854802"/>
      <w:r w:rsidRPr="007A28BA">
        <w:rPr>
          <w:rFonts w:ascii="Garamond" w:hAnsi="Garamond"/>
          <w:color w:val="auto"/>
          <w:sz w:val="36"/>
          <w:szCs w:val="36"/>
        </w:rPr>
        <w:lastRenderedPageBreak/>
        <w:t>for the kids in class that swung on their seats</w:t>
      </w:r>
      <w:bookmarkEnd w:id="2"/>
    </w:p>
    <w:p w:rsidR="00B614BB" w:rsidRPr="00B614BB" w:rsidRDefault="00B614BB" w:rsidP="00B614BB">
      <w:pPr>
        <w:jc w:val="center"/>
        <w:rPr>
          <w:rFonts w:ascii="Garamond" w:hAnsi="Garamond"/>
          <w:sz w:val="24"/>
          <w:szCs w:val="24"/>
        </w:rPr>
      </w:pPr>
    </w:p>
    <w:p w:rsidR="00B614BB" w:rsidRPr="00B614BB" w:rsidRDefault="00B614BB" w:rsidP="00B614BB">
      <w:pPr>
        <w:jc w:val="center"/>
        <w:rPr>
          <w:rFonts w:ascii="Garamond" w:hAnsi="Garamond"/>
          <w:sz w:val="24"/>
          <w:szCs w:val="24"/>
        </w:rPr>
      </w:pPr>
      <w:r w:rsidRPr="00B614BB">
        <w:rPr>
          <w:rFonts w:ascii="Garamond" w:hAnsi="Garamond"/>
          <w:sz w:val="24"/>
          <w:szCs w:val="24"/>
        </w:rPr>
        <w:t xml:space="preserve">“A theorist is one who has been undone by theory”- Irit Rogoff, </w:t>
      </w:r>
      <w:r w:rsidRPr="00B614BB">
        <w:rPr>
          <w:rFonts w:ascii="Garamond" w:hAnsi="Garamond"/>
          <w:i/>
          <w:sz w:val="24"/>
          <w:szCs w:val="24"/>
        </w:rPr>
        <w:t>What is a Theorist?</w:t>
      </w:r>
      <w:r w:rsidRPr="00B614BB">
        <w:rPr>
          <w:rFonts w:ascii="Garamond" w:hAnsi="Garamond"/>
          <w:sz w:val="24"/>
          <w:szCs w:val="24"/>
        </w:rPr>
        <w:t xml:space="preserve"> (2004) </w:t>
      </w:r>
    </w:p>
    <w:p w:rsidR="00B614BB" w:rsidRPr="00B614BB" w:rsidRDefault="00B614BB" w:rsidP="00B614BB">
      <w:pPr>
        <w:jc w:val="center"/>
        <w:rPr>
          <w:rFonts w:ascii="Garamond" w:hAnsi="Garamond"/>
          <w:sz w:val="24"/>
          <w:szCs w:val="24"/>
        </w:rPr>
      </w:pPr>
    </w:p>
    <w:p w:rsidR="00B614BB" w:rsidRPr="00B614BB" w:rsidRDefault="00B614BB" w:rsidP="00B614BB">
      <w:pPr>
        <w:jc w:val="center"/>
        <w:rPr>
          <w:rFonts w:ascii="Garamond" w:hAnsi="Garamond"/>
          <w:sz w:val="24"/>
          <w:szCs w:val="24"/>
        </w:rPr>
      </w:pPr>
      <w:r w:rsidRPr="00B614BB">
        <w:rPr>
          <w:rFonts w:ascii="Garamond" w:hAnsi="Garamond"/>
          <w:sz w:val="24"/>
          <w:szCs w:val="24"/>
        </w:rPr>
        <w:t xml:space="preserve">“In an academic situation, where disciplines as well as interdisciplinary fields are defined before all else by their respective object domains (art history, literary studies, philosophy, regional studies, period studies)… If the object domain consists of consensually categorized objects around which certain assumptions and approaches have crystallized, we are dealing with a discipline.” - Mieke Bal, </w:t>
      </w:r>
      <w:r w:rsidRPr="00B614BB">
        <w:rPr>
          <w:rFonts w:ascii="Garamond" w:hAnsi="Garamond"/>
          <w:i/>
          <w:sz w:val="24"/>
          <w:szCs w:val="24"/>
        </w:rPr>
        <w:t>Visual Essentialism and the Object of Visual Culture</w:t>
      </w:r>
      <w:r w:rsidRPr="00B614BB">
        <w:rPr>
          <w:rFonts w:ascii="Garamond" w:hAnsi="Garamond"/>
          <w:sz w:val="24"/>
          <w:szCs w:val="24"/>
        </w:rPr>
        <w:t xml:space="preserve"> (2003)</w:t>
      </w:r>
    </w:p>
    <w:p w:rsidR="00B614BB" w:rsidRPr="00B614BB" w:rsidRDefault="00B614BB" w:rsidP="00B614BB">
      <w:pPr>
        <w:jc w:val="center"/>
        <w:rPr>
          <w:rFonts w:ascii="Garamond" w:hAnsi="Garamond"/>
          <w:sz w:val="24"/>
          <w:szCs w:val="24"/>
        </w:rPr>
      </w:pPr>
    </w:p>
    <w:p w:rsidR="00B614BB" w:rsidRPr="00B614BB" w:rsidRDefault="00B614BB" w:rsidP="00B614BB">
      <w:pPr>
        <w:spacing w:line="360" w:lineRule="auto"/>
        <w:rPr>
          <w:rFonts w:ascii="Garamond" w:hAnsi="Garamond"/>
          <w:sz w:val="24"/>
          <w:szCs w:val="24"/>
        </w:rPr>
      </w:pPr>
      <w:r w:rsidRPr="00B614BB">
        <w:rPr>
          <w:rFonts w:ascii="Garamond" w:hAnsi="Garamond"/>
          <w:sz w:val="24"/>
          <w:szCs w:val="24"/>
        </w:rPr>
        <w:t>This section, in fact, the entirety of this thesis flies, in many ways, against my own ‘judgment’ and ‘common sense’. Throughout my engagement with ‘development studies’, in both South Africa and in The Netherlands, there have been relatively few substantial encounters with the complexity of human beings through acknowledgement and incorporation of the ‘dirt’</w:t>
      </w:r>
      <w:r w:rsidRPr="00B614BB">
        <w:rPr>
          <w:rFonts w:ascii="Garamond" w:hAnsi="Garamond"/>
          <w:sz w:val="24"/>
          <w:szCs w:val="24"/>
          <w:vertAlign w:val="superscript"/>
        </w:rPr>
        <w:footnoteReference w:id="25"/>
      </w:r>
      <w:r w:rsidRPr="00B614BB">
        <w:rPr>
          <w:rFonts w:ascii="Garamond" w:hAnsi="Garamond"/>
          <w:sz w:val="24"/>
          <w:szCs w:val="24"/>
        </w:rPr>
        <w:t xml:space="preserve"> of emotions- whether in theory or in practice. This has struck me as particularly disturbing in the context of an academic discipline which often claims the centrality of the human being or rather, human beings. Often, when a language of emotion </w:t>
      </w:r>
      <w:r w:rsidRPr="00B614BB">
        <w:rPr>
          <w:rFonts w:ascii="Garamond" w:hAnsi="Garamond"/>
          <w:i/>
          <w:sz w:val="24"/>
          <w:szCs w:val="24"/>
        </w:rPr>
        <w:t>has</w:t>
      </w:r>
      <w:r w:rsidRPr="00B614BB">
        <w:rPr>
          <w:rFonts w:ascii="Garamond" w:hAnsi="Garamond"/>
          <w:sz w:val="24"/>
          <w:szCs w:val="24"/>
        </w:rPr>
        <w:t xml:space="preserve"> been employed it has been in service of the reification of a particular political structure rather than in service of the messiness of experiential complexity</w:t>
      </w:r>
      <w:r w:rsidRPr="00B614BB">
        <w:rPr>
          <w:rFonts w:ascii="Garamond" w:hAnsi="Garamond"/>
          <w:sz w:val="24"/>
          <w:szCs w:val="24"/>
          <w:vertAlign w:val="superscript"/>
        </w:rPr>
        <w:footnoteReference w:id="26"/>
      </w:r>
      <w:r w:rsidRPr="00B614BB">
        <w:rPr>
          <w:rFonts w:ascii="Garamond" w:hAnsi="Garamond"/>
          <w:sz w:val="24"/>
          <w:szCs w:val="24"/>
        </w:rPr>
        <w:t xml:space="preserve">. Thus, this paper embodies a personal risk through its attempt to incorporate a ‘dirtier’ aesthetic than my practice often ‘allows’. To state it bluntly, while I have an intellectually informed idea of what it is I ‘should’ do in order to obtain a good grade for this research paper (RP), I believe that it may be worth the risk to loosen this constraint- As Kaufmann elaborates, “judgement and common sense organize the world into prior concepts, thus signalling an illusionary truth, habitual repetitions that are ‘little more than inertia, that is to say a reactive type of affect’ (Braidotti, 2006: 9)” (2011: 152)- for, I can think of few disciplines in which ‘prior concepts’ and ‘illusionary truths’ create more immediately apparent damage than in that of ‘development’. </w:t>
      </w:r>
    </w:p>
    <w:p w:rsidR="00B614BB" w:rsidRPr="00B614BB" w:rsidRDefault="00B614BB" w:rsidP="00B614BB">
      <w:pPr>
        <w:spacing w:line="360" w:lineRule="auto"/>
        <w:rPr>
          <w:rFonts w:ascii="Garamond" w:hAnsi="Garamond"/>
          <w:sz w:val="24"/>
          <w:szCs w:val="24"/>
        </w:rPr>
      </w:pPr>
      <w:r w:rsidRPr="00B614BB">
        <w:rPr>
          <w:rFonts w:ascii="Garamond" w:hAnsi="Garamond"/>
          <w:sz w:val="24"/>
          <w:szCs w:val="24"/>
        </w:rPr>
        <w:lastRenderedPageBreak/>
        <w:t>From this brief introduction, it should be evident that the grime given (here and there) incorporates my own, among others. Making myself thus visible not only increases my own responsibility (see ‘pre-face’) but hopefully provides a slight shift away from the paternalism of theorising about ‘others’ that has so often been the knee-jerk of my practice and others. This RP thus takes seriously Bergson’s philosophical method which holds “intuition has very little in common with how the term is commonly understood, as a vague empathy or feeling. There is nothing impulsive or vague about intuition, which is a rigorous philosophical method for an attunement with the concrete specificities of the real</w:t>
      </w:r>
      <w:r w:rsidRPr="00B614BB">
        <w:rPr>
          <w:rFonts w:ascii="Garamond" w:hAnsi="Garamond"/>
          <w:sz w:val="24"/>
          <w:szCs w:val="24"/>
          <w:vertAlign w:val="superscript"/>
        </w:rPr>
        <w:footnoteReference w:id="27"/>
      </w:r>
      <w:r w:rsidRPr="00B614BB">
        <w:rPr>
          <w:rFonts w:ascii="Garamond" w:hAnsi="Garamond"/>
          <w:sz w:val="24"/>
          <w:szCs w:val="24"/>
        </w:rPr>
        <w:t>. Intuition is the method by which unique and original concepts are created and developed for objects, qualities and durations that are themselves unique and specific” in other words, intuition resists “the temptations of intellect to understand the new in terms of the language and concepts of the old.” (Bergson in Burger and Ginsburg, 2011)</w:t>
      </w:r>
      <w:r w:rsidRPr="00B614BB">
        <w:rPr>
          <w:rFonts w:ascii="Garamond" w:hAnsi="Garamond"/>
          <w:sz w:val="24"/>
          <w:szCs w:val="24"/>
          <w:vertAlign w:val="superscript"/>
        </w:rPr>
        <w:footnoteReference w:id="28"/>
      </w:r>
      <w:r w:rsidRPr="00B614BB">
        <w:rPr>
          <w:rFonts w:ascii="Garamond" w:hAnsi="Garamond"/>
          <w:sz w:val="24"/>
          <w:szCs w:val="24"/>
        </w:rPr>
        <w:t>.</w:t>
      </w:r>
    </w:p>
    <w:p w:rsidR="00B614BB" w:rsidRPr="00B614BB" w:rsidRDefault="00B614BB" w:rsidP="00B614BB">
      <w:pPr>
        <w:spacing w:line="360" w:lineRule="auto"/>
        <w:rPr>
          <w:rFonts w:ascii="Garamond" w:hAnsi="Garamond"/>
          <w:sz w:val="24"/>
          <w:szCs w:val="24"/>
        </w:rPr>
      </w:pPr>
      <w:r w:rsidRPr="00B614BB">
        <w:rPr>
          <w:rFonts w:ascii="Garamond" w:hAnsi="Garamond"/>
          <w:sz w:val="24"/>
          <w:szCs w:val="24"/>
        </w:rPr>
        <w:t>Having placed the ‘dirt’ of such aspects as emotion</w:t>
      </w:r>
      <w:r w:rsidRPr="00B614BB">
        <w:rPr>
          <w:rFonts w:ascii="Garamond" w:hAnsi="Garamond"/>
          <w:sz w:val="24"/>
          <w:szCs w:val="24"/>
          <w:vertAlign w:val="superscript"/>
        </w:rPr>
        <w:footnoteReference w:id="29"/>
      </w:r>
      <w:r w:rsidRPr="00B614BB">
        <w:rPr>
          <w:rFonts w:ascii="Garamond" w:hAnsi="Garamond"/>
          <w:sz w:val="24"/>
          <w:szCs w:val="24"/>
        </w:rPr>
        <w:t xml:space="preserve"> and intuition as perhaps necessary inclusions in development studies, this section now briefly ‘turns’</w:t>
      </w:r>
      <w:r w:rsidRPr="00B614BB">
        <w:rPr>
          <w:rFonts w:ascii="Garamond" w:hAnsi="Garamond"/>
          <w:sz w:val="24"/>
          <w:szCs w:val="24"/>
          <w:vertAlign w:val="superscript"/>
        </w:rPr>
        <w:footnoteReference w:id="30"/>
      </w:r>
      <w:r w:rsidRPr="00B614BB">
        <w:rPr>
          <w:rFonts w:ascii="Garamond" w:hAnsi="Garamond"/>
          <w:sz w:val="24"/>
          <w:szCs w:val="24"/>
        </w:rPr>
        <w:t xml:space="preserve"> to the ‘supplement’</w:t>
      </w:r>
      <w:r w:rsidRPr="00B614BB">
        <w:rPr>
          <w:rFonts w:ascii="Garamond" w:hAnsi="Garamond"/>
          <w:sz w:val="24"/>
          <w:szCs w:val="24"/>
          <w:vertAlign w:val="superscript"/>
        </w:rPr>
        <w:footnoteReference w:id="31"/>
      </w:r>
      <w:r w:rsidRPr="00B614BB">
        <w:rPr>
          <w:rFonts w:ascii="Garamond" w:hAnsi="Garamond"/>
          <w:sz w:val="24"/>
          <w:szCs w:val="24"/>
        </w:rPr>
        <w:t xml:space="preserve"> of Caracciolo’s  ‘Notes for a(nother) Theory of Experientiality’ (2012). The intuition that guides this supplementation is the following: if the discipline of development studies is hesitant to incorporate the ‘mess’ of emotion, this may be due to the fact that development theory is often grounded in what is perceived to be the ‘operable’. That is, development studies have perhaps often stalled at the following question: if human emotions are infinitely complex and indefinable, how are they to be incorporated into an empirical practice? While Caracciolo theorises in terms of the relationship between narrative or stories and experience, following my intuition and a logic of experimentation, this section suggests that there may be something in this that can perhaps be applicable to development studies and, indeed, to my ‘specialisation’ of conflict </w:t>
      </w:r>
      <w:r w:rsidRPr="00B614BB">
        <w:rPr>
          <w:rFonts w:ascii="Garamond" w:hAnsi="Garamond"/>
          <w:sz w:val="24"/>
          <w:szCs w:val="24"/>
        </w:rPr>
        <w:lastRenderedPageBreak/>
        <w:t>studies. In looking at the above-mentioned relationship, Caracciolo stresses that “the experientiality of stories is not just a matter of what is semiotically represented in a narrative. It depends on the involvement of stories in the larger experiential project of one’s life- on their being embedded (rather than embedding) experience” (2012: 180-181)</w:t>
      </w:r>
      <w:r w:rsidRPr="00B614BB">
        <w:rPr>
          <w:rFonts w:ascii="Garamond" w:hAnsi="Garamond"/>
          <w:sz w:val="24"/>
          <w:szCs w:val="24"/>
          <w:vertAlign w:val="superscript"/>
        </w:rPr>
        <w:footnoteReference w:id="32"/>
      </w:r>
      <w:r w:rsidRPr="00B614BB">
        <w:rPr>
          <w:rFonts w:ascii="Garamond" w:hAnsi="Garamond"/>
          <w:sz w:val="24"/>
          <w:szCs w:val="24"/>
        </w:rPr>
        <w:t>. Importantly, Caracciolo does not show a complete disregard for the ‘object’ of the narrative</w:t>
      </w:r>
      <w:r w:rsidRPr="00B614BB">
        <w:rPr>
          <w:rFonts w:ascii="Garamond" w:hAnsi="Garamond"/>
          <w:sz w:val="24"/>
          <w:szCs w:val="24"/>
          <w:vertAlign w:val="superscript"/>
        </w:rPr>
        <w:footnoteReference w:id="33"/>
      </w:r>
      <w:r w:rsidRPr="00B614BB">
        <w:rPr>
          <w:rFonts w:ascii="Garamond" w:hAnsi="Garamond"/>
          <w:sz w:val="24"/>
          <w:szCs w:val="24"/>
        </w:rPr>
        <w:t xml:space="preserve"> but rather stresses the way in which this ‘object’ interacts with the </w:t>
      </w:r>
      <w:r w:rsidRPr="00B614BB">
        <w:rPr>
          <w:rFonts w:ascii="Garamond" w:hAnsi="Garamond"/>
          <w:i/>
          <w:sz w:val="24"/>
          <w:szCs w:val="24"/>
        </w:rPr>
        <w:t>reader</w:t>
      </w:r>
      <w:r w:rsidRPr="00B614BB">
        <w:rPr>
          <w:rFonts w:ascii="Garamond" w:hAnsi="Garamond"/>
          <w:sz w:val="24"/>
          <w:szCs w:val="24"/>
          <w:vertAlign w:val="superscript"/>
        </w:rPr>
        <w:footnoteReference w:id="34"/>
      </w:r>
      <w:r w:rsidRPr="00B614BB">
        <w:rPr>
          <w:rFonts w:ascii="Garamond" w:hAnsi="Garamond"/>
          <w:sz w:val="24"/>
          <w:szCs w:val="24"/>
        </w:rPr>
        <w:t>. While it is, for him, necessary to extricate experientiality from representational talk or from the ‘shackles of mimetic theories” (2012: 183) - as we “lose too much of the work’s significance by fitting it into a ‘consciousness-oriented paradigm’ (Alber, 2002: 70)” (2012: 183)</w:t>
      </w:r>
      <w:r w:rsidRPr="00B614BB">
        <w:rPr>
          <w:rFonts w:ascii="Garamond" w:hAnsi="Garamond"/>
          <w:sz w:val="24"/>
          <w:szCs w:val="24"/>
          <w:vertAlign w:val="superscript"/>
        </w:rPr>
        <w:footnoteReference w:id="35"/>
      </w:r>
      <w:r w:rsidRPr="00B614BB">
        <w:rPr>
          <w:rFonts w:ascii="Garamond" w:hAnsi="Garamond"/>
          <w:sz w:val="24"/>
          <w:szCs w:val="24"/>
        </w:rPr>
        <w:t xml:space="preserve"> - the ‘object’ of the narrative is still necessary in that “texts have a greater than average capacity for restructuring the experiential background of those who engage with them” (2012: 182)</w:t>
      </w:r>
      <w:r w:rsidRPr="00B614BB">
        <w:rPr>
          <w:rFonts w:ascii="Garamond" w:hAnsi="Garamond"/>
          <w:sz w:val="24"/>
          <w:szCs w:val="24"/>
          <w:vertAlign w:val="superscript"/>
        </w:rPr>
        <w:footnoteReference w:id="36"/>
      </w:r>
      <w:r w:rsidRPr="00B614BB">
        <w:rPr>
          <w:rFonts w:ascii="Garamond" w:hAnsi="Garamond"/>
          <w:sz w:val="24"/>
          <w:szCs w:val="24"/>
        </w:rPr>
        <w:t>. In this context, the text itself remains significant for the possibility of the situation it can provide; a situation with the potential to create a “pronounced effect on the reader” and thus lead to the possible “transformation of his or her identity-defining values” (2012: 186-187)</w:t>
      </w:r>
      <w:r w:rsidRPr="00B614BB">
        <w:rPr>
          <w:rFonts w:ascii="Garamond" w:hAnsi="Garamond"/>
          <w:sz w:val="24"/>
          <w:szCs w:val="24"/>
          <w:vertAlign w:val="superscript"/>
        </w:rPr>
        <w:footnoteReference w:id="37"/>
      </w:r>
      <w:r w:rsidRPr="00B614BB">
        <w:rPr>
          <w:rFonts w:ascii="Garamond" w:hAnsi="Garamond"/>
          <w:sz w:val="24"/>
          <w:szCs w:val="24"/>
        </w:rPr>
        <w:t xml:space="preserve">. </w:t>
      </w:r>
    </w:p>
    <w:p w:rsidR="00B614BB" w:rsidRPr="00B614BB" w:rsidRDefault="00B614BB" w:rsidP="00B614BB">
      <w:pPr>
        <w:spacing w:line="360" w:lineRule="auto"/>
        <w:rPr>
          <w:rFonts w:ascii="Garamond" w:hAnsi="Garamond"/>
          <w:sz w:val="24"/>
          <w:szCs w:val="24"/>
        </w:rPr>
      </w:pPr>
      <w:r w:rsidRPr="00B614BB">
        <w:rPr>
          <w:rFonts w:ascii="Garamond" w:hAnsi="Garamond"/>
          <w:sz w:val="24"/>
          <w:szCs w:val="24"/>
        </w:rPr>
        <w:t>Importantly for the context of this RP; this perspective shifts the locus of ‘analysis’ away from the oft taken-for-granted ‘primacy’ of the significance of an actual object (such as a text, an art work and so on, something that has perhaps caused some sort of conflict)</w:t>
      </w:r>
      <w:r w:rsidRPr="00B614BB">
        <w:rPr>
          <w:rFonts w:ascii="Garamond" w:hAnsi="Garamond"/>
          <w:sz w:val="24"/>
          <w:szCs w:val="24"/>
          <w:vertAlign w:val="superscript"/>
        </w:rPr>
        <w:footnoteReference w:id="38"/>
      </w:r>
      <w:r w:rsidRPr="00B614BB">
        <w:rPr>
          <w:rFonts w:ascii="Garamond" w:hAnsi="Garamond"/>
          <w:sz w:val="24"/>
          <w:szCs w:val="24"/>
        </w:rPr>
        <w:t xml:space="preserve">, through a movement rather towards the significance of considerations of the </w:t>
      </w:r>
      <w:r w:rsidRPr="00B614BB">
        <w:rPr>
          <w:rFonts w:ascii="Garamond" w:hAnsi="Garamond"/>
          <w:i/>
          <w:sz w:val="24"/>
          <w:szCs w:val="24"/>
        </w:rPr>
        <w:t>ways</w:t>
      </w:r>
      <w:r w:rsidRPr="00B614BB">
        <w:rPr>
          <w:rFonts w:ascii="Garamond" w:hAnsi="Garamond"/>
          <w:sz w:val="24"/>
          <w:szCs w:val="24"/>
        </w:rPr>
        <w:t xml:space="preserve"> in which people have reacted to that object. Furthermore, this perspective also undermines the constructed hierarchy in which intellect often stands above emotion; as Caraciollo stresses, “both the spontaneous emotional reaction and the adoption of a more detached intellectual stance… are attempts at </w:t>
      </w:r>
      <w:r w:rsidRPr="00B614BB">
        <w:rPr>
          <w:rFonts w:ascii="Garamond" w:hAnsi="Garamond"/>
          <w:sz w:val="24"/>
          <w:szCs w:val="24"/>
        </w:rPr>
        <w:lastRenderedPageBreak/>
        <w:t>making sense of our experience” (2012: 185)</w:t>
      </w:r>
      <w:r w:rsidRPr="00B614BB">
        <w:rPr>
          <w:rFonts w:ascii="Garamond" w:hAnsi="Garamond"/>
          <w:sz w:val="24"/>
          <w:szCs w:val="24"/>
          <w:vertAlign w:val="superscript"/>
        </w:rPr>
        <w:footnoteReference w:id="39"/>
      </w:r>
      <w:r w:rsidRPr="00B614BB">
        <w:rPr>
          <w:rFonts w:ascii="Garamond" w:hAnsi="Garamond"/>
          <w:sz w:val="24"/>
          <w:szCs w:val="24"/>
        </w:rPr>
        <w:t xml:space="preserve">. A final important aspect of this perspective is that it also guards against reading people as ‘objects’ of their so-called ‘cultural/religious/social’ backgrounds and, in this way, does justice to the complexities of human experience; “My background includes beliefs only insofar as they bear on my experiential- embodied and evaluative- contact with the world.” (2012: 185). </w:t>
      </w:r>
    </w:p>
    <w:p w:rsidR="00B614BB" w:rsidRPr="00B614BB" w:rsidRDefault="00B614BB" w:rsidP="00B614BB">
      <w:pPr>
        <w:spacing w:line="360" w:lineRule="auto"/>
        <w:rPr>
          <w:rFonts w:ascii="Garamond" w:hAnsi="Garamond"/>
          <w:sz w:val="24"/>
          <w:szCs w:val="24"/>
        </w:rPr>
      </w:pPr>
      <w:r w:rsidRPr="00B614BB">
        <w:rPr>
          <w:rFonts w:ascii="Garamond" w:hAnsi="Garamond"/>
          <w:sz w:val="24"/>
          <w:szCs w:val="24"/>
        </w:rPr>
        <w:t>The next part of this section goes on to briefly elaborate that which is already implicit in the explication above- that there is an affinity between ‘reading’ and ‘looking’</w:t>
      </w:r>
      <w:r w:rsidRPr="00B614BB">
        <w:rPr>
          <w:rFonts w:ascii="Garamond" w:hAnsi="Garamond"/>
          <w:sz w:val="24"/>
          <w:szCs w:val="24"/>
          <w:vertAlign w:val="superscript"/>
        </w:rPr>
        <w:footnoteReference w:id="40"/>
      </w:r>
      <w:r w:rsidRPr="00B614BB">
        <w:rPr>
          <w:rFonts w:ascii="Garamond" w:hAnsi="Garamond"/>
          <w:sz w:val="24"/>
          <w:szCs w:val="24"/>
        </w:rPr>
        <w:t>. Furthermore, the inclusion of these ‘aesthetic considerations’ from both ‘visual cultural studies’</w:t>
      </w:r>
      <w:r w:rsidRPr="00B614BB">
        <w:rPr>
          <w:rFonts w:ascii="Garamond" w:hAnsi="Garamond"/>
          <w:sz w:val="24"/>
          <w:szCs w:val="24"/>
          <w:vertAlign w:val="superscript"/>
        </w:rPr>
        <w:footnoteReference w:id="41"/>
      </w:r>
      <w:r w:rsidRPr="00B614BB">
        <w:rPr>
          <w:rFonts w:ascii="Garamond" w:hAnsi="Garamond"/>
          <w:sz w:val="24"/>
          <w:szCs w:val="24"/>
        </w:rPr>
        <w:t xml:space="preserve"> and ‘literary studies’ within the ambit of ‘development studies’ and even ‘conflict studies’</w:t>
      </w:r>
      <w:r w:rsidRPr="00B614BB">
        <w:rPr>
          <w:rFonts w:ascii="Garamond" w:hAnsi="Garamond"/>
          <w:sz w:val="24"/>
          <w:szCs w:val="24"/>
          <w:vertAlign w:val="superscript"/>
        </w:rPr>
        <w:footnoteReference w:id="42"/>
      </w:r>
      <w:r w:rsidRPr="00B614BB">
        <w:rPr>
          <w:rFonts w:ascii="Garamond" w:hAnsi="Garamond"/>
          <w:sz w:val="24"/>
          <w:szCs w:val="24"/>
        </w:rPr>
        <w:t>, indicates a ‘critical intimacy’ (Spivak in Bal, 1999: 5) that harks back to Roland Barthes’ call for interdisciplinarity, defined “as the creation of a new object”, to which was added “the oft-forgotten qualifier: ‘that belongs to no one’” (Barthes in Bal, 2005: 149-150). My intuition that this interdiciplinarity could potentially provide fertile ground for development studies (in perhaps many of its different contexts, including ‘conflict’</w:t>
      </w:r>
      <w:r w:rsidRPr="00B614BB">
        <w:rPr>
          <w:rFonts w:ascii="Garamond" w:hAnsi="Garamond"/>
          <w:sz w:val="24"/>
          <w:szCs w:val="24"/>
          <w:vertAlign w:val="superscript"/>
        </w:rPr>
        <w:footnoteReference w:id="43"/>
      </w:r>
      <w:r w:rsidRPr="00B614BB">
        <w:rPr>
          <w:rFonts w:ascii="Garamond" w:hAnsi="Garamond"/>
          <w:sz w:val="24"/>
          <w:szCs w:val="24"/>
        </w:rPr>
        <w:t>) has been frustrated by a lack of encounters during my ‘education’ with consideration of the ‘dirty realms’ of  literary and visual studies beyond their  incorporation through the somewhat ‘clean’ strategies of, for example, ‘discourse analysis’ and ‘resistance art,’ both of which, privilege the centrality of the ‘object’</w:t>
      </w:r>
      <w:r w:rsidRPr="00B614BB">
        <w:rPr>
          <w:rFonts w:ascii="Garamond" w:hAnsi="Garamond"/>
          <w:sz w:val="24"/>
          <w:szCs w:val="24"/>
          <w:vertAlign w:val="superscript"/>
        </w:rPr>
        <w:footnoteReference w:id="44"/>
      </w:r>
      <w:r w:rsidRPr="00B614BB">
        <w:rPr>
          <w:rFonts w:ascii="Garamond" w:hAnsi="Garamond"/>
          <w:sz w:val="24"/>
          <w:szCs w:val="24"/>
        </w:rPr>
        <w:t xml:space="preserve">.   </w:t>
      </w:r>
    </w:p>
    <w:p w:rsidR="00B614BB" w:rsidRPr="00B614BB" w:rsidRDefault="00B614BB" w:rsidP="00B614BB">
      <w:pPr>
        <w:spacing w:line="360" w:lineRule="auto"/>
        <w:rPr>
          <w:rFonts w:ascii="Garamond" w:hAnsi="Garamond"/>
          <w:sz w:val="24"/>
          <w:szCs w:val="24"/>
        </w:rPr>
      </w:pPr>
      <w:r w:rsidRPr="00B614BB">
        <w:rPr>
          <w:rFonts w:ascii="Garamond" w:hAnsi="Garamond"/>
          <w:sz w:val="24"/>
          <w:szCs w:val="24"/>
        </w:rPr>
        <w:lastRenderedPageBreak/>
        <w:t>Within these ‘clean’ approaches, cultural criticism “has come to be considered as a form of political work. Indeed, demystification has become the quintessential critical gesture when responding to cultural artifacts; it tends to be regarded as the only responsible alternative to either uncritical veneration (of art) or mindless consumption (of mass cultural entertainment)” (Dean, 2002: 29). If my intuition is that this is problematic, how may the relevant grime be activated within the politics of development studies? Rancière</w:t>
      </w:r>
      <w:r w:rsidRPr="00B614BB">
        <w:rPr>
          <w:rFonts w:ascii="Garamond" w:hAnsi="Garamond"/>
          <w:sz w:val="24"/>
          <w:szCs w:val="24"/>
          <w:vertAlign w:val="superscript"/>
        </w:rPr>
        <w:footnoteReference w:id="45"/>
      </w:r>
      <w:r w:rsidRPr="00B614BB">
        <w:rPr>
          <w:rFonts w:ascii="Garamond" w:hAnsi="Garamond"/>
          <w:sz w:val="24"/>
          <w:szCs w:val="24"/>
        </w:rPr>
        <w:t xml:space="preserve"> suggests that emancipation may stem from the rejection of the oft supposed “equality- meaning homogeneity- of cause and effect” (2007; 278) and further, that the power that is common to spectators “is not the status of members of a collective body… it is the power to translate, in their own way what they are looking at… this power binds individuals together to the very extent that it keeps them apart from each other” (2007: 278).  In contrast to the often assumed ‘relativist’ or ‘anything-goes’ approaches of deconstructionism, this non object-reifying approach may perhaps point to an operable application of this epistemological shift; “It is the questions that we ask that produce the field of inquiry and not some body of materials which determines what questions need to be posed to it” (Spivak in Rogoff, 1998: 16). Furthermore, if these observations have grown from the messy ground that they have, it may be pertinent to seriously engage with Rancière’s suggestion that, “It is necessary to reverse the way in which the problem is generally formulated. It is up to the various forms of politics to appropriate, for their own proper use, the modes of presentation or the means of establishing explanatory sequences produced by artistic practices rather than the other way around” (2000: 65)</w:t>
      </w:r>
      <w:r w:rsidRPr="00B614BB">
        <w:rPr>
          <w:rFonts w:ascii="Garamond" w:hAnsi="Garamond"/>
          <w:sz w:val="24"/>
          <w:szCs w:val="24"/>
          <w:vertAlign w:val="superscript"/>
        </w:rPr>
        <w:footnoteReference w:id="46"/>
      </w:r>
      <w:r w:rsidRPr="00B614BB">
        <w:rPr>
          <w:rFonts w:ascii="Garamond" w:hAnsi="Garamond"/>
          <w:sz w:val="24"/>
          <w:szCs w:val="24"/>
        </w:rPr>
        <w:t xml:space="preserve">. </w:t>
      </w:r>
    </w:p>
    <w:p w:rsidR="00B614BB" w:rsidRPr="00B614BB" w:rsidRDefault="00253BEE" w:rsidP="00253BEE">
      <w:pPr>
        <w:spacing w:line="360" w:lineRule="auto"/>
        <w:jc w:val="center"/>
        <w:rPr>
          <w:rFonts w:ascii="Garamond" w:hAnsi="Garamond"/>
          <w:sz w:val="24"/>
          <w:szCs w:val="24"/>
        </w:rPr>
      </w:pPr>
      <w:r>
        <w:rPr>
          <w:rFonts w:ascii="Garamond" w:hAnsi="Garamond"/>
          <w:noProof/>
          <w:sz w:val="24"/>
          <w:szCs w:val="24"/>
          <w:lang w:eastAsia="en-ZA"/>
        </w:rPr>
        <w:lastRenderedPageBreak/>
        <w:drawing>
          <wp:inline distT="0" distB="0" distL="0" distR="0" wp14:anchorId="56D7C7F3" wp14:editId="2F1E951D">
            <wp:extent cx="8228414" cy="5474524"/>
            <wp:effectExtent l="5397" t="0" r="6668" b="6667"/>
            <wp:docPr id="10" name="Picture 10" descr="G:\The final countdown\to u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he final countdown\to us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235266" cy="5479083"/>
                    </a:xfrm>
                    <a:prstGeom prst="rect">
                      <a:avLst/>
                    </a:prstGeom>
                    <a:noFill/>
                    <a:ln>
                      <a:noFill/>
                    </a:ln>
                  </pic:spPr>
                </pic:pic>
              </a:graphicData>
            </a:graphic>
          </wp:inline>
        </w:drawing>
      </w:r>
    </w:p>
    <w:p w:rsidR="00B614BB" w:rsidRPr="00B614BB" w:rsidRDefault="00D558C5" w:rsidP="00D558C5">
      <w:pPr>
        <w:spacing w:line="360" w:lineRule="auto"/>
        <w:jc w:val="center"/>
        <w:rPr>
          <w:rFonts w:ascii="Garamond" w:hAnsi="Garamond"/>
          <w:sz w:val="24"/>
          <w:szCs w:val="24"/>
        </w:rPr>
      </w:pPr>
      <w:r>
        <w:rPr>
          <w:rFonts w:ascii="Garamond" w:hAnsi="Garamond"/>
          <w:sz w:val="24"/>
          <w:szCs w:val="24"/>
        </w:rPr>
        <w:t>Image 3</w:t>
      </w:r>
    </w:p>
    <w:p w:rsidR="001A7E4F" w:rsidRPr="007A28BA" w:rsidRDefault="001A7E4F" w:rsidP="0083470D">
      <w:pPr>
        <w:pStyle w:val="Heading1"/>
        <w:jc w:val="center"/>
        <w:rPr>
          <w:rFonts w:ascii="Garamond" w:hAnsi="Garamond"/>
          <w:color w:val="auto"/>
          <w:sz w:val="36"/>
          <w:szCs w:val="36"/>
        </w:rPr>
      </w:pPr>
      <w:bookmarkStart w:id="3" w:name="_Toc343854803"/>
      <w:r w:rsidRPr="007A28BA">
        <w:rPr>
          <w:rFonts w:ascii="Garamond" w:hAnsi="Garamond"/>
          <w:color w:val="auto"/>
          <w:sz w:val="36"/>
          <w:szCs w:val="36"/>
        </w:rPr>
        <w:lastRenderedPageBreak/>
        <w:t>it ain’t easy to speak of trees</w:t>
      </w:r>
      <w:r w:rsidRPr="007A28BA">
        <w:rPr>
          <w:rFonts w:ascii="Garamond" w:hAnsi="Garamond"/>
          <w:color w:val="auto"/>
          <w:sz w:val="36"/>
          <w:szCs w:val="36"/>
          <w:vertAlign w:val="superscript"/>
        </w:rPr>
        <w:footnoteReference w:id="47"/>
      </w:r>
      <w:bookmarkEnd w:id="3"/>
    </w:p>
    <w:p w:rsidR="001A7E4F" w:rsidRPr="001A7E4F" w:rsidRDefault="001A7E4F" w:rsidP="001A7E4F">
      <w:pPr>
        <w:jc w:val="center"/>
        <w:rPr>
          <w:rFonts w:ascii="Garamond" w:hAnsi="Garamond"/>
          <w:sz w:val="36"/>
          <w:szCs w:val="36"/>
        </w:rPr>
      </w:pPr>
    </w:p>
    <w:p w:rsidR="001A7E4F" w:rsidRPr="001A7E4F" w:rsidRDefault="001A7E4F" w:rsidP="001A7E4F">
      <w:pPr>
        <w:spacing w:line="360" w:lineRule="auto"/>
        <w:jc w:val="center"/>
        <w:rPr>
          <w:rFonts w:ascii="Garamond" w:hAnsi="Garamond"/>
          <w:sz w:val="24"/>
          <w:szCs w:val="24"/>
        </w:rPr>
      </w:pPr>
      <w:r w:rsidRPr="001A7E4F">
        <w:rPr>
          <w:rFonts w:ascii="Garamond" w:hAnsi="Garamond"/>
          <w:sz w:val="24"/>
          <w:szCs w:val="24"/>
        </w:rPr>
        <w:t xml:space="preserve">“Although social practices guided by the principles of others’ autonomy tend to be regarded as politically desirable, the possibility of according relative autonomy to something designated ‘art’ tends to be regarded as politically suspect. Progressive critics claim to accept the impossibility of mastering the enigmas of other persons and other cultures, yet seem unable to accept the impossibility of fully mastering the enigmas of the aesthetic domain. While we try to respect the otherness of other persons, our interpretive practices do not respect the otherness of art” </w:t>
      </w:r>
      <w:r w:rsidRPr="001A7E4F">
        <w:rPr>
          <w:rFonts w:ascii="Garamond" w:hAnsi="Garamond"/>
          <w:sz w:val="24"/>
          <w:szCs w:val="24"/>
        </w:rPr>
        <w:br/>
        <w:t xml:space="preserve">- Tim Dean, </w:t>
      </w:r>
      <w:r w:rsidRPr="001A7E4F">
        <w:rPr>
          <w:rFonts w:ascii="Garamond" w:hAnsi="Garamond"/>
          <w:i/>
          <w:sz w:val="24"/>
          <w:szCs w:val="24"/>
        </w:rPr>
        <w:t>Art as Symptom: Žižek and the Ethics of Psychoanalytic Criticism</w:t>
      </w:r>
      <w:r w:rsidRPr="001A7E4F">
        <w:rPr>
          <w:rFonts w:ascii="Garamond" w:hAnsi="Garamond"/>
          <w:sz w:val="24"/>
          <w:szCs w:val="24"/>
        </w:rPr>
        <w:t xml:space="preserve"> (2002)</w:t>
      </w:r>
    </w:p>
    <w:p w:rsidR="001A7E4F" w:rsidRPr="001A7E4F" w:rsidRDefault="001A7E4F" w:rsidP="001A7E4F">
      <w:pPr>
        <w:spacing w:line="360" w:lineRule="auto"/>
        <w:jc w:val="center"/>
        <w:rPr>
          <w:rFonts w:ascii="Garamond" w:hAnsi="Garamond"/>
          <w:sz w:val="24"/>
          <w:szCs w:val="24"/>
        </w:rPr>
      </w:pPr>
    </w:p>
    <w:p w:rsidR="001A7E4F" w:rsidRPr="001A7E4F" w:rsidRDefault="001A7E4F" w:rsidP="001A7E4F">
      <w:pPr>
        <w:spacing w:line="360" w:lineRule="auto"/>
        <w:jc w:val="center"/>
        <w:rPr>
          <w:rFonts w:ascii="Garamond" w:hAnsi="Garamond"/>
          <w:color w:val="FF0000"/>
          <w:sz w:val="24"/>
          <w:szCs w:val="24"/>
        </w:rPr>
      </w:pPr>
      <w:r w:rsidRPr="001A7E4F">
        <w:rPr>
          <w:rFonts w:ascii="Garamond" w:hAnsi="Garamond"/>
          <w:sz w:val="24"/>
          <w:szCs w:val="24"/>
        </w:rPr>
        <w:t xml:space="preserve">“Despite the assumption of the popular press that the art world is a monstrous giant with a mad, opulent head, in reality, there is not art world as such, only seemingly infinite art worlds, thus, infinite possible subjects to reflect upon… on reflection the point here might be the need for a discussion of the benefits of confusion itself… Good confusion prompts change. It can create something new and wonderful… confusion throws down a gauntlet to the critic to respond not with a deadening explanation but an equivalent imaginative flourish. Good confusion reiterates: art is not a code that necessarily needs cracking, it’s a liberating position.” </w:t>
      </w:r>
      <w:r w:rsidRPr="001A7E4F">
        <w:rPr>
          <w:rFonts w:ascii="Garamond" w:hAnsi="Garamond"/>
          <w:sz w:val="24"/>
          <w:szCs w:val="24"/>
        </w:rPr>
        <w:br/>
        <w:t xml:space="preserve">- Higgie, </w:t>
      </w:r>
      <w:r w:rsidRPr="001A7E4F">
        <w:rPr>
          <w:rFonts w:ascii="Garamond" w:hAnsi="Garamond"/>
          <w:i/>
          <w:sz w:val="24"/>
          <w:szCs w:val="24"/>
        </w:rPr>
        <w:t>It Ain’t Easy; How Confusion can be Creative</w:t>
      </w:r>
      <w:r w:rsidRPr="001A7E4F">
        <w:rPr>
          <w:rFonts w:ascii="Garamond" w:hAnsi="Garamond"/>
          <w:sz w:val="24"/>
          <w:szCs w:val="24"/>
        </w:rPr>
        <w:t xml:space="preserve"> (2007)</w:t>
      </w:r>
      <w:r w:rsidRPr="001A7E4F">
        <w:rPr>
          <w:rFonts w:ascii="Garamond" w:hAnsi="Garamond"/>
          <w:sz w:val="24"/>
          <w:szCs w:val="24"/>
          <w:vertAlign w:val="superscript"/>
        </w:rPr>
        <w:footnoteReference w:id="48"/>
      </w:r>
    </w:p>
    <w:p w:rsidR="001A7E4F" w:rsidRPr="001A7E4F" w:rsidRDefault="001A7E4F" w:rsidP="001A7E4F">
      <w:pPr>
        <w:spacing w:line="360" w:lineRule="auto"/>
        <w:rPr>
          <w:rFonts w:ascii="Garamond" w:hAnsi="Garamond"/>
          <w:sz w:val="24"/>
          <w:szCs w:val="24"/>
        </w:rPr>
      </w:pPr>
      <w:r w:rsidRPr="001A7E4F">
        <w:rPr>
          <w:rFonts w:ascii="Garamond" w:hAnsi="Garamond"/>
          <w:sz w:val="24"/>
          <w:szCs w:val="24"/>
        </w:rPr>
        <w:t xml:space="preserve">Considering aesthetics, the previous section suggested the importance of a move away from metonymic operations in which the function of ‘representation’ is perhaps too easily collapsed into that of ‘representative’ (Axel, 1999: 42). As ‘about-face’ implied, instrumental, mimetic theories of representation are often central to projects of ‘nation’ building. This process seems to be pointed to by Salaman Rushdie’s formulation of ‘imperso-nation’, described as “the process of figuring the nation in exemplary human form” (Comaroff in Axel, 1999: 45).  As Axel makes explicit, strategies of national representation often produce subjects as citizens through the construction of their bodies as whole and totalised, in other words, through the creation of prosthetic bodies: “pre-given vessels in which the nation may reside” (1999: 55). The complexity, ambiguity and multidimensionality of flesh and blood are thus eviscerated by convivial artifice. </w:t>
      </w:r>
    </w:p>
    <w:p w:rsidR="001A7E4F" w:rsidRPr="001A7E4F" w:rsidRDefault="001A7E4F" w:rsidP="001A7E4F">
      <w:pPr>
        <w:spacing w:line="360" w:lineRule="auto"/>
        <w:rPr>
          <w:rFonts w:ascii="Garamond" w:hAnsi="Garamond"/>
          <w:sz w:val="24"/>
          <w:szCs w:val="24"/>
        </w:rPr>
      </w:pPr>
      <w:r w:rsidRPr="001A7E4F">
        <w:rPr>
          <w:rFonts w:ascii="Garamond" w:hAnsi="Garamond"/>
          <w:sz w:val="24"/>
          <w:szCs w:val="24"/>
        </w:rPr>
        <w:lastRenderedPageBreak/>
        <w:t>Drawing the thread of ‘critical intimacy’ from Rancière</w:t>
      </w:r>
      <w:r w:rsidRPr="001A7E4F">
        <w:rPr>
          <w:rFonts w:ascii="Garamond" w:hAnsi="Garamond"/>
          <w:sz w:val="24"/>
          <w:szCs w:val="24"/>
          <w:vertAlign w:val="superscript"/>
        </w:rPr>
        <w:footnoteReference w:id="49"/>
      </w:r>
      <w:r w:rsidRPr="001A7E4F">
        <w:rPr>
          <w:rFonts w:ascii="Garamond" w:hAnsi="Garamond"/>
          <w:sz w:val="24"/>
          <w:szCs w:val="24"/>
        </w:rPr>
        <w:t xml:space="preserve"> in the previous section, Claire Bishop’s critique of Bourriaud’s </w:t>
      </w:r>
      <w:r w:rsidRPr="001A7E4F">
        <w:rPr>
          <w:rFonts w:ascii="Garamond" w:hAnsi="Garamond"/>
          <w:i/>
          <w:sz w:val="24"/>
          <w:szCs w:val="24"/>
        </w:rPr>
        <w:t>Relational Aesthetics</w:t>
      </w:r>
      <w:r w:rsidRPr="001A7E4F">
        <w:rPr>
          <w:rFonts w:ascii="Garamond" w:hAnsi="Garamond"/>
          <w:sz w:val="24"/>
          <w:szCs w:val="24"/>
        </w:rPr>
        <w:t xml:space="preserve"> (2002) suggests that inclusive, coherent relationality</w:t>
      </w:r>
      <w:r w:rsidRPr="001A7E4F">
        <w:rPr>
          <w:rFonts w:ascii="Garamond" w:hAnsi="Garamond"/>
          <w:sz w:val="24"/>
          <w:szCs w:val="24"/>
          <w:vertAlign w:val="superscript"/>
        </w:rPr>
        <w:footnoteReference w:id="50"/>
      </w:r>
      <w:r w:rsidRPr="001A7E4F">
        <w:rPr>
          <w:rFonts w:ascii="Garamond" w:hAnsi="Garamond"/>
          <w:sz w:val="24"/>
          <w:szCs w:val="24"/>
        </w:rPr>
        <w:t xml:space="preserve"> may be detrimental to both political and aesthetic practice as this felled façade fails to acknowledge the potentiality of productive conflict (Yerushalmy, 2010)</w:t>
      </w:r>
      <w:r w:rsidRPr="001A7E4F">
        <w:rPr>
          <w:rFonts w:ascii="Garamond" w:hAnsi="Garamond"/>
          <w:sz w:val="24"/>
          <w:szCs w:val="24"/>
          <w:vertAlign w:val="superscript"/>
        </w:rPr>
        <w:footnoteReference w:id="51"/>
      </w:r>
      <w:r w:rsidRPr="001A7E4F">
        <w:rPr>
          <w:rFonts w:ascii="Garamond" w:hAnsi="Garamond"/>
          <w:sz w:val="24"/>
          <w:szCs w:val="24"/>
        </w:rPr>
        <w:t>. Turning towards the oscillations of ‘South African’ artistic practice and perception, in 1990, before the institutional demise of apartheid, Albie Sachs published a position paper (originally prepared for an in-house ANC seminar) entitled ‘Preparing Ourselves for Freedom,’ in which he proposed a radical rupture in the association of ‘culture’ with ‘resistance’. Sachs felt that this interjection was necessary in order to shift a situation in which “given the clarity and urgency of the anti-apartheid political agenda” art and artistic practice had been “pressured to become reflectionist, to adopt an ideological stance which made allegiances clear.” (Sey, 2010: 451)</w:t>
      </w:r>
      <w:r w:rsidRPr="001A7E4F">
        <w:rPr>
          <w:rFonts w:ascii="Garamond" w:hAnsi="Garamond"/>
          <w:sz w:val="24"/>
          <w:szCs w:val="24"/>
          <w:vertAlign w:val="superscript"/>
        </w:rPr>
        <w:footnoteReference w:id="52"/>
      </w:r>
      <w:r w:rsidRPr="001A7E4F">
        <w:rPr>
          <w:rFonts w:ascii="Garamond" w:hAnsi="Garamond"/>
          <w:sz w:val="24"/>
          <w:szCs w:val="24"/>
        </w:rPr>
        <w:t xml:space="preserve">. Reflecting on literalism as anathema to the aesthetic (Sey, 2010: 451), Sachs stated, “It is enough to be politically correct. The more fists and guns the better. The range of themes is narrowed down so much that all that is funny or curious or genuinely tragic in the world is extruded. Ambiguity and contradictions are completely shut out, and the only conflict that is permitted is that between the old and the new, as if there was only bad in the past and only good in the new” (1990a: 20). As Jamal rephrases Sachs; “we have filed to demonstrate a counter imagination, one not founded on resistance, but which, in its execution and deliverance, could trump the very system we were fighting against and in which we remain trapped” (Jamal in Farber, 2010: 312). This ‘system’ here refers to the fixed rigidity of apartheid epistemologies. Ironically, it is visibility (here the visibility of ‘fists and guns’) which serves to swab seepage of surplus meaning. In recognition (and in pulling the thread) Sachs stresses that the Constitutional Guidelines are not a “blueprint to be learnt off by heart and defended to the last mis-print” (1990a; 23), that the “Constitutional Guidelines should not be applied to the sphere of culture… It should be the other way round. Culture must make its input to the guidelines” (1990a: 23). </w:t>
      </w:r>
    </w:p>
    <w:p w:rsidR="001A7E4F" w:rsidRPr="001A7E4F" w:rsidRDefault="001A7E4F" w:rsidP="001A7E4F">
      <w:pPr>
        <w:spacing w:line="360" w:lineRule="auto"/>
        <w:rPr>
          <w:rFonts w:ascii="Garamond" w:hAnsi="Garamond"/>
          <w:sz w:val="24"/>
          <w:szCs w:val="24"/>
        </w:rPr>
      </w:pPr>
      <w:r w:rsidRPr="001A7E4F">
        <w:rPr>
          <w:rFonts w:ascii="Garamond" w:hAnsi="Garamond"/>
          <w:sz w:val="24"/>
          <w:szCs w:val="24"/>
        </w:rPr>
        <w:t xml:space="preserve">While ‘Preparing Ourselves for Freedom’ (1990) is not without reproach, what perhaps resonates here is that Sachs was attempting to unravel boundaries in affirmation of the possibility for movement in a novel  space, a space that, as Cooper noted, calls for “a new language that does </w:t>
      </w:r>
      <w:r w:rsidRPr="001A7E4F">
        <w:rPr>
          <w:rFonts w:ascii="Garamond" w:hAnsi="Garamond"/>
          <w:sz w:val="24"/>
          <w:szCs w:val="24"/>
        </w:rPr>
        <w:lastRenderedPageBreak/>
        <w:t>not really exist yet” (2010: 53)</w:t>
      </w:r>
      <w:r w:rsidRPr="001A7E4F">
        <w:rPr>
          <w:rFonts w:ascii="Garamond" w:hAnsi="Garamond"/>
          <w:sz w:val="24"/>
          <w:szCs w:val="24"/>
          <w:vertAlign w:val="superscript"/>
        </w:rPr>
        <w:footnoteReference w:id="53"/>
      </w:r>
      <w:r w:rsidRPr="001A7E4F">
        <w:rPr>
          <w:rFonts w:ascii="Garamond" w:hAnsi="Garamond"/>
          <w:sz w:val="24"/>
          <w:szCs w:val="24"/>
        </w:rPr>
        <w:t>. This quiescence saw a great deal of the reaction being lodged within the unconstructive “groove of accusatory backing and forthing” (Stent, 1990: 74), an aspect which Sachs laments in afterword; “The culture of debate is perhaps more important than the debate of culture” (1990b: 148). While it is perhaps not the open aperture that Sachs so longed for (Sachs, 1990a:19), it is my intuition that a pin-hole exists in Press’ shift of focus from the art object itself, the audience, where there exists the ability “to accept, praise, criticise the art that is presented to them”, thus, where space is staked for response-ability in contrast to the crutch of channels “which decide on their behalf whether or not it ‘reflects their best interests’” (1990: 54).</w:t>
      </w:r>
    </w:p>
    <w:p w:rsidR="001A7E4F" w:rsidRPr="001A7E4F" w:rsidRDefault="001A7E4F" w:rsidP="001A7E4F">
      <w:pPr>
        <w:spacing w:line="360" w:lineRule="auto"/>
        <w:rPr>
          <w:rFonts w:ascii="Garamond" w:hAnsi="Garamond"/>
          <w:sz w:val="24"/>
          <w:szCs w:val="24"/>
        </w:rPr>
      </w:pPr>
      <w:r w:rsidRPr="001A7E4F">
        <w:rPr>
          <w:rFonts w:ascii="Garamond" w:hAnsi="Garamond"/>
          <w:sz w:val="24"/>
          <w:szCs w:val="24"/>
        </w:rPr>
        <w:t xml:space="preserve">Speaking of the scopic in relation to the construct of the South African ‘nation’ one cannot help but recall the severe visuality of the Truth and Reconciliation Commission. Coombes, operating with sensitivity for differentiated notions of subjective experience expresses disquiet in the face of hearings which often framed bodies within the solidities of ‘victim’, ‘perpetrator’ or ‘hero(ine)’ (2004: 245); “it is the very public nature of what inevitably becomes spectacle that sets limits on the means by which multifarious forms and levels of personal pain can be made explicit to the viewing public” (2004: 244). Placing this more thoroughly in relation to the open ambit of this discussion, Coombes draws a connection between this “inadequacy of representation of the complexities of personal lived experience” (2004: 244) and an attempt to operationalise pain in service of ‘larger entities’ such as ‘national pain’ or ‘collective guilt’ (2004: 244). In this there is the excruciating pain of prosthesis. </w:t>
      </w:r>
    </w:p>
    <w:p w:rsidR="001A7E4F" w:rsidRPr="001A7E4F" w:rsidRDefault="001A7E4F" w:rsidP="001A7E4F">
      <w:pPr>
        <w:spacing w:line="360" w:lineRule="auto"/>
        <w:rPr>
          <w:rFonts w:ascii="Garamond" w:hAnsi="Garamond"/>
          <w:sz w:val="24"/>
          <w:szCs w:val="24"/>
        </w:rPr>
      </w:pPr>
      <w:r w:rsidRPr="001A7E4F">
        <w:rPr>
          <w:rFonts w:ascii="Garamond" w:hAnsi="Garamond"/>
          <w:sz w:val="24"/>
          <w:szCs w:val="24"/>
        </w:rPr>
        <w:t xml:space="preserve">The creation of ethnically particular, prosthetic bodies was an essential structuring principle for apartheid, which literally translates to ‘separateness’.  In an attempt to “mediate such a legacy and foster national solidarity while accommodating ethnic diversity”, Mandela’s government adopted the concept or image of the ‘Rainbow Nation’ (Coombes, 2004: 207). The image of the rainbow was thus highly imbricated at a time when “the end of the cultural boycott and economic sanctions put South Africa as a brand, product and experience at the forefront of international interest” (Smith, 2011: 119). It is thus with no small sardonicism that the visibility of the rainbow in the creation of South Africa as a “poster-child of political and cultural transformation” (Smith, 2011: 120) has been “dubbed by some as the ‘Benetton effect’” (Coombes, 2004: 207). </w:t>
      </w:r>
    </w:p>
    <w:p w:rsidR="001A7E4F" w:rsidRPr="001A7E4F" w:rsidRDefault="001A7E4F" w:rsidP="001A7E4F">
      <w:pPr>
        <w:spacing w:line="360" w:lineRule="auto"/>
        <w:rPr>
          <w:rFonts w:ascii="Garamond" w:hAnsi="Garamond"/>
          <w:sz w:val="24"/>
          <w:szCs w:val="24"/>
        </w:rPr>
      </w:pPr>
      <w:r w:rsidRPr="001A7E4F">
        <w:rPr>
          <w:rFonts w:ascii="Garamond" w:hAnsi="Garamond"/>
          <w:sz w:val="24"/>
          <w:szCs w:val="24"/>
        </w:rPr>
        <w:lastRenderedPageBreak/>
        <w:t>Moving the visual closer towards ‘visual arts practice’</w:t>
      </w:r>
      <w:r w:rsidRPr="001A7E4F">
        <w:rPr>
          <w:rFonts w:ascii="Garamond" w:hAnsi="Garamond"/>
          <w:sz w:val="24"/>
          <w:szCs w:val="24"/>
          <w:vertAlign w:val="superscript"/>
        </w:rPr>
        <w:footnoteReference w:id="54"/>
      </w:r>
      <w:r w:rsidRPr="001A7E4F">
        <w:rPr>
          <w:rFonts w:ascii="Garamond" w:hAnsi="Garamond"/>
          <w:sz w:val="24"/>
          <w:szCs w:val="24"/>
        </w:rPr>
        <w:t>, Jantjes points out that “by the time the first democratic elections took place, the new regard of European curators was limited to making exhibitions with the themes of the ‘miracle’ of South Africa’s political transition, or the emergence of a ‘rainbow nation’” (2011: 27). Smith makes a similar observation in regards to the international ‘survey exhibitions’ that flourished in the 1990s</w:t>
      </w:r>
      <w:r w:rsidRPr="001A7E4F">
        <w:rPr>
          <w:rFonts w:ascii="Garamond" w:hAnsi="Garamond"/>
          <w:sz w:val="24"/>
          <w:szCs w:val="24"/>
          <w:vertAlign w:val="superscript"/>
        </w:rPr>
        <w:footnoteReference w:id="55"/>
      </w:r>
      <w:r w:rsidRPr="001A7E4F">
        <w:rPr>
          <w:rFonts w:ascii="Garamond" w:hAnsi="Garamond"/>
          <w:sz w:val="24"/>
          <w:szCs w:val="24"/>
        </w:rPr>
        <w:t xml:space="preserve">; “many of these survey exhibitions came under serious critical scrutiny for placing unrealistic demands on art and artists to represent… the political turn of events, which succeeded in further exoticising the work and limiting its discursive potential” (2011: 135). The commodification of a homogenous image of the South African ‘nation’ constructed through particular economically beneficial  ‘readings of history’ (Jantjes, 2011; 27) created a situation in which “dominant themes like memory, history and landscape, the body and identity politics, all seen through the postcolonial lens, have dominated how South African art post-1990 is discussed and shown” (Smith, 2011; 135). In ‘Grey Areas: Representation, Identity and Politics in Contemporary South African Art’ (1999), a ‘seminal’ South African discussion regarding identity politics and the politics of representation (Farber, 2010: 305), Cronin laments the obscuration of the ‘bigger picture’ through a focus on an “intra-elite quarrel, a dispute on copyright over portraying black bodies. Meanwhile our art galleries are inaccessible to the majority of our people, and </w:t>
      </w:r>
      <w:r w:rsidRPr="001A7E4F">
        <w:rPr>
          <w:rFonts w:ascii="Garamond" w:hAnsi="Garamond"/>
          <w:i/>
          <w:sz w:val="24"/>
          <w:szCs w:val="24"/>
        </w:rPr>
        <w:t>Masakhane</w:t>
      </w:r>
      <w:r w:rsidRPr="001A7E4F">
        <w:rPr>
          <w:rFonts w:ascii="Garamond" w:hAnsi="Garamond"/>
          <w:i/>
          <w:sz w:val="24"/>
          <w:szCs w:val="24"/>
          <w:vertAlign w:val="superscript"/>
        </w:rPr>
        <w:footnoteReference w:id="56"/>
      </w:r>
      <w:r w:rsidRPr="001A7E4F">
        <w:rPr>
          <w:rFonts w:ascii="Garamond" w:hAnsi="Garamond"/>
          <w:sz w:val="24"/>
          <w:szCs w:val="24"/>
        </w:rPr>
        <w:t xml:space="preserve"> has gone to Hunt Lascaris</w:t>
      </w:r>
      <w:r w:rsidRPr="001A7E4F">
        <w:rPr>
          <w:rFonts w:ascii="Garamond" w:hAnsi="Garamond"/>
          <w:sz w:val="24"/>
          <w:szCs w:val="24"/>
          <w:vertAlign w:val="superscript"/>
        </w:rPr>
        <w:footnoteReference w:id="57"/>
      </w:r>
      <w:r w:rsidRPr="001A7E4F">
        <w:rPr>
          <w:rFonts w:ascii="Garamond" w:hAnsi="Garamond"/>
          <w:sz w:val="24"/>
          <w:szCs w:val="24"/>
        </w:rPr>
        <w:t>” (1999: 99). Within this ‘quarrel’, Atkinson points out that “if there is a particular theme that emerges repeatedly… it concerns critiques that are grounded in the retrieval of artistic intention” (1999: 23), in other words, a great deal of the argument confronts the assumption that “artistic intention is easily retrieved by the critic/historian” and the conflation of “artistic intention, as this is retrieved by the critic/historian, with the ‘meaning’ of the art work” (Breitz in Atkinson, 1999: 20)</w:t>
      </w:r>
      <w:r w:rsidRPr="001A7E4F">
        <w:rPr>
          <w:rFonts w:ascii="Garamond" w:hAnsi="Garamond"/>
          <w:sz w:val="24"/>
          <w:szCs w:val="24"/>
          <w:vertAlign w:val="superscript"/>
        </w:rPr>
        <w:footnoteReference w:id="58"/>
      </w:r>
      <w:r w:rsidRPr="001A7E4F">
        <w:rPr>
          <w:rFonts w:ascii="Garamond" w:hAnsi="Garamond"/>
          <w:sz w:val="24"/>
          <w:szCs w:val="24"/>
        </w:rPr>
        <w:t xml:space="preserve">.  Importantly, in these grey areas, an obsession with the art object as ‘representative’ is variously instrumentalised through prosthetic bodies (discrete racial </w:t>
      </w:r>
      <w:r w:rsidRPr="001A7E4F">
        <w:rPr>
          <w:rFonts w:ascii="Garamond" w:hAnsi="Garamond"/>
          <w:sz w:val="24"/>
          <w:szCs w:val="24"/>
        </w:rPr>
        <w:lastRenderedPageBreak/>
        <w:t>groupings), and in this visibility (referring to Cronin), there is perhaps anaesthesia</w:t>
      </w:r>
      <w:r w:rsidRPr="001A7E4F">
        <w:rPr>
          <w:rFonts w:ascii="Garamond" w:hAnsi="Garamond"/>
          <w:sz w:val="24"/>
          <w:szCs w:val="24"/>
          <w:vertAlign w:val="superscript"/>
        </w:rPr>
        <w:footnoteReference w:id="59"/>
      </w:r>
      <w:r w:rsidRPr="001A7E4F">
        <w:rPr>
          <w:rFonts w:ascii="Garamond" w:hAnsi="Garamond"/>
          <w:sz w:val="24"/>
          <w:szCs w:val="24"/>
        </w:rPr>
        <w:t xml:space="preserve"> of extant agonies. </w:t>
      </w:r>
    </w:p>
    <w:p w:rsidR="001A7E4F" w:rsidRPr="001A7E4F" w:rsidRDefault="001A7E4F" w:rsidP="001A7E4F">
      <w:pPr>
        <w:spacing w:line="360" w:lineRule="auto"/>
        <w:rPr>
          <w:rFonts w:ascii="Garamond" w:hAnsi="Garamond"/>
          <w:sz w:val="24"/>
          <w:szCs w:val="24"/>
        </w:rPr>
      </w:pPr>
      <w:r w:rsidRPr="001A7E4F">
        <w:rPr>
          <w:rFonts w:ascii="Garamond" w:hAnsi="Garamond"/>
          <w:sz w:val="24"/>
          <w:szCs w:val="24"/>
        </w:rPr>
        <w:t>In many ways, these grey discussions, have been part of a compulsion for contemporary South African artistic practice to “fall back on identity politics in order to stake a claim to a new sense of art history, to a ‘re-enfranchisement’</w:t>
      </w:r>
      <w:r w:rsidRPr="001A7E4F">
        <w:rPr>
          <w:rFonts w:ascii="Garamond" w:hAnsi="Garamond"/>
          <w:sz w:val="24"/>
          <w:szCs w:val="24"/>
          <w:vertAlign w:val="superscript"/>
        </w:rPr>
        <w:footnoteReference w:id="60"/>
      </w:r>
      <w:r w:rsidRPr="001A7E4F">
        <w:rPr>
          <w:rFonts w:ascii="Garamond" w:hAnsi="Garamond"/>
          <w:sz w:val="24"/>
          <w:szCs w:val="24"/>
        </w:rPr>
        <w:t xml:space="preserve"> of South African art. Surely since we have such intimate experience of the logics and discourses of othering, goes the unspoken argument, we should be well placed to corner a market in constructing an artistic discourse about otherness” (Sey, 2010:452).  Jantjes laments that “by the end of the second term in power (2004), the ANC government could show very little evidence of the implementation of the policies or ideas from the earlier White Paper in the domain of the visual arts’ (2004: 29). Starved of support, the art world has at times “been opportunistic in its embrace of business interest” (Majavu and Pissarra, 2011:5). In an absurd spiral, “with the economic dimensions of the arts providing the rationale for its support by the private sector, provincial and local governments have adopted a similar approach by using arts events to rebrand cities and towns” (Majavu and Pissarra, 2011: 5). So driven by instrumental and commidifying logic,  a massive “chasm between international recognition and local neglect” (Majavu and Pissara, 2011: 13) is yawning, further exacerbated by the relative lack of local visibility of contemporary South African art, as its packaging for export is prioritised (Majavu and Pissarra, 2011: 12).  Unfortunately, the connotation here is that even if ‘the majority of our people’ (referred to earlier by Cronin) </w:t>
      </w:r>
      <w:r w:rsidRPr="001A7E4F">
        <w:rPr>
          <w:rFonts w:ascii="Garamond" w:hAnsi="Garamond"/>
          <w:i/>
          <w:sz w:val="24"/>
          <w:szCs w:val="24"/>
        </w:rPr>
        <w:t xml:space="preserve">could </w:t>
      </w:r>
      <w:r w:rsidRPr="001A7E4F">
        <w:rPr>
          <w:rFonts w:ascii="Garamond" w:hAnsi="Garamond"/>
          <w:sz w:val="24"/>
          <w:szCs w:val="24"/>
        </w:rPr>
        <w:t>easily access art galleries, they would still not necessarily be afforded access to contemporary South African art. As Smith sums up this aspect, “The commercial realm has absorbed many strong, independent voices into its domain, and without support that would bring internationally curated shows featuring South African work back to South Africa, artists are producing work that does not get shown here. Discourses concerning our production continue to be developed in international contexts, for export, lacking a dynamic perspective” (2011: 148-149). Linking this back to Sach’s interjections, Richards states that “actually, risk, contradiction, contrariness are all at risk… there is a challenge and a virtue to confusion, misunderstanding, plain, worldly messiness</w:t>
      </w:r>
      <w:r w:rsidRPr="001A7E4F">
        <w:rPr>
          <w:rFonts w:ascii="Garamond" w:hAnsi="Garamond"/>
          <w:sz w:val="24"/>
          <w:szCs w:val="24"/>
          <w:vertAlign w:val="superscript"/>
        </w:rPr>
        <w:footnoteReference w:id="61"/>
      </w:r>
      <w:r w:rsidRPr="001A7E4F">
        <w:rPr>
          <w:rFonts w:ascii="Garamond" w:hAnsi="Garamond"/>
          <w:sz w:val="24"/>
          <w:szCs w:val="24"/>
        </w:rPr>
        <w:t xml:space="preserve">. Art is not visual culture or heritage…- and to say so is a profound failure of intellectual nerve and certainly a desperate kind of unfreedom” (Richards in Smith, 2011: 148). </w:t>
      </w:r>
    </w:p>
    <w:p w:rsidR="001A7E4F" w:rsidRPr="001A7E4F" w:rsidRDefault="001A7E4F" w:rsidP="001A7E4F">
      <w:pPr>
        <w:spacing w:line="360" w:lineRule="auto"/>
        <w:rPr>
          <w:rFonts w:ascii="Garamond" w:hAnsi="Garamond"/>
          <w:sz w:val="24"/>
          <w:szCs w:val="24"/>
        </w:rPr>
      </w:pPr>
      <w:r w:rsidRPr="001A7E4F">
        <w:rPr>
          <w:rFonts w:ascii="Garamond" w:hAnsi="Garamond"/>
          <w:sz w:val="24"/>
          <w:szCs w:val="24"/>
        </w:rPr>
        <w:lastRenderedPageBreak/>
        <w:t>This section has moved through various constructs of ‘representatives’ in order to ‘think through the visual’ (Maharaj, 2011: xii)</w:t>
      </w:r>
      <w:r w:rsidRPr="001A7E4F">
        <w:rPr>
          <w:rFonts w:ascii="Garamond" w:hAnsi="Garamond"/>
          <w:sz w:val="24"/>
          <w:szCs w:val="24"/>
          <w:vertAlign w:val="superscript"/>
        </w:rPr>
        <w:footnoteReference w:id="62"/>
      </w:r>
      <w:r w:rsidRPr="001A7E4F">
        <w:rPr>
          <w:rFonts w:ascii="Garamond" w:hAnsi="Garamond"/>
          <w:sz w:val="24"/>
          <w:szCs w:val="24"/>
        </w:rPr>
        <w:t>. The complexities that clearly abound are a caution against containment. Paradoxically, as the above may perhaps indicate, this containment often occurs in spaces that somehow claim to be opening up room for recognition, discussion, and debate. There seems to be a similarity between these operations and others happening in development studies, as pointed to by, for example, Hickey; “Although the space for thinking about politics within development has expanded significantly, there remain a number of ‘depoliticizing’ tendencies” (2008: 350). Hickey attributes this to the technocratic</w:t>
      </w:r>
      <w:r w:rsidRPr="001A7E4F">
        <w:rPr>
          <w:rFonts w:ascii="Garamond" w:hAnsi="Garamond"/>
          <w:i/>
          <w:sz w:val="24"/>
          <w:szCs w:val="24"/>
        </w:rPr>
        <w:t xml:space="preserve"> terms</w:t>
      </w:r>
      <w:r w:rsidRPr="001A7E4F">
        <w:rPr>
          <w:rFonts w:ascii="Garamond" w:hAnsi="Garamond"/>
          <w:sz w:val="24"/>
          <w:szCs w:val="24"/>
        </w:rPr>
        <w:t xml:space="preserve"> in which politics have here been included (350-351). Drawing further from the above, this containment also seems to often occur within arenas that attempt what may be easily  regarded as ‘good’ or ‘noble’ intentions. It is possible that another parallel may here be drawn between this aspect and the hegemony of the liberal democratic order (see, for example, Mouffe, 2008). The production of prosthetic bodies and the focus on mimetic ‘objects’ may also perhaps be aligned with Mohanty’s discussion of the damage caused by what she terms ‘Western feminism’, a discussion which spins around the observation that “discourses of representation are confused with material realities” (1988: 77). Finally, connecting the latter with the horrific realities of brutal ‘intervention’ often allowed for by the hegemony of the liberal democratic order, the empirical danger of totalised, representative objects is perhaps best captured by the centrality of the image of the veil (as discussed by, for example, Leila Ahmed, 2005 and Abu-Lughod, 2002). While it may perhaps be easy to atrophy in the face of this horror, again the point that is stressed here is that “the impossibility of a final analysis does not render analysis futile… the potentiality for intervention remains- in spite of, perhaps even because of, the absence of definitive answers” (De Jager, 1999: 115-116). It is towards elaboration of these potentialities that the next section will attempt to more fully turn.  </w:t>
      </w:r>
    </w:p>
    <w:p w:rsidR="001A7E4F" w:rsidRPr="001A7E4F" w:rsidRDefault="001A7E4F" w:rsidP="001A7E4F">
      <w:pPr>
        <w:spacing w:line="360" w:lineRule="auto"/>
        <w:rPr>
          <w:rFonts w:ascii="Garamond" w:hAnsi="Garamond"/>
          <w:sz w:val="24"/>
          <w:szCs w:val="24"/>
        </w:rPr>
      </w:pPr>
    </w:p>
    <w:p w:rsidR="001A7E4F" w:rsidRPr="001A7E4F" w:rsidRDefault="001A7E4F" w:rsidP="001A7E4F">
      <w:pPr>
        <w:spacing w:line="360" w:lineRule="auto"/>
        <w:rPr>
          <w:rFonts w:ascii="Garamond" w:hAnsi="Garamond"/>
          <w:sz w:val="24"/>
          <w:szCs w:val="24"/>
        </w:rPr>
      </w:pPr>
    </w:p>
    <w:p w:rsidR="001A7E4F" w:rsidRDefault="001A7E4F" w:rsidP="001A7E4F">
      <w:pPr>
        <w:spacing w:line="360" w:lineRule="auto"/>
        <w:rPr>
          <w:rFonts w:ascii="Garamond" w:hAnsi="Garamond"/>
          <w:sz w:val="24"/>
          <w:szCs w:val="24"/>
        </w:rPr>
      </w:pPr>
    </w:p>
    <w:p w:rsidR="006E654C" w:rsidRPr="001A7E4F" w:rsidRDefault="006E654C" w:rsidP="001A7E4F">
      <w:pPr>
        <w:spacing w:line="360" w:lineRule="auto"/>
        <w:rPr>
          <w:rFonts w:ascii="Garamond" w:hAnsi="Garamond"/>
          <w:sz w:val="24"/>
          <w:szCs w:val="24"/>
        </w:rPr>
      </w:pPr>
    </w:p>
    <w:p w:rsidR="00B614BB" w:rsidRDefault="006E654C" w:rsidP="00B614BB">
      <w:pPr>
        <w:spacing w:line="360" w:lineRule="auto"/>
        <w:jc w:val="center"/>
        <w:rPr>
          <w:rFonts w:ascii="Garamond" w:hAnsi="Garamond"/>
          <w:sz w:val="36"/>
          <w:szCs w:val="36"/>
        </w:rPr>
      </w:pPr>
      <w:r>
        <w:rPr>
          <w:rFonts w:ascii="Garamond" w:hAnsi="Garamond"/>
          <w:noProof/>
          <w:sz w:val="36"/>
          <w:szCs w:val="36"/>
          <w:lang w:eastAsia="en-ZA"/>
        </w:rPr>
        <w:lastRenderedPageBreak/>
        <w:drawing>
          <wp:inline distT="0" distB="0" distL="0" distR="0" wp14:anchorId="434B3939" wp14:editId="37DF28AF">
            <wp:extent cx="7888358" cy="5916268"/>
            <wp:effectExtent l="0" t="4445" r="0" b="0"/>
            <wp:docPr id="11" name="Picture 11" descr="G:\The final countdown\to us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he final countdown\to us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888666" cy="5916499"/>
                    </a:xfrm>
                    <a:prstGeom prst="rect">
                      <a:avLst/>
                    </a:prstGeom>
                    <a:noFill/>
                    <a:ln>
                      <a:noFill/>
                    </a:ln>
                  </pic:spPr>
                </pic:pic>
              </a:graphicData>
            </a:graphic>
          </wp:inline>
        </w:drawing>
      </w:r>
    </w:p>
    <w:p w:rsidR="0049010C" w:rsidRPr="007A28BA" w:rsidRDefault="0049010C" w:rsidP="00B614BB">
      <w:pPr>
        <w:spacing w:line="360" w:lineRule="auto"/>
        <w:jc w:val="center"/>
        <w:rPr>
          <w:rFonts w:ascii="Garamond" w:hAnsi="Garamond"/>
          <w:sz w:val="28"/>
          <w:szCs w:val="28"/>
        </w:rPr>
      </w:pPr>
      <w:r w:rsidRPr="007A28BA">
        <w:rPr>
          <w:rFonts w:ascii="Garamond" w:hAnsi="Garamond"/>
          <w:sz w:val="28"/>
          <w:szCs w:val="28"/>
        </w:rPr>
        <w:t xml:space="preserve">Image 4 </w:t>
      </w:r>
    </w:p>
    <w:p w:rsidR="0083470D" w:rsidRDefault="0083470D" w:rsidP="004848A5">
      <w:pPr>
        <w:spacing w:line="360" w:lineRule="auto"/>
        <w:jc w:val="center"/>
        <w:rPr>
          <w:rFonts w:ascii="Garamond" w:hAnsi="Garamond"/>
          <w:sz w:val="36"/>
          <w:szCs w:val="36"/>
        </w:rPr>
      </w:pPr>
    </w:p>
    <w:p w:rsidR="004848A5" w:rsidRPr="007A28BA" w:rsidRDefault="004848A5" w:rsidP="0083470D">
      <w:pPr>
        <w:pStyle w:val="Heading1"/>
        <w:jc w:val="center"/>
        <w:rPr>
          <w:rFonts w:ascii="Garamond" w:hAnsi="Garamond"/>
          <w:color w:val="auto"/>
          <w:sz w:val="36"/>
          <w:szCs w:val="36"/>
        </w:rPr>
      </w:pPr>
      <w:bookmarkStart w:id="4" w:name="_Toc343854804"/>
      <w:r w:rsidRPr="007A28BA">
        <w:rPr>
          <w:rFonts w:ascii="Garamond" w:hAnsi="Garamond"/>
          <w:color w:val="auto"/>
          <w:sz w:val="36"/>
          <w:szCs w:val="36"/>
        </w:rPr>
        <w:lastRenderedPageBreak/>
        <w:t>unravelling bastards</w:t>
      </w:r>
      <w:bookmarkEnd w:id="4"/>
    </w:p>
    <w:p w:rsidR="004848A5" w:rsidRPr="004848A5" w:rsidRDefault="004848A5" w:rsidP="004848A5">
      <w:pPr>
        <w:spacing w:line="360" w:lineRule="auto"/>
        <w:jc w:val="center"/>
        <w:rPr>
          <w:rFonts w:ascii="Garamond" w:hAnsi="Garamond"/>
          <w:sz w:val="24"/>
          <w:szCs w:val="24"/>
        </w:rPr>
      </w:pPr>
    </w:p>
    <w:p w:rsidR="004848A5" w:rsidRPr="004848A5" w:rsidRDefault="004848A5" w:rsidP="004848A5">
      <w:pPr>
        <w:spacing w:line="360" w:lineRule="auto"/>
        <w:jc w:val="center"/>
        <w:rPr>
          <w:rFonts w:ascii="Garamond" w:hAnsi="Garamond"/>
          <w:sz w:val="24"/>
          <w:szCs w:val="24"/>
        </w:rPr>
      </w:pPr>
      <w:r w:rsidRPr="004848A5">
        <w:rPr>
          <w:rFonts w:ascii="Garamond" w:hAnsi="Garamond"/>
          <w:sz w:val="24"/>
          <w:szCs w:val="24"/>
        </w:rPr>
        <w:t xml:space="preserve">“Structure- or rather the structuality of structure- although it has always been involved, has always been neutralised or reduced, and this by a process of giving it to a point, fixed origin. The function of this centre was not only to orient, balance, and organise the structure- one cannot in fact conceive of an unorganised structure- but above all to make sure that the organising principle of the structure would limit what we might call the freeplay of the structure” </w:t>
      </w:r>
      <w:r w:rsidRPr="004848A5">
        <w:rPr>
          <w:rFonts w:ascii="Garamond" w:hAnsi="Garamond"/>
          <w:sz w:val="24"/>
          <w:szCs w:val="24"/>
        </w:rPr>
        <w:br/>
        <w:t xml:space="preserve">- Jacques Derrida, </w:t>
      </w:r>
      <w:r w:rsidRPr="004848A5">
        <w:rPr>
          <w:rFonts w:ascii="Garamond" w:hAnsi="Garamond"/>
          <w:i/>
          <w:sz w:val="24"/>
          <w:szCs w:val="24"/>
        </w:rPr>
        <w:t>Structure, Sign and Play in the Discourse of the Human Sciences</w:t>
      </w:r>
      <w:r w:rsidRPr="004848A5">
        <w:rPr>
          <w:rFonts w:ascii="Garamond" w:hAnsi="Garamond"/>
          <w:sz w:val="24"/>
          <w:szCs w:val="24"/>
        </w:rPr>
        <w:t xml:space="preserve"> (1993).</w:t>
      </w:r>
    </w:p>
    <w:p w:rsidR="004848A5" w:rsidRPr="004848A5" w:rsidRDefault="004848A5" w:rsidP="004848A5">
      <w:pPr>
        <w:spacing w:line="360" w:lineRule="auto"/>
        <w:jc w:val="center"/>
        <w:rPr>
          <w:rFonts w:ascii="Garamond" w:hAnsi="Garamond"/>
          <w:sz w:val="24"/>
          <w:szCs w:val="24"/>
        </w:rPr>
      </w:pP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 xml:space="preserve">A thread has wound past type to here and, in this movement, in this pull; something has been smuggled through </w:t>
      </w:r>
      <w:r w:rsidRPr="004848A5">
        <w:rPr>
          <w:rFonts w:ascii="Garamond" w:hAnsi="Garamond"/>
          <w:i/>
          <w:sz w:val="24"/>
          <w:szCs w:val="24"/>
        </w:rPr>
        <w:t>form</w:t>
      </w:r>
      <w:r w:rsidRPr="004848A5">
        <w:rPr>
          <w:rFonts w:ascii="Garamond" w:hAnsi="Garamond"/>
          <w:sz w:val="24"/>
          <w:szCs w:val="24"/>
        </w:rPr>
        <w:t>.  If a thread has been pulled through, the implication is that of an unravelling, a loosening, and simultaneously, that of the dissipation of the tight fist of its ‘origin’. The thread has been a caution against the totalised ‘representative’, the atrophy of amber, and thus, the operating methodology is counterpart to the subject matter. This caution has been spoken through the ‘criticality of complexity’ and thus, it is to critical complexity</w:t>
      </w:r>
      <w:r w:rsidRPr="004848A5">
        <w:rPr>
          <w:rFonts w:ascii="Garamond" w:hAnsi="Garamond"/>
          <w:sz w:val="24"/>
          <w:szCs w:val="24"/>
          <w:vertAlign w:val="superscript"/>
        </w:rPr>
        <w:footnoteReference w:id="63"/>
      </w:r>
      <w:r w:rsidRPr="004848A5">
        <w:rPr>
          <w:rFonts w:ascii="Garamond" w:hAnsi="Garamond"/>
          <w:sz w:val="24"/>
          <w:szCs w:val="24"/>
        </w:rPr>
        <w:t xml:space="preserve">, a thinking system without a centre (Hermanus, 2010: 14), that this section turns. </w:t>
      </w: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Facing the perplexity of the polymorphous, Paul Cilliers begins by drawing a distinction between notions of the ‘complex’ and the ‘complicated’. The latter, even if constituted by an overwhelming immensity of components, “can be given a complete description in terms of its individual constituents” (1998: iix). Examples of complicated systems could include computers, aeroplanes, or satellites.  In contrast, the complex system cannot be fully described through analysis of its components. It escapes the finite- a complex system, as the old adage goes, is more than the sum of its parts</w:t>
      </w:r>
      <w:r w:rsidRPr="004848A5">
        <w:rPr>
          <w:rFonts w:ascii="Garamond" w:hAnsi="Garamond"/>
          <w:sz w:val="24"/>
          <w:szCs w:val="24"/>
          <w:vertAlign w:val="superscript"/>
        </w:rPr>
        <w:footnoteReference w:id="64"/>
      </w:r>
      <w:r w:rsidRPr="004848A5">
        <w:rPr>
          <w:rFonts w:ascii="Garamond" w:hAnsi="Garamond"/>
          <w:sz w:val="24"/>
          <w:szCs w:val="24"/>
        </w:rPr>
        <w:t xml:space="preserve">. This complexity (rather than complication) is due to the fact that relationships are crucial to the complex system; it is constituted through these, through the interaction among constituents of the system, between the system as a whole and its composite elements, and between the system and its environment (Cilliers, 1998: iix and Hermanus, 2010: </w:t>
      </w:r>
      <w:r w:rsidRPr="004848A5">
        <w:rPr>
          <w:rFonts w:ascii="Garamond" w:hAnsi="Garamond"/>
          <w:sz w:val="24"/>
          <w:szCs w:val="24"/>
        </w:rPr>
        <w:lastRenderedPageBreak/>
        <w:t xml:space="preserve">19). Examples of complex systems could include natural language, the brain and social systems. Translating this to the task at hand, if social systems are </w:t>
      </w:r>
      <w:r w:rsidRPr="004848A5">
        <w:rPr>
          <w:rFonts w:ascii="Garamond" w:hAnsi="Garamond"/>
          <w:i/>
          <w:sz w:val="24"/>
          <w:szCs w:val="24"/>
        </w:rPr>
        <w:t xml:space="preserve">complex </w:t>
      </w:r>
      <w:r w:rsidRPr="004848A5">
        <w:rPr>
          <w:rFonts w:ascii="Garamond" w:hAnsi="Garamond"/>
          <w:sz w:val="24"/>
          <w:szCs w:val="24"/>
        </w:rPr>
        <w:t>systems</w:t>
      </w:r>
      <w:r w:rsidRPr="004848A5">
        <w:rPr>
          <w:rFonts w:ascii="Garamond" w:hAnsi="Garamond"/>
          <w:sz w:val="24"/>
          <w:szCs w:val="24"/>
          <w:vertAlign w:val="superscript"/>
        </w:rPr>
        <w:footnoteReference w:id="65"/>
      </w:r>
      <w:r w:rsidRPr="004848A5">
        <w:rPr>
          <w:rFonts w:ascii="Garamond" w:hAnsi="Garamond"/>
          <w:sz w:val="24"/>
          <w:szCs w:val="24"/>
        </w:rPr>
        <w:t xml:space="preserve">, then it would perhaps make sense to regard the relationships that constitute these systems, to consider the structural structure, rather than necessarily focusing upon one or other discreet element. In order to speak to this aspect of critical complexity, Cilliers mobilises the significance of ‘distributed representation’ integral to neural networks. To briefly and simply elaborate, neural networks may be described as systems in which the ‘building blocks’ (the ‘nodes’) have no significance in and of themselves, rather, it is the weights given to various ‘strands’ of the meshwork connecting these nodes, that creates meaning (Cilliers, 1998: 26-35). Crucially, having said this, meaning cannot even be pinned down at these ‘strands’, significance lies not “in the value of any specific weight or even group of weights, but in the way they are related and activated </w:t>
      </w:r>
      <w:r w:rsidRPr="004848A5">
        <w:rPr>
          <w:rFonts w:ascii="Garamond" w:hAnsi="Garamond"/>
          <w:i/>
          <w:sz w:val="24"/>
          <w:szCs w:val="24"/>
        </w:rPr>
        <w:t>each time</w:t>
      </w:r>
      <w:r w:rsidRPr="004848A5">
        <w:rPr>
          <w:rFonts w:ascii="Garamond" w:hAnsi="Garamond"/>
          <w:sz w:val="24"/>
          <w:szCs w:val="24"/>
        </w:rPr>
        <w:t xml:space="preserve">. Information is not stored in- or rather, represented by- a symbol and recalled when necessary (as in traditional cognitive models), but is reconstructed </w:t>
      </w:r>
      <w:r w:rsidRPr="004848A5">
        <w:rPr>
          <w:rFonts w:ascii="Garamond" w:hAnsi="Garamond"/>
          <w:i/>
          <w:sz w:val="24"/>
          <w:szCs w:val="24"/>
        </w:rPr>
        <w:t>each time</w:t>
      </w:r>
      <w:r w:rsidRPr="004848A5">
        <w:rPr>
          <w:rFonts w:ascii="Garamond" w:hAnsi="Garamond"/>
          <w:sz w:val="24"/>
          <w:szCs w:val="24"/>
        </w:rPr>
        <w:t xml:space="preserve"> that part of the network is activated” (Cilliers, 1998: 33-34, emphasis my own).  Relations and interactions are generative, infrastructural movements within the complex system, which involve “antagonism, asymmetry and polemics and dominance” (Hermanus, 2010: 118). Having foregrounded interactions, a further key aspect from critical complexity is thus that relations are not fixed (or linear); they shift and change in surprising and asymmetrical ways</w:t>
      </w:r>
      <w:r w:rsidRPr="004848A5">
        <w:rPr>
          <w:rFonts w:ascii="Garamond" w:hAnsi="Garamond"/>
          <w:sz w:val="24"/>
          <w:szCs w:val="24"/>
          <w:vertAlign w:val="superscript"/>
        </w:rPr>
        <w:footnoteReference w:id="66"/>
      </w:r>
      <w:r w:rsidRPr="004848A5">
        <w:rPr>
          <w:rFonts w:ascii="Garamond" w:hAnsi="Garamond"/>
          <w:sz w:val="24"/>
          <w:szCs w:val="24"/>
        </w:rPr>
        <w:t xml:space="preserve">. </w:t>
      </w: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 xml:space="preserve">Embracing the logic of smuggling, it may be appropriate to here slip down a side alley. </w:t>
      </w: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While it may be disconcerting for those who strictly adhere to the notion of disciplines, “to think in terms of relationships, rather than in terms of deterministic rules, is not a novelty for science” (Cilliers, 1998: 35), an observation implicated in the above incorporation of mathematical theories and neural networks</w:t>
      </w:r>
      <w:r w:rsidRPr="004848A5">
        <w:rPr>
          <w:rFonts w:ascii="Garamond" w:hAnsi="Garamond"/>
          <w:sz w:val="24"/>
          <w:szCs w:val="24"/>
          <w:vertAlign w:val="superscript"/>
        </w:rPr>
        <w:footnoteReference w:id="67"/>
      </w:r>
      <w:r w:rsidRPr="004848A5">
        <w:rPr>
          <w:rFonts w:ascii="Garamond" w:hAnsi="Garamond"/>
          <w:sz w:val="24"/>
          <w:szCs w:val="24"/>
        </w:rPr>
        <w:t xml:space="preserve">. Another complement to the latter may be found in quantum-mechanical accounts of sub-atomic processes which are detailed as “essentially relational” and, in which, on a macroscopic level, relations actually determine the nature of matter (Cilliers, 1998: 35). The opprobrium does not necessarily therefore belong to science itself but may perhaps rather be attributed to the way in which relational models have tended to be seen “as part of </w:t>
      </w:r>
      <w:r w:rsidRPr="004848A5">
        <w:rPr>
          <w:rFonts w:ascii="Garamond" w:hAnsi="Garamond"/>
          <w:sz w:val="24"/>
          <w:szCs w:val="24"/>
        </w:rPr>
        <w:lastRenderedPageBreak/>
        <w:t xml:space="preserve">qualitative descriptions and not as part of the quantitative descriptions and calculations deemed necessary ever since Kepler’s insistence that ‘to measure is to know’” (Cilliers, 1998: 35). </w:t>
      </w: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Returning to the throng, awareness of complexity necessitates epistemological reflexivity. As Hermanus suggests; “one can posit that critical complexity has an inherently ethical concern with the social… This mode of thinking the system in terms of complex organisation, breaks dramatically with a more instrumentalist application of the concept of ‘system’ to phenomena in the natural and social world” (2010: 16). In the previous section, the peril of ‘unifying’ images and ‘unifying’ narratives was gestured to. This gesture seems to have some correspondence with Cilliers’ observation that unifying narratives (sometimes raised as metanarratives) attempt to reduce knowledge “to a single whole, erasing differences even as they- the use of the plural here is not unintentional- masquerade as neutral objectivity” and that this “masquerade has socio-political credence and consequences.” (Cilliers paraphrased in Hermanus, 2010: 21).  While ‘ethics’ may often be dressed in this garb, Cilliers poses a radical rupture as “following a universal set of rules (assuming such rules exist) does not involve decision or dilemma, it merely asks for calculation” (Cilliers, 1998: 137). Stated another way, epistemological certainty may actually serve to erode ethical considerations (even if implemented in that name</w:t>
      </w:r>
      <w:r w:rsidRPr="004848A5">
        <w:rPr>
          <w:rFonts w:ascii="Garamond" w:hAnsi="Garamond"/>
          <w:sz w:val="24"/>
          <w:szCs w:val="24"/>
          <w:vertAlign w:val="superscript"/>
        </w:rPr>
        <w:footnoteReference w:id="68"/>
      </w:r>
      <w:r w:rsidRPr="004848A5">
        <w:rPr>
          <w:rFonts w:ascii="Garamond" w:hAnsi="Garamond"/>
          <w:sz w:val="24"/>
          <w:szCs w:val="24"/>
        </w:rPr>
        <w:t>) as cut-and-paste strategies</w:t>
      </w:r>
      <w:r w:rsidRPr="004848A5">
        <w:rPr>
          <w:rFonts w:ascii="Garamond" w:hAnsi="Garamond"/>
          <w:sz w:val="24"/>
          <w:szCs w:val="24"/>
          <w:vertAlign w:val="superscript"/>
        </w:rPr>
        <w:footnoteReference w:id="69"/>
      </w:r>
      <w:r w:rsidRPr="004848A5">
        <w:rPr>
          <w:rFonts w:ascii="Garamond" w:hAnsi="Garamond"/>
          <w:sz w:val="24"/>
          <w:szCs w:val="24"/>
        </w:rPr>
        <w:t xml:space="preserve"> simultaneously serve to dull the reflexive flare of critical thought</w:t>
      </w:r>
      <w:r w:rsidRPr="004848A5">
        <w:rPr>
          <w:rFonts w:ascii="Garamond" w:hAnsi="Garamond"/>
          <w:sz w:val="24"/>
          <w:szCs w:val="24"/>
          <w:vertAlign w:val="superscript"/>
        </w:rPr>
        <w:footnoteReference w:id="70"/>
      </w:r>
      <w:r w:rsidRPr="004848A5">
        <w:rPr>
          <w:rFonts w:ascii="Garamond" w:hAnsi="Garamond"/>
          <w:sz w:val="24"/>
          <w:szCs w:val="24"/>
        </w:rPr>
        <w:t xml:space="preserve">.  </w:t>
      </w: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If the normative is thus problematised, it may be possible to resuscitate deconstructionist thinking (sometimes referred to as post-modernism) from claims of relativism. If deconstruction is concerned with ‘complexification’ (Caputo, 1997: 35), and this concern decimates delusions of neutrality, then responsibility is inescapable. To say that one should not act as a result of an amplification of critical and reflexive responsibility</w:t>
      </w:r>
      <w:r w:rsidRPr="004848A5">
        <w:rPr>
          <w:rFonts w:ascii="Garamond" w:hAnsi="Garamond"/>
          <w:sz w:val="24"/>
          <w:szCs w:val="24"/>
          <w:vertAlign w:val="superscript"/>
        </w:rPr>
        <w:footnoteReference w:id="71"/>
      </w:r>
      <w:r w:rsidRPr="004848A5">
        <w:rPr>
          <w:rFonts w:ascii="Garamond" w:hAnsi="Garamond"/>
          <w:sz w:val="24"/>
          <w:szCs w:val="24"/>
        </w:rPr>
        <w:t xml:space="preserve"> seems to me to be an egregious end-point. To bring Badiou back into the picture, Gibson asserts that “the first thing to recognise about what Badiou calls politics is that politics is always thought” (2006: 81) and that “thought is thought only insofar as it repudiates or holds at a distance that which is immediately given us to think” (2006: 80). Further, for Badiou, “politics always means inventiveness” (Gibson, 2006: 83). Stated slightly differently, Derrida’s ‘freeplay’ should perhaps come in to play. The intimate </w:t>
      </w:r>
      <w:r w:rsidRPr="004848A5">
        <w:rPr>
          <w:rFonts w:ascii="Garamond" w:hAnsi="Garamond"/>
          <w:sz w:val="24"/>
          <w:szCs w:val="24"/>
        </w:rPr>
        <w:lastRenderedPageBreak/>
        <w:t>association of inventiveness, of creativity, with the political once again imbricates the call for the aesthetic in the political</w:t>
      </w:r>
      <w:r w:rsidRPr="004848A5">
        <w:rPr>
          <w:rFonts w:ascii="Garamond" w:hAnsi="Garamond"/>
          <w:sz w:val="24"/>
          <w:szCs w:val="24"/>
          <w:vertAlign w:val="superscript"/>
        </w:rPr>
        <w:footnoteReference w:id="72"/>
      </w:r>
      <w:r w:rsidRPr="004848A5">
        <w:rPr>
          <w:rFonts w:ascii="Garamond" w:hAnsi="Garamond"/>
          <w:sz w:val="24"/>
          <w:szCs w:val="24"/>
        </w:rPr>
        <w:t xml:space="preserve">. This being the case, it is of no small coincidence that Hermanus concludes her exploration of violence, informed by critical complexity and deconstruction with an appeal for what she refers to as an ‘aesthetic sensibility’; “aesthetic in the sense that it attempts to go beyond what is present and to conceptualise, create and instantiate what is yet to come” (2010: 215). </w:t>
      </w: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Having worked these threads, we already bear the contraband of Hermanus’ first ‘level’</w:t>
      </w:r>
      <w:r w:rsidRPr="004848A5">
        <w:rPr>
          <w:rFonts w:ascii="Garamond" w:hAnsi="Garamond"/>
          <w:sz w:val="24"/>
          <w:szCs w:val="24"/>
          <w:vertAlign w:val="superscript"/>
        </w:rPr>
        <w:footnoteReference w:id="73"/>
      </w:r>
      <w:r w:rsidRPr="004848A5">
        <w:rPr>
          <w:rFonts w:ascii="Garamond" w:hAnsi="Garamond"/>
          <w:sz w:val="24"/>
          <w:szCs w:val="24"/>
        </w:rPr>
        <w:t xml:space="preserve"> of violence from the framework</w:t>
      </w:r>
      <w:r w:rsidRPr="004848A5">
        <w:rPr>
          <w:rFonts w:ascii="Garamond" w:hAnsi="Garamond"/>
          <w:sz w:val="24"/>
          <w:szCs w:val="24"/>
          <w:vertAlign w:val="superscript"/>
        </w:rPr>
        <w:footnoteReference w:id="74"/>
      </w:r>
      <w:r w:rsidRPr="004848A5">
        <w:rPr>
          <w:rFonts w:ascii="Garamond" w:hAnsi="Garamond"/>
          <w:sz w:val="24"/>
          <w:szCs w:val="24"/>
        </w:rPr>
        <w:t xml:space="preserve"> elaborated in her exploration of ‘Difference, Boundaries and Violence’ (2010). Earlier it was stated that the antagonistic, asymmetrical infrastructural relations within the complex system involve ‘polemics and dominance.’ Further, the peril of delusions of neutrality have also been elucidated; here it is perhaps worth over-emphasising that this is not just applicable to normative theories or articulations but rather, to </w:t>
      </w:r>
      <w:r w:rsidRPr="004848A5">
        <w:rPr>
          <w:rFonts w:ascii="Garamond" w:hAnsi="Garamond"/>
          <w:i/>
          <w:sz w:val="24"/>
          <w:szCs w:val="24"/>
        </w:rPr>
        <w:t>all</w:t>
      </w:r>
      <w:r w:rsidRPr="004848A5">
        <w:rPr>
          <w:rFonts w:ascii="Garamond" w:hAnsi="Garamond"/>
          <w:sz w:val="24"/>
          <w:szCs w:val="24"/>
        </w:rPr>
        <w:t xml:space="preserve"> theories and articulations- hence the call for critically informed ethical decisions in what and how to articulate. This generalisation of violence within the (complex) system is what Hermanus’ refers to as the first level of violence. If violence is distributed</w:t>
      </w:r>
      <w:r w:rsidRPr="004848A5">
        <w:rPr>
          <w:rFonts w:ascii="Garamond" w:hAnsi="Garamond"/>
          <w:sz w:val="24"/>
          <w:szCs w:val="24"/>
          <w:vertAlign w:val="superscript"/>
        </w:rPr>
        <w:footnoteReference w:id="75"/>
      </w:r>
      <w:r w:rsidRPr="004848A5">
        <w:rPr>
          <w:rFonts w:ascii="Garamond" w:hAnsi="Garamond"/>
          <w:sz w:val="24"/>
          <w:szCs w:val="24"/>
        </w:rPr>
        <w:t>, notions of a strong opposition between nonviolence and violence are undermined</w:t>
      </w:r>
      <w:r w:rsidRPr="004848A5">
        <w:rPr>
          <w:rFonts w:ascii="Garamond" w:hAnsi="Garamond"/>
          <w:sz w:val="24"/>
          <w:szCs w:val="24"/>
          <w:vertAlign w:val="superscript"/>
        </w:rPr>
        <w:footnoteReference w:id="76"/>
      </w:r>
      <w:r w:rsidRPr="004848A5">
        <w:rPr>
          <w:rFonts w:ascii="Garamond" w:hAnsi="Garamond"/>
          <w:sz w:val="24"/>
          <w:szCs w:val="24"/>
        </w:rPr>
        <w:t xml:space="preserve">. While this might easily offend sensibilities that reify the concept of nonviolence, it has already been previously suggested that conflict and confusion hold the potential to be extremely productive. Further, it has also been implied that the suppression of conflict (which, if a social system may be said to be a complex system </w:t>
      </w:r>
      <w:r w:rsidRPr="004848A5">
        <w:rPr>
          <w:rFonts w:ascii="Garamond" w:hAnsi="Garamond"/>
          <w:i/>
          <w:sz w:val="24"/>
          <w:szCs w:val="24"/>
        </w:rPr>
        <w:t>always</w:t>
      </w:r>
      <w:r w:rsidRPr="004848A5">
        <w:rPr>
          <w:rFonts w:ascii="Garamond" w:hAnsi="Garamond"/>
          <w:sz w:val="24"/>
          <w:szCs w:val="24"/>
        </w:rPr>
        <w:t xml:space="preserve"> exists) in the name of the supposed preferentiality of convivial (images of) unity, can actually be extremely </w:t>
      </w:r>
      <w:r w:rsidRPr="004848A5">
        <w:rPr>
          <w:rFonts w:ascii="Garamond" w:hAnsi="Garamond"/>
          <w:sz w:val="24"/>
          <w:szCs w:val="24"/>
        </w:rPr>
        <w:lastRenderedPageBreak/>
        <w:t>damaging</w:t>
      </w:r>
      <w:r w:rsidRPr="004848A5">
        <w:rPr>
          <w:rFonts w:ascii="Garamond" w:hAnsi="Garamond"/>
          <w:sz w:val="24"/>
          <w:szCs w:val="24"/>
          <w:vertAlign w:val="superscript"/>
        </w:rPr>
        <w:footnoteReference w:id="77"/>
      </w:r>
      <w:r w:rsidRPr="004848A5">
        <w:rPr>
          <w:rFonts w:ascii="Garamond" w:hAnsi="Garamond"/>
          <w:sz w:val="24"/>
          <w:szCs w:val="24"/>
        </w:rPr>
        <w:t xml:space="preserve">. While the inescapability of violence may produce pathos, it is the suggestion throughout this section that, if this situation is critically considered, there lies affirmation of responsibility and potentiality for imaginative responses in which “the mobilisation of violence of the system against itself” (Derrida in Hermanus, 2010: 119) may lead to the creation of new and perhaps less confining empirical realities. </w:t>
      </w: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This leads us to the second level of violence (which always includes the first level).  This violence is the violence of the boundary or frame (for example, the violence of a particular articulation), which is imposed upon the evisceration of the origin (intrinsic to the first level) in order to reinstate a simulacrum of unity or presence</w:t>
      </w:r>
      <w:r w:rsidRPr="004848A5">
        <w:rPr>
          <w:rFonts w:ascii="Garamond" w:hAnsi="Garamond"/>
          <w:sz w:val="24"/>
          <w:szCs w:val="24"/>
          <w:vertAlign w:val="superscript"/>
        </w:rPr>
        <w:footnoteReference w:id="78"/>
      </w:r>
      <w:r w:rsidRPr="004848A5">
        <w:rPr>
          <w:rFonts w:ascii="Garamond" w:hAnsi="Garamond"/>
          <w:sz w:val="24"/>
          <w:szCs w:val="24"/>
        </w:rPr>
        <w:t xml:space="preserve"> (Hermanus, 2010: 129). To quote Hermanus on this point and to thus bring in some of the language of deconstructionist thought, “The first two levels of violence can be thought as openness and closure in the system. The first level of violence is the distributed force of </w:t>
      </w:r>
      <w:r w:rsidRPr="004848A5">
        <w:rPr>
          <w:rFonts w:ascii="Garamond" w:hAnsi="Garamond"/>
          <w:i/>
          <w:sz w:val="24"/>
          <w:szCs w:val="24"/>
        </w:rPr>
        <w:t>différance</w:t>
      </w:r>
      <w:r w:rsidRPr="004848A5">
        <w:rPr>
          <w:rFonts w:ascii="Garamond" w:hAnsi="Garamond"/>
          <w:sz w:val="24"/>
          <w:szCs w:val="24"/>
        </w:rPr>
        <w:t xml:space="preserve"> that disrupts the identity or closure of the sign with movement of the trace in time and space. The sign is thus left open to the infinite play of intrusion, or the disruption of its boundary (Derrida, 2001: 365). When the meaning of a sign and its relation to other signs is specified, this intrusion must be prevented. One must confine the sign to itself and stop the trace in its tracks. In this way, a restitution of closure, of a boundary denies the lack of origin and the movement that this lack begins” (2010: 129)</w:t>
      </w:r>
      <w:r w:rsidRPr="004848A5">
        <w:rPr>
          <w:rFonts w:ascii="Garamond" w:hAnsi="Garamond"/>
          <w:sz w:val="24"/>
          <w:szCs w:val="24"/>
          <w:vertAlign w:val="superscript"/>
        </w:rPr>
        <w:footnoteReference w:id="79"/>
      </w:r>
      <w:r w:rsidRPr="004848A5">
        <w:rPr>
          <w:rFonts w:ascii="Garamond" w:hAnsi="Garamond"/>
          <w:sz w:val="24"/>
          <w:szCs w:val="24"/>
        </w:rPr>
        <w:t xml:space="preserve">.  While within the social system the boundary can perhaps never be obliterated, the value of critical complexity and deconstructionist thought is that they articulate frames from awareness that these </w:t>
      </w:r>
      <w:r w:rsidRPr="004848A5">
        <w:rPr>
          <w:rFonts w:ascii="Garamond" w:hAnsi="Garamond"/>
          <w:i/>
          <w:sz w:val="24"/>
          <w:szCs w:val="24"/>
        </w:rPr>
        <w:t>can</w:t>
      </w:r>
      <w:r w:rsidRPr="004848A5">
        <w:rPr>
          <w:rFonts w:ascii="Garamond" w:hAnsi="Garamond"/>
          <w:sz w:val="24"/>
          <w:szCs w:val="24"/>
        </w:rPr>
        <w:t xml:space="preserve"> be reconstructed and replaced. They attempt to recognise the possibility for change and then employ frames sensitive to this. Perhaps paradoxically, they attempt to use frames in order to open up possibilities for change</w:t>
      </w:r>
      <w:r w:rsidRPr="004848A5">
        <w:rPr>
          <w:rFonts w:ascii="Garamond" w:hAnsi="Garamond"/>
          <w:sz w:val="24"/>
          <w:szCs w:val="24"/>
          <w:vertAlign w:val="superscript"/>
        </w:rPr>
        <w:footnoteReference w:id="80"/>
      </w:r>
      <w:r w:rsidRPr="004848A5">
        <w:rPr>
          <w:rFonts w:ascii="Garamond" w:hAnsi="Garamond"/>
          <w:sz w:val="24"/>
          <w:szCs w:val="24"/>
        </w:rPr>
        <w:t>. This reflexive mode of framing may perhaps be contrasted with frames or boundaries that insist upon operational closure. For Derrida, political action</w:t>
      </w:r>
      <w:r w:rsidRPr="004848A5">
        <w:rPr>
          <w:rFonts w:ascii="Garamond" w:hAnsi="Garamond"/>
          <w:i/>
          <w:sz w:val="24"/>
          <w:szCs w:val="24"/>
        </w:rPr>
        <w:t xml:space="preserve"> is</w:t>
      </w:r>
      <w:r w:rsidRPr="004848A5">
        <w:rPr>
          <w:rFonts w:ascii="Garamond" w:hAnsi="Garamond"/>
          <w:sz w:val="24"/>
          <w:szCs w:val="24"/>
        </w:rPr>
        <w:t xml:space="preserve"> the mobilisation of “différance against the closure of boundaries and the accepted order of things” (Hermanus, 2010: 160). </w:t>
      </w: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The third level of violence that Hermanus articulates (which always includes the first and second levels) is that of empirical violence</w:t>
      </w:r>
      <w:r w:rsidRPr="004848A5">
        <w:rPr>
          <w:rFonts w:ascii="Garamond" w:hAnsi="Garamond"/>
          <w:sz w:val="24"/>
          <w:szCs w:val="24"/>
          <w:vertAlign w:val="superscript"/>
        </w:rPr>
        <w:footnoteReference w:id="81"/>
      </w:r>
      <w:r w:rsidRPr="004848A5">
        <w:rPr>
          <w:rFonts w:ascii="Garamond" w:hAnsi="Garamond"/>
          <w:sz w:val="24"/>
          <w:szCs w:val="24"/>
        </w:rPr>
        <w:t xml:space="preserve">. Drawing form the system developed in the first and second </w:t>
      </w:r>
      <w:r w:rsidRPr="004848A5">
        <w:rPr>
          <w:rFonts w:ascii="Garamond" w:hAnsi="Garamond"/>
          <w:sz w:val="24"/>
          <w:szCs w:val="24"/>
        </w:rPr>
        <w:lastRenderedPageBreak/>
        <w:t>levels, she provides elaboration of ways in which the first two levels interact with and are productive of this third form. Similar connections and movements have been previously made here</w:t>
      </w:r>
      <w:r w:rsidRPr="004848A5">
        <w:rPr>
          <w:rFonts w:ascii="Garamond" w:hAnsi="Garamond"/>
          <w:sz w:val="24"/>
          <w:szCs w:val="24"/>
          <w:vertAlign w:val="superscript"/>
        </w:rPr>
        <w:footnoteReference w:id="82"/>
      </w:r>
      <w:r w:rsidRPr="004848A5">
        <w:rPr>
          <w:rFonts w:ascii="Garamond" w:hAnsi="Garamond"/>
          <w:sz w:val="24"/>
          <w:szCs w:val="24"/>
        </w:rPr>
        <w:t xml:space="preserve">. Embracing non-linearity, Hermanus emphasises, “the first and second levels of violence in complex organisation are not necessarily good or bad. Furthermore, both are necessary conditions of meaning in the system. To frame violence as a problem within complexity is not to advocate its eradication on these levels… without violence there is neither structure nor deconstruction. Still, the problem of violence on these two levels demands a response and an active engagement… empirical violence and the suffering it produces, creates this demand” (2010: 201). </w:t>
      </w:r>
    </w:p>
    <w:p w:rsidR="004848A5" w:rsidRPr="004848A5" w:rsidRDefault="004848A5" w:rsidP="004848A5">
      <w:pPr>
        <w:spacing w:line="360" w:lineRule="auto"/>
        <w:rPr>
          <w:rFonts w:ascii="Garamond" w:hAnsi="Garamond"/>
          <w:sz w:val="24"/>
          <w:szCs w:val="24"/>
        </w:rPr>
      </w:pPr>
      <w:r w:rsidRPr="004848A5">
        <w:rPr>
          <w:rFonts w:ascii="Garamond" w:hAnsi="Garamond"/>
          <w:sz w:val="24"/>
          <w:szCs w:val="24"/>
        </w:rPr>
        <w:t>In acknowledgement of the second level as a potentially fertile site for interjection and drawing upon the aesthetic sensibility thus far solicited, this RP now turns towards two ‘moments’ of contention within contemporary South African artistic practice. Through engagement with these highly visualised moments, the paranoid logic of a faith in exposure is subverted; no putative mastery of diagnosis or unveiling is unearthed, rather, the already dirty and banal is evoked in order to play through tight fists of closure and perhaps open up room for unravellings. Smuggled threads of intuition are offered in which the respective art objects themselves are not necessarily the focus; cannot be in shifts already taken. Rather, the place of experientiality holds sway through focus on the audience or readers of these ‘objects’; words and emotions mobilised by viewers in response: the throng of those centralised and, in offering, side alleys of others</w:t>
      </w:r>
      <w:r w:rsidRPr="004848A5">
        <w:rPr>
          <w:rFonts w:ascii="Garamond" w:hAnsi="Garamond"/>
          <w:sz w:val="24"/>
          <w:szCs w:val="24"/>
          <w:vertAlign w:val="superscript"/>
        </w:rPr>
        <w:footnoteReference w:id="83"/>
      </w:r>
      <w:r w:rsidRPr="004848A5">
        <w:rPr>
          <w:rFonts w:ascii="Garamond" w:hAnsi="Garamond"/>
          <w:sz w:val="24"/>
          <w:szCs w:val="24"/>
        </w:rPr>
        <w:t>. Here is the complicity of folding and unfolding- a movement of my own disfigurements, my own mutilations, in efforts of opening – even if, after all, this is only monstrated through the attempt</w:t>
      </w:r>
      <w:r w:rsidRPr="004848A5">
        <w:rPr>
          <w:rFonts w:ascii="Garamond" w:hAnsi="Garamond"/>
          <w:sz w:val="24"/>
          <w:szCs w:val="24"/>
          <w:vertAlign w:val="superscript"/>
        </w:rPr>
        <w:footnoteReference w:id="84"/>
      </w:r>
      <w:r w:rsidRPr="004848A5">
        <w:rPr>
          <w:rFonts w:ascii="Garamond" w:hAnsi="Garamond"/>
          <w:sz w:val="24"/>
          <w:szCs w:val="24"/>
        </w:rPr>
        <w:t xml:space="preserve">.  </w:t>
      </w:r>
    </w:p>
    <w:p w:rsidR="004848A5" w:rsidRPr="004848A5" w:rsidRDefault="004848A5" w:rsidP="004848A5">
      <w:pPr>
        <w:spacing w:line="360" w:lineRule="auto"/>
        <w:rPr>
          <w:rFonts w:ascii="Garamond" w:hAnsi="Garamond"/>
          <w:sz w:val="24"/>
          <w:szCs w:val="24"/>
        </w:rPr>
      </w:pPr>
    </w:p>
    <w:p w:rsidR="004848A5" w:rsidRPr="004848A5" w:rsidRDefault="004848A5" w:rsidP="004848A5">
      <w:pPr>
        <w:spacing w:line="360" w:lineRule="auto"/>
        <w:rPr>
          <w:rFonts w:ascii="Garamond" w:hAnsi="Garamond"/>
          <w:color w:val="FF0000"/>
          <w:sz w:val="24"/>
          <w:szCs w:val="24"/>
        </w:rPr>
      </w:pPr>
    </w:p>
    <w:p w:rsidR="004848A5" w:rsidRDefault="004848A5" w:rsidP="00B614BB">
      <w:pPr>
        <w:jc w:val="center"/>
        <w:rPr>
          <w:rFonts w:ascii="Garamond" w:hAnsi="Garamond"/>
          <w:sz w:val="36"/>
          <w:szCs w:val="36"/>
        </w:rPr>
      </w:pPr>
    </w:p>
    <w:p w:rsidR="00FC28A2" w:rsidRPr="00B614BB" w:rsidRDefault="00FC28A2" w:rsidP="00B614BB">
      <w:pPr>
        <w:jc w:val="center"/>
        <w:rPr>
          <w:rFonts w:ascii="Garamond" w:hAnsi="Garamond"/>
          <w:sz w:val="36"/>
          <w:szCs w:val="36"/>
        </w:rPr>
      </w:pPr>
      <w:r>
        <w:rPr>
          <w:rFonts w:ascii="Garamond" w:hAnsi="Garamond"/>
          <w:noProof/>
          <w:sz w:val="36"/>
          <w:szCs w:val="36"/>
          <w:lang w:eastAsia="en-ZA"/>
        </w:rPr>
        <w:lastRenderedPageBreak/>
        <w:drawing>
          <wp:inline distT="0" distB="0" distL="0" distR="0" wp14:anchorId="07288769" wp14:editId="38DF85B6">
            <wp:extent cx="5168424" cy="7732643"/>
            <wp:effectExtent l="0" t="0" r="0" b="1905"/>
            <wp:docPr id="12" name="Picture 12" descr="G:\The final countdown\to use\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he final countdown\to use\6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8611" cy="7732923"/>
                    </a:xfrm>
                    <a:prstGeom prst="rect">
                      <a:avLst/>
                    </a:prstGeom>
                    <a:noFill/>
                    <a:ln>
                      <a:noFill/>
                    </a:ln>
                  </pic:spPr>
                </pic:pic>
              </a:graphicData>
            </a:graphic>
          </wp:inline>
        </w:drawing>
      </w:r>
    </w:p>
    <w:p w:rsidR="00B614BB" w:rsidRDefault="001223C3" w:rsidP="001223C3">
      <w:pPr>
        <w:jc w:val="center"/>
        <w:rPr>
          <w:rFonts w:ascii="Garamond" w:hAnsi="Garamond"/>
          <w:sz w:val="28"/>
          <w:szCs w:val="28"/>
        </w:rPr>
      </w:pPr>
      <w:r>
        <w:rPr>
          <w:rFonts w:ascii="Garamond" w:hAnsi="Garamond"/>
          <w:sz w:val="28"/>
          <w:szCs w:val="28"/>
        </w:rPr>
        <w:t>Image 5</w:t>
      </w:r>
    </w:p>
    <w:p w:rsidR="0083470D" w:rsidRDefault="0083470D" w:rsidP="00F103DF">
      <w:pPr>
        <w:jc w:val="center"/>
        <w:rPr>
          <w:rFonts w:ascii="Garamond" w:hAnsi="Garamond"/>
          <w:sz w:val="36"/>
          <w:szCs w:val="36"/>
        </w:rPr>
      </w:pPr>
    </w:p>
    <w:p w:rsidR="00F103DF" w:rsidRPr="007A28BA" w:rsidRDefault="00F103DF" w:rsidP="0083470D">
      <w:pPr>
        <w:pStyle w:val="Heading1"/>
        <w:jc w:val="center"/>
        <w:rPr>
          <w:rFonts w:ascii="Garamond" w:hAnsi="Garamond"/>
          <w:color w:val="auto"/>
          <w:sz w:val="36"/>
          <w:szCs w:val="36"/>
        </w:rPr>
      </w:pPr>
      <w:bookmarkStart w:id="5" w:name="_Toc343854805"/>
      <w:r w:rsidRPr="007A28BA">
        <w:rPr>
          <w:rFonts w:ascii="Garamond" w:hAnsi="Garamond"/>
          <w:color w:val="auto"/>
          <w:sz w:val="36"/>
          <w:szCs w:val="36"/>
        </w:rPr>
        <w:lastRenderedPageBreak/>
        <w:t>of rainbows and other monsters</w:t>
      </w:r>
      <w:bookmarkEnd w:id="5"/>
    </w:p>
    <w:p w:rsidR="00F103DF" w:rsidRPr="00F103DF" w:rsidRDefault="00F103DF" w:rsidP="00F103DF">
      <w:pPr>
        <w:jc w:val="center"/>
        <w:rPr>
          <w:rFonts w:ascii="Garamond" w:hAnsi="Garamond"/>
          <w:sz w:val="24"/>
          <w:szCs w:val="24"/>
        </w:rPr>
      </w:pPr>
    </w:p>
    <w:p w:rsidR="00F103DF" w:rsidRPr="00F103DF" w:rsidRDefault="00F103DF" w:rsidP="00F103DF">
      <w:pPr>
        <w:spacing w:line="360" w:lineRule="auto"/>
        <w:jc w:val="center"/>
        <w:rPr>
          <w:rFonts w:ascii="Garamond" w:hAnsi="Garamond"/>
          <w:sz w:val="24"/>
          <w:szCs w:val="24"/>
        </w:rPr>
      </w:pPr>
      <w:r w:rsidRPr="00F103DF">
        <w:rPr>
          <w:rFonts w:ascii="Garamond" w:hAnsi="Garamond"/>
          <w:sz w:val="24"/>
          <w:szCs w:val="24"/>
        </w:rPr>
        <w:t xml:space="preserve">“To every person who has ever looked in the mirror and seen an incomplete version of themselves” – Keenan Harper, </w:t>
      </w:r>
      <w:r w:rsidRPr="00F103DF">
        <w:rPr>
          <w:rFonts w:ascii="Garamond" w:hAnsi="Garamond"/>
          <w:i/>
          <w:sz w:val="24"/>
          <w:szCs w:val="24"/>
        </w:rPr>
        <w:t>They Call Me ‘Umfowethu’</w:t>
      </w:r>
      <w:r w:rsidRPr="00F103DF">
        <w:rPr>
          <w:rFonts w:ascii="Garamond" w:hAnsi="Garamond"/>
          <w:sz w:val="24"/>
          <w:szCs w:val="24"/>
        </w:rPr>
        <w:t xml:space="preserve"> (2006)</w:t>
      </w:r>
    </w:p>
    <w:p w:rsidR="00F103DF" w:rsidRPr="00F103DF" w:rsidRDefault="00F103DF" w:rsidP="00F103DF">
      <w:pPr>
        <w:spacing w:line="360" w:lineRule="auto"/>
        <w:jc w:val="center"/>
        <w:rPr>
          <w:rFonts w:ascii="Garamond" w:hAnsi="Garamond"/>
          <w:sz w:val="24"/>
          <w:szCs w:val="24"/>
        </w:rPr>
      </w:pPr>
      <w:r w:rsidRPr="00F103DF">
        <w:rPr>
          <w:rFonts w:ascii="Garamond" w:hAnsi="Garamond"/>
          <w:sz w:val="24"/>
          <w:szCs w:val="24"/>
        </w:rPr>
        <w:t>“For de Certeau, the idea of the blank page… becomes synonymous with the possibility of society to remake itself, backspacing history, and the continuous enunciation of its values and constitution: to produce new pasts: ‘(</w:t>
      </w:r>
      <w:r w:rsidRPr="00F103DF">
        <w:rPr>
          <w:rFonts w:ascii="Garamond" w:hAnsi="Garamond"/>
          <w:i/>
          <w:sz w:val="24"/>
          <w:szCs w:val="24"/>
        </w:rPr>
        <w:t>refaire l’histoire</w:t>
      </w:r>
      <w:r w:rsidRPr="00F103DF">
        <w:rPr>
          <w:rFonts w:ascii="Garamond" w:hAnsi="Garamond"/>
          <w:sz w:val="24"/>
          <w:szCs w:val="24"/>
        </w:rPr>
        <w:t xml:space="preserve">)’. If only it were that simple. The act of writing, a subject’s supposed autonomy and the enviable silence when the so-called ‘voices of the world’ are stilled, must at some point be read, used, framed, projected upon, repeated, plagiarised and derived. Yes, the blank page is a world awaiting making, but what of the book of pages surrounding it, those torn out, those that have been stained, those bearing the imprints of the hard press of a pen chapters earlier?” </w:t>
      </w:r>
      <w:r w:rsidRPr="00F103DF">
        <w:rPr>
          <w:rFonts w:ascii="Garamond" w:hAnsi="Garamond"/>
          <w:sz w:val="24"/>
          <w:szCs w:val="24"/>
        </w:rPr>
        <w:br/>
        <w:t xml:space="preserve">– Clare Butcher, </w:t>
      </w:r>
      <w:r w:rsidRPr="00F103DF">
        <w:rPr>
          <w:rFonts w:ascii="Garamond" w:hAnsi="Garamond"/>
          <w:i/>
          <w:sz w:val="24"/>
          <w:szCs w:val="24"/>
        </w:rPr>
        <w:t>Here and There: the making of time in contemporary creative practice</w:t>
      </w:r>
      <w:r w:rsidRPr="00F103DF">
        <w:rPr>
          <w:rFonts w:ascii="Garamond" w:hAnsi="Garamond"/>
          <w:sz w:val="24"/>
          <w:szCs w:val="24"/>
        </w:rPr>
        <w:t xml:space="preserve"> (2010)</w:t>
      </w:r>
    </w:p>
    <w:p w:rsidR="00F103DF" w:rsidRPr="00F103DF" w:rsidRDefault="00F103DF" w:rsidP="00F103DF">
      <w:pPr>
        <w:spacing w:line="360" w:lineRule="auto"/>
        <w:rPr>
          <w:rFonts w:ascii="Garamond" w:hAnsi="Garamond"/>
          <w:sz w:val="24"/>
          <w:szCs w:val="24"/>
        </w:rPr>
      </w:pP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t xml:space="preserve">The prisoners in Kafka’s </w:t>
      </w:r>
      <w:r w:rsidRPr="00F103DF">
        <w:rPr>
          <w:rFonts w:ascii="Garamond" w:hAnsi="Garamond"/>
          <w:i/>
          <w:sz w:val="24"/>
          <w:szCs w:val="24"/>
        </w:rPr>
        <w:t>In the Penal Colony</w:t>
      </w:r>
      <w:r w:rsidRPr="00F103DF">
        <w:rPr>
          <w:rFonts w:ascii="Garamond" w:hAnsi="Garamond"/>
          <w:sz w:val="24"/>
          <w:szCs w:val="24"/>
        </w:rPr>
        <w:t xml:space="preserve"> are subjected to a “remarkable piece of apparatus” (1948: 191). Strung across this constructed contraption, the prisoners are unable to escape inscription; the teeth of the ‘Harrow’ bite into their skin, marking them with the commandment they have disobeyed (1948: 191). The prisoner does not know the sentence but rather, must learn it on the body (1948: 197). In this there is a vivid account of the second level of violence as inextricably interwoven with the third. In supplement, Mark Behr’s </w:t>
      </w:r>
      <w:r w:rsidRPr="00F103DF">
        <w:rPr>
          <w:rFonts w:ascii="Garamond" w:hAnsi="Garamond"/>
          <w:i/>
          <w:sz w:val="24"/>
          <w:szCs w:val="24"/>
        </w:rPr>
        <w:t>The Smell of Apples</w:t>
      </w:r>
      <w:r w:rsidRPr="00F103DF">
        <w:rPr>
          <w:rFonts w:ascii="Garamond" w:hAnsi="Garamond"/>
          <w:sz w:val="24"/>
          <w:szCs w:val="24"/>
        </w:rPr>
        <w:t xml:space="preserve"> (1995) traces the ideological workings of the apartheid system through the banality</w:t>
      </w:r>
      <w:r w:rsidRPr="00F103DF">
        <w:rPr>
          <w:rFonts w:ascii="Garamond" w:hAnsi="Garamond"/>
          <w:sz w:val="24"/>
          <w:szCs w:val="24"/>
          <w:vertAlign w:val="superscript"/>
        </w:rPr>
        <w:footnoteReference w:id="85"/>
      </w:r>
      <w:r w:rsidRPr="00F103DF">
        <w:rPr>
          <w:rFonts w:ascii="Garamond" w:hAnsi="Garamond"/>
          <w:sz w:val="24"/>
          <w:szCs w:val="24"/>
        </w:rPr>
        <w:t xml:space="preserve"> of everyday “sayings, stereotypes, and justifications” (Barnard, 2000: 207). These, as well as the form of the narrative, move in lines of claustrophobic closure, recruitments swell in soldiers through the grind of the everyday and the unremarkable. Proverbs such as ‘n goeie begryper het ‘n halwe  woord nodig (‘a good comprehended needs only half a word’) are drilled to the closure of meaning- for the gaps must be filled with repetitions, that which has already been said by others (Barnard, 2000: 214). That these reiterated remarks are mirrored in the material, the literal taking up of arms by the narrator, “like his father before him” (Barnard, 2000: 208) is of no small irony here. The ‘levels’ of violence betray the form in which they are articulated- rather; they are involved in an intimate interlacing.</w:t>
      </w: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lastRenderedPageBreak/>
        <w:t>Irony and interlacing are certainly apparent in the first moment I shift to, the performance of a walkout staged at Constiutional Hill by then Minister of Arts and Culture, Lulu Xingwana, in response to the work of artist Zanele Muholi. Muholi’s complex photographic portraits of lesbian couples were violently enclosed by Xingwana’s articulation of them as “immoral, offensive and going against nation- building” (Xingwana in Sey, 2010: 453) as these articulations led to their subsequent censorship</w:t>
      </w:r>
      <w:r w:rsidRPr="00F103DF">
        <w:rPr>
          <w:rFonts w:ascii="Garamond" w:hAnsi="Garamond"/>
          <w:sz w:val="24"/>
          <w:szCs w:val="24"/>
          <w:vertAlign w:val="superscript"/>
        </w:rPr>
        <w:footnoteReference w:id="86"/>
      </w:r>
      <w:r w:rsidRPr="00F103DF">
        <w:rPr>
          <w:rFonts w:ascii="Garamond" w:hAnsi="Garamond"/>
          <w:sz w:val="24"/>
          <w:szCs w:val="24"/>
        </w:rPr>
        <w:t>. That this particular interpretation of certain bodies as being unfit for ‘imperso-nation’</w:t>
      </w:r>
      <w:r w:rsidRPr="00F103DF">
        <w:rPr>
          <w:rFonts w:ascii="Garamond" w:hAnsi="Garamond"/>
          <w:sz w:val="24"/>
          <w:szCs w:val="24"/>
          <w:vertAlign w:val="superscript"/>
        </w:rPr>
        <w:footnoteReference w:id="87"/>
      </w:r>
      <w:r w:rsidRPr="00F103DF">
        <w:rPr>
          <w:rFonts w:ascii="Garamond" w:hAnsi="Garamond"/>
          <w:sz w:val="24"/>
          <w:szCs w:val="24"/>
        </w:rPr>
        <w:t>, could hold such sway and that they were articulated by an advocate for Arts and Culture is disturbing , and perhaps even more absurdly so when the site in which they were articulated  is taken into consideration. Constitutional Hill was the location of “Johannesburg’s notorious Old Fort prison complex, No. 4 Jail, where many of South Africa’s leading political activists were detained under apartheid</w:t>
      </w:r>
      <w:r w:rsidRPr="00F103DF">
        <w:rPr>
          <w:rFonts w:ascii="Garamond" w:hAnsi="Garamond"/>
          <w:sz w:val="24"/>
          <w:szCs w:val="24"/>
          <w:vertAlign w:val="superscript"/>
        </w:rPr>
        <w:footnoteReference w:id="88"/>
      </w:r>
      <w:r w:rsidRPr="00F103DF">
        <w:rPr>
          <w:rFonts w:ascii="Garamond" w:hAnsi="Garamond"/>
          <w:sz w:val="24"/>
          <w:szCs w:val="24"/>
        </w:rPr>
        <w:t>. Post-1994, the former was rebuilt to embody the new South Africa’s right to freedom of expression, association, creed and sexual orientation” (Sey, 2010: 453)</w:t>
      </w:r>
      <w:r w:rsidRPr="00F103DF">
        <w:rPr>
          <w:rFonts w:ascii="Garamond" w:hAnsi="Garamond"/>
          <w:sz w:val="24"/>
          <w:szCs w:val="24"/>
          <w:vertAlign w:val="superscript"/>
        </w:rPr>
        <w:footnoteReference w:id="89"/>
      </w:r>
      <w:r w:rsidRPr="00F103DF">
        <w:rPr>
          <w:rFonts w:ascii="Garamond" w:hAnsi="Garamond"/>
          <w:sz w:val="24"/>
          <w:szCs w:val="24"/>
        </w:rPr>
        <w:t>. It seems that the ‘Rainbow Nation’, as it turns in this moment, can only accommodate particular, predefined, unified bodies. I read the bodies offered by Muholi as confounding and subverting logics of clear categorisation and, in this; the offense to a unifying logic paradoxically only operable under conditions of exclusion, under conditions of partial sight and compressions of complexity. Moving these disturbances to the bizarre proportions of Kafka’s ‘Harrow’, the identification of these bodies as being somehow unfit for ‘the rainbow’, the violence of this particular articulation, is, as Muholi explicates</w:t>
      </w:r>
      <w:r w:rsidRPr="00F103DF">
        <w:rPr>
          <w:rFonts w:ascii="Garamond" w:hAnsi="Garamond"/>
          <w:sz w:val="24"/>
          <w:szCs w:val="24"/>
          <w:vertAlign w:val="superscript"/>
        </w:rPr>
        <w:footnoteReference w:id="90"/>
      </w:r>
      <w:r w:rsidRPr="00F103DF">
        <w:rPr>
          <w:rFonts w:ascii="Garamond" w:hAnsi="Garamond"/>
          <w:sz w:val="24"/>
          <w:szCs w:val="24"/>
        </w:rPr>
        <w:t xml:space="preserve">, </w:t>
      </w:r>
      <w:r w:rsidRPr="00F103DF">
        <w:rPr>
          <w:rFonts w:ascii="Garamond" w:hAnsi="Garamond"/>
          <w:i/>
          <w:sz w:val="24"/>
          <w:szCs w:val="24"/>
        </w:rPr>
        <w:t>inscribed in skin</w:t>
      </w:r>
      <w:r w:rsidRPr="00F103DF">
        <w:rPr>
          <w:rFonts w:ascii="Garamond" w:hAnsi="Garamond"/>
          <w:sz w:val="24"/>
          <w:szCs w:val="24"/>
        </w:rPr>
        <w:t xml:space="preserve">, materially embodied in the experiences of those who are beaten, bloodied and raped in the name of a logic which cannot accommodate ‘arbitrations’ from bodies pre-define as suitable for the </w:t>
      </w:r>
      <w:r w:rsidRPr="00F103DF">
        <w:rPr>
          <w:rFonts w:ascii="Garamond" w:hAnsi="Garamond"/>
          <w:sz w:val="24"/>
          <w:szCs w:val="24"/>
        </w:rPr>
        <w:lastRenderedPageBreak/>
        <w:t>national project of ‘unity’</w:t>
      </w:r>
      <w:r w:rsidRPr="00F103DF">
        <w:rPr>
          <w:rFonts w:ascii="Garamond" w:hAnsi="Garamond"/>
          <w:sz w:val="24"/>
          <w:szCs w:val="24"/>
          <w:vertAlign w:val="superscript"/>
        </w:rPr>
        <w:footnoteReference w:id="91"/>
      </w:r>
      <w:r w:rsidRPr="00F103DF">
        <w:rPr>
          <w:rFonts w:ascii="Garamond" w:hAnsi="Garamond"/>
          <w:sz w:val="24"/>
          <w:szCs w:val="24"/>
        </w:rPr>
        <w:t>. The rainbow cannot accommodate seepages of colours, cannot be muddied, and cannot accommodate the revolt of grey. Love and intimacy are construed as disturbing, ‘pornographic’ in Xingwana’s opinion (Sey, 2010: 453) when uncovered, unravelled, untamed by the tropes of the timid and radically removed from clichéd conceptions of romance held in roses. While these bodies are often violated, they are not given up here as necessarily violable, in my reading, they confront through the visibility of their intimate and everyday actions, simultaneously subtle and potent movements in which swells affirmation of their power to define their own identities. These movements overthrow the paralysis of fear inscribed in the paradigm that “rape haunts the lives of women on a daily basis” (Niarchos in Zarkov, 2006: 219)</w:t>
      </w:r>
      <w:r w:rsidRPr="00F103DF">
        <w:rPr>
          <w:rFonts w:ascii="Garamond" w:hAnsi="Garamond"/>
          <w:sz w:val="24"/>
          <w:szCs w:val="24"/>
          <w:vertAlign w:val="superscript"/>
        </w:rPr>
        <w:footnoteReference w:id="92"/>
      </w:r>
      <w:r w:rsidRPr="00F103DF">
        <w:rPr>
          <w:rFonts w:ascii="Garamond" w:hAnsi="Garamond"/>
          <w:sz w:val="24"/>
          <w:szCs w:val="24"/>
        </w:rPr>
        <w:t xml:space="preserve"> and, even more potently, subvert a logic of powerlessness, interjects even in face of a context where the materiality of these spectres is actually manifest. While largely unspoken and unacknowledged, it is at least possible that this particularly subversive aspect mobilised some sense of offense in a country where the rape of women, and thus their implicit powerlessness</w:t>
      </w:r>
      <w:r w:rsidRPr="00F103DF">
        <w:rPr>
          <w:rFonts w:ascii="Garamond" w:hAnsi="Garamond"/>
          <w:sz w:val="24"/>
          <w:szCs w:val="24"/>
          <w:vertAlign w:val="superscript"/>
        </w:rPr>
        <w:footnoteReference w:id="93"/>
      </w:r>
      <w:r w:rsidRPr="00F103DF">
        <w:rPr>
          <w:rFonts w:ascii="Garamond" w:hAnsi="Garamond"/>
          <w:sz w:val="24"/>
          <w:szCs w:val="24"/>
        </w:rPr>
        <w:t xml:space="preserve"> is hyper-visible and where ‘black’ lesbians in particular are hyper-visualised as violable through discourses of ‘corrective rape’</w:t>
      </w:r>
      <w:r w:rsidRPr="00F103DF">
        <w:rPr>
          <w:rFonts w:ascii="Garamond" w:hAnsi="Garamond"/>
          <w:sz w:val="24"/>
          <w:szCs w:val="24"/>
          <w:vertAlign w:val="superscript"/>
        </w:rPr>
        <w:footnoteReference w:id="94"/>
      </w:r>
      <w:r w:rsidRPr="00F103DF">
        <w:rPr>
          <w:rFonts w:ascii="Garamond" w:hAnsi="Garamond"/>
          <w:sz w:val="24"/>
          <w:szCs w:val="24"/>
        </w:rPr>
        <w:t xml:space="preserve">. </w:t>
      </w: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t>If light necessarily invokes dark through its existence, the florescence of the rape of women in South Africa</w:t>
      </w:r>
      <w:r w:rsidRPr="00F103DF">
        <w:rPr>
          <w:rFonts w:ascii="Garamond" w:hAnsi="Garamond"/>
          <w:sz w:val="24"/>
          <w:szCs w:val="24"/>
          <w:vertAlign w:val="superscript"/>
        </w:rPr>
        <w:footnoteReference w:id="95"/>
      </w:r>
      <w:r w:rsidRPr="00F103DF">
        <w:rPr>
          <w:rFonts w:ascii="Garamond" w:hAnsi="Garamond"/>
          <w:sz w:val="24"/>
          <w:szCs w:val="24"/>
        </w:rPr>
        <w:t xml:space="preserve"> often operates to the exclusion of acknowledgements of the rape of men</w:t>
      </w:r>
      <w:r w:rsidRPr="00F103DF">
        <w:rPr>
          <w:rFonts w:ascii="Garamond" w:hAnsi="Garamond"/>
          <w:sz w:val="24"/>
          <w:szCs w:val="24"/>
          <w:vertAlign w:val="superscript"/>
        </w:rPr>
        <w:footnoteReference w:id="96"/>
      </w:r>
      <w:r w:rsidRPr="00F103DF">
        <w:rPr>
          <w:rFonts w:ascii="Garamond" w:hAnsi="Garamond"/>
          <w:sz w:val="24"/>
          <w:szCs w:val="24"/>
        </w:rPr>
        <w:t>. It should be stressed that this does not necessarily imply that current lights should be dimmed but rather, that these should perhaps fall in different ways and open up their ambits. The exclusion pointed to is particularly unnerving when considered in a context where male rape was only officially recognised as such in 2007 (Meel, 2009: 1)</w:t>
      </w:r>
      <w:r w:rsidRPr="00F103DF">
        <w:rPr>
          <w:rFonts w:ascii="Garamond" w:hAnsi="Garamond"/>
          <w:sz w:val="24"/>
          <w:szCs w:val="24"/>
          <w:vertAlign w:val="superscript"/>
        </w:rPr>
        <w:footnoteReference w:id="97"/>
      </w:r>
      <w:r w:rsidRPr="00F103DF">
        <w:rPr>
          <w:rFonts w:ascii="Garamond" w:hAnsi="Garamond"/>
          <w:sz w:val="24"/>
          <w:szCs w:val="24"/>
        </w:rPr>
        <w:t xml:space="preserve"> through a new sexual offences bill. However, while this bill recognises forced anal or oral sex irrespective of the gender of the </w:t>
      </w:r>
      <w:r w:rsidRPr="00F103DF">
        <w:rPr>
          <w:rFonts w:ascii="Garamond" w:hAnsi="Garamond"/>
          <w:sz w:val="24"/>
          <w:szCs w:val="24"/>
        </w:rPr>
        <w:lastRenderedPageBreak/>
        <w:t xml:space="preserve">victim or the perpetrator as rape, the revised definition of rape “does not include vaginal intercourse forced on a man by a woman’ (Meel, 2009: 2) which still remains largely mythologised. This is extremely problematic in a context where despite severe stigmatisation and lack of acknowledgement, a survey published in 2008, carried out in 1200 schools across South Africa, engaging 127 000 male students between the ages of ten and nineteen, reported that “two out of five male South African pupils say they have been raped” (IOL, 2008). This survey also reported that “about a third said they had been abused by males, 41 percent by females and 27 percent said they had been raped by both males and females” (IOL, 2008). In 2011, after a ten year old boy reported being raped at a hostel of a Port Shepstone school, police spokesperson for the area, Lieutenant-Colnol Zandra Wiid, came forward with the statement that “Male rape is becoming more common and there’s an average of five reports per week where males are victims of rape” (The Witness, 2011). Male rape in South African prisons has also been referred to as exceedingly normalised, despite being regularly stigmatised and denied (see, for example, Gear, 2007). While these points are admittedly grasps at straws in the dark, they do seem to point to the prevalence of the sexual abuse of men in South Africa and thus, it is the suggestion of this research paper, after a particular thinking through the visual and the discourses surrounding these that gender-based violence needs to be recognised for its extensive prevalence and in ways in which ‘gender distinctions’ referred to may be subverted in an acknowledgment of complexities.   </w:t>
      </w: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t>Returning here to the hyper-visibility of ‘corrective rape’ this may perhaps be said to be problematic in that it often foregrounds homophobic violence as occurring in townships</w:t>
      </w:r>
      <w:r w:rsidRPr="00F103DF">
        <w:rPr>
          <w:rFonts w:ascii="Garamond" w:hAnsi="Garamond"/>
          <w:sz w:val="24"/>
          <w:szCs w:val="24"/>
          <w:vertAlign w:val="superscript"/>
        </w:rPr>
        <w:footnoteReference w:id="98"/>
      </w:r>
      <w:r w:rsidRPr="00F103DF">
        <w:rPr>
          <w:rFonts w:ascii="Garamond" w:hAnsi="Garamond"/>
          <w:sz w:val="24"/>
          <w:szCs w:val="24"/>
        </w:rPr>
        <w:t xml:space="preserve"> and that this often feeds into racist and elitist logics of those spaces as somehow more morally corrupted or corruptible than those of the suburbs</w:t>
      </w:r>
      <w:r w:rsidRPr="00F103DF">
        <w:rPr>
          <w:rFonts w:ascii="Garamond" w:hAnsi="Garamond"/>
          <w:sz w:val="24"/>
          <w:szCs w:val="24"/>
          <w:vertAlign w:val="superscript"/>
        </w:rPr>
        <w:footnoteReference w:id="99"/>
      </w:r>
      <w:r w:rsidRPr="00F103DF">
        <w:rPr>
          <w:rFonts w:ascii="Garamond" w:hAnsi="Garamond"/>
          <w:sz w:val="24"/>
          <w:szCs w:val="24"/>
        </w:rPr>
        <w:t xml:space="preserve">. It is my intuition that this hyper-visibility serves to deflect from the fact that homophobic violence in South Africa occurs in a multitude of different spaces and is, in fact, perpetrated by a multitude of different races. While it may perhaps seem like simple logic to associate the censorship of Muholi’s work with a paradoxically positive contribution of the visibility of the archive that she has been involved in constructing, it is my intuition that the situation is more complicated than this; while Muholi has attempted to engage with complexities of experience, much of the liberal indignation that I have encountered in response to this censorship, involve particular readings that highlight stereotypes of </w:t>
      </w:r>
      <w:r w:rsidRPr="00F103DF">
        <w:rPr>
          <w:rFonts w:ascii="Garamond" w:hAnsi="Garamond"/>
          <w:sz w:val="24"/>
          <w:szCs w:val="24"/>
        </w:rPr>
        <w:lastRenderedPageBreak/>
        <w:t>homophobia as somehow implicit to ‘African’ sensibilities</w:t>
      </w:r>
      <w:r w:rsidRPr="00F103DF">
        <w:rPr>
          <w:rFonts w:ascii="Garamond" w:hAnsi="Garamond"/>
          <w:sz w:val="24"/>
          <w:szCs w:val="24"/>
          <w:vertAlign w:val="superscript"/>
        </w:rPr>
        <w:footnoteReference w:id="100"/>
      </w:r>
      <w:r w:rsidRPr="00F103DF">
        <w:rPr>
          <w:rFonts w:ascii="Garamond" w:hAnsi="Garamond"/>
          <w:sz w:val="24"/>
          <w:szCs w:val="24"/>
        </w:rPr>
        <w:t xml:space="preserve"> (perhaps further frustrated by the constructed luminosity of images of homophobic violence occurring within ‘township’ spaces) and thus, serves to compress complexities. Not only is this a ludicrous assumption when considered in the context of the particularly virulent logic of homophobia essential to the apartheid government’s construction of nationalism and nation (see, for example: Conway, 2008; Conway, 2010; and Jones, 2008)</w:t>
      </w:r>
      <w:r w:rsidRPr="00F103DF">
        <w:rPr>
          <w:rFonts w:ascii="Garamond" w:hAnsi="Garamond"/>
          <w:sz w:val="24"/>
          <w:szCs w:val="24"/>
          <w:vertAlign w:val="superscript"/>
        </w:rPr>
        <w:footnoteReference w:id="101"/>
      </w:r>
      <w:r w:rsidRPr="00F103DF">
        <w:rPr>
          <w:rFonts w:ascii="Garamond" w:hAnsi="Garamond"/>
          <w:sz w:val="24"/>
          <w:szCs w:val="24"/>
        </w:rPr>
        <w:t>, but it also fails to take into account the fact that, in South Africa “the customary</w:t>
      </w:r>
      <w:r w:rsidRPr="00F103DF">
        <w:rPr>
          <w:rFonts w:ascii="Garamond" w:hAnsi="Garamond"/>
          <w:sz w:val="24"/>
          <w:szCs w:val="24"/>
          <w:vertAlign w:val="superscript"/>
        </w:rPr>
        <w:footnoteReference w:id="102"/>
      </w:r>
      <w:r w:rsidRPr="00F103DF">
        <w:rPr>
          <w:rFonts w:ascii="Garamond" w:hAnsi="Garamond"/>
          <w:sz w:val="24"/>
          <w:szCs w:val="24"/>
        </w:rPr>
        <w:t xml:space="preserve"> concept of marriage was flexible enough to accept and accommodate different family formations long before the Civil Union Act- at a time when civil law marriage absolutely required monogamy and sex specificity” (Bonthuys, 2008:732)</w:t>
      </w:r>
      <w:r w:rsidRPr="00F103DF">
        <w:rPr>
          <w:rFonts w:ascii="Garamond" w:hAnsi="Garamond"/>
          <w:sz w:val="24"/>
          <w:szCs w:val="24"/>
          <w:vertAlign w:val="superscript"/>
        </w:rPr>
        <w:footnoteReference w:id="103"/>
      </w:r>
      <w:r w:rsidRPr="00F103DF">
        <w:rPr>
          <w:rFonts w:ascii="Garamond" w:hAnsi="Garamond"/>
          <w:sz w:val="24"/>
          <w:szCs w:val="24"/>
        </w:rPr>
        <w:t>. Here it must be emphasised that this research paper acknowledges that homophobia is rampant and thus highly problematic in South Africa</w:t>
      </w:r>
      <w:r w:rsidRPr="00F103DF">
        <w:rPr>
          <w:rFonts w:ascii="Garamond" w:hAnsi="Garamond"/>
          <w:sz w:val="24"/>
          <w:szCs w:val="24"/>
          <w:vertAlign w:val="superscript"/>
        </w:rPr>
        <w:footnoteReference w:id="104"/>
      </w:r>
      <w:r w:rsidRPr="00F103DF">
        <w:rPr>
          <w:rFonts w:ascii="Garamond" w:hAnsi="Garamond"/>
          <w:sz w:val="24"/>
          <w:szCs w:val="24"/>
        </w:rPr>
        <w:t xml:space="preserve"> however, what is also highly problematic is when this particular form of violence is assigned as a blanket for a predefined construction of a ‘particular group’ of people without critical and nuanced engagement. The visibility of the discourse of homosexuality as ‘un-African’, the assertion </w:t>
      </w:r>
      <w:r w:rsidRPr="00F103DF">
        <w:rPr>
          <w:rFonts w:ascii="Garamond" w:hAnsi="Garamond"/>
          <w:i/>
          <w:sz w:val="24"/>
          <w:szCs w:val="24"/>
        </w:rPr>
        <w:t>ad nauseum</w:t>
      </w:r>
      <w:r w:rsidRPr="00F103DF">
        <w:rPr>
          <w:rFonts w:ascii="Garamond" w:hAnsi="Garamond"/>
          <w:sz w:val="24"/>
          <w:szCs w:val="24"/>
        </w:rPr>
        <w:t xml:space="preserve"> of the “deep, perhaps essential homophobia in African culture” (Epprecht, 2004: 82), disregards not only the ways in which terms such as ‘gay’ are appropriated and made diversely malleable in interfaces with different spaces (see, for example Tucker, 2010), but also, the radically different ways in which same-sex intimacy are actually understood and described from various positions. I would suggest that it needs to be more widely acknowledged that in South Africa, sometimes communities in which same-sex intimacy are prevalent and accepted, are also  those from which expressions of disregard for the terminology of ‘homosexuality’ emanate (see, for example, Kennan, 2006). In fact, there exists a wide range of ‘homosocial’ practices that do not necessarily subscribe to the descriptions of or identifications with ‘homosexuality’ (see, for example, Gunkel, H. 2009). It is unfortunate in the face of this complexity that the non-embrace of certain terminology in favour of more nuanced and spatially specific understandings and articulations is often violently conflated with an assumed (stereotypical) point-blank rejection of same-sex intimacy. </w:t>
      </w: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lastRenderedPageBreak/>
        <w:t>Hopefully, in the above articulations chosen, in these particular folds, there is simultaneously space opened up for unfoldings; for unravellings of anxious repetitions, which serve to blot out the intricate lattice, the subtle palimpsests of some other everydays.</w:t>
      </w: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t>The second moment of contention that I turn to is in regards to Brett Murray’s ‘The Spear’ recently defaced and censored at the site of the Goodman Gallery in Cape Town. Much of the hype surrounding this image has tended to anaemically return to the logic of the art object as ‘representative’ and once again, complexities have been suppressed in favour of the mobilisation of bodies through prosthesis</w:t>
      </w:r>
      <w:r w:rsidRPr="00F103DF">
        <w:rPr>
          <w:rFonts w:ascii="Garamond" w:hAnsi="Garamond"/>
          <w:sz w:val="24"/>
          <w:szCs w:val="24"/>
          <w:vertAlign w:val="superscript"/>
        </w:rPr>
        <w:footnoteReference w:id="105"/>
      </w:r>
      <w:r w:rsidRPr="00F103DF">
        <w:rPr>
          <w:rFonts w:ascii="Garamond" w:hAnsi="Garamond"/>
          <w:sz w:val="24"/>
          <w:szCs w:val="24"/>
        </w:rPr>
        <w:t xml:space="preserve">. Instead of nuanced discussions, much of the debate was polarised into camps of ‘freedom of expression’ versus ‘rights to privacy and dignity.’ </w:t>
      </w:r>
      <w:r w:rsidRPr="00F103DF">
        <w:rPr>
          <w:rFonts w:ascii="Garamond" w:hAnsi="Garamond"/>
          <w:sz w:val="24"/>
          <w:szCs w:val="24"/>
          <w:vertAlign w:val="superscript"/>
        </w:rPr>
        <w:footnoteReference w:id="106"/>
      </w:r>
      <w:r w:rsidRPr="00F103DF">
        <w:rPr>
          <w:rFonts w:ascii="Garamond" w:hAnsi="Garamond"/>
          <w:sz w:val="24"/>
          <w:szCs w:val="24"/>
        </w:rPr>
        <w:t xml:space="preserve"> Highly visible within the latter camp was the resurrection of the apartheid legacy of exploiting and abusing ‘black’</w:t>
      </w:r>
      <w:r w:rsidRPr="00F103DF">
        <w:rPr>
          <w:rFonts w:ascii="Garamond" w:hAnsi="Garamond"/>
          <w:sz w:val="24"/>
          <w:szCs w:val="24"/>
          <w:vertAlign w:val="superscript"/>
        </w:rPr>
        <w:footnoteReference w:id="107"/>
      </w:r>
      <w:r w:rsidRPr="00F103DF">
        <w:rPr>
          <w:rFonts w:ascii="Garamond" w:hAnsi="Garamond"/>
          <w:sz w:val="24"/>
          <w:szCs w:val="24"/>
        </w:rPr>
        <w:t xml:space="preserve"> bodies. In the visibilities there is the objectification of both the work itself and of various bodies, including that of the work’s creator and those belonging to predefined and constructed racial groups. As Pippa Skotnes pointed out in a forum discussion held at The University of Cape Town, in calls for Murray to be stoned to death, “the artwork is personified to the extent that it is not only deemed to be almost the same as the person, but punishment should also be the same: burning, defacement, shredding, exclusion” (</w:t>
      </w:r>
      <w:r w:rsidRPr="00F103DF">
        <w:rPr>
          <w:rFonts w:ascii="Garamond" w:hAnsi="Garamond"/>
          <w:sz w:val="24"/>
          <w:szCs w:val="24"/>
          <w:lang w:val="en-US"/>
        </w:rPr>
        <w:t xml:space="preserve">Panel discussion at UCT; </w:t>
      </w:r>
      <w:r w:rsidRPr="00F103DF">
        <w:rPr>
          <w:rFonts w:ascii="Garamond" w:hAnsi="Garamond"/>
          <w:sz w:val="24"/>
          <w:szCs w:val="24"/>
        </w:rPr>
        <w:t>5 June 2012). In these conflations and polarisations the the agency of the audience, of the readers to imaginatively and experientially engage with the work is eviscerated through various operations. As Skotnes also importantly pointed out, a painting cannot speak, “it can provoke our senses, but it cannot enter into discourse, a painting is silent.” While we as readers</w:t>
      </w:r>
      <w:r w:rsidRPr="00F103DF">
        <w:rPr>
          <w:rFonts w:ascii="Garamond" w:hAnsi="Garamond"/>
          <w:sz w:val="24"/>
          <w:szCs w:val="24"/>
          <w:vertAlign w:val="superscript"/>
        </w:rPr>
        <w:footnoteReference w:id="108"/>
      </w:r>
      <w:r w:rsidRPr="00F103DF">
        <w:rPr>
          <w:rFonts w:ascii="Garamond" w:hAnsi="Garamond"/>
          <w:sz w:val="24"/>
          <w:szCs w:val="24"/>
        </w:rPr>
        <w:t xml:space="preserve"> speak for the image the obscuration of this focus through the obsession of objects and the comforting closure of camps is deeply embarrassing. It is my intuition that this embarrassment so intimately linked to the perhaps difficult to articulate dis-appointment of subtleties and complexities, speaks volumes. Following this intuition, the realm of emotions on such emotive ground is perhaps necessary to engage. It is clear that this moment produced severe extremities of emotions. While it is impossible to here engage with all of these, it is my feeling that, while much of the pain, anger and humiliation experienced was expressed through mobilisation of the </w:t>
      </w:r>
      <w:r w:rsidRPr="00F103DF">
        <w:rPr>
          <w:rFonts w:ascii="Garamond" w:hAnsi="Garamond"/>
          <w:i/>
          <w:sz w:val="24"/>
          <w:szCs w:val="24"/>
        </w:rPr>
        <w:t>past-tense</w:t>
      </w:r>
      <w:r w:rsidRPr="00F103DF">
        <w:rPr>
          <w:rFonts w:ascii="Garamond" w:hAnsi="Garamond"/>
          <w:sz w:val="24"/>
          <w:szCs w:val="24"/>
        </w:rPr>
        <w:t xml:space="preserve"> of the </w:t>
      </w:r>
      <w:r w:rsidRPr="00F103DF">
        <w:rPr>
          <w:rFonts w:ascii="Garamond" w:hAnsi="Garamond"/>
          <w:sz w:val="24"/>
          <w:szCs w:val="24"/>
        </w:rPr>
        <w:lastRenderedPageBreak/>
        <w:t xml:space="preserve">apartheid, if these could so swiftly slip from the sub-dermal to the surface, there is perhaps more to this picture. </w:t>
      </w: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t>My first encounter with this ‘controversy’ was through the highly publicised video recording of the defacement of ‘The Spear’ by Barend La Grange and Louis Mabokela. What was most nauseatingly shocking for me in this viewing was the radically different ways in which the two men were engaged with directly following their defacements. La Grange, a ‘white’</w:t>
      </w:r>
      <w:r w:rsidRPr="00F103DF">
        <w:rPr>
          <w:rFonts w:ascii="Garamond" w:hAnsi="Garamond"/>
          <w:sz w:val="24"/>
          <w:szCs w:val="24"/>
          <w:vertAlign w:val="superscript"/>
        </w:rPr>
        <w:footnoteReference w:id="109"/>
      </w:r>
      <w:r w:rsidRPr="00F103DF">
        <w:rPr>
          <w:rFonts w:ascii="Garamond" w:hAnsi="Garamond"/>
          <w:sz w:val="24"/>
          <w:szCs w:val="24"/>
        </w:rPr>
        <w:t xml:space="preserve"> man, dressed in a suit who initiated the destruction was immediately taken aside to be interviewed. Those present demanded details from him; who he was and what the reasons for his actions were. While La Grange was being engaged with, Mabokela, a ‘black’ man dressed in jeans and a ‘hoodie’, mirrored Le Grange’s action through a smearing of paint over the surface of the </w:t>
      </w:r>
      <w:r w:rsidRPr="00F103DF">
        <w:rPr>
          <w:rFonts w:ascii="Garamond" w:hAnsi="Garamond"/>
          <w:i/>
          <w:sz w:val="24"/>
          <w:szCs w:val="24"/>
        </w:rPr>
        <w:t>already defaced</w:t>
      </w:r>
      <w:r w:rsidRPr="00F103DF">
        <w:rPr>
          <w:rFonts w:ascii="Garamond" w:hAnsi="Garamond"/>
          <w:sz w:val="24"/>
          <w:szCs w:val="24"/>
        </w:rPr>
        <w:t xml:space="preserve"> image. The non-resistive Mabokela was immediately seized by security, head butted, thrown by his neck to the ground, hit and violently tied up. The extreme disparity of these reactions, the radically different ways in which these two men were ‘dealt with’ viscerally gestures to the </w:t>
      </w:r>
      <w:r w:rsidRPr="00F103DF">
        <w:rPr>
          <w:rFonts w:ascii="Garamond" w:hAnsi="Garamond"/>
          <w:i/>
          <w:sz w:val="24"/>
          <w:szCs w:val="24"/>
        </w:rPr>
        <w:t>present</w:t>
      </w:r>
      <w:r w:rsidRPr="00F103DF">
        <w:rPr>
          <w:rFonts w:ascii="Garamond" w:hAnsi="Garamond"/>
          <w:sz w:val="24"/>
          <w:szCs w:val="24"/>
        </w:rPr>
        <w:t xml:space="preserve"> reality of on-going racism within the ‘Rainbow Nation’. Facing the violence of this recording and the</w:t>
      </w:r>
      <w:r w:rsidRPr="00F103DF">
        <w:t xml:space="preserve"> </w:t>
      </w:r>
      <w:r w:rsidRPr="00F103DF">
        <w:rPr>
          <w:rFonts w:ascii="Garamond" w:hAnsi="Garamond"/>
          <w:sz w:val="24"/>
          <w:szCs w:val="24"/>
        </w:rPr>
        <w:t xml:space="preserve">immense disparity of these reactions, it was extremely surprising to me that not one article, discussion, or forum that I encountered in active engagement with this ‘controversy’ incorporated or even acknowledged this aspect. Perhaps it is somehow easier to speak about pain from the past, rather than acknowledging painfully real, present and empirical manifestations. Perhaps this would go too far in undermining the carefully constructed image of national unity. </w:t>
      </w: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t>Moving in the present, the construction of the ‘black’ male as an embodiment of damaging masculinities and sexualities was not just central to the projects of colonialism and apartheid, it is also central to present justificatory logics of racism in which the ‘black’ man is still often highly visualised and constructed as violent</w:t>
      </w:r>
      <w:r w:rsidRPr="00F103DF">
        <w:rPr>
          <w:rFonts w:ascii="Garamond" w:hAnsi="Garamond"/>
          <w:sz w:val="24"/>
          <w:szCs w:val="24"/>
          <w:vertAlign w:val="superscript"/>
        </w:rPr>
        <w:footnoteReference w:id="110"/>
      </w:r>
      <w:r w:rsidRPr="00F103DF">
        <w:rPr>
          <w:rFonts w:ascii="Garamond" w:hAnsi="Garamond"/>
          <w:sz w:val="24"/>
          <w:szCs w:val="24"/>
        </w:rPr>
        <w:t xml:space="preserve">. In two of the most highly visualised discourses on rape in South Africa, not only are ‘corrective rapists’ imagined as ‘black’ (as has been discussed above), but so are ‘baby rapists’ when, in South Africa, this discourse is often unquestioningly </w:t>
      </w:r>
      <w:r w:rsidRPr="00F103DF">
        <w:rPr>
          <w:rFonts w:ascii="Garamond" w:hAnsi="Garamond"/>
          <w:sz w:val="24"/>
          <w:szCs w:val="24"/>
        </w:rPr>
        <w:lastRenderedPageBreak/>
        <w:t xml:space="preserve">associated with the supposed prevalence of the ‘African myth’ that sex with a virgin can cure or cleanse an individual of HIV/AIDS (Epstein and Jewkes, 2009: 1419).  As Epstein and Jewkes make explicit, with this ‘myth’ only very rarely entering as a motivating factor for child abuse, “in the current South African case, this claim is predicated on racist assumptions about the amorality of African men and is highly stigmatising towards people with HIV” (2009: 1419). Not only does the high visibility of these discourses promote and encourage racist logic, it also acts as a diversion from the prevalence of sexual abuse within South Africa, a prevalence which again, it must be emphasised, incorporates a number of different spaces, homes, genders, ages, people races and so on. The violence of these constructions is embodied in the present. </w:t>
      </w: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t>In supplement, in 1996 an exhibition titled ‘Miscast’ was held at the South African National Gallery. This exhibition was intended as a “critical engagement with the ways in which the ‘Khoisan’ were pathologized, dispossessed, and all but eradicated through colonialism and apartheid” (2004: 230). However, despite these intentions, this exhibition was met with expressions of outrage, pain and humiliation by the ‘Khoisan’</w:t>
      </w:r>
      <w:r w:rsidRPr="00F103DF">
        <w:rPr>
          <w:rFonts w:ascii="Garamond" w:hAnsi="Garamond"/>
          <w:sz w:val="24"/>
          <w:szCs w:val="24"/>
          <w:vertAlign w:val="superscript"/>
        </w:rPr>
        <w:footnoteReference w:id="111"/>
      </w:r>
      <w:r w:rsidRPr="00F103DF">
        <w:rPr>
          <w:rFonts w:ascii="Garamond" w:hAnsi="Garamond"/>
          <w:sz w:val="24"/>
          <w:szCs w:val="24"/>
        </w:rPr>
        <w:t xml:space="preserve"> readers. Coombes notes in relation to these responses that the critical distance necessary for “an appreciation of the dialectical intention behind the use of images and objects” was perhaps not possible for the ‘Khoisan’ audience in the same way that that it might be for example, for a Jewish audience visiting the Holocaust Memorial Museum, because the “Khoisan are </w:t>
      </w:r>
      <w:r w:rsidRPr="00F103DF">
        <w:rPr>
          <w:rFonts w:ascii="Garamond" w:hAnsi="Garamond"/>
          <w:i/>
          <w:sz w:val="24"/>
          <w:szCs w:val="24"/>
        </w:rPr>
        <w:t>still</w:t>
      </w:r>
      <w:r w:rsidRPr="00F103DF">
        <w:rPr>
          <w:rFonts w:ascii="Garamond" w:hAnsi="Garamond"/>
          <w:sz w:val="24"/>
          <w:szCs w:val="24"/>
        </w:rPr>
        <w:t xml:space="preserve"> a dispossessed minority in the ‘new’ South Africa’ (2004: 240, emphasis my own)</w:t>
      </w:r>
      <w:r w:rsidRPr="00F103DF">
        <w:rPr>
          <w:rFonts w:ascii="Garamond" w:hAnsi="Garamond"/>
          <w:sz w:val="24"/>
          <w:szCs w:val="24"/>
          <w:vertAlign w:val="superscript"/>
        </w:rPr>
        <w:footnoteReference w:id="112"/>
      </w:r>
      <w:r w:rsidRPr="00F103DF">
        <w:rPr>
          <w:rFonts w:ascii="Garamond" w:hAnsi="Garamond"/>
          <w:sz w:val="24"/>
          <w:szCs w:val="24"/>
        </w:rPr>
        <w:t xml:space="preserve">. It is therefore of no small irony that, at the time of this exhibition, the neighbouring institution to the South African National Gallery, the South African Museum (now called the Iziko Museum), still carried the controversial  ‘Bushman Diorama’ (Coombes, 2004: 220). That this still continues to exist today in the context of a natural history museum is outrageous, but the point to be emphasised here, in supplement, is that emotive responses are often mobilised in relation to </w:t>
      </w:r>
      <w:r w:rsidRPr="00F103DF">
        <w:rPr>
          <w:rFonts w:ascii="Garamond" w:hAnsi="Garamond"/>
          <w:i/>
          <w:sz w:val="24"/>
          <w:szCs w:val="24"/>
        </w:rPr>
        <w:t>present</w:t>
      </w:r>
      <w:r w:rsidRPr="00F103DF">
        <w:rPr>
          <w:rFonts w:ascii="Garamond" w:hAnsi="Garamond"/>
          <w:sz w:val="24"/>
          <w:szCs w:val="24"/>
        </w:rPr>
        <w:t xml:space="preserve"> realities. </w:t>
      </w:r>
    </w:p>
    <w:p w:rsidR="00F103DF" w:rsidRPr="00F103DF" w:rsidRDefault="00F103DF" w:rsidP="00F103DF">
      <w:pPr>
        <w:spacing w:line="360" w:lineRule="auto"/>
        <w:rPr>
          <w:rFonts w:ascii="Garamond" w:hAnsi="Garamond"/>
          <w:sz w:val="24"/>
          <w:szCs w:val="24"/>
        </w:rPr>
      </w:pPr>
      <w:r w:rsidRPr="00F103DF">
        <w:rPr>
          <w:rFonts w:ascii="Garamond" w:hAnsi="Garamond"/>
          <w:sz w:val="24"/>
          <w:szCs w:val="24"/>
        </w:rPr>
        <w:t>As the above has attempted to monstrate, if emotions were highly activated in response to ‘The Spear’, it is perhaps more productive to pull at the thread of these responses, than to necessarily and obsessively become absorbed by the ‘object’ of the ‘controversy’, or activate simplistic camps of closure in order to impose ‘sense’ on the confusion. It is possibly through a shift in focus from the object itself to the</w:t>
      </w:r>
      <w:r w:rsidRPr="00F103DF">
        <w:rPr>
          <w:rFonts w:ascii="Garamond" w:hAnsi="Garamond"/>
          <w:i/>
          <w:sz w:val="24"/>
          <w:szCs w:val="24"/>
        </w:rPr>
        <w:t xml:space="preserve"> readers</w:t>
      </w:r>
      <w:r w:rsidRPr="00F103DF">
        <w:rPr>
          <w:rFonts w:ascii="Garamond" w:hAnsi="Garamond"/>
          <w:sz w:val="24"/>
          <w:szCs w:val="24"/>
        </w:rPr>
        <w:t xml:space="preserve"> of the object (and the different ways in which the object has been read) that more nuanced sights into currents may perhaps be opened. Furthermore, if </w:t>
      </w:r>
      <w:r w:rsidRPr="00F103DF">
        <w:rPr>
          <w:rFonts w:ascii="Garamond" w:hAnsi="Garamond"/>
          <w:sz w:val="24"/>
          <w:szCs w:val="24"/>
        </w:rPr>
        <w:lastRenderedPageBreak/>
        <w:t>this shift was realised, the problematic reality of censorship</w:t>
      </w:r>
      <w:r w:rsidRPr="00F103DF">
        <w:rPr>
          <w:rFonts w:ascii="Garamond" w:hAnsi="Garamond"/>
          <w:sz w:val="24"/>
          <w:szCs w:val="24"/>
          <w:vertAlign w:val="superscript"/>
        </w:rPr>
        <w:footnoteReference w:id="113"/>
      </w:r>
      <w:r w:rsidRPr="00F103DF">
        <w:rPr>
          <w:rFonts w:ascii="Garamond" w:hAnsi="Garamond"/>
          <w:sz w:val="24"/>
          <w:szCs w:val="24"/>
        </w:rPr>
        <w:t xml:space="preserve"> could perhaps more easily be buried in affirmation of unfastening, of turns away from the claustrophobia of enclosures.    </w:t>
      </w:r>
    </w:p>
    <w:p w:rsidR="00F103DF" w:rsidRPr="00F103DF" w:rsidRDefault="00F103DF" w:rsidP="00F103DF">
      <w:pPr>
        <w:spacing w:line="360" w:lineRule="auto"/>
        <w:rPr>
          <w:rFonts w:ascii="Garamond" w:hAnsi="Garamond"/>
          <w:sz w:val="24"/>
          <w:szCs w:val="24"/>
        </w:rPr>
      </w:pPr>
    </w:p>
    <w:p w:rsidR="00FC28A2" w:rsidRDefault="00FC28A2"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8F4BFC" w:rsidRDefault="008F4BFC" w:rsidP="00801CF8">
      <w:pPr>
        <w:rPr>
          <w:rFonts w:ascii="Garamond" w:hAnsi="Garamond"/>
          <w:sz w:val="28"/>
          <w:szCs w:val="28"/>
        </w:rPr>
      </w:pPr>
    </w:p>
    <w:p w:rsidR="008F4BFC" w:rsidRDefault="008F4BFC" w:rsidP="00801CF8">
      <w:pPr>
        <w:rPr>
          <w:rFonts w:ascii="Garamond" w:hAnsi="Garamond"/>
          <w:sz w:val="28"/>
          <w:szCs w:val="28"/>
        </w:rPr>
      </w:pPr>
    </w:p>
    <w:p w:rsidR="008F4BFC" w:rsidRDefault="008F4BFC" w:rsidP="00801CF8">
      <w:pPr>
        <w:rPr>
          <w:rFonts w:ascii="Garamond" w:hAnsi="Garamond"/>
          <w:sz w:val="28"/>
          <w:szCs w:val="28"/>
        </w:rPr>
      </w:pPr>
    </w:p>
    <w:p w:rsidR="008F4BFC" w:rsidRDefault="008F4BFC" w:rsidP="00801CF8">
      <w:pPr>
        <w:rPr>
          <w:rFonts w:ascii="Garamond" w:hAnsi="Garamond"/>
          <w:sz w:val="28"/>
          <w:szCs w:val="28"/>
        </w:rPr>
      </w:pPr>
    </w:p>
    <w:p w:rsidR="008F4BFC" w:rsidRDefault="008F4BFC" w:rsidP="00801CF8">
      <w:pPr>
        <w:rPr>
          <w:rFonts w:ascii="Garamond" w:hAnsi="Garamond"/>
          <w:sz w:val="28"/>
          <w:szCs w:val="28"/>
        </w:rPr>
      </w:pPr>
    </w:p>
    <w:p w:rsidR="008F4BFC" w:rsidRDefault="008F4BFC" w:rsidP="00801CF8">
      <w:pPr>
        <w:rPr>
          <w:rFonts w:ascii="Garamond" w:hAnsi="Garamond"/>
          <w:sz w:val="28"/>
          <w:szCs w:val="28"/>
        </w:rPr>
      </w:pPr>
    </w:p>
    <w:p w:rsidR="008F4BFC" w:rsidRDefault="008F4BFC" w:rsidP="00801CF8">
      <w:pPr>
        <w:rPr>
          <w:rFonts w:ascii="Garamond" w:hAnsi="Garamond"/>
          <w:sz w:val="28"/>
          <w:szCs w:val="28"/>
        </w:rPr>
      </w:pPr>
    </w:p>
    <w:p w:rsidR="008F4BFC" w:rsidRDefault="008F4BFC"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p>
    <w:p w:rsidR="00556AC6" w:rsidRDefault="00556AC6" w:rsidP="00801CF8">
      <w:pPr>
        <w:rPr>
          <w:rFonts w:ascii="Garamond" w:hAnsi="Garamond"/>
          <w:sz w:val="28"/>
          <w:szCs w:val="28"/>
        </w:rPr>
      </w:pPr>
      <w:r>
        <w:rPr>
          <w:rFonts w:ascii="Garamond" w:hAnsi="Garamond"/>
          <w:noProof/>
          <w:sz w:val="28"/>
          <w:szCs w:val="28"/>
          <w:lang w:eastAsia="en-ZA"/>
        </w:rPr>
        <w:drawing>
          <wp:inline distT="0" distB="0" distL="0" distR="0" wp14:anchorId="7219644A" wp14:editId="53296E88">
            <wp:extent cx="5725160" cy="3796665"/>
            <wp:effectExtent l="0" t="0" r="8890" b="0"/>
            <wp:docPr id="13" name="Picture 13" descr="G:\The final countdown\to u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he final countdown\to us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3796665"/>
                    </a:xfrm>
                    <a:prstGeom prst="rect">
                      <a:avLst/>
                    </a:prstGeom>
                    <a:noFill/>
                    <a:ln>
                      <a:noFill/>
                    </a:ln>
                  </pic:spPr>
                </pic:pic>
              </a:graphicData>
            </a:graphic>
          </wp:inline>
        </w:drawing>
      </w:r>
    </w:p>
    <w:p w:rsidR="00940A72" w:rsidRDefault="001223C3" w:rsidP="001223C3">
      <w:pPr>
        <w:jc w:val="center"/>
        <w:rPr>
          <w:rFonts w:ascii="Garamond" w:hAnsi="Garamond"/>
          <w:sz w:val="28"/>
          <w:szCs w:val="28"/>
        </w:rPr>
      </w:pPr>
      <w:r>
        <w:rPr>
          <w:rFonts w:ascii="Garamond" w:hAnsi="Garamond"/>
          <w:sz w:val="28"/>
          <w:szCs w:val="28"/>
        </w:rPr>
        <w:t>Image 6</w:t>
      </w:r>
    </w:p>
    <w:p w:rsidR="00940A72" w:rsidRDefault="00940A72" w:rsidP="00801CF8">
      <w:pPr>
        <w:rPr>
          <w:rFonts w:ascii="Garamond" w:hAnsi="Garamond"/>
          <w:sz w:val="28"/>
          <w:szCs w:val="28"/>
        </w:rPr>
      </w:pPr>
    </w:p>
    <w:p w:rsidR="00940A72" w:rsidRDefault="00940A72" w:rsidP="00801CF8">
      <w:pPr>
        <w:rPr>
          <w:rFonts w:ascii="Garamond" w:hAnsi="Garamond"/>
          <w:sz w:val="28"/>
          <w:szCs w:val="28"/>
        </w:rPr>
      </w:pPr>
    </w:p>
    <w:p w:rsidR="00940A72" w:rsidRDefault="00940A72" w:rsidP="00801CF8">
      <w:pPr>
        <w:rPr>
          <w:rFonts w:ascii="Garamond" w:hAnsi="Garamond"/>
          <w:sz w:val="28"/>
          <w:szCs w:val="28"/>
        </w:rPr>
      </w:pPr>
    </w:p>
    <w:p w:rsidR="00940A72" w:rsidRDefault="00940A72" w:rsidP="00801CF8">
      <w:pPr>
        <w:rPr>
          <w:rFonts w:ascii="Garamond" w:hAnsi="Garamond"/>
          <w:sz w:val="28"/>
          <w:szCs w:val="28"/>
        </w:rPr>
      </w:pPr>
    </w:p>
    <w:p w:rsidR="00940A72" w:rsidRDefault="00940A72" w:rsidP="00801CF8">
      <w:pPr>
        <w:rPr>
          <w:rFonts w:ascii="Garamond" w:hAnsi="Garamond"/>
          <w:sz w:val="28"/>
          <w:szCs w:val="28"/>
        </w:rPr>
      </w:pPr>
    </w:p>
    <w:p w:rsidR="00940A72" w:rsidRDefault="00940A72" w:rsidP="00801CF8">
      <w:pPr>
        <w:rPr>
          <w:rFonts w:ascii="Garamond" w:hAnsi="Garamond"/>
          <w:sz w:val="28"/>
          <w:szCs w:val="28"/>
        </w:rPr>
      </w:pPr>
    </w:p>
    <w:p w:rsidR="005960AA" w:rsidRPr="007A28BA" w:rsidRDefault="005960AA" w:rsidP="0083470D">
      <w:pPr>
        <w:pStyle w:val="Heading1"/>
        <w:jc w:val="center"/>
        <w:rPr>
          <w:rFonts w:ascii="Garamond" w:eastAsia="Calibri" w:hAnsi="Garamond" w:cs="Times New Roman"/>
          <w:color w:val="auto"/>
          <w:sz w:val="32"/>
          <w:szCs w:val="32"/>
          <w:u w:val="single"/>
          <w:lang w:val="en-US"/>
        </w:rPr>
      </w:pPr>
      <w:bookmarkStart w:id="6" w:name="_Toc343854806"/>
      <w:bookmarkStart w:id="7" w:name="_GoBack"/>
      <w:bookmarkEnd w:id="7"/>
      <w:r w:rsidRPr="007A28BA">
        <w:rPr>
          <w:rFonts w:ascii="Garamond" w:eastAsia="Calibri" w:hAnsi="Garamond" w:cs="Times New Roman"/>
          <w:color w:val="auto"/>
          <w:sz w:val="32"/>
          <w:szCs w:val="32"/>
          <w:u w:val="single"/>
          <w:lang w:val="en-US"/>
        </w:rPr>
        <w:lastRenderedPageBreak/>
        <w:t>References:</w:t>
      </w:r>
      <w:bookmarkEnd w:id="6"/>
    </w:p>
    <w:p w:rsidR="005960AA" w:rsidRPr="005960AA" w:rsidRDefault="005960AA" w:rsidP="005960AA">
      <w:pPr>
        <w:jc w:val="center"/>
        <w:rPr>
          <w:rFonts w:ascii="Garamond" w:eastAsia="Calibri" w:hAnsi="Garamond" w:cs="Times New Roman"/>
          <w:sz w:val="32"/>
          <w:szCs w:val="32"/>
          <w:u w:val="single"/>
          <w:lang w:val="en-US"/>
        </w:rPr>
      </w:pP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Abu-Lughod, L. 2002. ‘Do Muslim Women Really Need Saving? Anthropological Reflections on Cultural Relativism and Its Others’, in </w:t>
      </w:r>
      <w:r w:rsidRPr="005960AA">
        <w:rPr>
          <w:rFonts w:ascii="Garamond" w:eastAsia="Calibri" w:hAnsi="Garamond" w:cs="Times New Roman"/>
          <w:i/>
          <w:sz w:val="24"/>
          <w:szCs w:val="24"/>
        </w:rPr>
        <w:t>American Anthropologist, New Series</w:t>
      </w:r>
      <w:r w:rsidRPr="005960AA">
        <w:rPr>
          <w:rFonts w:ascii="Garamond" w:eastAsia="Calibri" w:hAnsi="Garamond" w:cs="Times New Roman"/>
          <w:sz w:val="24"/>
          <w:szCs w:val="24"/>
        </w:rPr>
        <w:t xml:space="preserve">, Vol. 104, No. 3. pp. 783-790.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Ahmed, L. 2005. ‘The Discourse of the Veil’, in </w:t>
      </w:r>
      <w:r w:rsidRPr="005960AA">
        <w:rPr>
          <w:rFonts w:ascii="Garamond" w:eastAsia="Calibri" w:hAnsi="Garamond" w:cs="Times New Roman"/>
          <w:i/>
          <w:sz w:val="24"/>
          <w:szCs w:val="24"/>
        </w:rPr>
        <w:t>Postcolonialisms: An Anthology of Cultural Theory and Criticism</w:t>
      </w:r>
      <w:r w:rsidRPr="005960AA">
        <w:rPr>
          <w:rFonts w:ascii="Garamond" w:eastAsia="Calibri" w:hAnsi="Garamond" w:cs="Times New Roman"/>
          <w:sz w:val="24"/>
          <w:szCs w:val="24"/>
        </w:rPr>
        <w:t xml:space="preserve">. Desai, G. and Nair, S. (eds.) Berg: Oxford. pp. 315-337.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Atkinson, B. 1999. ‘Introduction’ in </w:t>
      </w:r>
      <w:r w:rsidRPr="005960AA">
        <w:rPr>
          <w:rFonts w:ascii="Garamond" w:eastAsia="Calibri" w:hAnsi="Garamond" w:cs="Times New Roman"/>
          <w:i/>
          <w:sz w:val="24"/>
          <w:szCs w:val="24"/>
        </w:rPr>
        <w:t>Grey Areas; Representation, Identity and the Politics in Contemporary South African Art</w:t>
      </w:r>
      <w:r w:rsidRPr="005960AA">
        <w:rPr>
          <w:rFonts w:ascii="Garamond" w:eastAsia="Calibri" w:hAnsi="Garamond" w:cs="Times New Roman"/>
          <w:sz w:val="24"/>
          <w:szCs w:val="24"/>
        </w:rPr>
        <w:t>. Chalkham Hill Press: Johannesburg. pp. 13- 29.</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Axel, B. 1999. ‘Disembodiment and the Total Body: A Response to Enwezor on Contemporary South African Representation’, in </w:t>
      </w:r>
      <w:r w:rsidRPr="005960AA">
        <w:rPr>
          <w:rFonts w:ascii="Garamond" w:eastAsia="Calibri" w:hAnsi="Garamond" w:cs="Times New Roman"/>
          <w:i/>
          <w:sz w:val="24"/>
          <w:szCs w:val="24"/>
        </w:rPr>
        <w:t>Grey Areas; Representation, Identity and the Politics in Contemporary South African Art</w:t>
      </w:r>
      <w:r w:rsidRPr="005960AA">
        <w:rPr>
          <w:rFonts w:ascii="Garamond" w:eastAsia="Calibri" w:hAnsi="Garamond" w:cs="Times New Roman"/>
          <w:sz w:val="24"/>
          <w:szCs w:val="24"/>
        </w:rPr>
        <w:t xml:space="preserve">. Chalkham Hill Press: Johannesburg. pp. 41- 63.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Baderoon, G. 2011. ‘Intimacy and History’, in </w:t>
      </w:r>
      <w:r w:rsidRPr="005960AA">
        <w:rPr>
          <w:rFonts w:ascii="Garamond" w:eastAsia="Calibri" w:hAnsi="Garamond" w:cs="Times New Roman"/>
          <w:i/>
          <w:sz w:val="24"/>
          <w:szCs w:val="24"/>
        </w:rPr>
        <w:t>Visual Century; South African Art in Context, Volume Four, 1990-2007</w:t>
      </w:r>
      <w:r w:rsidRPr="005960AA">
        <w:rPr>
          <w:rFonts w:ascii="Garamond" w:eastAsia="Calibri" w:hAnsi="Garamond" w:cs="Times New Roman"/>
          <w:sz w:val="24"/>
          <w:szCs w:val="24"/>
        </w:rPr>
        <w:t>. Goniwe, T., Pissara, M., and Majavu, M. (eds.) Wits University Press: South Africa and The Visual Century Project: Norway.  pp. 74- 91.</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Badmington, N. 2008. ‘The ‘Inkredible’ Roland Barthes’, in </w:t>
      </w:r>
      <w:r w:rsidRPr="005960AA">
        <w:rPr>
          <w:rFonts w:ascii="Garamond" w:eastAsia="Calibri" w:hAnsi="Garamond" w:cs="Times New Roman"/>
          <w:i/>
          <w:iCs/>
          <w:sz w:val="24"/>
          <w:szCs w:val="24"/>
        </w:rPr>
        <w:t>Paragraph</w:t>
      </w:r>
      <w:r w:rsidRPr="005960AA">
        <w:rPr>
          <w:rFonts w:ascii="Garamond" w:eastAsia="Calibri" w:hAnsi="Garamond" w:cs="Times New Roman"/>
          <w:iCs/>
          <w:sz w:val="24"/>
          <w:szCs w:val="24"/>
        </w:rPr>
        <w:t>,</w:t>
      </w:r>
      <w:r w:rsidRPr="005960AA">
        <w:rPr>
          <w:rFonts w:ascii="Garamond" w:eastAsia="Calibri" w:hAnsi="Garamond" w:cs="Times New Roman"/>
          <w:i/>
          <w:iCs/>
          <w:sz w:val="24"/>
          <w:szCs w:val="24"/>
        </w:rPr>
        <w:t xml:space="preserve"> </w:t>
      </w:r>
      <w:r w:rsidRPr="005960AA">
        <w:rPr>
          <w:rFonts w:ascii="Garamond" w:eastAsia="Calibri" w:hAnsi="Garamond" w:cs="Times New Roman"/>
          <w:iCs/>
          <w:sz w:val="24"/>
          <w:szCs w:val="24"/>
        </w:rPr>
        <w:t xml:space="preserve">Vol. </w:t>
      </w:r>
      <w:r w:rsidRPr="005960AA">
        <w:rPr>
          <w:rFonts w:ascii="Garamond" w:eastAsia="Calibri" w:hAnsi="Garamond" w:cs="Times New Roman"/>
          <w:sz w:val="24"/>
          <w:szCs w:val="24"/>
        </w:rPr>
        <w:t>31, No. 1. pp. 84–94.</w:t>
      </w:r>
    </w:p>
    <w:p w:rsidR="005960AA" w:rsidRPr="005960AA" w:rsidRDefault="005960AA" w:rsidP="005960AA">
      <w:pPr>
        <w:numPr>
          <w:ilvl w:val="0"/>
          <w:numId w:val="1"/>
        </w:numPr>
        <w:rPr>
          <w:rFonts w:ascii="Garamond" w:eastAsia="Calibri" w:hAnsi="Garamond" w:cs="Times New Roman"/>
          <w:color w:val="FF0000"/>
          <w:sz w:val="24"/>
          <w:szCs w:val="24"/>
        </w:rPr>
      </w:pPr>
      <w:r w:rsidRPr="005960AA">
        <w:rPr>
          <w:rFonts w:ascii="Garamond" w:eastAsia="Calibri" w:hAnsi="Garamond" w:cs="Times New Roman"/>
          <w:sz w:val="24"/>
          <w:szCs w:val="24"/>
        </w:rPr>
        <w:t xml:space="preserve">Bal, M. 2005. ‘The Commitment to Look’, in </w:t>
      </w:r>
      <w:r w:rsidRPr="005960AA">
        <w:rPr>
          <w:rFonts w:ascii="Garamond" w:eastAsia="Calibri" w:hAnsi="Garamond" w:cs="Times New Roman"/>
          <w:i/>
          <w:sz w:val="24"/>
          <w:szCs w:val="24"/>
        </w:rPr>
        <w:t>Journal of Visual Culture</w:t>
      </w:r>
      <w:r w:rsidRPr="005960AA">
        <w:rPr>
          <w:rFonts w:ascii="Garamond" w:eastAsia="Calibri" w:hAnsi="Garamond" w:cs="Times New Roman"/>
          <w:sz w:val="24"/>
          <w:szCs w:val="24"/>
        </w:rPr>
        <w:t>, Vol. 4. pp. 145- 162</w:t>
      </w:r>
      <w:r w:rsidRPr="005960AA">
        <w:rPr>
          <w:rFonts w:ascii="Garamond" w:eastAsia="Calibri" w:hAnsi="Garamond" w:cs="Times New Roman"/>
          <w:color w:val="FF0000"/>
          <w:sz w:val="24"/>
          <w:szCs w:val="24"/>
        </w:rPr>
        <w:t xml:space="preserve">.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Bal, M. 2003. ‘Visual Essentialism and the Object of Visual Culture’ in </w:t>
      </w:r>
      <w:r w:rsidRPr="005960AA">
        <w:rPr>
          <w:rFonts w:ascii="Garamond" w:eastAsia="Calibri" w:hAnsi="Garamond" w:cs="Times New Roman"/>
          <w:i/>
          <w:sz w:val="24"/>
          <w:szCs w:val="24"/>
        </w:rPr>
        <w:t>Journal of Visual Culture</w:t>
      </w:r>
      <w:r w:rsidRPr="005960AA">
        <w:rPr>
          <w:rFonts w:ascii="Garamond" w:eastAsia="Calibri" w:hAnsi="Garamond" w:cs="Times New Roman"/>
          <w:sz w:val="24"/>
          <w:szCs w:val="24"/>
        </w:rPr>
        <w:t>, Vol. 2, No.5. Sage Publications: London, Thousand Oaks CA, New Delhi. pp 5- 32.</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Bal, M. 1999. ‘Three- Way Misreading’, in </w:t>
      </w:r>
      <w:r w:rsidRPr="005960AA">
        <w:rPr>
          <w:rFonts w:ascii="Garamond" w:eastAsia="Calibri" w:hAnsi="Garamond" w:cs="Times New Roman"/>
          <w:i/>
          <w:sz w:val="24"/>
          <w:szCs w:val="24"/>
        </w:rPr>
        <w:t>Diacritics</w:t>
      </w:r>
      <w:r w:rsidRPr="005960AA">
        <w:rPr>
          <w:rFonts w:ascii="Garamond" w:eastAsia="Calibri" w:hAnsi="Garamond" w:cs="Times New Roman"/>
          <w:sz w:val="24"/>
          <w:szCs w:val="24"/>
        </w:rPr>
        <w:t>, Vol. 30, No. 1 pp. 2- 24</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Bal, M. 1997. ‘Looking at Love an Ethics of Vision’, in Diacritics Vol, 27, No. 1. pp. 59-72.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Barnard, R. 2000. ‘The Smell of Apples, Moby-Dick, and Apartheid Ideology’, in </w:t>
      </w:r>
      <w:r w:rsidRPr="005960AA">
        <w:rPr>
          <w:rFonts w:ascii="Garamond" w:eastAsia="Calibri" w:hAnsi="Garamond" w:cs="Times New Roman"/>
          <w:i/>
          <w:sz w:val="24"/>
          <w:szCs w:val="24"/>
        </w:rPr>
        <w:t>Modern Fiction Studies</w:t>
      </w:r>
      <w:r w:rsidRPr="005960AA">
        <w:rPr>
          <w:rFonts w:ascii="Garamond" w:eastAsia="Calibri" w:hAnsi="Garamond" w:cs="Times New Roman"/>
          <w:sz w:val="24"/>
          <w:szCs w:val="24"/>
        </w:rPr>
        <w:t xml:space="preserve">, Vol. 46, No. 1. pp. 207-226.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Bartsch, I., DiPalma, C., and Sells, L. 2001. ‘Witnessing the Postmodern Jeremiad: (Mis)Understanding Donna Haraway’s Method of Inquiry’ in </w:t>
      </w:r>
      <w:r w:rsidRPr="005960AA">
        <w:rPr>
          <w:rFonts w:ascii="Garamond" w:eastAsia="Calibri" w:hAnsi="Garamond" w:cs="Times New Roman"/>
          <w:i/>
          <w:sz w:val="24"/>
          <w:szCs w:val="24"/>
        </w:rPr>
        <w:t>Configurations</w:t>
      </w:r>
      <w:r w:rsidRPr="005960AA">
        <w:rPr>
          <w:rFonts w:ascii="Garamond" w:eastAsia="Calibri" w:hAnsi="Garamond" w:cs="Times New Roman"/>
          <w:sz w:val="24"/>
          <w:szCs w:val="24"/>
        </w:rPr>
        <w:t xml:space="preserve">. Vol. 9, No. 1. John Hopkins University Press. pp. 127-164.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Behr, M. 1995. ‘The Smell of Apples’. St. Martin’s: New York.</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Bonthuys, E. 2008. ‘Possibilities Foreclosed: The Civil Union Act and Lesbian and Gay Identity in Southern Africa’, in </w:t>
      </w:r>
      <w:r w:rsidRPr="005960AA">
        <w:rPr>
          <w:rFonts w:ascii="Garamond" w:eastAsia="Calibri" w:hAnsi="Garamond" w:cs="Times New Roman"/>
          <w:i/>
          <w:sz w:val="24"/>
          <w:szCs w:val="24"/>
        </w:rPr>
        <w:t>Sexualities</w:t>
      </w:r>
      <w:r w:rsidRPr="005960AA">
        <w:rPr>
          <w:rFonts w:ascii="Garamond" w:eastAsia="Calibri" w:hAnsi="Garamond" w:cs="Times New Roman"/>
          <w:sz w:val="24"/>
          <w:szCs w:val="24"/>
        </w:rPr>
        <w:t xml:space="preserve">, Vol. 11. pp. 726- 739.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lastRenderedPageBreak/>
        <w:t xml:space="preserve">Burger, F. and Ginsburg, J. 2011. ‘And Not But’. Available: </w:t>
      </w:r>
      <w:hyperlink r:id="rId18" w:history="1">
        <w:r w:rsidRPr="005960AA">
          <w:rPr>
            <w:rFonts w:ascii="Garamond" w:eastAsia="Calibri" w:hAnsi="Garamond" w:cs="Times New Roman"/>
            <w:sz w:val="24"/>
            <w:szCs w:val="24"/>
            <w:u w:val="single"/>
          </w:rPr>
          <w:t>http://andnotbut.blogspot.com</w:t>
        </w:r>
      </w:hyperlink>
      <w:r w:rsidRPr="005960AA">
        <w:rPr>
          <w:rFonts w:ascii="Garamond" w:eastAsia="Calibri" w:hAnsi="Garamond" w:cs="Times New Roman"/>
          <w:sz w:val="24"/>
          <w:szCs w:val="24"/>
        </w:rPr>
        <w:t xml:space="preserve"> [Accessed: August 21, 2012]</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Burnett, R. 1999. ‘Private Parts and Public Selves- An Excerpt’, in </w:t>
      </w:r>
      <w:r w:rsidRPr="005960AA">
        <w:rPr>
          <w:rFonts w:ascii="Garamond" w:eastAsia="Calibri" w:hAnsi="Garamond" w:cs="Times New Roman"/>
          <w:i/>
          <w:sz w:val="24"/>
          <w:szCs w:val="24"/>
        </w:rPr>
        <w:t>Grey Areas; Representation, Identity and the Politics in Contemporary South African Art</w:t>
      </w:r>
      <w:r w:rsidRPr="005960AA">
        <w:rPr>
          <w:rFonts w:ascii="Garamond" w:eastAsia="Calibri" w:hAnsi="Garamond" w:cs="Times New Roman"/>
          <w:sz w:val="24"/>
          <w:szCs w:val="24"/>
        </w:rPr>
        <w:t>. Chalkham Hill Press: Johannesburg. pp. 79- 84.</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Butcher, C. 2010. ‘Her and There: the making of time in contemporary creative practice’, in </w:t>
      </w:r>
      <w:r w:rsidRPr="005960AA">
        <w:rPr>
          <w:rFonts w:ascii="Garamond" w:eastAsia="Calibri" w:hAnsi="Garamond" w:cs="Times New Roman"/>
          <w:i/>
          <w:sz w:val="24"/>
          <w:szCs w:val="24"/>
        </w:rPr>
        <w:t>Migratory Aesthetics</w:t>
      </w:r>
      <w:r w:rsidRPr="005960AA">
        <w:rPr>
          <w:rFonts w:ascii="Garamond" w:eastAsia="Calibri" w:hAnsi="Garamond" w:cs="Times New Roman"/>
          <w:sz w:val="24"/>
          <w:szCs w:val="24"/>
        </w:rPr>
        <w:t>, from Articulation(s) the 2010 Annual ACSA International Workshop.</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Caeacciolo, M. 2012. ‘Notes for a(nother) Theory of Experientiality’, in</w:t>
      </w:r>
      <w:r w:rsidRPr="005960AA">
        <w:rPr>
          <w:rFonts w:ascii="Garamond" w:eastAsia="Calibri" w:hAnsi="Garamond" w:cs="Times New Roman"/>
          <w:i/>
          <w:sz w:val="24"/>
          <w:szCs w:val="24"/>
        </w:rPr>
        <w:t xml:space="preserve"> JLT</w:t>
      </w:r>
      <w:r w:rsidRPr="005960AA">
        <w:rPr>
          <w:rFonts w:ascii="Garamond" w:eastAsia="Calibri" w:hAnsi="Garamond" w:cs="Times New Roman"/>
          <w:sz w:val="24"/>
          <w:szCs w:val="24"/>
        </w:rPr>
        <w:t xml:space="preserve">. Vol. 6, No. 1. pp. 177-194.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Caputo, J. 1997. ‘Deconstruction in a Nutshell: A Conversation with Jacques Derrida.’ Fordham University Press: New York.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Cilliers, P. 2005. ‘Complexity, Deconstruction and Relativism’ in </w:t>
      </w:r>
      <w:r w:rsidRPr="005960AA">
        <w:rPr>
          <w:rFonts w:ascii="Garamond" w:eastAsia="Calibri" w:hAnsi="Garamond" w:cs="Times New Roman"/>
          <w:i/>
          <w:sz w:val="24"/>
          <w:szCs w:val="24"/>
        </w:rPr>
        <w:t>Theory, Culture &amp; Society</w:t>
      </w:r>
      <w:r w:rsidRPr="005960AA">
        <w:rPr>
          <w:rFonts w:ascii="Garamond" w:eastAsia="Calibri" w:hAnsi="Garamond" w:cs="Times New Roman"/>
          <w:sz w:val="24"/>
          <w:szCs w:val="24"/>
        </w:rPr>
        <w:t>, Vol. 22, No.5. pp 255-267.</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Conway, D. 2010. ‘‘Every Coward’s Choice?’ Political objection to military service in apartheid South Africa as sexual citizenship’, in </w:t>
      </w:r>
      <w:r w:rsidRPr="005960AA">
        <w:rPr>
          <w:rFonts w:ascii="Garamond" w:eastAsia="Calibri" w:hAnsi="Garamond" w:cs="Times New Roman"/>
          <w:i/>
          <w:sz w:val="24"/>
          <w:szCs w:val="24"/>
        </w:rPr>
        <w:t>Citizenship Studies</w:t>
      </w:r>
      <w:r w:rsidRPr="005960AA">
        <w:rPr>
          <w:rFonts w:ascii="Garamond" w:eastAsia="Calibri" w:hAnsi="Garamond" w:cs="Times New Roman"/>
          <w:sz w:val="24"/>
          <w:szCs w:val="24"/>
        </w:rPr>
        <w:t>, Vol. 8, No. 1. pp. 25-45.</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Conway, D. 2008. ‘The Masculine State in Crisis: State Response to War Resistance in Apartheid South Africa’, in </w:t>
      </w:r>
      <w:r w:rsidRPr="005960AA">
        <w:rPr>
          <w:rFonts w:ascii="Garamond" w:eastAsia="Calibri" w:hAnsi="Garamond" w:cs="Times New Roman"/>
          <w:i/>
          <w:sz w:val="24"/>
          <w:szCs w:val="24"/>
        </w:rPr>
        <w:t>Men and Masculinities</w:t>
      </w:r>
      <w:r w:rsidRPr="005960AA">
        <w:rPr>
          <w:rFonts w:ascii="Garamond" w:eastAsia="Calibri" w:hAnsi="Garamond" w:cs="Times New Roman"/>
          <w:sz w:val="24"/>
          <w:szCs w:val="24"/>
        </w:rPr>
        <w:t xml:space="preserve">, Vol. 10. pp. 422- 439.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Coombes, A. 2004. ‘History After Apartheid; Visual Culture and Public Memory in Democratic South Africa’ Wits University Press: Johannesburg and Duke University Press: Durham.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Cooper, B. 1990. ‘Underneath the Fists are Open and Vulnerable Eyes’, in </w:t>
      </w:r>
      <w:r w:rsidRPr="005960AA">
        <w:rPr>
          <w:rFonts w:ascii="Garamond" w:eastAsia="Calibri" w:hAnsi="Garamond" w:cs="Times New Roman"/>
          <w:i/>
          <w:sz w:val="24"/>
          <w:szCs w:val="24"/>
        </w:rPr>
        <w:t>Spring is Rebellious; Arguments about cultural freedom by Albie Sachs and respondents</w:t>
      </w:r>
      <w:r w:rsidRPr="005960AA">
        <w:rPr>
          <w:rFonts w:ascii="Garamond" w:eastAsia="Calibri" w:hAnsi="Garamond" w:cs="Times New Roman"/>
          <w:sz w:val="24"/>
          <w:szCs w:val="24"/>
        </w:rPr>
        <w:t xml:space="preserve">. De Kok, I. and Press, K. (eds.) Buchu Books: Cape Town.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Cronin, J. 1999. ‘Over the Rainbow’, in </w:t>
      </w:r>
      <w:r w:rsidRPr="005960AA">
        <w:rPr>
          <w:rFonts w:ascii="Garamond" w:eastAsia="Calibri" w:hAnsi="Garamond" w:cs="Times New Roman"/>
          <w:i/>
          <w:sz w:val="24"/>
          <w:szCs w:val="24"/>
        </w:rPr>
        <w:t>Grey Areas; Representation, Identity and the Politics in Contemporary South African Art</w:t>
      </w:r>
      <w:r w:rsidRPr="005960AA">
        <w:rPr>
          <w:rFonts w:ascii="Garamond" w:eastAsia="Calibri" w:hAnsi="Garamond" w:cs="Times New Roman"/>
          <w:sz w:val="24"/>
          <w:szCs w:val="24"/>
        </w:rPr>
        <w:t xml:space="preserve">. Chalkham Hill Press: Johannesburg. pp. 95-100.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Dean, T. 2002. ‘Art as Symptom: Žižek’ and the Ethics of Psychoanalytic Criticism’, in </w:t>
      </w:r>
      <w:r w:rsidRPr="005960AA">
        <w:rPr>
          <w:rFonts w:ascii="Garamond" w:eastAsia="Calibri" w:hAnsi="Garamond" w:cs="Times New Roman"/>
          <w:i/>
          <w:sz w:val="24"/>
          <w:szCs w:val="24"/>
        </w:rPr>
        <w:t>Diacritics</w:t>
      </w:r>
      <w:r w:rsidRPr="005960AA">
        <w:rPr>
          <w:rFonts w:ascii="Garamond" w:eastAsia="Calibri" w:hAnsi="Garamond" w:cs="Times New Roman"/>
          <w:sz w:val="24"/>
          <w:szCs w:val="24"/>
        </w:rPr>
        <w:t xml:space="preserve">, Vol. 32, No. 2. John Hopkins University Press. pp. 21-41.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De Jager, M. 1999. ‘Treading Water in a Fluid World; Post Human Identities, Ambivalence and Art’, in </w:t>
      </w:r>
      <w:r w:rsidRPr="005960AA">
        <w:rPr>
          <w:rFonts w:ascii="Garamond" w:eastAsia="Calibri" w:hAnsi="Garamond" w:cs="Times New Roman"/>
          <w:i/>
          <w:sz w:val="24"/>
          <w:szCs w:val="24"/>
        </w:rPr>
        <w:t>Grey Areas; Representation, Identity and the Politics in Contemporary South African Art</w:t>
      </w:r>
      <w:r w:rsidRPr="005960AA">
        <w:rPr>
          <w:rFonts w:ascii="Garamond" w:eastAsia="Calibri" w:hAnsi="Garamond" w:cs="Times New Roman"/>
          <w:sz w:val="24"/>
          <w:szCs w:val="24"/>
        </w:rPr>
        <w:t>. Chalkham Hill Press: Johannesburg. pp. 111-116.</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Deleuze, G. And Guattari, F. 1987. ‘A Thousand Plateaus: Capitalism and Schizophrenia’, Vol. II. University of Minnesota Press: Minneapolis.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lastRenderedPageBreak/>
        <w:t xml:space="preserve">Derrida, J. 1993. ‘Structure, Sign and Play in the Discourse of the Human Sciences’, in </w:t>
      </w:r>
      <w:r w:rsidRPr="005960AA">
        <w:rPr>
          <w:rFonts w:ascii="Garamond" w:eastAsia="Calibri" w:hAnsi="Garamond" w:cs="Times New Roman"/>
          <w:i/>
          <w:sz w:val="24"/>
          <w:szCs w:val="24"/>
        </w:rPr>
        <w:t>The Postmodern Reader</w:t>
      </w:r>
      <w:r w:rsidRPr="005960AA">
        <w:rPr>
          <w:rFonts w:ascii="Garamond" w:eastAsia="Calibri" w:hAnsi="Garamond" w:cs="Times New Roman"/>
          <w:sz w:val="24"/>
          <w:szCs w:val="24"/>
        </w:rPr>
        <w:t xml:space="preserve">. Natoli, J. and Hutcheon, L. (eds.) State University of New York Press: Albany.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Dubow, N. 1990. ‘Open letter to Albie Sachs’ in </w:t>
      </w:r>
      <w:r w:rsidRPr="005960AA">
        <w:rPr>
          <w:rFonts w:ascii="Garamond" w:eastAsia="Calibri" w:hAnsi="Garamond" w:cs="Times New Roman"/>
          <w:i/>
          <w:sz w:val="24"/>
          <w:szCs w:val="24"/>
        </w:rPr>
        <w:t>Spring is Rebellious; Arguments about cultural freedom by Albie Sachs and respondents</w:t>
      </w:r>
      <w:r w:rsidRPr="005960AA">
        <w:rPr>
          <w:rFonts w:ascii="Garamond" w:eastAsia="Calibri" w:hAnsi="Garamond" w:cs="Times New Roman"/>
          <w:sz w:val="24"/>
          <w:szCs w:val="24"/>
        </w:rPr>
        <w:t xml:space="preserve">. De Kok, I. and Press, K. (eds.) Buchu Books: Cape Town.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Epprecht, M. 2004. ‘Hungochani: the History of a Dissident Sexuality in Southern Africa’. McGill-Queen’s UP: Québec City.</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Epstein, H. and Jewkes, R. 2009. ‘The Myth of the Virgin Rape Myth’ in </w:t>
      </w:r>
      <w:hyperlink r:id="rId19" w:history="1">
        <w:r w:rsidRPr="005960AA">
          <w:rPr>
            <w:rFonts w:ascii="Garamond" w:eastAsia="Calibri" w:hAnsi="Garamond" w:cs="Times New Roman"/>
            <w:i/>
            <w:sz w:val="24"/>
            <w:szCs w:val="24"/>
            <w:u w:val="single"/>
          </w:rPr>
          <w:t>www.thelancet.com</w:t>
        </w:r>
      </w:hyperlink>
      <w:r w:rsidRPr="005960AA">
        <w:rPr>
          <w:rFonts w:ascii="Garamond" w:eastAsia="Calibri" w:hAnsi="Garamond" w:cs="Times New Roman"/>
          <w:sz w:val="24"/>
          <w:szCs w:val="24"/>
        </w:rPr>
        <w:t xml:space="preserve">, Vol. 374.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Escobar, A. 1995. ‘Introduction: Development and the Anthropology of Modernity’, in </w:t>
      </w:r>
      <w:r w:rsidRPr="005960AA">
        <w:rPr>
          <w:rFonts w:ascii="Garamond" w:eastAsia="Calibri" w:hAnsi="Garamond" w:cs="Times New Roman"/>
          <w:i/>
          <w:sz w:val="24"/>
          <w:szCs w:val="24"/>
        </w:rPr>
        <w:t>Encountering Development: The Making and Unmaking of the Third World</w:t>
      </w:r>
      <w:r w:rsidRPr="005960AA">
        <w:rPr>
          <w:rFonts w:ascii="Garamond" w:eastAsia="Calibri" w:hAnsi="Garamond" w:cs="Times New Roman"/>
          <w:sz w:val="24"/>
          <w:szCs w:val="24"/>
        </w:rPr>
        <w:t xml:space="preserve">. Escobar, A. Princeton University Press: Princeton pp. 3- 20.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Fanon, F. 1959. ‘Reciprocal Bases of National Culture and the Fight for Freedom; speech by Franz Fanon at the Congress of Black African Writers’, in </w:t>
      </w:r>
      <w:r w:rsidRPr="005960AA">
        <w:rPr>
          <w:rFonts w:ascii="Garamond" w:eastAsia="Calibri" w:hAnsi="Garamond" w:cs="Times New Roman"/>
          <w:i/>
          <w:sz w:val="24"/>
          <w:szCs w:val="24"/>
        </w:rPr>
        <w:t>The Wretched of the Earth</w:t>
      </w:r>
      <w:r w:rsidRPr="005960AA">
        <w:rPr>
          <w:rFonts w:ascii="Garamond" w:eastAsia="Calibri" w:hAnsi="Garamond" w:cs="Times New Roman"/>
          <w:sz w:val="24"/>
          <w:szCs w:val="24"/>
        </w:rPr>
        <w:t xml:space="preserve">. Pelican Publishers.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Farber, L. 2010. ‘The address of the other: the body and the senses in contemporary South African visual art’, in </w:t>
      </w:r>
      <w:r w:rsidRPr="005960AA">
        <w:rPr>
          <w:rFonts w:ascii="Garamond" w:eastAsia="Calibri" w:hAnsi="Garamond" w:cs="Times New Roman"/>
          <w:i/>
          <w:sz w:val="24"/>
          <w:szCs w:val="24"/>
        </w:rPr>
        <w:t>Critical Arts: South-North Cultural and Media Studies</w:t>
      </w:r>
      <w:r w:rsidRPr="005960AA">
        <w:rPr>
          <w:rFonts w:ascii="Garamond" w:eastAsia="Calibri" w:hAnsi="Garamond" w:cs="Times New Roman"/>
          <w:sz w:val="24"/>
          <w:szCs w:val="24"/>
        </w:rPr>
        <w:t>. Vol. 24, No. 3. pp. 303-320.</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Gardiner, M. 2004. ‘Wild Publics and Grotesque Symposiums: Habermas and Bakhtin on dialogue, everyday life and the public space’, in </w:t>
      </w:r>
      <w:r w:rsidRPr="005960AA">
        <w:rPr>
          <w:rFonts w:ascii="Garamond" w:eastAsia="Calibri" w:hAnsi="Garamond" w:cs="Times New Roman"/>
          <w:i/>
          <w:sz w:val="24"/>
          <w:szCs w:val="24"/>
        </w:rPr>
        <w:t>The Editorial Board of the Sociological Review</w:t>
      </w:r>
      <w:r w:rsidRPr="005960AA">
        <w:rPr>
          <w:rFonts w:ascii="Garamond" w:eastAsia="Calibri" w:hAnsi="Garamond" w:cs="Times New Roman"/>
          <w:sz w:val="24"/>
          <w:szCs w:val="24"/>
        </w:rPr>
        <w:t xml:space="preserve">. Blackwell Publishing: Oxford, Malden.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Gasper, D. and Truong, T. 2008. ‘Development Ethics through the lenses of Caring, Gender, and Human Security’. </w:t>
      </w:r>
      <w:r w:rsidRPr="005960AA">
        <w:rPr>
          <w:rFonts w:ascii="Garamond" w:eastAsia="Calibri" w:hAnsi="Garamond" w:cs="Times New Roman"/>
          <w:i/>
          <w:sz w:val="24"/>
          <w:szCs w:val="24"/>
        </w:rPr>
        <w:t>The Institute of Social Studies Working Paper No. 459</w:t>
      </w:r>
      <w:r w:rsidRPr="005960AA">
        <w:rPr>
          <w:rFonts w:ascii="Garamond" w:eastAsia="Calibri" w:hAnsi="Garamond" w:cs="Times New Roman"/>
          <w:sz w:val="24"/>
          <w:szCs w:val="24"/>
        </w:rPr>
        <w:t xml:space="preserve">. Available: </w:t>
      </w:r>
      <w:hyperlink r:id="rId20" w:history="1">
        <w:r w:rsidRPr="005960AA">
          <w:rPr>
            <w:rFonts w:ascii="Garamond" w:eastAsia="Calibri" w:hAnsi="Garamond" w:cs="Times New Roman"/>
            <w:sz w:val="24"/>
            <w:szCs w:val="24"/>
            <w:u w:val="single"/>
          </w:rPr>
          <w:t>www.iss.nl/workingpapers</w:t>
        </w:r>
      </w:hyperlink>
      <w:r w:rsidRPr="005960AA">
        <w:rPr>
          <w:rFonts w:ascii="Garamond" w:eastAsia="Calibri" w:hAnsi="Garamond" w:cs="Times New Roman"/>
          <w:sz w:val="24"/>
          <w:szCs w:val="24"/>
        </w:rPr>
        <w:t xml:space="preserve">.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Gear, S. 2007. ‘Behind the Bars of Masculinity: Male Rape and Homophobia in and about South African Men’s Prisons’, in </w:t>
      </w:r>
      <w:r w:rsidRPr="005960AA">
        <w:rPr>
          <w:rFonts w:ascii="Garamond" w:eastAsia="Calibri" w:hAnsi="Garamond" w:cs="Times New Roman"/>
          <w:i/>
          <w:sz w:val="24"/>
          <w:szCs w:val="24"/>
        </w:rPr>
        <w:t>Sexualities</w:t>
      </w:r>
      <w:r w:rsidRPr="005960AA">
        <w:rPr>
          <w:rFonts w:ascii="Garamond" w:eastAsia="Calibri" w:hAnsi="Garamond" w:cs="Times New Roman"/>
          <w:sz w:val="24"/>
          <w:szCs w:val="24"/>
        </w:rPr>
        <w:t>, Vol. 10.</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Gibson, A. 2006. ‘Beckett &amp; Badiou; The Pathos of Intermittency.’ Oxford University Press.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Gosine, A. 2009. ‘Monster, Womb, MSM: The work of sex in international development’, in </w:t>
      </w:r>
      <w:r w:rsidRPr="005960AA">
        <w:rPr>
          <w:rFonts w:ascii="Garamond" w:eastAsia="Calibri" w:hAnsi="Garamond" w:cs="Times New Roman"/>
          <w:i/>
          <w:sz w:val="24"/>
          <w:szCs w:val="24"/>
        </w:rPr>
        <w:t>Development</w:t>
      </w:r>
      <w:r w:rsidRPr="005960AA">
        <w:rPr>
          <w:rFonts w:ascii="Garamond" w:eastAsia="Calibri" w:hAnsi="Garamond" w:cs="Times New Roman"/>
          <w:sz w:val="24"/>
          <w:szCs w:val="24"/>
        </w:rPr>
        <w:t xml:space="preserve">, Vol. 52, No. 1. pp. 25- 33.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Haraway, D, 1991. </w:t>
      </w:r>
      <w:r w:rsidRPr="005960AA">
        <w:rPr>
          <w:rFonts w:ascii="Garamond" w:eastAsia="Calibri" w:hAnsi="Garamond" w:cs="Times New Roman"/>
          <w:i/>
          <w:sz w:val="24"/>
          <w:szCs w:val="24"/>
        </w:rPr>
        <w:t>A Cyborg Manifest: Science, Technology, and Socialist-Feminism in the Late Twentieth Century</w:t>
      </w:r>
      <w:r w:rsidRPr="005960AA">
        <w:rPr>
          <w:rFonts w:ascii="Garamond" w:eastAsia="Calibri" w:hAnsi="Garamond" w:cs="Times New Roman"/>
          <w:sz w:val="24"/>
          <w:szCs w:val="24"/>
        </w:rPr>
        <w:t xml:space="preserve">, in ‘Simians, Cyborgs and Women: The Reinvention of Nature’. Routledge: New York. pp. 149-181.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lastRenderedPageBreak/>
        <w:t xml:space="preserve">Hermanus, L. 2010. ‘Difference, Boundaries and Violence: A Philosophical Exploration Informed by Critical Complexity Theory and Deconstruction’. University of Stellenbosch: Stellenbosch. Available: </w:t>
      </w:r>
      <w:hyperlink r:id="rId21" w:history="1">
        <w:r w:rsidRPr="005960AA">
          <w:rPr>
            <w:rFonts w:ascii="Garamond" w:eastAsia="Calibri" w:hAnsi="Garamond" w:cs="Times New Roman"/>
            <w:sz w:val="24"/>
            <w:szCs w:val="24"/>
            <w:u w:val="single"/>
          </w:rPr>
          <w:t>http://scholar.sun.ac.za/handle/10019.1/5254</w:t>
        </w:r>
      </w:hyperlink>
      <w:r w:rsidRPr="005960AA">
        <w:rPr>
          <w:rFonts w:ascii="Garamond" w:eastAsia="Calibri" w:hAnsi="Garamond" w:cs="Times New Roman"/>
          <w:sz w:val="24"/>
          <w:szCs w:val="24"/>
        </w:rPr>
        <w:t xml:space="preserve">  [Accessed: July 2, 2012]</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Hickey, S. 2008. ‘The Return of Politics in Development Studies 1: Getting Lost Within the Povert Agenda?’, in </w:t>
      </w:r>
      <w:r w:rsidRPr="005960AA">
        <w:rPr>
          <w:rFonts w:ascii="Garamond" w:eastAsia="Calibri" w:hAnsi="Garamond" w:cs="Times New Roman"/>
          <w:i/>
          <w:sz w:val="24"/>
          <w:szCs w:val="24"/>
        </w:rPr>
        <w:t>Progress in Development Studies</w:t>
      </w:r>
      <w:r w:rsidRPr="005960AA">
        <w:rPr>
          <w:rFonts w:ascii="Garamond" w:eastAsia="Calibri" w:hAnsi="Garamond" w:cs="Times New Roman"/>
          <w:sz w:val="24"/>
          <w:szCs w:val="24"/>
        </w:rPr>
        <w:t xml:space="preserve">, Vol. 8. pp. 349- 358.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Higgie, J. 2007. ‘It Ain’t Easy; How Confusion can be Creative’ , in </w:t>
      </w:r>
      <w:r w:rsidRPr="005960AA">
        <w:rPr>
          <w:rFonts w:ascii="Garamond" w:eastAsia="Calibri" w:hAnsi="Garamond" w:cs="Times New Roman"/>
          <w:i/>
          <w:sz w:val="24"/>
          <w:szCs w:val="24"/>
        </w:rPr>
        <w:t>Frieze</w:t>
      </w:r>
      <w:r w:rsidRPr="005960AA">
        <w:rPr>
          <w:rFonts w:ascii="Garamond" w:eastAsia="Calibri" w:hAnsi="Garamond" w:cs="Times New Roman"/>
          <w:sz w:val="24"/>
          <w:szCs w:val="24"/>
        </w:rPr>
        <w:t xml:space="preserve">, No. 111. Available: </w:t>
      </w:r>
      <w:hyperlink r:id="rId22" w:history="1">
        <w:r w:rsidRPr="005960AA">
          <w:rPr>
            <w:rFonts w:ascii="Garamond" w:eastAsia="Calibri" w:hAnsi="Garamond" w:cs="Times New Roman"/>
            <w:sz w:val="24"/>
            <w:szCs w:val="24"/>
            <w:u w:val="single"/>
          </w:rPr>
          <w:t>http://www.frieze.com/issue/article/it_aint_easy/</w:t>
        </w:r>
      </w:hyperlink>
      <w:r w:rsidRPr="005960AA">
        <w:rPr>
          <w:rFonts w:ascii="Garamond" w:eastAsia="Calibri" w:hAnsi="Garamond" w:cs="Times New Roman"/>
          <w:sz w:val="24"/>
          <w:szCs w:val="24"/>
        </w:rPr>
        <w:t xml:space="preserve"> [Accessed July 20, 2012]</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Humter, M. 2011. ‘Beneath the ‘Zunami’: Jacob Zuma and the Gendered Politics of Social Reproduction in South Africa’ in, </w:t>
      </w:r>
      <w:r w:rsidRPr="005960AA">
        <w:rPr>
          <w:rFonts w:ascii="Garamond" w:eastAsia="Calibri" w:hAnsi="Garamond" w:cs="Times New Roman"/>
          <w:i/>
          <w:sz w:val="24"/>
          <w:szCs w:val="24"/>
        </w:rPr>
        <w:t>Antipode</w:t>
      </w:r>
      <w:r w:rsidRPr="005960AA">
        <w:rPr>
          <w:rFonts w:ascii="Garamond" w:eastAsia="Calibri" w:hAnsi="Garamond" w:cs="Times New Roman"/>
          <w:sz w:val="24"/>
          <w:szCs w:val="24"/>
        </w:rPr>
        <w:t>, Vol. 43, No. 4. pp. 1102- 1126).</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IOL. 2008. ‘Shocking Statistics on Male Rape’ Available: </w:t>
      </w:r>
      <w:hyperlink r:id="rId23" w:history="1">
        <w:r w:rsidRPr="005960AA">
          <w:rPr>
            <w:rFonts w:ascii="Garamond" w:eastAsia="Calibri" w:hAnsi="Garamond" w:cs="Times New Roman"/>
            <w:sz w:val="24"/>
            <w:szCs w:val="24"/>
            <w:u w:val="single"/>
          </w:rPr>
          <w:t>http://www.iol.co.za/news/south-africa/shocking-statistics-on-male-rape-1.410133</w:t>
        </w:r>
      </w:hyperlink>
      <w:r w:rsidRPr="005960AA">
        <w:rPr>
          <w:rFonts w:ascii="Garamond" w:eastAsia="Calibri" w:hAnsi="Garamond" w:cs="Times New Roman"/>
          <w:sz w:val="24"/>
          <w:szCs w:val="24"/>
        </w:rPr>
        <w:t xml:space="preserve"> [Accessed: June, 8, 2012]</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Jantjes, G. 2011. ‘Great Expectations; A View from Europe’, in </w:t>
      </w:r>
      <w:r w:rsidRPr="005960AA">
        <w:rPr>
          <w:rFonts w:ascii="Garamond" w:eastAsia="Calibri" w:hAnsi="Garamond" w:cs="Times New Roman"/>
          <w:i/>
          <w:sz w:val="24"/>
          <w:szCs w:val="24"/>
        </w:rPr>
        <w:t>Visual Century; South African Art in Context, Volume Four, 1990-2007</w:t>
      </w:r>
      <w:r w:rsidRPr="005960AA">
        <w:rPr>
          <w:rFonts w:ascii="Garamond" w:eastAsia="Calibri" w:hAnsi="Garamond" w:cs="Times New Roman"/>
          <w:sz w:val="24"/>
          <w:szCs w:val="24"/>
        </w:rPr>
        <w:t xml:space="preserve">. Goniwe, T., Pissara, M., and Majavu, M. (eds.) Wits University Press: South Africa and The Visual Century Project: Norway. pp. 20- 45.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Jones, T. 2008. ‘Averting White Male (Ab)normality: Psychiatric Representations and Treatment of ‘Homosexulaity’ in 1960s South Africa’, in </w:t>
      </w:r>
      <w:r w:rsidRPr="005960AA">
        <w:rPr>
          <w:rFonts w:ascii="Garamond" w:eastAsia="Calibri" w:hAnsi="Garamond" w:cs="Times New Roman"/>
          <w:i/>
          <w:sz w:val="24"/>
          <w:szCs w:val="24"/>
        </w:rPr>
        <w:t>Journal of Southern African Studies</w:t>
      </w:r>
      <w:r w:rsidRPr="005960AA">
        <w:rPr>
          <w:rFonts w:ascii="Garamond" w:eastAsia="Calibri" w:hAnsi="Garamond" w:cs="Times New Roman"/>
          <w:sz w:val="24"/>
          <w:szCs w:val="24"/>
        </w:rPr>
        <w:t xml:space="preserve">, Vol. 34, No. 2. pp. 397-410.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Kafka, F. 1948. ‘The Metamorphisis, In the Penal Colony, and Other Stories’, trans. Willaand Ediwin Muir. Schoken: New York.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Kaufmann, J. 2011. ‘Poststructural Analysis: Analyzing Empirical Matter for New Meanings’, in </w:t>
      </w:r>
      <w:r w:rsidRPr="005960AA">
        <w:rPr>
          <w:rFonts w:ascii="Garamond" w:eastAsia="Calibri" w:hAnsi="Garamond" w:cs="Times New Roman"/>
          <w:i/>
          <w:sz w:val="24"/>
          <w:szCs w:val="24"/>
        </w:rPr>
        <w:t>Qualitative Inquiry</w:t>
      </w:r>
      <w:r w:rsidRPr="005960AA">
        <w:rPr>
          <w:rFonts w:ascii="Garamond" w:eastAsia="Calibri" w:hAnsi="Garamond" w:cs="Times New Roman"/>
          <w:sz w:val="24"/>
          <w:szCs w:val="24"/>
        </w:rPr>
        <w:t xml:space="preserve">. Vol. 17, No. 2. Sage Publications: London, Thousand Oaks CA, New Delhi. pp. 148-154.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Kaufmann, J. 2010. ‘Trans-representation’, in </w:t>
      </w:r>
      <w:r w:rsidRPr="005960AA">
        <w:rPr>
          <w:rFonts w:ascii="Garamond" w:eastAsia="Calibri" w:hAnsi="Garamond" w:cs="Times New Roman"/>
          <w:i/>
          <w:sz w:val="24"/>
          <w:szCs w:val="24"/>
        </w:rPr>
        <w:t>Qualitative Inquiry</w:t>
      </w:r>
      <w:r w:rsidRPr="005960AA">
        <w:rPr>
          <w:rFonts w:ascii="Garamond" w:eastAsia="Calibri" w:hAnsi="Garamond" w:cs="Times New Roman"/>
          <w:sz w:val="24"/>
          <w:szCs w:val="24"/>
        </w:rPr>
        <w:t>, Vol. 16. pp. 104- 115.</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Keen, D. 1999. ‘Who’s it Between? ‘Ethnic War’ and Rational Violence’, in Allan, T and J Seaton (eds.) </w:t>
      </w:r>
      <w:r w:rsidRPr="005960AA">
        <w:rPr>
          <w:rFonts w:ascii="Garamond" w:eastAsia="Calibri" w:hAnsi="Garamond" w:cs="Times New Roman"/>
          <w:i/>
          <w:sz w:val="24"/>
          <w:szCs w:val="24"/>
        </w:rPr>
        <w:t>The Media of Conflict</w:t>
      </w:r>
      <w:r w:rsidRPr="005960AA">
        <w:rPr>
          <w:rFonts w:ascii="Garamond" w:eastAsia="Calibri" w:hAnsi="Garamond" w:cs="Times New Roman"/>
          <w:sz w:val="24"/>
          <w:szCs w:val="24"/>
        </w:rPr>
        <w:t>. Zed Books: London. pp. 81-100.</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Keenan, H. 2006. ‘They Call Me ‘Umfowethu’; Transgender Men and Female Masculinity in South Africa’. School for International Training: Durban.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Lacan, J. 1977. </w:t>
      </w:r>
      <w:r w:rsidRPr="005960AA">
        <w:rPr>
          <w:rFonts w:ascii="Garamond" w:eastAsia="Calibri" w:hAnsi="Garamond" w:cs="Times New Roman"/>
          <w:i/>
          <w:sz w:val="24"/>
          <w:szCs w:val="24"/>
        </w:rPr>
        <w:t>Preface</w:t>
      </w:r>
      <w:r w:rsidRPr="005960AA">
        <w:rPr>
          <w:rFonts w:ascii="Garamond" w:eastAsia="Calibri" w:hAnsi="Garamond" w:cs="Times New Roman"/>
          <w:sz w:val="24"/>
          <w:szCs w:val="24"/>
        </w:rPr>
        <w:t>, in Lemaire, A. 1977. ‘Jacques Lacan’, trans. David Macey. Routledge and Kegan Paul: London Morin, E. 1992. T</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Linstead, S. and Pullen, A. 2006. ‘Gender as multiplicity: Desire, displacement, difference and dispersion’ in, </w:t>
      </w:r>
      <w:r w:rsidRPr="005960AA">
        <w:rPr>
          <w:rFonts w:ascii="Garamond" w:eastAsia="Calibri" w:hAnsi="Garamond" w:cs="Times New Roman"/>
          <w:i/>
          <w:sz w:val="24"/>
          <w:szCs w:val="24"/>
        </w:rPr>
        <w:t>Human Relations</w:t>
      </w:r>
      <w:r w:rsidRPr="005960AA">
        <w:rPr>
          <w:rFonts w:ascii="Garamond" w:eastAsia="Calibri" w:hAnsi="Garamond" w:cs="Times New Roman"/>
          <w:sz w:val="24"/>
          <w:szCs w:val="24"/>
        </w:rPr>
        <w:t xml:space="preserve"> Vol. 59, No. 9. Sage Publications: London, Thousand Oaks CA, New Delhi. pp. 1287- 1310.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lastRenderedPageBreak/>
        <w:t xml:space="preserve">Maharaj, S. 2011. ‘Foreword’, in </w:t>
      </w:r>
      <w:r w:rsidRPr="005960AA">
        <w:rPr>
          <w:rFonts w:ascii="Garamond" w:eastAsia="Calibri" w:hAnsi="Garamond" w:cs="Times New Roman"/>
          <w:i/>
          <w:sz w:val="24"/>
          <w:szCs w:val="24"/>
        </w:rPr>
        <w:t>Visual Century; South African Art in Context, Volume Four, 1990-2007</w:t>
      </w:r>
      <w:r w:rsidRPr="005960AA">
        <w:rPr>
          <w:rFonts w:ascii="Garamond" w:eastAsia="Calibri" w:hAnsi="Garamond" w:cs="Times New Roman"/>
          <w:sz w:val="24"/>
          <w:szCs w:val="24"/>
        </w:rPr>
        <w:t xml:space="preserve">. Goniwe, T., Pissara, M., and Majavu, M. (eds.) Wits University Press: South Africa and The Visual Century Project: Norway. pp. x-xii.    </w:t>
      </w:r>
    </w:p>
    <w:p w:rsidR="005960AA" w:rsidRPr="005960AA" w:rsidRDefault="005960AA" w:rsidP="005960AA">
      <w:pPr>
        <w:numPr>
          <w:ilvl w:val="0"/>
          <w:numId w:val="1"/>
        </w:numPr>
        <w:rPr>
          <w:rFonts w:ascii="Garamond" w:eastAsia="Calibri" w:hAnsi="Garamond" w:cs="Times New Roman"/>
          <w:color w:val="FF0000"/>
          <w:sz w:val="24"/>
          <w:szCs w:val="24"/>
        </w:rPr>
      </w:pPr>
      <w:r w:rsidRPr="005960AA">
        <w:rPr>
          <w:rFonts w:ascii="Garamond" w:eastAsia="Calibri" w:hAnsi="Garamond" w:cs="Times New Roman"/>
          <w:sz w:val="24"/>
          <w:szCs w:val="24"/>
        </w:rPr>
        <w:t xml:space="preserve">Majavu, M. and Pissara, P. 2011. ‘Charting Pathways in an Era of Posts’,  </w:t>
      </w:r>
      <w:r w:rsidRPr="005960AA">
        <w:rPr>
          <w:rFonts w:ascii="Garamond" w:eastAsia="Calibri" w:hAnsi="Garamond" w:cs="Times New Roman"/>
          <w:i/>
          <w:sz w:val="24"/>
          <w:szCs w:val="24"/>
        </w:rPr>
        <w:t>Visual Century; South African Art in Context, Volume Four, 1990-2007</w:t>
      </w:r>
      <w:r w:rsidRPr="005960AA">
        <w:rPr>
          <w:rFonts w:ascii="Garamond" w:eastAsia="Calibri" w:hAnsi="Garamond" w:cs="Times New Roman"/>
          <w:sz w:val="24"/>
          <w:szCs w:val="24"/>
        </w:rPr>
        <w:t>. Goniwe, T., Pissara, M., and Majavu, M. (eds.) Wits University Press: South Africa and The Visual Century Project: Norway.  pp. 2- 19.</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Malcomess, B. 2011. ‘Am I a Victim of this Wicked Game: Synthetic Dirt vs. Aesthetic Clean.’ Available: </w:t>
      </w:r>
      <w:hyperlink r:id="rId24" w:history="1">
        <w:r w:rsidRPr="005960AA">
          <w:rPr>
            <w:rFonts w:ascii="Garamond" w:eastAsia="Calibri" w:hAnsi="Garamond" w:cs="Times New Roman"/>
            <w:sz w:val="24"/>
            <w:szCs w:val="24"/>
            <w:u w:val="single"/>
          </w:rPr>
          <w:t>http://frontiercountry.blogspot.nl/2011/07/am-i-victim-of-this-wicked-game.html</w:t>
        </w:r>
      </w:hyperlink>
      <w:r w:rsidRPr="005960AA">
        <w:rPr>
          <w:rFonts w:ascii="Garamond" w:eastAsia="Calibri" w:hAnsi="Garamond" w:cs="Times New Roman"/>
          <w:sz w:val="24"/>
          <w:szCs w:val="24"/>
        </w:rPr>
        <w:t xml:space="preserve"> [Accessed: July 7, 2011]</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Mbembe, A. 2001. ‘On the Postcolony.’ University of California Press: Berkley, Los Angeles, London.</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Mbembe, A. 2003. ‘Necropolitics’, in </w:t>
      </w:r>
      <w:r w:rsidRPr="005960AA">
        <w:rPr>
          <w:rFonts w:ascii="Garamond" w:eastAsia="Calibri" w:hAnsi="Garamond" w:cs="Times New Roman"/>
          <w:i/>
          <w:sz w:val="24"/>
          <w:szCs w:val="24"/>
        </w:rPr>
        <w:t>Public Culture</w:t>
      </w:r>
      <w:r w:rsidRPr="005960AA">
        <w:rPr>
          <w:rFonts w:ascii="Garamond" w:eastAsia="Calibri" w:hAnsi="Garamond" w:cs="Times New Roman"/>
          <w:sz w:val="24"/>
          <w:szCs w:val="24"/>
        </w:rPr>
        <w:t xml:space="preserve">, Vol. 15, No. 1, trans. Libby Meintjes. Duke University Press.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Mbembe, A. and Nuttall, S. 2004. ‘Writing the World from an African Metropolis’, in </w:t>
      </w:r>
      <w:r w:rsidRPr="005960AA">
        <w:rPr>
          <w:rFonts w:ascii="Garamond" w:eastAsia="Calibri" w:hAnsi="Garamond" w:cs="Times New Roman"/>
          <w:i/>
          <w:sz w:val="24"/>
          <w:szCs w:val="24"/>
        </w:rPr>
        <w:t>Public Culture Journal</w:t>
      </w:r>
      <w:r w:rsidRPr="005960AA">
        <w:rPr>
          <w:rFonts w:ascii="Garamond" w:eastAsia="Calibri" w:hAnsi="Garamond" w:cs="Times New Roman"/>
          <w:sz w:val="24"/>
          <w:szCs w:val="24"/>
        </w:rPr>
        <w:t>. Duke University Press: Charlotte.</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Meel, B. 2009. ‘An Unusual Male Rape: A Case Report’, in </w:t>
      </w:r>
      <w:r w:rsidRPr="005960AA">
        <w:rPr>
          <w:rFonts w:ascii="Garamond" w:eastAsia="Calibri" w:hAnsi="Garamond" w:cs="Times New Roman"/>
          <w:i/>
          <w:sz w:val="24"/>
          <w:szCs w:val="24"/>
        </w:rPr>
        <w:t>South African Family Practice</w:t>
      </w:r>
      <w:r w:rsidRPr="005960AA">
        <w:rPr>
          <w:rFonts w:ascii="Garamond" w:eastAsia="Calibri" w:hAnsi="Garamond" w:cs="Times New Roman"/>
          <w:sz w:val="24"/>
          <w:szCs w:val="24"/>
        </w:rPr>
        <w:t xml:space="preserve">, Vol. 51, No. 5.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Mohanty, C. 1988. ‘Under Western Eyes: Feminist Scholarship and Colonial Discourses’,  in </w:t>
      </w:r>
      <w:r w:rsidRPr="005960AA">
        <w:rPr>
          <w:rFonts w:ascii="Garamond" w:eastAsia="Calibri" w:hAnsi="Garamond" w:cs="Times New Roman"/>
          <w:i/>
          <w:sz w:val="24"/>
          <w:szCs w:val="24"/>
        </w:rPr>
        <w:t>Feminist Review</w:t>
      </w:r>
      <w:r w:rsidRPr="005960AA">
        <w:rPr>
          <w:rFonts w:ascii="Garamond" w:eastAsia="Calibri" w:hAnsi="Garamond" w:cs="Times New Roman"/>
          <w:sz w:val="24"/>
          <w:szCs w:val="24"/>
        </w:rPr>
        <w:t xml:space="preserve">, No. 30. pp. 61-88.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Morin, E. 1992. ‘Towards a Study of Humankin, Volume 1: The Nature of Nature’, trans. Roland Bélanger. Peter Lang: New York, San Francisco, Bern, Frankfurt, Berlin, Paris.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Mouffe, C. 2008. ‘Which World Order: Cosmipolitan or Multipolar?’, in Ethical Perspectives, Vol. 15, No. 4. pp. 453-467.</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Msibi, T. 2011. ‘The Lies We Have Been Told: On (Homo) Sexuality in Africa’, in Africa Today, Vol. 58, No. 1. pp. 55- 77.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Muholi, Z. nd. ‘Mapping Our Histories: A Visual History of Black Lesbians in Post-Apartheid South Africa.’ Available: </w:t>
      </w:r>
      <w:hyperlink r:id="rId25" w:history="1">
        <w:r w:rsidRPr="005960AA">
          <w:rPr>
            <w:rFonts w:ascii="Garamond" w:eastAsia="Calibri" w:hAnsi="Garamond" w:cs="Times New Roman"/>
            <w:sz w:val="24"/>
            <w:szCs w:val="24"/>
            <w:u w:val="single"/>
          </w:rPr>
          <w:t>http://www.zanelemuholi.com/ZM%20moh_final_230609.pdf</w:t>
        </w:r>
      </w:hyperlink>
      <w:r w:rsidRPr="005960AA">
        <w:rPr>
          <w:rFonts w:ascii="Garamond" w:eastAsia="Calibri" w:hAnsi="Garamond" w:cs="Times New Roman"/>
          <w:sz w:val="24"/>
          <w:szCs w:val="24"/>
        </w:rPr>
        <w:t xml:space="preserve"> [Accessed: March 27, 2012]</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Nagel, J. 2000. ‘Ethinicity and Sexuality’, in </w:t>
      </w:r>
      <w:r w:rsidRPr="005960AA">
        <w:rPr>
          <w:rFonts w:ascii="Garamond" w:eastAsia="Calibri" w:hAnsi="Garamond" w:cs="Times New Roman"/>
          <w:i/>
          <w:sz w:val="24"/>
          <w:szCs w:val="24"/>
        </w:rPr>
        <w:t>Annual Review of Sociology</w:t>
      </w:r>
      <w:r w:rsidRPr="005960AA">
        <w:rPr>
          <w:rFonts w:ascii="Garamond" w:eastAsia="Calibri" w:hAnsi="Garamond" w:cs="Times New Roman"/>
          <w:sz w:val="24"/>
          <w:szCs w:val="24"/>
        </w:rPr>
        <w:t xml:space="preserve">, Vol. 26. pp. 107-133.  </w:t>
      </w:r>
    </w:p>
    <w:p w:rsidR="005960AA" w:rsidRPr="005960AA" w:rsidRDefault="005960AA" w:rsidP="005960AA">
      <w:pPr>
        <w:numPr>
          <w:ilvl w:val="0"/>
          <w:numId w:val="1"/>
        </w:numPr>
        <w:spacing w:after="0" w:line="360" w:lineRule="auto"/>
        <w:rPr>
          <w:rFonts w:ascii="Garamond" w:eastAsia="Calibri" w:hAnsi="Garamond" w:cs="Times New Roman"/>
          <w:sz w:val="24"/>
          <w:szCs w:val="24"/>
        </w:rPr>
      </w:pPr>
      <w:r w:rsidRPr="005960AA">
        <w:rPr>
          <w:rFonts w:ascii="Garamond" w:eastAsia="Calibri" w:hAnsi="Garamond" w:cs="Times New Roman"/>
          <w:sz w:val="24"/>
          <w:szCs w:val="24"/>
        </w:rPr>
        <w:lastRenderedPageBreak/>
        <w:t xml:space="preserve">Pint , K . 2008. ‘How to Become What One Is: Roland Barthes’s Final Fantasy’ in </w:t>
      </w:r>
      <w:r w:rsidRPr="005960AA">
        <w:rPr>
          <w:rFonts w:ascii="Garamond" w:eastAsia="Calibri" w:hAnsi="Garamond" w:cs="Times New Roman"/>
          <w:i/>
          <w:sz w:val="24"/>
          <w:szCs w:val="24"/>
        </w:rPr>
        <w:t>Paragraph.</w:t>
      </w:r>
      <w:r w:rsidRPr="005960AA">
        <w:rPr>
          <w:rFonts w:ascii="Garamond" w:eastAsia="Calibri" w:hAnsi="Garamond" w:cs="Times New Roman"/>
          <w:sz w:val="24"/>
          <w:szCs w:val="24"/>
        </w:rPr>
        <w:t xml:space="preserve"> Vol. 31, No. 1. pp 38-49.</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Press, K. 1990. ‘Surprise, Responsibility and Power’, in </w:t>
      </w:r>
      <w:r w:rsidRPr="005960AA">
        <w:rPr>
          <w:rFonts w:ascii="Garamond" w:eastAsia="Calibri" w:hAnsi="Garamond" w:cs="Times New Roman"/>
          <w:i/>
          <w:sz w:val="24"/>
          <w:szCs w:val="24"/>
        </w:rPr>
        <w:t>Spring is Rebellious; Arguments about cultural freedom by Albie Sachs and respondents</w:t>
      </w:r>
      <w:r w:rsidRPr="005960AA">
        <w:rPr>
          <w:rFonts w:ascii="Garamond" w:eastAsia="Calibri" w:hAnsi="Garamond" w:cs="Times New Roman"/>
          <w:sz w:val="24"/>
          <w:szCs w:val="24"/>
        </w:rPr>
        <w:t xml:space="preserve">. De Kok, I. and Press, K. (eds.) Buchu Books: Cape Town. </w:t>
      </w:r>
    </w:p>
    <w:p w:rsidR="005960AA" w:rsidRPr="005960AA" w:rsidRDefault="005960AA" w:rsidP="005960AA">
      <w:pPr>
        <w:numPr>
          <w:ilvl w:val="0"/>
          <w:numId w:val="1"/>
        </w:numPr>
        <w:spacing w:after="0" w:line="360" w:lineRule="auto"/>
        <w:rPr>
          <w:rFonts w:ascii="Garamond" w:eastAsia="Calibri" w:hAnsi="Garamond" w:cs="Times New Roman"/>
          <w:sz w:val="24"/>
          <w:szCs w:val="24"/>
        </w:rPr>
      </w:pPr>
      <w:r w:rsidRPr="005960AA">
        <w:rPr>
          <w:rFonts w:ascii="Garamond" w:eastAsia="Calibri" w:hAnsi="Garamond" w:cs="Times New Roman"/>
          <w:sz w:val="24"/>
          <w:szCs w:val="24"/>
        </w:rPr>
        <w:t>Rancière, J. 2007. ‘The Emancipated Spectator’ Available: members.efn.org/~heroux/The-Emancipated-Spectator-.pdf [Accessed: August 3, 2012]</w:t>
      </w:r>
    </w:p>
    <w:p w:rsidR="005960AA" w:rsidRPr="005960AA" w:rsidRDefault="005960AA" w:rsidP="005960AA">
      <w:pPr>
        <w:numPr>
          <w:ilvl w:val="0"/>
          <w:numId w:val="1"/>
        </w:numPr>
        <w:spacing w:after="0" w:line="360" w:lineRule="auto"/>
        <w:rPr>
          <w:rFonts w:ascii="Garamond" w:eastAsia="Calibri" w:hAnsi="Garamond" w:cs="Times New Roman"/>
          <w:sz w:val="24"/>
          <w:szCs w:val="24"/>
        </w:rPr>
      </w:pPr>
      <w:r w:rsidRPr="005960AA">
        <w:rPr>
          <w:rFonts w:ascii="Garamond" w:eastAsia="Calibri" w:hAnsi="Garamond" w:cs="Times New Roman"/>
          <w:sz w:val="24"/>
          <w:szCs w:val="24"/>
        </w:rPr>
        <w:t xml:space="preserve">Rancière, J. 2000. ‘The Politics of Aesthetics’, Gabriel Rockhill (trans.) La Fabrique-Editions: France.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Rendall, S. 1977. ‘Dialectical Structure and Tactics in Montaigne’s ‘Of Cannibals’’ in </w:t>
      </w:r>
      <w:r w:rsidRPr="005960AA">
        <w:rPr>
          <w:rFonts w:ascii="Garamond" w:eastAsia="Calibri" w:hAnsi="Garamond" w:cs="Times New Roman"/>
          <w:i/>
          <w:sz w:val="24"/>
          <w:szCs w:val="24"/>
        </w:rPr>
        <w:t>Pacific Coast Philology</w:t>
      </w:r>
      <w:r w:rsidRPr="005960AA">
        <w:rPr>
          <w:rFonts w:ascii="Garamond" w:eastAsia="Calibri" w:hAnsi="Garamond" w:cs="Times New Roman"/>
          <w:sz w:val="24"/>
          <w:szCs w:val="24"/>
        </w:rPr>
        <w:t xml:space="preserve">. Vol. 12. pp. 56-63.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Richards, C. 2011. ‘In Human History’, in</w:t>
      </w:r>
      <w:r w:rsidRPr="005960AA">
        <w:rPr>
          <w:rFonts w:ascii="Garamond" w:eastAsia="Calibri" w:hAnsi="Garamond" w:cs="Times New Roman"/>
          <w:i/>
          <w:sz w:val="24"/>
          <w:szCs w:val="24"/>
        </w:rPr>
        <w:t xml:space="preserve"> Visual Century; South African Art in Context, Volume Four, 1990-2007</w:t>
      </w:r>
      <w:r w:rsidRPr="005960AA">
        <w:rPr>
          <w:rFonts w:ascii="Garamond" w:eastAsia="Calibri" w:hAnsi="Garamond" w:cs="Times New Roman"/>
          <w:sz w:val="24"/>
          <w:szCs w:val="24"/>
        </w:rPr>
        <w:t xml:space="preserve">. Goniwe, T., Pissara, M., and Majavu, M. (eds.) Wits University Press: South Africa and The Visual Century Project: Norway.  pp. 46- 73.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Rogoff, I. 1998. ‘Studying Visual Culture’, in </w:t>
      </w:r>
      <w:r w:rsidRPr="005960AA">
        <w:rPr>
          <w:rFonts w:ascii="Garamond" w:eastAsia="Calibri" w:hAnsi="Garamond" w:cs="Times New Roman"/>
          <w:i/>
          <w:sz w:val="24"/>
          <w:szCs w:val="24"/>
        </w:rPr>
        <w:t>The Visual Culture Reader 2</w:t>
      </w:r>
      <w:r w:rsidRPr="005960AA">
        <w:rPr>
          <w:rFonts w:ascii="Garamond" w:eastAsia="Calibri" w:hAnsi="Garamond" w:cs="Times New Roman"/>
          <w:sz w:val="24"/>
          <w:szCs w:val="24"/>
        </w:rPr>
        <w:t xml:space="preserve">. Routledge: London.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Rogoff, I. 2004. ‘What is a Theorist?’ in </w:t>
      </w:r>
      <w:r w:rsidRPr="005960AA">
        <w:rPr>
          <w:rFonts w:ascii="Garamond" w:eastAsia="Calibri" w:hAnsi="Garamond" w:cs="Times New Roman"/>
          <w:i/>
          <w:sz w:val="24"/>
          <w:szCs w:val="24"/>
        </w:rPr>
        <w:t>The State of Art Criticism</w:t>
      </w:r>
      <w:r w:rsidRPr="005960AA">
        <w:rPr>
          <w:rFonts w:ascii="Garamond" w:eastAsia="Calibri" w:hAnsi="Garamond" w:cs="Times New Roman"/>
          <w:sz w:val="24"/>
          <w:szCs w:val="24"/>
        </w:rPr>
        <w:t xml:space="preserve">. Elkins, J. and Newman, M. (eds.) Routledge: New York, .London. pp. 97-109.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Rogoff, I. 2009. ‘De-Regulation: With the Work of Kutlug Ataman’, in </w:t>
      </w:r>
      <w:r w:rsidRPr="005960AA">
        <w:rPr>
          <w:rFonts w:ascii="Garamond" w:eastAsia="Calibri" w:hAnsi="Garamond" w:cs="Times New Roman"/>
          <w:i/>
          <w:sz w:val="24"/>
          <w:szCs w:val="24"/>
        </w:rPr>
        <w:t>Third Text</w:t>
      </w:r>
      <w:r w:rsidRPr="005960AA">
        <w:rPr>
          <w:rFonts w:ascii="Garamond" w:eastAsia="Calibri" w:hAnsi="Garamond" w:cs="Times New Roman"/>
          <w:sz w:val="24"/>
          <w:szCs w:val="24"/>
        </w:rPr>
        <w:t xml:space="preserve">, Vol. 23, No. 2. pp. 165- 179.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Rogoff, I. 2008. </w:t>
      </w:r>
      <w:r w:rsidRPr="005960AA">
        <w:rPr>
          <w:rFonts w:ascii="Garamond" w:eastAsia="Calibri" w:hAnsi="Garamond" w:cs="Times New Roman"/>
          <w:i/>
          <w:sz w:val="24"/>
          <w:szCs w:val="24"/>
        </w:rPr>
        <w:t>‘</w:t>
      </w:r>
      <w:r w:rsidRPr="005960AA">
        <w:rPr>
          <w:rFonts w:ascii="Garamond" w:eastAsia="Calibri" w:hAnsi="Garamond" w:cs="Times New Roman"/>
          <w:sz w:val="24"/>
          <w:szCs w:val="24"/>
        </w:rPr>
        <w:t xml:space="preserve">Turning’, in </w:t>
      </w:r>
      <w:r w:rsidRPr="005960AA">
        <w:rPr>
          <w:rFonts w:ascii="Garamond" w:eastAsia="Calibri" w:hAnsi="Garamond" w:cs="Times New Roman"/>
          <w:i/>
          <w:sz w:val="24"/>
          <w:szCs w:val="24"/>
        </w:rPr>
        <w:t>E-flux journal #0</w:t>
      </w:r>
      <w:r w:rsidRPr="005960AA">
        <w:rPr>
          <w:rFonts w:ascii="Garamond" w:eastAsia="Calibri" w:hAnsi="Garamond" w:cs="Times New Roman"/>
          <w:sz w:val="24"/>
          <w:szCs w:val="24"/>
        </w:rPr>
        <w:t>, Available: http://www.e-flux.com/journal/turning/ [Accessed: August 17, 2012]</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Rogoff, I. 2006. ‘‘Smuggling’- An Embodied Criticality’, Available: </w:t>
      </w:r>
      <w:hyperlink r:id="rId26" w:history="1">
        <w:r w:rsidRPr="005960AA">
          <w:rPr>
            <w:rFonts w:ascii="Garamond" w:eastAsia="Calibri" w:hAnsi="Garamond" w:cs="Times New Roman"/>
            <w:sz w:val="24"/>
            <w:szCs w:val="24"/>
            <w:u w:val="single"/>
          </w:rPr>
          <w:t>http://transform.eipcp.net</w:t>
        </w:r>
      </w:hyperlink>
      <w:r w:rsidRPr="005960AA">
        <w:rPr>
          <w:rFonts w:ascii="Garamond" w:eastAsia="Calibri" w:hAnsi="Garamond" w:cs="Times New Roman"/>
          <w:sz w:val="24"/>
          <w:szCs w:val="24"/>
        </w:rPr>
        <w:t xml:space="preserve"> [Accessed: September 22, 2012]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Roudinesco, E. 1997. ‘Jaques Lacan; An Outline of a Life and a History of a System of Thought’, trans. Barbara Bray. Polity Press: Malden.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Sachs, A. 1990a. ‘Preparing Ourselves for Freedom’, in </w:t>
      </w:r>
      <w:r w:rsidRPr="005960AA">
        <w:rPr>
          <w:rFonts w:ascii="Garamond" w:eastAsia="Calibri" w:hAnsi="Garamond" w:cs="Times New Roman"/>
          <w:i/>
          <w:sz w:val="24"/>
          <w:szCs w:val="24"/>
        </w:rPr>
        <w:t>Spring is Rebellious; Arguments about cultural freedom by Albie Sachs and respondents</w:t>
      </w:r>
      <w:r w:rsidRPr="005960AA">
        <w:rPr>
          <w:rFonts w:ascii="Garamond" w:eastAsia="Calibri" w:hAnsi="Garamond" w:cs="Times New Roman"/>
          <w:sz w:val="24"/>
          <w:szCs w:val="24"/>
        </w:rPr>
        <w:t>. De Kok, I. and Press, K. (eds.) Buchu Books: Cape Town</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Sachs, A. 1990b. ‘Afterword: The Taste of an Avocado Pear’, in </w:t>
      </w:r>
      <w:r w:rsidRPr="005960AA">
        <w:rPr>
          <w:rFonts w:ascii="Garamond" w:eastAsia="Calibri" w:hAnsi="Garamond" w:cs="Times New Roman"/>
          <w:i/>
          <w:sz w:val="24"/>
          <w:szCs w:val="24"/>
        </w:rPr>
        <w:t>Spring is Rebellious; Arguments about cultural freedom by Albie Sachs and respondents</w:t>
      </w:r>
      <w:r w:rsidRPr="005960AA">
        <w:rPr>
          <w:rFonts w:ascii="Garamond" w:eastAsia="Calibri" w:hAnsi="Garamond" w:cs="Times New Roman"/>
          <w:sz w:val="24"/>
          <w:szCs w:val="24"/>
        </w:rPr>
        <w:t xml:space="preserve">. De Kok, I. and Press, K. (eds.) Buchu Books: Cape Town.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lastRenderedPageBreak/>
        <w:t xml:space="preserve">Sayer, D. 2004. ‘Incognito Ergo Sum: Language Memory and the Subject’, in </w:t>
      </w:r>
      <w:r w:rsidRPr="005960AA">
        <w:rPr>
          <w:rFonts w:ascii="Garamond" w:eastAsia="Calibri" w:hAnsi="Garamond" w:cs="Times New Roman"/>
          <w:i/>
          <w:sz w:val="24"/>
          <w:szCs w:val="24"/>
        </w:rPr>
        <w:t>Theory Culture Society</w:t>
      </w:r>
      <w:r w:rsidRPr="005960AA">
        <w:rPr>
          <w:rFonts w:ascii="Garamond" w:eastAsia="Calibri" w:hAnsi="Garamond" w:cs="Times New Roman"/>
          <w:sz w:val="24"/>
          <w:szCs w:val="24"/>
        </w:rPr>
        <w:t xml:space="preserve"> Vol. 21, No. 67. Sage Publications: London, Thousand Oaks CA, New Delhi. pp. 67- 89.</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Sedgwick, E. 1997. ‘Paranoid Reading and Reparative Reading: or, You’re so paranoid, you probably think this introduction is about you’, in E. Sedgwick (ed.), 1997. </w:t>
      </w:r>
      <w:r w:rsidRPr="005960AA">
        <w:rPr>
          <w:rFonts w:ascii="Garamond" w:eastAsia="Calibri" w:hAnsi="Garamond" w:cs="Times New Roman"/>
          <w:i/>
          <w:sz w:val="24"/>
          <w:szCs w:val="24"/>
        </w:rPr>
        <w:t>Novel Gazing: Queer readings in fiction</w:t>
      </w:r>
      <w:r w:rsidRPr="005960AA">
        <w:rPr>
          <w:rFonts w:ascii="Garamond" w:eastAsia="Calibri" w:hAnsi="Garamond" w:cs="Times New Roman"/>
          <w:sz w:val="24"/>
          <w:szCs w:val="24"/>
        </w:rPr>
        <w:t xml:space="preserve">. The Digital repository of the University of Helsinki (HELDA): Helsinki. pp. 1-37.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Sey, J. 2010. ‘The Trauma of Conceptualisation for South African Art’, in Critical Arts: South-North Cultural and Media Studies, Vol. 24, No. 3. pp. 438-456.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Smith, K. 2011. ‘The Experimental Turn in the Visual Arts’, in</w:t>
      </w:r>
      <w:r w:rsidRPr="005960AA">
        <w:rPr>
          <w:rFonts w:ascii="Garamond" w:eastAsia="Calibri" w:hAnsi="Garamond" w:cs="Times New Roman"/>
          <w:i/>
          <w:sz w:val="24"/>
          <w:szCs w:val="24"/>
        </w:rPr>
        <w:t xml:space="preserve"> Visual Century; South African Art in Context, Volume Four, 1990-2007</w:t>
      </w:r>
      <w:r w:rsidRPr="005960AA">
        <w:rPr>
          <w:rFonts w:ascii="Garamond" w:eastAsia="Calibri" w:hAnsi="Garamond" w:cs="Times New Roman"/>
          <w:sz w:val="24"/>
          <w:szCs w:val="24"/>
        </w:rPr>
        <w:t xml:space="preserve">. Goniwe, T., Pissara, M., and Majavu, M. (eds.) Wits University Press: South Africa and The Visual Century Project: Norway. pp. 118- 151.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Stent, S. 1990. ‘The Wrong Ripple’, in </w:t>
      </w:r>
      <w:r w:rsidRPr="005960AA">
        <w:rPr>
          <w:rFonts w:ascii="Garamond" w:eastAsia="Calibri" w:hAnsi="Garamond" w:cs="Times New Roman"/>
          <w:i/>
          <w:sz w:val="24"/>
          <w:szCs w:val="24"/>
        </w:rPr>
        <w:t>Spring is Rebellious; Arguments about cultural freedom by Albie Sachs and respondents</w:t>
      </w:r>
      <w:r w:rsidRPr="005960AA">
        <w:rPr>
          <w:rFonts w:ascii="Garamond" w:eastAsia="Calibri" w:hAnsi="Garamond" w:cs="Times New Roman"/>
          <w:sz w:val="24"/>
          <w:szCs w:val="24"/>
        </w:rPr>
        <w:t xml:space="preserve">. De Kok, I. and Press, K. (eds.) Buchu Books: Cape Town.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The Witness. 2011. ‘Male Rape Increasing’. Available: </w:t>
      </w:r>
      <w:hyperlink r:id="rId27" w:history="1">
        <w:r w:rsidRPr="005960AA">
          <w:rPr>
            <w:rFonts w:ascii="Garamond" w:eastAsia="Calibri" w:hAnsi="Garamond" w:cs="Times New Roman"/>
            <w:sz w:val="24"/>
            <w:szCs w:val="24"/>
            <w:u w:val="single"/>
          </w:rPr>
          <w:t>http://www.witness.co.za/index.php?showcontent&amp;global[  id]=62014</w:t>
        </w:r>
      </w:hyperlink>
      <w:r w:rsidRPr="005960AA">
        <w:rPr>
          <w:rFonts w:ascii="Garamond" w:eastAsia="Calibri" w:hAnsi="Garamond" w:cs="Times New Roman"/>
          <w:sz w:val="24"/>
          <w:szCs w:val="24"/>
        </w:rPr>
        <w:t xml:space="preserve"> [Accessed: June, 8, 2012]</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Tucker, A. 2010. ‘Shifting Boundaries of Sexual Identity in Cape Town: The Appropriation and Malleability of ‘Gay’ in Township Spaces’, in Urban Forum, Vol. 21. pp. 107-122.</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Yerushalmy, M. 2010. ‘What are we to do without Exile? On Mnemonic Traces, Shared Mutualities, and Criticality in the Work of Ilana Salam Ortar’ in </w:t>
      </w:r>
      <w:r w:rsidRPr="005960AA">
        <w:rPr>
          <w:rFonts w:ascii="Garamond" w:eastAsia="Calibri" w:hAnsi="Garamond" w:cs="Times New Roman"/>
          <w:i/>
          <w:sz w:val="24"/>
          <w:szCs w:val="24"/>
        </w:rPr>
        <w:t>Migratory Aesthetics</w:t>
      </w:r>
      <w:r w:rsidRPr="005960AA">
        <w:rPr>
          <w:rFonts w:ascii="Garamond" w:eastAsia="Calibri" w:hAnsi="Garamond" w:cs="Times New Roman"/>
          <w:sz w:val="24"/>
          <w:szCs w:val="24"/>
        </w:rPr>
        <w:t xml:space="preserve">, from Articulation(s) the 2010 Annual ACSA International Workshop. </w:t>
      </w:r>
    </w:p>
    <w:p w:rsidR="005960AA" w:rsidRPr="005960AA" w:rsidRDefault="005960AA" w:rsidP="005960AA">
      <w:pPr>
        <w:numPr>
          <w:ilvl w:val="0"/>
          <w:numId w:val="1"/>
        </w:numPr>
        <w:rPr>
          <w:rFonts w:ascii="Garamond" w:eastAsia="Calibri" w:hAnsi="Garamond" w:cs="Times New Roman"/>
          <w:sz w:val="24"/>
          <w:szCs w:val="24"/>
        </w:rPr>
      </w:pPr>
      <w:r w:rsidRPr="005960AA">
        <w:rPr>
          <w:rFonts w:ascii="Garamond" w:eastAsia="Calibri" w:hAnsi="Garamond" w:cs="Times New Roman"/>
          <w:sz w:val="24"/>
          <w:szCs w:val="24"/>
        </w:rPr>
        <w:t xml:space="preserve">Zarkov, D. 2006. ‘Towards a New Theorising of Women, Gender and War’, in Evans, M., Davis, K., and Lorber, J. (eds.) Handbook of Gender and Women’s Studies. Sage: London. pp. 214-233. </w:t>
      </w:r>
    </w:p>
    <w:p w:rsidR="005960AA" w:rsidRPr="005960AA" w:rsidRDefault="005960AA" w:rsidP="005960AA">
      <w:pPr>
        <w:numPr>
          <w:ilvl w:val="0"/>
          <w:numId w:val="1"/>
        </w:numPr>
        <w:rPr>
          <w:rFonts w:ascii="Garamond" w:eastAsia="Calibri" w:hAnsi="Garamond" w:cs="Times New Roman"/>
          <w:sz w:val="28"/>
          <w:szCs w:val="28"/>
          <w:u w:val="single"/>
          <w:lang w:val="en-US"/>
        </w:rPr>
      </w:pPr>
      <w:r w:rsidRPr="005960AA">
        <w:rPr>
          <w:rFonts w:ascii="Garamond" w:eastAsia="Calibri" w:hAnsi="Garamond" w:cs="Times New Roman"/>
          <w:sz w:val="24"/>
          <w:szCs w:val="24"/>
        </w:rPr>
        <w:t xml:space="preserve">Ziarek, E. 1995. ‘The Uncanny Style of Kristeva’s Critique of Nationalism’, in Postmodern Culture, Vol. 5, No. 2. </w:t>
      </w:r>
    </w:p>
    <w:p w:rsidR="005960AA" w:rsidRPr="005960AA" w:rsidRDefault="005960AA" w:rsidP="005960AA">
      <w:pPr>
        <w:ind w:left="720"/>
        <w:rPr>
          <w:rFonts w:ascii="Garamond" w:eastAsia="Calibri" w:hAnsi="Garamond" w:cs="Times New Roman"/>
          <w:sz w:val="28"/>
          <w:szCs w:val="28"/>
          <w:u w:val="single"/>
          <w:lang w:val="en-US"/>
        </w:rPr>
      </w:pPr>
    </w:p>
    <w:p w:rsidR="005960AA" w:rsidRPr="005960AA" w:rsidRDefault="005960AA" w:rsidP="005960AA">
      <w:pPr>
        <w:jc w:val="center"/>
        <w:rPr>
          <w:rFonts w:ascii="Garamond" w:eastAsia="Calibri" w:hAnsi="Garamond" w:cs="Times New Roman"/>
          <w:sz w:val="28"/>
          <w:szCs w:val="28"/>
          <w:u w:val="single"/>
          <w:lang w:val="en-US"/>
        </w:rPr>
      </w:pPr>
    </w:p>
    <w:p w:rsidR="005960AA" w:rsidRPr="005960AA" w:rsidRDefault="005960AA" w:rsidP="005960AA">
      <w:pPr>
        <w:jc w:val="center"/>
        <w:rPr>
          <w:rFonts w:ascii="Garamond" w:eastAsia="Calibri" w:hAnsi="Garamond" w:cs="Times New Roman"/>
          <w:sz w:val="28"/>
          <w:szCs w:val="28"/>
          <w:u w:val="single"/>
          <w:lang w:val="en-US"/>
        </w:rPr>
      </w:pPr>
    </w:p>
    <w:p w:rsidR="005960AA" w:rsidRPr="005960AA" w:rsidRDefault="005960AA" w:rsidP="005960AA">
      <w:pPr>
        <w:jc w:val="center"/>
        <w:rPr>
          <w:rFonts w:ascii="Garamond" w:eastAsia="Calibri" w:hAnsi="Garamond" w:cs="Times New Roman"/>
          <w:sz w:val="28"/>
          <w:szCs w:val="28"/>
          <w:u w:val="single"/>
          <w:lang w:val="en-US"/>
        </w:rPr>
      </w:pPr>
    </w:p>
    <w:p w:rsidR="00560B3A" w:rsidRDefault="00560B3A" w:rsidP="005960AA">
      <w:pPr>
        <w:jc w:val="center"/>
        <w:rPr>
          <w:rFonts w:ascii="Garamond" w:eastAsia="Calibri" w:hAnsi="Garamond" w:cs="Times New Roman"/>
          <w:sz w:val="28"/>
          <w:szCs w:val="28"/>
          <w:u w:val="single"/>
          <w:lang w:val="en-US"/>
        </w:rPr>
      </w:pPr>
    </w:p>
    <w:p w:rsidR="005960AA" w:rsidRPr="005D3007" w:rsidRDefault="005960AA" w:rsidP="005D3007">
      <w:pPr>
        <w:jc w:val="center"/>
        <w:rPr>
          <w:rFonts w:ascii="Garamond" w:eastAsia="Calibri" w:hAnsi="Garamond" w:cs="Times New Roman"/>
          <w:b/>
          <w:sz w:val="28"/>
          <w:szCs w:val="28"/>
          <w:u w:val="single"/>
          <w:lang w:val="en-US"/>
        </w:rPr>
      </w:pPr>
      <w:r w:rsidRPr="005D3007">
        <w:rPr>
          <w:rFonts w:ascii="Garamond" w:eastAsia="Calibri" w:hAnsi="Garamond" w:cs="Times New Roman"/>
          <w:b/>
          <w:sz w:val="28"/>
          <w:szCs w:val="28"/>
          <w:u w:val="single"/>
          <w:lang w:val="en-US"/>
        </w:rPr>
        <w:lastRenderedPageBreak/>
        <w:t>List of Panel Discussions and Interviews:</w:t>
      </w:r>
    </w:p>
    <w:p w:rsidR="005960AA" w:rsidRPr="005960AA" w:rsidRDefault="005960AA" w:rsidP="005960AA">
      <w:pPr>
        <w:jc w:val="center"/>
        <w:rPr>
          <w:rFonts w:ascii="Garamond" w:eastAsia="Calibri" w:hAnsi="Garamond" w:cs="Times New Roman"/>
          <w:sz w:val="28"/>
          <w:szCs w:val="28"/>
          <w:u w:val="single"/>
          <w:lang w:val="en-US"/>
        </w:rPr>
      </w:pPr>
    </w:p>
    <w:p w:rsidR="005960AA" w:rsidRPr="005960AA" w:rsidRDefault="005960AA" w:rsidP="005960AA">
      <w:pPr>
        <w:numPr>
          <w:ilvl w:val="0"/>
          <w:numId w:val="2"/>
        </w:numPr>
        <w:rPr>
          <w:rFonts w:ascii="Garamond" w:eastAsia="Calibri" w:hAnsi="Garamond" w:cs="Times New Roman"/>
          <w:sz w:val="24"/>
          <w:szCs w:val="24"/>
          <w:lang w:val="en-US"/>
        </w:rPr>
      </w:pPr>
      <w:r w:rsidRPr="005960AA">
        <w:rPr>
          <w:rFonts w:ascii="Garamond" w:eastAsia="Calibri" w:hAnsi="Garamond" w:cs="Times New Roman"/>
          <w:sz w:val="24"/>
          <w:szCs w:val="24"/>
          <w:lang w:val="en-US"/>
        </w:rPr>
        <w:t xml:space="preserve">‘Panel discussion at UCT on the national </w:t>
      </w:r>
      <w:r w:rsidRPr="005960AA">
        <w:rPr>
          <w:rFonts w:ascii="Garamond" w:eastAsia="Calibri" w:hAnsi="Garamond" w:cs="Times New Roman"/>
          <w:sz w:val="24"/>
          <w:szCs w:val="24"/>
        </w:rPr>
        <w:t xml:space="preserve">furore caused by the painting ‘The Spear’ by Brett Murray.’ Speakers: Crain Soudien, Pierre de Vos, Musa Ndlovu, Pippa Skotnes, and Aubrey Matshiqi. Held at the University of Cape Town (UCT), 5 June 2012. (verbatim transcript: 24 pages). </w:t>
      </w:r>
      <w:r w:rsidRPr="005960AA">
        <w:rPr>
          <w:rFonts w:ascii="Garamond" w:eastAsia="Calibri" w:hAnsi="Garamond" w:cs="Times New Roman"/>
          <w:sz w:val="24"/>
          <w:szCs w:val="24"/>
          <w:lang w:val="en-US"/>
        </w:rPr>
        <w:t xml:space="preserve"> </w:t>
      </w:r>
    </w:p>
    <w:p w:rsidR="005960AA" w:rsidRPr="005960AA" w:rsidRDefault="005960AA" w:rsidP="005960AA">
      <w:pPr>
        <w:numPr>
          <w:ilvl w:val="0"/>
          <w:numId w:val="2"/>
        </w:numPr>
        <w:rPr>
          <w:rFonts w:ascii="Garamond" w:eastAsia="Calibri" w:hAnsi="Garamond" w:cs="Times New Roman"/>
          <w:sz w:val="24"/>
          <w:szCs w:val="24"/>
          <w:lang w:val="en-US"/>
        </w:rPr>
      </w:pPr>
      <w:r w:rsidRPr="005960AA">
        <w:rPr>
          <w:rFonts w:ascii="Garamond" w:eastAsia="Calibri" w:hAnsi="Garamond" w:cs="Times New Roman"/>
          <w:sz w:val="24"/>
          <w:szCs w:val="24"/>
          <w:lang w:val="en-US"/>
        </w:rPr>
        <w:t>Mamela Nyamza, interviewed in Cape Town, August, 2012 (verbatim transcript: 29 pages).</w:t>
      </w:r>
    </w:p>
    <w:p w:rsidR="005960AA" w:rsidRPr="005960AA" w:rsidRDefault="005960AA" w:rsidP="005960AA">
      <w:pPr>
        <w:numPr>
          <w:ilvl w:val="0"/>
          <w:numId w:val="2"/>
        </w:numPr>
        <w:rPr>
          <w:rFonts w:ascii="Garamond" w:eastAsia="Calibri" w:hAnsi="Garamond" w:cs="Times New Roman"/>
          <w:sz w:val="24"/>
          <w:szCs w:val="24"/>
          <w:lang w:val="en-US"/>
        </w:rPr>
      </w:pPr>
      <w:r w:rsidRPr="005960AA">
        <w:rPr>
          <w:rFonts w:ascii="Garamond" w:eastAsia="Calibri" w:hAnsi="Garamond" w:cs="Times New Roman"/>
          <w:sz w:val="24"/>
          <w:szCs w:val="24"/>
          <w:lang w:val="en-US"/>
        </w:rPr>
        <w:t>James Webb, interviewed in Cape Town, August, 2012 (verbatim transcript: 47 pages).</w:t>
      </w:r>
    </w:p>
    <w:p w:rsidR="005960AA" w:rsidRPr="005960AA" w:rsidRDefault="005960AA" w:rsidP="005960AA">
      <w:pPr>
        <w:numPr>
          <w:ilvl w:val="0"/>
          <w:numId w:val="2"/>
        </w:numPr>
        <w:rPr>
          <w:rFonts w:ascii="Garamond" w:eastAsia="Calibri" w:hAnsi="Garamond" w:cs="Times New Roman"/>
          <w:sz w:val="24"/>
          <w:szCs w:val="24"/>
          <w:lang w:val="en-US"/>
        </w:rPr>
      </w:pPr>
      <w:r w:rsidRPr="005960AA">
        <w:rPr>
          <w:rFonts w:ascii="Garamond" w:eastAsia="Calibri" w:hAnsi="Garamond" w:cs="Times New Roman"/>
          <w:sz w:val="24"/>
          <w:szCs w:val="24"/>
          <w:lang w:val="en-US"/>
        </w:rPr>
        <w:t>Francis Burger, interviewed in Cape Town, August, 2012 (verbatim transcript: 50 pages).</w:t>
      </w:r>
    </w:p>
    <w:p w:rsidR="005960AA" w:rsidRPr="005960AA" w:rsidRDefault="005960AA" w:rsidP="005960AA">
      <w:pPr>
        <w:numPr>
          <w:ilvl w:val="0"/>
          <w:numId w:val="2"/>
        </w:numPr>
        <w:rPr>
          <w:rFonts w:ascii="Garamond" w:eastAsia="Calibri" w:hAnsi="Garamond" w:cs="Times New Roman"/>
          <w:sz w:val="24"/>
          <w:szCs w:val="24"/>
          <w:lang w:val="en-US"/>
        </w:rPr>
      </w:pPr>
      <w:r w:rsidRPr="005960AA">
        <w:rPr>
          <w:rFonts w:ascii="Garamond" w:eastAsia="Calibri" w:hAnsi="Garamond" w:cs="Times New Roman"/>
          <w:sz w:val="24"/>
          <w:szCs w:val="24"/>
          <w:lang w:val="en-US"/>
        </w:rPr>
        <w:t>Josh Ginsburg, interviewed in Cape Town, August, 2012 (verbatim transcript: 37 pages).</w:t>
      </w:r>
    </w:p>
    <w:p w:rsidR="005960AA" w:rsidRPr="005960AA" w:rsidRDefault="005960AA" w:rsidP="005960AA">
      <w:pPr>
        <w:numPr>
          <w:ilvl w:val="0"/>
          <w:numId w:val="2"/>
        </w:numPr>
        <w:rPr>
          <w:rFonts w:ascii="Garamond" w:eastAsia="Calibri" w:hAnsi="Garamond" w:cs="Times New Roman"/>
          <w:sz w:val="24"/>
          <w:szCs w:val="24"/>
          <w:lang w:val="en-US"/>
        </w:rPr>
      </w:pPr>
      <w:r w:rsidRPr="005960AA">
        <w:rPr>
          <w:rFonts w:ascii="Garamond" w:eastAsia="Calibri" w:hAnsi="Garamond" w:cs="Times New Roman"/>
          <w:sz w:val="24"/>
          <w:szCs w:val="24"/>
          <w:lang w:val="en-US"/>
        </w:rPr>
        <w:t xml:space="preserve">Igshaan Adams, interviewed in Cape Town, August, 2012 (verbatim transcript: 30 pages). </w:t>
      </w:r>
    </w:p>
    <w:p w:rsidR="005960AA" w:rsidRPr="005960AA" w:rsidRDefault="005960AA" w:rsidP="005960AA">
      <w:pPr>
        <w:numPr>
          <w:ilvl w:val="0"/>
          <w:numId w:val="2"/>
        </w:numPr>
        <w:rPr>
          <w:rFonts w:ascii="Garamond" w:eastAsia="Calibri" w:hAnsi="Garamond" w:cs="Times New Roman"/>
          <w:sz w:val="24"/>
          <w:szCs w:val="24"/>
          <w:lang w:val="en-US"/>
        </w:rPr>
      </w:pPr>
      <w:r w:rsidRPr="005960AA">
        <w:rPr>
          <w:rFonts w:ascii="Garamond" w:eastAsia="Calibri" w:hAnsi="Garamond" w:cs="Times New Roman"/>
          <w:sz w:val="24"/>
          <w:szCs w:val="24"/>
          <w:lang w:val="en-US"/>
        </w:rPr>
        <w:t>Renee Holleman, interviewed in Cape Town, August, 2012 (verbatim transcript: 29 pages).</w:t>
      </w:r>
    </w:p>
    <w:p w:rsidR="005960AA" w:rsidRPr="005960AA" w:rsidRDefault="005960AA" w:rsidP="005960AA">
      <w:pPr>
        <w:numPr>
          <w:ilvl w:val="0"/>
          <w:numId w:val="2"/>
        </w:numPr>
        <w:rPr>
          <w:rFonts w:ascii="Garamond" w:eastAsia="Calibri" w:hAnsi="Garamond" w:cs="Times New Roman"/>
          <w:sz w:val="24"/>
          <w:szCs w:val="24"/>
          <w:lang w:val="en-US"/>
        </w:rPr>
      </w:pPr>
      <w:r w:rsidRPr="005960AA">
        <w:rPr>
          <w:rFonts w:ascii="Garamond" w:eastAsia="Calibri" w:hAnsi="Garamond" w:cs="Times New Roman"/>
          <w:sz w:val="24"/>
          <w:szCs w:val="24"/>
          <w:lang w:val="en-US"/>
        </w:rPr>
        <w:t xml:space="preserve">Clare Butcher, interviewed via Skype from Durban, October, 2012 (verbatim transcript: 23 pages). </w:t>
      </w:r>
    </w:p>
    <w:p w:rsidR="005960AA" w:rsidRPr="005960AA" w:rsidRDefault="005960AA" w:rsidP="005960AA">
      <w:pPr>
        <w:rPr>
          <w:rFonts w:ascii="Garamond" w:eastAsia="Calibri" w:hAnsi="Garamond" w:cs="Times New Roman"/>
          <w:sz w:val="24"/>
          <w:szCs w:val="24"/>
        </w:rPr>
      </w:pPr>
    </w:p>
    <w:p w:rsidR="00560B3A" w:rsidRPr="005D3007" w:rsidRDefault="00560B3A" w:rsidP="005D3007">
      <w:pPr>
        <w:jc w:val="center"/>
        <w:rPr>
          <w:rFonts w:ascii="Garamond" w:eastAsia="Calibri" w:hAnsi="Garamond" w:cs="Times New Roman"/>
          <w:b/>
          <w:sz w:val="28"/>
          <w:szCs w:val="28"/>
          <w:u w:val="single"/>
          <w:lang w:val="en-US"/>
        </w:rPr>
      </w:pPr>
      <w:r w:rsidRPr="005D3007">
        <w:rPr>
          <w:rFonts w:ascii="Garamond" w:eastAsia="Calibri" w:hAnsi="Garamond" w:cs="Times New Roman"/>
          <w:b/>
          <w:sz w:val="28"/>
          <w:szCs w:val="28"/>
          <w:u w:val="single"/>
          <w:lang w:val="en-US"/>
        </w:rPr>
        <w:t>Image Sources:</w:t>
      </w:r>
    </w:p>
    <w:p w:rsidR="00AA11DE" w:rsidRPr="00ED4DF6" w:rsidRDefault="00AA11DE" w:rsidP="00AA11DE">
      <w:pPr>
        <w:pStyle w:val="ListParagraph"/>
        <w:numPr>
          <w:ilvl w:val="0"/>
          <w:numId w:val="3"/>
        </w:numPr>
        <w:rPr>
          <w:rFonts w:ascii="Garamond" w:eastAsia="Calibri" w:hAnsi="Garamond" w:cs="Times New Roman"/>
          <w:sz w:val="24"/>
          <w:szCs w:val="24"/>
          <w:lang w:val="en-US"/>
        </w:rPr>
      </w:pPr>
      <w:r w:rsidRPr="00ED4DF6">
        <w:rPr>
          <w:rFonts w:ascii="Garamond" w:eastAsia="Calibri" w:hAnsi="Garamond" w:cs="Times New Roman"/>
          <w:sz w:val="24"/>
          <w:szCs w:val="24"/>
          <w:lang w:val="en-US"/>
        </w:rPr>
        <w:t xml:space="preserve">Front cover: </w:t>
      </w:r>
    </w:p>
    <w:p w:rsidR="00F46D2D" w:rsidRPr="00ED4DF6" w:rsidRDefault="00F46D2D" w:rsidP="00F46D2D">
      <w:pPr>
        <w:pStyle w:val="ListParagraph"/>
        <w:rPr>
          <w:rFonts w:ascii="Garamond" w:eastAsia="Calibri" w:hAnsi="Garamond" w:cs="Times New Roman"/>
          <w:sz w:val="24"/>
          <w:szCs w:val="24"/>
          <w:lang w:val="en-US"/>
        </w:rPr>
      </w:pPr>
      <w:hyperlink r:id="rId28" w:history="1">
        <w:r w:rsidRPr="00ED4DF6">
          <w:rPr>
            <w:rStyle w:val="Hyperlink"/>
            <w:rFonts w:ascii="Garamond" w:eastAsia="Calibri" w:hAnsi="Garamond" w:cs="Times New Roman"/>
            <w:color w:val="auto"/>
            <w:sz w:val="24"/>
            <w:szCs w:val="24"/>
            <w:lang w:val="en-US"/>
          </w:rPr>
          <w:t>http://jesuisperdu.tumblr.com/post/37769065779/erichelgas-ripped-seamless-2012</w:t>
        </w:r>
      </w:hyperlink>
    </w:p>
    <w:p w:rsidR="00F46D2D" w:rsidRPr="00ED4DF6" w:rsidRDefault="00F46D2D" w:rsidP="00F46D2D">
      <w:pPr>
        <w:pStyle w:val="ListParagraph"/>
        <w:numPr>
          <w:ilvl w:val="0"/>
          <w:numId w:val="3"/>
        </w:numPr>
        <w:rPr>
          <w:rFonts w:ascii="Garamond" w:eastAsia="Calibri" w:hAnsi="Garamond" w:cs="Times New Roman"/>
          <w:sz w:val="24"/>
          <w:szCs w:val="24"/>
          <w:lang w:val="en-US"/>
        </w:rPr>
      </w:pPr>
      <w:r w:rsidRPr="00ED4DF6">
        <w:rPr>
          <w:rFonts w:ascii="Garamond" w:eastAsia="Calibri" w:hAnsi="Garamond" w:cs="Times New Roman"/>
          <w:sz w:val="24"/>
          <w:szCs w:val="24"/>
          <w:lang w:val="en-US"/>
        </w:rPr>
        <w:t>Image 1:</w:t>
      </w:r>
    </w:p>
    <w:p w:rsidR="00F46D2D" w:rsidRPr="00ED4DF6" w:rsidRDefault="00F46D2D" w:rsidP="00F46D2D">
      <w:pPr>
        <w:pStyle w:val="ListParagraph"/>
        <w:rPr>
          <w:rFonts w:ascii="Garamond" w:eastAsia="Calibri" w:hAnsi="Garamond" w:cs="Times New Roman"/>
          <w:sz w:val="24"/>
          <w:szCs w:val="24"/>
          <w:lang w:val="en-US"/>
        </w:rPr>
      </w:pPr>
      <w:hyperlink r:id="rId29" w:history="1">
        <w:r w:rsidRPr="00ED4DF6">
          <w:rPr>
            <w:rStyle w:val="Hyperlink"/>
            <w:rFonts w:ascii="Garamond" w:eastAsia="Calibri" w:hAnsi="Garamond" w:cs="Times New Roman"/>
            <w:color w:val="auto"/>
            <w:sz w:val="24"/>
            <w:szCs w:val="24"/>
            <w:lang w:val="en-US"/>
          </w:rPr>
          <w:t>http://pulltheneedleout.tumblr.com/post/38408361626</w:t>
        </w:r>
      </w:hyperlink>
    </w:p>
    <w:p w:rsidR="00F46D2D" w:rsidRPr="00ED4DF6" w:rsidRDefault="00F46D2D" w:rsidP="00F46D2D">
      <w:pPr>
        <w:pStyle w:val="ListParagraph"/>
        <w:numPr>
          <w:ilvl w:val="0"/>
          <w:numId w:val="3"/>
        </w:numPr>
        <w:rPr>
          <w:rFonts w:ascii="Garamond" w:eastAsia="Calibri" w:hAnsi="Garamond" w:cs="Times New Roman"/>
          <w:sz w:val="24"/>
          <w:szCs w:val="24"/>
          <w:lang w:val="en-US"/>
        </w:rPr>
      </w:pPr>
      <w:r w:rsidRPr="00ED4DF6">
        <w:rPr>
          <w:rFonts w:ascii="Garamond" w:eastAsia="Calibri" w:hAnsi="Garamond" w:cs="Times New Roman"/>
          <w:sz w:val="24"/>
          <w:szCs w:val="24"/>
          <w:lang w:val="en-US"/>
        </w:rPr>
        <w:t>Image 2:</w:t>
      </w:r>
    </w:p>
    <w:p w:rsidR="00F46D2D" w:rsidRPr="00ED4DF6" w:rsidRDefault="00F46D2D" w:rsidP="00F46D2D">
      <w:pPr>
        <w:pStyle w:val="ListParagraph"/>
        <w:rPr>
          <w:rFonts w:ascii="Garamond" w:eastAsia="Calibri" w:hAnsi="Garamond" w:cs="Times New Roman"/>
          <w:sz w:val="24"/>
          <w:szCs w:val="24"/>
          <w:lang w:val="en-US"/>
        </w:rPr>
      </w:pPr>
      <w:r w:rsidRPr="00ED4DF6">
        <w:rPr>
          <w:rFonts w:ascii="Garamond" w:eastAsia="Calibri" w:hAnsi="Garamond" w:cs="Times New Roman"/>
          <w:sz w:val="24"/>
          <w:szCs w:val="24"/>
          <w:lang w:val="en-US"/>
        </w:rPr>
        <w:t>Provided by Samora Chapman</w:t>
      </w:r>
    </w:p>
    <w:p w:rsidR="00ED4DF6" w:rsidRPr="00ED4DF6" w:rsidRDefault="00ED4DF6" w:rsidP="00ED4DF6">
      <w:pPr>
        <w:pStyle w:val="ListParagraph"/>
        <w:numPr>
          <w:ilvl w:val="0"/>
          <w:numId w:val="3"/>
        </w:numPr>
        <w:rPr>
          <w:rFonts w:ascii="Garamond" w:eastAsia="Calibri" w:hAnsi="Garamond" w:cs="Times New Roman"/>
          <w:sz w:val="24"/>
          <w:szCs w:val="24"/>
          <w:lang w:val="en-US"/>
        </w:rPr>
      </w:pPr>
      <w:r w:rsidRPr="00ED4DF6">
        <w:rPr>
          <w:rFonts w:ascii="Garamond" w:eastAsia="Calibri" w:hAnsi="Garamond" w:cs="Times New Roman"/>
          <w:sz w:val="24"/>
          <w:szCs w:val="24"/>
          <w:lang w:val="en-US"/>
        </w:rPr>
        <w:t>Image 3:</w:t>
      </w:r>
    </w:p>
    <w:p w:rsidR="00ED4DF6" w:rsidRPr="00ED4DF6" w:rsidRDefault="00ED4DF6" w:rsidP="00ED4DF6">
      <w:pPr>
        <w:pStyle w:val="ListParagraph"/>
        <w:rPr>
          <w:rFonts w:ascii="Garamond" w:eastAsia="Calibri" w:hAnsi="Garamond" w:cs="Times New Roman"/>
          <w:sz w:val="24"/>
          <w:szCs w:val="24"/>
          <w:lang w:val="en-US"/>
        </w:rPr>
      </w:pPr>
      <w:hyperlink r:id="rId30" w:history="1">
        <w:r w:rsidRPr="00ED4DF6">
          <w:rPr>
            <w:rStyle w:val="Hyperlink"/>
            <w:rFonts w:ascii="Garamond" w:eastAsia="Calibri" w:hAnsi="Garamond" w:cs="Times New Roman"/>
            <w:color w:val="auto"/>
            <w:sz w:val="24"/>
            <w:szCs w:val="24"/>
            <w:lang w:val="en-US"/>
          </w:rPr>
          <w:t>http://girlgrimes.tumblr.com/image/37704293530</w:t>
        </w:r>
      </w:hyperlink>
    </w:p>
    <w:p w:rsidR="00ED4DF6" w:rsidRPr="00ED4DF6" w:rsidRDefault="00ED4DF6" w:rsidP="00ED4DF6">
      <w:pPr>
        <w:pStyle w:val="ListParagraph"/>
        <w:numPr>
          <w:ilvl w:val="0"/>
          <w:numId w:val="3"/>
        </w:numPr>
        <w:rPr>
          <w:rFonts w:ascii="Garamond" w:eastAsia="Calibri" w:hAnsi="Garamond" w:cs="Times New Roman"/>
          <w:sz w:val="24"/>
          <w:szCs w:val="24"/>
          <w:lang w:val="en-US"/>
        </w:rPr>
      </w:pPr>
      <w:r w:rsidRPr="00ED4DF6">
        <w:rPr>
          <w:rFonts w:ascii="Garamond" w:eastAsia="Calibri" w:hAnsi="Garamond" w:cs="Times New Roman"/>
          <w:sz w:val="24"/>
          <w:szCs w:val="24"/>
          <w:lang w:val="en-US"/>
        </w:rPr>
        <w:t>Image 4:</w:t>
      </w:r>
    </w:p>
    <w:p w:rsidR="00ED4DF6" w:rsidRPr="00ED4DF6" w:rsidRDefault="00ED4DF6" w:rsidP="00ED4DF6">
      <w:pPr>
        <w:pStyle w:val="ListParagraph"/>
        <w:rPr>
          <w:rFonts w:ascii="Garamond" w:eastAsia="Calibri" w:hAnsi="Garamond" w:cs="Times New Roman"/>
          <w:sz w:val="24"/>
          <w:szCs w:val="24"/>
          <w:lang w:val="en-US"/>
        </w:rPr>
      </w:pPr>
      <w:hyperlink r:id="rId31" w:history="1">
        <w:r w:rsidRPr="00ED4DF6">
          <w:rPr>
            <w:rStyle w:val="Hyperlink"/>
            <w:rFonts w:ascii="Garamond" w:eastAsia="Calibri" w:hAnsi="Garamond" w:cs="Times New Roman"/>
            <w:color w:val="auto"/>
            <w:sz w:val="24"/>
            <w:szCs w:val="24"/>
            <w:lang w:val="en-US"/>
          </w:rPr>
          <w:t>http://zabij.tumblr.com/image/37726595522</w:t>
        </w:r>
      </w:hyperlink>
    </w:p>
    <w:p w:rsidR="00ED4DF6" w:rsidRPr="00ED4DF6" w:rsidRDefault="00ED4DF6" w:rsidP="00ED4DF6">
      <w:pPr>
        <w:pStyle w:val="ListParagraph"/>
        <w:numPr>
          <w:ilvl w:val="0"/>
          <w:numId w:val="3"/>
        </w:numPr>
        <w:rPr>
          <w:rFonts w:ascii="Garamond" w:eastAsia="Calibri" w:hAnsi="Garamond" w:cs="Times New Roman"/>
          <w:sz w:val="24"/>
          <w:szCs w:val="24"/>
          <w:lang w:val="en-US"/>
        </w:rPr>
      </w:pPr>
      <w:r w:rsidRPr="00ED4DF6">
        <w:rPr>
          <w:rFonts w:ascii="Garamond" w:eastAsia="Calibri" w:hAnsi="Garamond" w:cs="Times New Roman"/>
          <w:sz w:val="24"/>
          <w:szCs w:val="24"/>
          <w:lang w:val="en-US"/>
        </w:rPr>
        <w:t>Image 5:</w:t>
      </w:r>
    </w:p>
    <w:p w:rsidR="00ED4DF6" w:rsidRPr="00ED4DF6" w:rsidRDefault="00ED4DF6" w:rsidP="00ED4DF6">
      <w:pPr>
        <w:pStyle w:val="ListParagraph"/>
        <w:rPr>
          <w:rFonts w:ascii="Garamond" w:eastAsia="Calibri" w:hAnsi="Garamond" w:cs="Times New Roman"/>
          <w:sz w:val="24"/>
          <w:szCs w:val="24"/>
          <w:lang w:val="en-US"/>
        </w:rPr>
      </w:pPr>
      <w:hyperlink r:id="rId32" w:history="1">
        <w:r w:rsidRPr="00ED4DF6">
          <w:rPr>
            <w:rStyle w:val="Hyperlink"/>
            <w:rFonts w:ascii="Garamond" w:eastAsia="Calibri" w:hAnsi="Garamond" w:cs="Times New Roman"/>
            <w:color w:val="auto"/>
            <w:sz w:val="24"/>
            <w:szCs w:val="24"/>
            <w:lang w:val="en-US"/>
          </w:rPr>
          <w:t>http://girlgrimes.tumblr.com/post/31976849548</w:t>
        </w:r>
      </w:hyperlink>
    </w:p>
    <w:p w:rsidR="00ED4DF6" w:rsidRPr="00ED4DF6" w:rsidRDefault="00ED4DF6" w:rsidP="00ED4DF6">
      <w:pPr>
        <w:pStyle w:val="ListParagraph"/>
        <w:numPr>
          <w:ilvl w:val="0"/>
          <w:numId w:val="3"/>
        </w:numPr>
        <w:rPr>
          <w:rFonts w:ascii="Garamond" w:eastAsia="Calibri" w:hAnsi="Garamond" w:cs="Times New Roman"/>
          <w:sz w:val="24"/>
          <w:szCs w:val="24"/>
          <w:lang w:val="en-US"/>
        </w:rPr>
      </w:pPr>
      <w:r w:rsidRPr="00ED4DF6">
        <w:rPr>
          <w:rFonts w:ascii="Garamond" w:eastAsia="Calibri" w:hAnsi="Garamond" w:cs="Times New Roman"/>
          <w:sz w:val="24"/>
          <w:szCs w:val="24"/>
          <w:lang w:val="en-US"/>
        </w:rPr>
        <w:t>Image 6:</w:t>
      </w:r>
    </w:p>
    <w:p w:rsidR="00ED4DF6" w:rsidRPr="00ED4DF6" w:rsidRDefault="00ED4DF6" w:rsidP="00ED4DF6">
      <w:pPr>
        <w:pStyle w:val="ListParagraph"/>
        <w:rPr>
          <w:rFonts w:ascii="Garamond" w:eastAsia="Calibri" w:hAnsi="Garamond" w:cs="Times New Roman"/>
          <w:sz w:val="24"/>
          <w:szCs w:val="24"/>
          <w:lang w:val="en-US"/>
        </w:rPr>
      </w:pPr>
      <w:hyperlink r:id="rId33" w:history="1">
        <w:r w:rsidRPr="00ED4DF6">
          <w:rPr>
            <w:rStyle w:val="Hyperlink"/>
            <w:rFonts w:ascii="Garamond" w:eastAsia="Calibri" w:hAnsi="Garamond" w:cs="Times New Roman"/>
            <w:color w:val="auto"/>
            <w:sz w:val="24"/>
            <w:szCs w:val="24"/>
            <w:lang w:val="en-US"/>
          </w:rPr>
          <w:t>http://prostituting.tumblr.com/post/37072507016</w:t>
        </w:r>
      </w:hyperlink>
    </w:p>
    <w:p w:rsidR="00ED4DF6" w:rsidRPr="00AA11DE" w:rsidRDefault="00ED4DF6" w:rsidP="00ED4DF6">
      <w:pPr>
        <w:pStyle w:val="ListParagraph"/>
        <w:rPr>
          <w:rFonts w:ascii="Garamond" w:eastAsia="Calibri" w:hAnsi="Garamond" w:cs="Times New Roman"/>
          <w:sz w:val="24"/>
          <w:szCs w:val="24"/>
          <w:lang w:val="en-US"/>
        </w:rPr>
      </w:pPr>
    </w:p>
    <w:p w:rsidR="00940A72" w:rsidRPr="00801CF8" w:rsidRDefault="00940A72" w:rsidP="00801CF8">
      <w:pPr>
        <w:rPr>
          <w:rFonts w:ascii="Garamond" w:hAnsi="Garamond"/>
          <w:sz w:val="28"/>
          <w:szCs w:val="28"/>
        </w:rPr>
      </w:pPr>
    </w:p>
    <w:sectPr w:rsidR="00940A72" w:rsidRPr="00801CF8" w:rsidSect="00B5618C">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549" w:rsidRDefault="00AA6549" w:rsidP="00801CF8">
      <w:pPr>
        <w:spacing w:after="0" w:line="240" w:lineRule="auto"/>
      </w:pPr>
      <w:r>
        <w:separator/>
      </w:r>
    </w:p>
  </w:endnote>
  <w:endnote w:type="continuationSeparator" w:id="0">
    <w:p w:rsidR="00AA6549" w:rsidRDefault="00AA6549" w:rsidP="00801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549" w:rsidRDefault="00AA6549" w:rsidP="00801CF8">
      <w:pPr>
        <w:spacing w:after="0" w:line="240" w:lineRule="auto"/>
      </w:pPr>
      <w:r>
        <w:separator/>
      </w:r>
    </w:p>
  </w:footnote>
  <w:footnote w:type="continuationSeparator" w:id="0">
    <w:p w:rsidR="00AA6549" w:rsidRDefault="00AA6549" w:rsidP="00801CF8">
      <w:pPr>
        <w:spacing w:after="0" w:line="240" w:lineRule="auto"/>
      </w:pPr>
      <w:r>
        <w:continuationSeparator/>
      </w:r>
    </w:p>
  </w:footnote>
  <w:footnote w:id="1">
    <w:p w:rsidR="00266B50" w:rsidRDefault="00266B50" w:rsidP="00C67F51">
      <w:pPr>
        <w:pStyle w:val="FootnoteText"/>
        <w:spacing w:after="0"/>
      </w:pPr>
      <w:r>
        <w:rPr>
          <w:rStyle w:val="FootnoteReference"/>
        </w:rPr>
        <w:footnoteRef/>
      </w:r>
      <w:r>
        <w:t xml:space="preserve"> I am grateful to Francis Burger for this conception, for affirmation of agency in interpretation and incorporation, for movements beyond the ‘eternal boiling point’ (2012). </w:t>
      </w:r>
    </w:p>
  </w:footnote>
  <w:footnote w:id="2">
    <w:p w:rsidR="00266B50" w:rsidRPr="00717CB7" w:rsidRDefault="00266B50" w:rsidP="00C67F51">
      <w:pPr>
        <w:pStyle w:val="FootnoteText"/>
        <w:spacing w:after="0" w:line="240" w:lineRule="auto"/>
        <w:contextualSpacing/>
        <w:rPr>
          <w:lang w:val="en-US"/>
        </w:rPr>
      </w:pPr>
      <w:r>
        <w:rPr>
          <w:rStyle w:val="FootnoteReference"/>
        </w:rPr>
        <w:footnoteRef/>
      </w:r>
      <w:r>
        <w:t xml:space="preserve"> </w:t>
      </w:r>
      <w:r>
        <w:rPr>
          <w:lang w:val="en-US"/>
        </w:rPr>
        <w:t>C.f. Hermanus’ discussion of the emergence of meaning through the affinity between deconstruction and complexity theory (2010: 6-7).</w:t>
      </w:r>
    </w:p>
  </w:footnote>
  <w:footnote w:id="3">
    <w:p w:rsidR="00266B50" w:rsidRPr="00717CB7" w:rsidRDefault="00266B50" w:rsidP="00C67F51">
      <w:pPr>
        <w:pStyle w:val="EndnoteText"/>
        <w:contextualSpacing/>
        <w:rPr>
          <w:lang w:val="en-US"/>
        </w:rPr>
      </w:pPr>
      <w:r>
        <w:rPr>
          <w:rStyle w:val="FootnoteReference"/>
        </w:rPr>
        <w:footnoteRef/>
      </w:r>
      <w:r>
        <w:t xml:space="preserve"> </w:t>
      </w:r>
      <w:r>
        <w:rPr>
          <w:lang w:val="en-US"/>
        </w:rPr>
        <w:t xml:space="preserve">I am indebted to Francis Burger for this sight (2012) </w:t>
      </w:r>
    </w:p>
  </w:footnote>
  <w:footnote w:id="4">
    <w:p w:rsidR="00266B50" w:rsidRPr="00717CB7" w:rsidRDefault="00266B50" w:rsidP="00C67F51">
      <w:pPr>
        <w:pStyle w:val="EndnoteText"/>
        <w:contextualSpacing/>
        <w:rPr>
          <w:lang w:val="en-US"/>
        </w:rPr>
      </w:pPr>
      <w:r>
        <w:rPr>
          <w:rStyle w:val="FootnoteReference"/>
        </w:rPr>
        <w:footnoteRef/>
      </w:r>
      <w:r>
        <w:t xml:space="preserve"> As Rogoff offers; </w:t>
      </w:r>
      <w:r>
        <w:rPr>
          <w:lang w:val="en-US"/>
        </w:rPr>
        <w:t xml:space="preserve">“In a ‘turn’ we shift </w:t>
      </w:r>
      <w:r w:rsidRPr="003B6BCA">
        <w:rPr>
          <w:i/>
          <w:lang w:val="en-US"/>
        </w:rPr>
        <w:t>away</w:t>
      </w:r>
      <w:r>
        <w:rPr>
          <w:lang w:val="en-US"/>
        </w:rPr>
        <w:t xml:space="preserve"> from something or towards or </w:t>
      </w:r>
      <w:r w:rsidRPr="003B6BCA">
        <w:rPr>
          <w:i/>
          <w:lang w:val="en-US"/>
        </w:rPr>
        <w:t>around</w:t>
      </w:r>
      <w:r>
        <w:rPr>
          <w:lang w:val="en-US"/>
        </w:rPr>
        <w:t xml:space="preserve"> something, and it is we who are in movement, rather than </w:t>
      </w:r>
      <w:r w:rsidRPr="003B6BCA">
        <w:rPr>
          <w:i/>
          <w:lang w:val="en-US"/>
        </w:rPr>
        <w:t>it</w:t>
      </w:r>
      <w:r>
        <w:rPr>
          <w:lang w:val="en-US"/>
        </w:rPr>
        <w:t xml:space="preserve">” (2008: 8, emphasis in original). Rogoff’s ‘soft’ offering is given in contrast to what is perceived as the ‘hardening’ of ‘turns’ through and into ‘knowledge economies’, whereby a simple object comes “to stand in for an entire complex network of knowing” (2008: 5) and which thereby further frustrates the urgencies that underwrote the ‘turn’ in the first place (2008: 1-2). </w:t>
      </w:r>
    </w:p>
  </w:footnote>
  <w:footnote w:id="5">
    <w:p w:rsidR="00266B50" w:rsidRDefault="00266B50" w:rsidP="00C67F51">
      <w:pPr>
        <w:pStyle w:val="FootnoteText"/>
        <w:spacing w:after="0"/>
        <w:contextualSpacing/>
      </w:pPr>
      <w:r>
        <w:rPr>
          <w:rStyle w:val="FootnoteReference"/>
        </w:rPr>
        <w:footnoteRef/>
      </w:r>
      <w:r>
        <w:t xml:space="preserve"> ‘Assemblage’ already incorporates the aesthetic, the ‘artistic’ construction. As such, this text is already incorporated into logics that will regard the latter constructions. </w:t>
      </w:r>
    </w:p>
  </w:footnote>
  <w:footnote w:id="6">
    <w:p w:rsidR="00266B50" w:rsidRPr="00252C29" w:rsidRDefault="00266B50" w:rsidP="00C67F51">
      <w:pPr>
        <w:pStyle w:val="FootnoteText"/>
        <w:spacing w:after="0" w:line="240" w:lineRule="auto"/>
        <w:contextualSpacing/>
        <w:rPr>
          <w:lang w:val="en-US"/>
        </w:rPr>
      </w:pPr>
      <w:r>
        <w:rPr>
          <w:rStyle w:val="FootnoteReference"/>
        </w:rPr>
        <w:footnoteRef/>
      </w:r>
      <w:r>
        <w:t xml:space="preserve"> As Morin wrote, </w:t>
      </w:r>
      <w:r>
        <w:rPr>
          <w:lang w:val="en-US"/>
        </w:rPr>
        <w:t xml:space="preserve">“The concepts which we use to conceive of our society- all society- are mutilated and mutilating” (1992: 3). </w:t>
      </w:r>
    </w:p>
  </w:footnote>
  <w:footnote w:id="7">
    <w:p w:rsidR="00266B50" w:rsidRDefault="00266B50" w:rsidP="00C67F51">
      <w:pPr>
        <w:pStyle w:val="FootnoteText"/>
      </w:pPr>
      <w:r>
        <w:rPr>
          <w:rStyle w:val="FootnoteReference"/>
        </w:rPr>
        <w:footnoteRef/>
      </w:r>
      <w:r>
        <w:t xml:space="preserve"> I am thankful to Francis Burger (2012) for both her unravelling into aphasia and her return. </w:t>
      </w:r>
    </w:p>
  </w:footnote>
  <w:footnote w:id="8">
    <w:p w:rsidR="00266B50" w:rsidRPr="00616B71" w:rsidRDefault="00266B50" w:rsidP="00C67F51">
      <w:pPr>
        <w:pStyle w:val="FootnoteText"/>
        <w:spacing w:after="0" w:line="240" w:lineRule="auto"/>
        <w:contextualSpacing/>
        <w:rPr>
          <w:lang w:val="en-US"/>
        </w:rPr>
      </w:pPr>
      <w:r>
        <w:rPr>
          <w:rStyle w:val="FootnoteReference"/>
        </w:rPr>
        <w:footnoteRef/>
      </w:r>
      <w:r>
        <w:t xml:space="preserve"> As Hermanus c/sites </w:t>
      </w:r>
      <w:r>
        <w:rPr>
          <w:lang w:val="en-US"/>
        </w:rPr>
        <w:t>Morin, “We feel a profound dissatisfaction when we face observations that are not in movement and which do not observe themselves, thinking that does not confront its own contradictions and masks the contradictions of reality, philosophy that reduces everything to key words (master concepts) which does not put itself into question, and particular speech (acts) which isolate the virtual world’ (Morin in Hermanus, 2010: 23).</w:t>
      </w:r>
    </w:p>
  </w:footnote>
  <w:footnote w:id="9">
    <w:p w:rsidR="00266B50" w:rsidRPr="00A8334A" w:rsidRDefault="00266B50" w:rsidP="00C67F51">
      <w:pPr>
        <w:pStyle w:val="FootnoteText"/>
        <w:contextualSpacing/>
        <w:rPr>
          <w:lang w:val="en-US"/>
        </w:rPr>
      </w:pPr>
      <w:r>
        <w:rPr>
          <w:rStyle w:val="FootnoteReference"/>
        </w:rPr>
        <w:footnoteRef/>
      </w:r>
      <w:r>
        <w:t xml:space="preserve"> Offering a shift of perception “of a place of education or training to one which is not pure preparation, pure resolution” (2008: 7), Rogoff states that these places “might instead encompass fallibility, which can be understood as a form of knowledge production rather than one of disappointment. Equally, I would suggest education to be the site of a shift away from a culture of </w:t>
      </w:r>
      <w:r w:rsidRPr="00385563">
        <w:rPr>
          <w:i/>
        </w:rPr>
        <w:t>emergency</w:t>
      </w:r>
      <w:r>
        <w:t xml:space="preserve"> to one of </w:t>
      </w:r>
      <w:r w:rsidRPr="00385563">
        <w:rPr>
          <w:i/>
        </w:rPr>
        <w:t>urgency</w:t>
      </w:r>
      <w:r>
        <w:t>” (</w:t>
      </w:r>
      <w:r w:rsidRPr="00385563">
        <w:rPr>
          <w:i/>
        </w:rPr>
        <w:t>ibid</w:t>
      </w:r>
      <w:r>
        <w:t xml:space="preserve">, emphasis in original). </w:t>
      </w:r>
    </w:p>
  </w:footnote>
  <w:footnote w:id="10">
    <w:p w:rsidR="00266B50" w:rsidRPr="003E65E8" w:rsidRDefault="00266B50" w:rsidP="00C67F51">
      <w:pPr>
        <w:pStyle w:val="FootnoteText"/>
        <w:contextualSpacing/>
        <w:rPr>
          <w:lang w:val="en-US"/>
        </w:rPr>
      </w:pPr>
      <w:r>
        <w:rPr>
          <w:rStyle w:val="FootnoteReference"/>
        </w:rPr>
        <w:footnoteRef/>
      </w:r>
      <w:r>
        <w:t xml:space="preserve"> </w:t>
      </w:r>
      <w:r>
        <w:rPr>
          <w:lang w:val="en-US"/>
        </w:rPr>
        <w:t xml:space="preserve">As Mbembe observes, violence “is sustained by an imaginary- that is an interrelated set of signs that present themselves, in every instance, as the indisputable and undisputed meaning. The violence insinuates itself into the economy, domestic life, language, consciousness. It does more than penetrate every space… it produces a culture; it is cultural praxis” (?: 175). </w:t>
      </w:r>
    </w:p>
  </w:footnote>
  <w:footnote w:id="11">
    <w:p w:rsidR="00266B50" w:rsidRPr="00C026A0" w:rsidRDefault="00266B50" w:rsidP="00C67F51">
      <w:pPr>
        <w:pStyle w:val="FootnoteText"/>
        <w:contextualSpacing/>
        <w:rPr>
          <w:lang w:val="en-US"/>
        </w:rPr>
      </w:pPr>
      <w:r>
        <w:rPr>
          <w:rStyle w:val="FootnoteReference"/>
        </w:rPr>
        <w:footnoteRef/>
      </w:r>
      <w:r>
        <w:t xml:space="preserve"> ‘Monstartion’ is derived from </w:t>
      </w:r>
      <w:r>
        <w:rPr>
          <w:lang w:val="en-US"/>
        </w:rPr>
        <w:t xml:space="preserve">the Latin </w:t>
      </w:r>
      <w:r w:rsidRPr="001158F3">
        <w:rPr>
          <w:i/>
          <w:lang w:val="en-US"/>
        </w:rPr>
        <w:t>monstrare</w:t>
      </w:r>
      <w:r>
        <w:rPr>
          <w:lang w:val="en-US"/>
        </w:rPr>
        <w:t xml:space="preserve">, meaning ‘to show’. I am indebted to Francis Burger for this etymology. </w:t>
      </w:r>
    </w:p>
  </w:footnote>
  <w:footnote w:id="12">
    <w:p w:rsidR="00266B50" w:rsidRDefault="00266B50" w:rsidP="00C67F51">
      <w:pPr>
        <w:pStyle w:val="FootnoteText"/>
        <w:contextualSpacing/>
      </w:pPr>
      <w:r>
        <w:rPr>
          <w:rStyle w:val="FootnoteReference"/>
        </w:rPr>
        <w:footnoteRef/>
      </w:r>
      <w:r>
        <w:t xml:space="preserve"> As Rendall makes explicit in </w:t>
      </w:r>
      <w:r w:rsidRPr="00AC412C">
        <w:rPr>
          <w:i/>
        </w:rPr>
        <w:t>Dialectical Structure and Tactics in Montaigne’s ‘Of Cannibals’</w:t>
      </w:r>
      <w:r>
        <w:t xml:space="preserve">, “An unfortunate result of the frequent choice of this essay for inclusion in anthologies is that it has often been misunderstood through being read out of context. As ought to be clear to anyone who read the rest of the </w:t>
      </w:r>
      <w:r w:rsidRPr="00A56A98">
        <w:rPr>
          <w:i/>
        </w:rPr>
        <w:t>Essais</w:t>
      </w:r>
      <w:r>
        <w:t xml:space="preserve">, its main subject, despite the title, is not cannibals… but rather how we ought to judge other cultures- and ourselves. We are only too prone, Montaigne suggests, to form hasty judgements based more on ignorance and prejudice than on experience and careful examination, and to assume that our own society provides a standard of excellence and civilization by which all others may be judged.” (1977: 56). </w:t>
      </w:r>
    </w:p>
  </w:footnote>
  <w:footnote w:id="13">
    <w:p w:rsidR="00266B50" w:rsidRPr="005B0BE7" w:rsidRDefault="00266B50" w:rsidP="00C67F51">
      <w:pPr>
        <w:pStyle w:val="FootnoteText"/>
        <w:spacing w:after="0"/>
        <w:rPr>
          <w:lang w:val="en-US"/>
        </w:rPr>
      </w:pPr>
      <w:r>
        <w:rPr>
          <w:rStyle w:val="FootnoteReference"/>
        </w:rPr>
        <w:footnoteRef/>
      </w:r>
      <w:r>
        <w:t xml:space="preserve"> In ‘Gender as Multiplicity: Desire, displacement, difference and dispersion,’ Linstead and Pullen point to the way in which “the moribund metaphor of the journey to an end-point continues to constrain us and pull us back from relationality” (2006: 1292). </w:t>
      </w:r>
    </w:p>
  </w:footnote>
  <w:footnote w:id="14">
    <w:p w:rsidR="00266B50" w:rsidRDefault="00266B50" w:rsidP="00C67F51">
      <w:pPr>
        <w:pStyle w:val="FootnoteText"/>
        <w:spacing w:after="0"/>
      </w:pPr>
      <w:r>
        <w:rPr>
          <w:rStyle w:val="FootnoteReference"/>
        </w:rPr>
        <w:footnoteRef/>
      </w:r>
      <w:r>
        <w:t xml:space="preserve"> I am grateful to both Mamela Nyamza (2012) and Igshaan Adams (2012) for discussions of experiences of ‘identity’ which moved beyond these hard cores. </w:t>
      </w:r>
    </w:p>
  </w:footnote>
  <w:footnote w:id="15">
    <w:p w:rsidR="00266B50" w:rsidRPr="00804A2A" w:rsidRDefault="00266B50" w:rsidP="00C67F51">
      <w:pPr>
        <w:pStyle w:val="FootnoteText"/>
        <w:spacing w:after="0"/>
        <w:rPr>
          <w:lang w:val="en-US"/>
        </w:rPr>
      </w:pPr>
      <w:r>
        <w:rPr>
          <w:rStyle w:val="FootnoteReference"/>
        </w:rPr>
        <w:footnoteRef/>
      </w:r>
      <w:r>
        <w:t xml:space="preserve"> </w:t>
      </w:r>
      <w:r>
        <w:rPr>
          <w:lang w:val="en-US"/>
        </w:rPr>
        <w:t xml:space="preserve">“Multiplicity in this vein is not a pluralized notion of identity but an ever changing, non-totalizing collectivity, an assemblage defined, not by its abiding identity or principle of sameness over time, but through its ability to undergo permutations and transformations, that is, its dimensionality” (Deleuze and Guattari, 1987). </w:t>
      </w:r>
    </w:p>
  </w:footnote>
  <w:footnote w:id="16">
    <w:p w:rsidR="00266B50" w:rsidRPr="00AB7937" w:rsidRDefault="00266B50" w:rsidP="00C67F51">
      <w:pPr>
        <w:pStyle w:val="FootnoteText"/>
        <w:spacing w:after="0"/>
        <w:rPr>
          <w:lang w:val="en-US"/>
        </w:rPr>
      </w:pPr>
      <w:r>
        <w:rPr>
          <w:rStyle w:val="FootnoteReference"/>
        </w:rPr>
        <w:footnoteRef/>
      </w:r>
      <w:r>
        <w:t xml:space="preserve"> </w:t>
      </w:r>
      <w:r>
        <w:rPr>
          <w:lang w:val="en-US"/>
        </w:rPr>
        <w:t xml:space="preserve">This may also have implications that operate against stupefaction; as Sayer states with regards to pathos, it “is entirely dependant upon our acceptance of the idea that behind the never-ending erasures there exists some </w:t>
      </w:r>
      <w:r w:rsidRPr="00AB7937">
        <w:rPr>
          <w:i/>
          <w:lang w:val="en-US"/>
        </w:rPr>
        <w:t>authentic</w:t>
      </w:r>
      <w:r>
        <w:rPr>
          <w:lang w:val="en-US"/>
        </w:rPr>
        <w:t xml:space="preserve"> primal identity, whose truth reposes in the memory of realities that have been washed away by the tide of history” (2004: 77, emphasis in original). </w:t>
      </w:r>
    </w:p>
  </w:footnote>
  <w:footnote w:id="17">
    <w:p w:rsidR="00266B50" w:rsidRPr="0086662F" w:rsidRDefault="00266B50" w:rsidP="00C67F51">
      <w:pPr>
        <w:pStyle w:val="FootnoteText"/>
        <w:spacing w:after="0"/>
        <w:rPr>
          <w:lang w:val="en-US"/>
        </w:rPr>
      </w:pPr>
      <w:r>
        <w:rPr>
          <w:rStyle w:val="FootnoteReference"/>
        </w:rPr>
        <w:footnoteRef/>
      </w:r>
      <w:r>
        <w:t xml:space="preserve"> </w:t>
      </w:r>
      <w:r>
        <w:rPr>
          <w:lang w:val="en-US"/>
        </w:rPr>
        <w:t xml:space="preserve">While it is possible that the wording of this quote, for example, in the homogenizing term of the ‘West’, may seem to be somewhat contradictory to my purposes, this is a </w:t>
      </w:r>
      <w:r w:rsidRPr="0061595C">
        <w:rPr>
          <w:i/>
          <w:lang w:val="en-US"/>
        </w:rPr>
        <w:t>choice</w:t>
      </w:r>
      <w:r>
        <w:rPr>
          <w:lang w:val="en-US"/>
        </w:rPr>
        <w:t xml:space="preserve"> that I have made against the alternative of the stasis of ‘horror.’  </w:t>
      </w:r>
    </w:p>
  </w:footnote>
  <w:footnote w:id="18">
    <w:p w:rsidR="00266B50" w:rsidRDefault="00266B50" w:rsidP="00C67F51">
      <w:pPr>
        <w:pStyle w:val="FootnoteText"/>
        <w:spacing w:after="0"/>
      </w:pPr>
      <w:r>
        <w:rPr>
          <w:rStyle w:val="FootnoteReference"/>
        </w:rPr>
        <w:footnoteRef/>
      </w:r>
      <w:r>
        <w:t xml:space="preserve"> Observing that “universalising the symptom fuels the motive for diagnosis and interpretation, since symptoms are no longer localized and self-evident but lurking everywhere” (2002: 22), Dean similarly considers the ethical implications of such a critical approach; “Reading one’s world in terms of symptoms positions one as a hermeneut with a particular relation to the world- a relation of suspicion and putative mastery” (2002: 23).  </w:t>
      </w:r>
    </w:p>
  </w:footnote>
  <w:footnote w:id="19">
    <w:p w:rsidR="00266B50" w:rsidRDefault="00266B50" w:rsidP="00C67F51">
      <w:pPr>
        <w:pStyle w:val="FootnoteText"/>
      </w:pPr>
      <w:r>
        <w:rPr>
          <w:rStyle w:val="FootnoteReference"/>
        </w:rPr>
        <w:footnoteRef/>
      </w:r>
      <w:r>
        <w:t xml:space="preserve"> I am here thankful to both James Webb (2012) and Josh Ginsburg (2012) for, in their own ways, involving me in discussions which moved beyond the logics of ‘unveiling’ to a view for the more subtle and complex.   </w:t>
      </w:r>
    </w:p>
  </w:footnote>
  <w:footnote w:id="20">
    <w:p w:rsidR="00266B50" w:rsidRDefault="00266B50" w:rsidP="00C67F51">
      <w:pPr>
        <w:pStyle w:val="FootnoteText"/>
        <w:spacing w:after="0"/>
        <w:contextualSpacing/>
      </w:pPr>
      <w:r>
        <w:rPr>
          <w:rStyle w:val="FootnoteReference"/>
        </w:rPr>
        <w:footnoteRef/>
      </w:r>
      <w:r>
        <w:t xml:space="preserve"> A reader might well wonder in the face of this grotesque assemblage of quotations, where is the ‘I’ of the writer in this? However, as static notions of identity, of, in other words, an easily identifiable speaker, are here problematized, this is a deliberate strategy here employed. However, as must be stressed, this is not to the detriment of responsibility.  </w:t>
      </w:r>
    </w:p>
  </w:footnote>
  <w:footnote w:id="21">
    <w:p w:rsidR="00266B50" w:rsidRDefault="00266B50" w:rsidP="00C67F51">
      <w:pPr>
        <w:pStyle w:val="FootnoteText"/>
        <w:contextualSpacing/>
      </w:pPr>
      <w:r>
        <w:rPr>
          <w:rStyle w:val="FootnoteReference"/>
        </w:rPr>
        <w:footnoteRef/>
      </w:r>
      <w:r>
        <w:t xml:space="preserve"> I am indebted to Francis Burger for an awareness of ‘orphaned thoughts.’ (2012)</w:t>
      </w:r>
    </w:p>
  </w:footnote>
  <w:footnote w:id="22">
    <w:p w:rsidR="00266B50" w:rsidRPr="00B86A27" w:rsidRDefault="00266B50" w:rsidP="00C67F51">
      <w:pPr>
        <w:pStyle w:val="FootnoteText"/>
        <w:contextualSpacing/>
        <w:rPr>
          <w:lang w:val="en-US"/>
        </w:rPr>
      </w:pPr>
      <w:r>
        <w:rPr>
          <w:rStyle w:val="FootnoteReference"/>
        </w:rPr>
        <w:footnoteRef/>
      </w:r>
      <w:r>
        <w:t xml:space="preserve"> </w:t>
      </w:r>
      <w:r>
        <w:rPr>
          <w:lang w:val="en-US"/>
        </w:rPr>
        <w:t xml:space="preserve">It is here pertinent to note that self-reflexive modest claims “are not relativistic and, therefore, weak”, “we can make strong claims, but since these claims are limited, we have to be modest about them” (Cilliers, 2005: 260, 263).  </w:t>
      </w:r>
    </w:p>
  </w:footnote>
  <w:footnote w:id="23">
    <w:p w:rsidR="00266B50" w:rsidRDefault="00266B50" w:rsidP="00C67F51">
      <w:pPr>
        <w:pStyle w:val="FootnoteText"/>
        <w:spacing w:after="0"/>
      </w:pPr>
      <w:r>
        <w:rPr>
          <w:rStyle w:val="FootnoteReference"/>
        </w:rPr>
        <w:footnoteRef/>
      </w:r>
      <w:r>
        <w:t xml:space="preserve"> To quote Escobar, “The development discourse inevitably contained a geopolitical imagination that has shaped development for more than four decades. For some, this will to spatial power is one of the more essential features of development (Slater, 1993). It is implicit in expressions such as First and Third World, North and South, centre and periphery. The social production of space implicit in these terms is bound with the production of difference, subjectivities, and social orders.’ (1995: 9). </w:t>
      </w:r>
    </w:p>
  </w:footnote>
  <w:footnote w:id="24">
    <w:p w:rsidR="00266B50" w:rsidRDefault="00266B50" w:rsidP="00C67F51">
      <w:pPr>
        <w:pStyle w:val="FootnoteText"/>
        <w:spacing w:after="0"/>
      </w:pPr>
      <w:r>
        <w:rPr>
          <w:rStyle w:val="FootnoteReference"/>
        </w:rPr>
        <w:footnoteRef/>
      </w:r>
      <w:r>
        <w:t xml:space="preserve"> I am thankful to both Mamela Nyamza (2012) and Igshaan Adams (2012) for engaging me in these complications. </w:t>
      </w:r>
    </w:p>
  </w:footnote>
  <w:footnote w:id="25">
    <w:p w:rsidR="00266B50" w:rsidRDefault="00266B50" w:rsidP="007A28BA">
      <w:pPr>
        <w:pStyle w:val="FootnoteText"/>
        <w:spacing w:after="0"/>
      </w:pPr>
      <w:r>
        <w:rPr>
          <w:rStyle w:val="FootnoteReference"/>
        </w:rPr>
        <w:footnoteRef/>
      </w:r>
      <w:r>
        <w:t xml:space="preserve"> As Malcomess has stated, “A ‘clean’ aesthetic poses few questions to modes of representation… and hence to the reception and status quo of audiences. I propose that the reason for this displacement of the ‘dirty’ is symptomatic of a disavowal of these structural concerns and an obsession with our own ‘synthesis’, the invention of our own ‘togetherness’, so as to emerge as the fictional collective identity” (2011).    </w:t>
      </w:r>
    </w:p>
  </w:footnote>
  <w:footnote w:id="26">
    <w:p w:rsidR="00266B50" w:rsidRDefault="00266B50" w:rsidP="007A28BA">
      <w:pPr>
        <w:pStyle w:val="FootnoteText"/>
        <w:spacing w:after="0"/>
      </w:pPr>
      <w:r>
        <w:rPr>
          <w:rStyle w:val="FootnoteReference"/>
        </w:rPr>
        <w:footnoteRef/>
      </w:r>
      <w:r>
        <w:t xml:space="preserve"> See for example, the critique of Sen’s variant of ‘human development theory’ in Gaper and Truong, 2008: 20-23. This argument may also perhaps be applied to ‘alternative development discourses’ which often, I have felt, unintentionally patronise through romanticized constructions of ‘indigenous peoples’. </w:t>
      </w:r>
    </w:p>
  </w:footnote>
  <w:footnote w:id="27">
    <w:p w:rsidR="00266B50" w:rsidRDefault="00266B50" w:rsidP="0083470D">
      <w:pPr>
        <w:pStyle w:val="FootnoteText"/>
        <w:spacing w:after="0"/>
      </w:pPr>
      <w:r>
        <w:rPr>
          <w:rStyle w:val="FootnoteReference"/>
        </w:rPr>
        <w:footnoteRef/>
      </w:r>
      <w:r>
        <w:t xml:space="preserve"> Here intuition may perhaps be contrasted with experience. As Rogoff states, “‘experience’ is invoked primarily in relation to two realms. One is to do with claiming authenticity of knowledge through direct exposure and interaction rather than abstract perception, and the other is to do with a claim for authenticity. The ‘proximity’ of the </w:t>
      </w:r>
      <w:r w:rsidRPr="00AA5DB5">
        <w:rPr>
          <w:i/>
        </w:rPr>
        <w:t>real</w:t>
      </w:r>
      <w:r>
        <w:t xml:space="preserve"> implied by experience always seems to endow a claim with a direct validity, legitimacy and genuineness. That ‘experience’ has always been a mobilised term, invoked precisely in order to claim an upper hand through an illusion of direct encounter, to claim validity through some assumed genuineness, is rarely discussed” (2009: 175-176, emphasis in original). </w:t>
      </w:r>
    </w:p>
  </w:footnote>
  <w:footnote w:id="28">
    <w:p w:rsidR="00266B50" w:rsidRDefault="00266B50" w:rsidP="0083470D">
      <w:pPr>
        <w:pStyle w:val="FootnoteText"/>
        <w:spacing w:after="0"/>
      </w:pPr>
      <w:r>
        <w:rPr>
          <w:rStyle w:val="FootnoteReference"/>
        </w:rPr>
        <w:footnoteRef/>
      </w:r>
      <w:r>
        <w:t xml:space="preserve"> A perhaps interesting supplement here is the following; “The need for the figure and its foreclosure comes from the desired ‘purity’ of reason, the effort to keep philosophy clean of politics and other ‘dirty’ elements’ (Bal, 1999: 7). </w:t>
      </w:r>
    </w:p>
  </w:footnote>
  <w:footnote w:id="29">
    <w:p w:rsidR="00266B50" w:rsidRDefault="00266B50" w:rsidP="0083470D">
      <w:pPr>
        <w:pStyle w:val="FootnoteText"/>
        <w:spacing w:after="0"/>
      </w:pPr>
      <w:r>
        <w:rPr>
          <w:rStyle w:val="FootnoteReference"/>
        </w:rPr>
        <w:footnoteRef/>
      </w:r>
      <w:r>
        <w:t xml:space="preserve"> C.f. Kaufmann’s ‘Trans-representation’, in which movements are made towards the eradication of “the distinction between body and text that has the propensity to reify an artificial binary, a stratification which (re)produces the body as essential and narrative as representation” (2010:114).  </w:t>
      </w:r>
    </w:p>
  </w:footnote>
  <w:footnote w:id="30">
    <w:p w:rsidR="00266B50" w:rsidRDefault="00266B50" w:rsidP="0083470D">
      <w:pPr>
        <w:pStyle w:val="FootnoteText"/>
        <w:spacing w:after="0"/>
      </w:pPr>
      <w:r>
        <w:rPr>
          <w:rStyle w:val="FootnoteReference"/>
        </w:rPr>
        <w:footnoteRef/>
      </w:r>
      <w:r>
        <w:t xml:space="preserve"> See ‘pre-face’ for an elaboration of this notion.</w:t>
      </w:r>
    </w:p>
  </w:footnote>
  <w:footnote w:id="31">
    <w:p w:rsidR="00266B50" w:rsidRDefault="00266B50" w:rsidP="0083470D">
      <w:pPr>
        <w:pStyle w:val="FootnoteText"/>
        <w:spacing w:after="0"/>
      </w:pPr>
      <w:r>
        <w:rPr>
          <w:rStyle w:val="FootnoteReference"/>
        </w:rPr>
        <w:footnoteRef/>
      </w:r>
      <w:r>
        <w:t xml:space="preserve"> Again, see ‘pre-face’ for an elaboration.</w:t>
      </w:r>
    </w:p>
  </w:footnote>
  <w:footnote w:id="32">
    <w:p w:rsidR="00266B50" w:rsidRDefault="00266B50" w:rsidP="0083470D">
      <w:pPr>
        <w:pStyle w:val="FootnoteText"/>
        <w:spacing w:after="0"/>
      </w:pPr>
      <w:r>
        <w:rPr>
          <w:rStyle w:val="FootnoteReference"/>
        </w:rPr>
        <w:footnoteRef/>
      </w:r>
      <w:r>
        <w:t xml:space="preserve"> Bal makes a similar observation in relation to </w:t>
      </w:r>
      <w:r w:rsidRPr="00486186">
        <w:rPr>
          <w:i/>
        </w:rPr>
        <w:t>looking</w:t>
      </w:r>
      <w:r>
        <w:t xml:space="preserve"> (here a supplement for </w:t>
      </w:r>
      <w:r w:rsidRPr="00486186">
        <w:rPr>
          <w:i/>
        </w:rPr>
        <w:t>reading</w:t>
      </w:r>
      <w:r>
        <w:t>); “looking is a subjective activity which is not determined but at most solicited by the object of perception, an activity that depends on the subject’s ability to ‘embedd’- not absorb- the image within other images housed within the self” (1997: 61)</w:t>
      </w:r>
    </w:p>
  </w:footnote>
  <w:footnote w:id="33">
    <w:p w:rsidR="00266B50" w:rsidRDefault="00266B50" w:rsidP="0083470D">
      <w:pPr>
        <w:pStyle w:val="FootnoteText"/>
        <w:spacing w:after="0"/>
      </w:pPr>
      <w:r>
        <w:rPr>
          <w:rStyle w:val="FootnoteReference"/>
        </w:rPr>
        <w:footnoteRef/>
      </w:r>
      <w:r>
        <w:t xml:space="preserve"> To quote, “Perhaps defining narrative on the basis of experientiality alone is a weak move; perhaps limiting the experientiality of narratives to the experiences that are semiotically represented in them is problematic. What can we do with experientiality then?” (2012: 181). </w:t>
      </w:r>
    </w:p>
  </w:footnote>
  <w:footnote w:id="34">
    <w:p w:rsidR="00266B50" w:rsidRDefault="00266B50" w:rsidP="0083470D">
      <w:pPr>
        <w:pStyle w:val="FootnoteText"/>
        <w:spacing w:after="0"/>
      </w:pPr>
      <w:r>
        <w:rPr>
          <w:rStyle w:val="FootnoteReference"/>
        </w:rPr>
        <w:footnoteRef/>
      </w:r>
      <w:r>
        <w:t xml:space="preserve"> I am indebted to James Webb for a lengthy discussion in which the importance of ‘reading’ was pointed out. Webb refers to the audience who interacts with his works as ‘readers’ (2012).</w:t>
      </w:r>
    </w:p>
  </w:footnote>
  <w:footnote w:id="35">
    <w:p w:rsidR="00266B50" w:rsidRDefault="00266B50" w:rsidP="0083470D">
      <w:pPr>
        <w:pStyle w:val="FootnoteText"/>
        <w:spacing w:after="0"/>
      </w:pPr>
      <w:r>
        <w:rPr>
          <w:rStyle w:val="FootnoteReference"/>
        </w:rPr>
        <w:footnoteRef/>
      </w:r>
      <w:r>
        <w:t xml:space="preserve"> I am also thankful to James Webb for highlighting the importance of experientiality, for shifting the boundaries between the living and the dead (2012). </w:t>
      </w:r>
    </w:p>
  </w:footnote>
  <w:footnote w:id="36">
    <w:p w:rsidR="00266B50" w:rsidRDefault="00266B50" w:rsidP="0083470D">
      <w:pPr>
        <w:pStyle w:val="FootnoteText"/>
        <w:spacing w:after="0"/>
      </w:pPr>
      <w:r>
        <w:rPr>
          <w:rStyle w:val="FootnoteReference"/>
        </w:rPr>
        <w:footnoteRef/>
      </w:r>
      <w:r>
        <w:t xml:space="preserve"> If we give any credence to the affinity between </w:t>
      </w:r>
      <w:r w:rsidRPr="00BE71CC">
        <w:rPr>
          <w:i/>
        </w:rPr>
        <w:t>reading</w:t>
      </w:r>
      <w:r>
        <w:t xml:space="preserve"> and </w:t>
      </w:r>
      <w:r w:rsidRPr="00BE71CC">
        <w:rPr>
          <w:i/>
        </w:rPr>
        <w:t>looking</w:t>
      </w:r>
      <w:r>
        <w:t xml:space="preserve">, the following is also relevant here; “because seeing is an act of interpreting, interpretation can influence ways of seeing, hence, of imagining possibilities of change” (Bal, 2003: 21). </w:t>
      </w:r>
    </w:p>
  </w:footnote>
  <w:footnote w:id="37">
    <w:p w:rsidR="00266B50" w:rsidRDefault="00266B50" w:rsidP="0083470D">
      <w:pPr>
        <w:pStyle w:val="FootnoteText"/>
        <w:spacing w:after="0"/>
      </w:pPr>
      <w:r>
        <w:rPr>
          <w:rStyle w:val="FootnoteReference"/>
        </w:rPr>
        <w:footnoteRef/>
      </w:r>
      <w:r>
        <w:t xml:space="preserve"> It is my intuition that the potentiality for this situation is also provided by an encounter with ‘art objects’.</w:t>
      </w:r>
    </w:p>
  </w:footnote>
  <w:footnote w:id="38">
    <w:p w:rsidR="00266B50" w:rsidRDefault="00266B50" w:rsidP="0083470D">
      <w:pPr>
        <w:pStyle w:val="FootnoteText"/>
        <w:spacing w:after="0"/>
      </w:pPr>
      <w:r>
        <w:rPr>
          <w:rStyle w:val="FootnoteReference"/>
        </w:rPr>
        <w:footnoteRef/>
      </w:r>
      <w:r>
        <w:t xml:space="preserve"> I am thankful to Igshaan Adams (2012) for movements beyond this. </w:t>
      </w:r>
    </w:p>
  </w:footnote>
  <w:footnote w:id="39">
    <w:p w:rsidR="00266B50" w:rsidRDefault="00266B50" w:rsidP="0083470D">
      <w:pPr>
        <w:pStyle w:val="FootnoteText"/>
        <w:spacing w:after="0"/>
      </w:pPr>
      <w:r>
        <w:rPr>
          <w:rStyle w:val="FootnoteReference"/>
        </w:rPr>
        <w:footnoteRef/>
      </w:r>
      <w:r>
        <w:t xml:space="preserve"> This may be supplemented by Bal’s observation that, “looking, as an act is already invested in what has since been called </w:t>
      </w:r>
      <w:r w:rsidRPr="00684F52">
        <w:rPr>
          <w:i/>
        </w:rPr>
        <w:t>reading</w:t>
      </w:r>
      <w:r>
        <w:t xml:space="preserve">… any attempt to separate perception and its senses from sensuality in invested in preserving the tenacious ideology of the mind-body split” (2003: 13, emphasis in original). </w:t>
      </w:r>
    </w:p>
  </w:footnote>
  <w:footnote w:id="40">
    <w:p w:rsidR="00266B50" w:rsidRDefault="00266B50" w:rsidP="0083470D">
      <w:pPr>
        <w:pStyle w:val="FootnoteText"/>
        <w:spacing w:after="0"/>
      </w:pPr>
      <w:r>
        <w:rPr>
          <w:rStyle w:val="FootnoteReference"/>
        </w:rPr>
        <w:footnoteRef/>
      </w:r>
      <w:r>
        <w:t xml:space="preserve"> As Bal quotes Hooper-Greenhill, “objects are interpreted through a ‘reading’, using the gaze which is combined with a broader sensory experience involving tacit knowledge and embodied responses. Both cognitive and emotive responses may result, some of which may remain unspoken” (Hooper-Greenhill in Bal, 2003: 25). </w:t>
      </w:r>
    </w:p>
  </w:footnote>
  <w:footnote w:id="41">
    <w:p w:rsidR="00266B50" w:rsidRDefault="00266B50" w:rsidP="0083470D">
      <w:pPr>
        <w:pStyle w:val="FootnoteText"/>
        <w:spacing w:after="0"/>
      </w:pPr>
      <w:r>
        <w:rPr>
          <w:rStyle w:val="FootnoteReference"/>
        </w:rPr>
        <w:footnoteRef/>
      </w:r>
      <w:r>
        <w:t xml:space="preserve"> To again quote Bal, “instead of visuality as defining the property of the traditional object, it is the practices of looking invested in any object that constitutes the object domain… it is the possibility of performing acts of seeing, not the materiality of the object seen, that decides whether an </w:t>
      </w:r>
      <w:r w:rsidRPr="008C1CA9">
        <w:t>artefact can be considered from the perspective of visual cultural studies. Even ‘purely’ linguistic objects such as literary texts can</w:t>
      </w:r>
      <w:r>
        <w:t xml:space="preserve"> be analysed meaningfully and productively in this way </w:t>
      </w:r>
      <w:r w:rsidRPr="004319F1">
        <w:rPr>
          <w:i/>
        </w:rPr>
        <w:t>qua</w:t>
      </w:r>
      <w:r>
        <w:t xml:space="preserve"> visuality’ (2003:11, emphasis in original). </w:t>
      </w:r>
    </w:p>
  </w:footnote>
  <w:footnote w:id="42">
    <w:p w:rsidR="00266B50" w:rsidRDefault="00266B50" w:rsidP="0083470D">
      <w:pPr>
        <w:pStyle w:val="FootnoteText"/>
        <w:spacing w:after="0"/>
      </w:pPr>
      <w:r>
        <w:rPr>
          <w:rStyle w:val="FootnoteReference"/>
        </w:rPr>
        <w:footnoteRef/>
      </w:r>
      <w:r>
        <w:t xml:space="preserve"> While perhaps just touched upon here, the productive nature of these relationships will be expounded upon throughout this RP.</w:t>
      </w:r>
    </w:p>
  </w:footnote>
  <w:footnote w:id="43">
    <w:p w:rsidR="00266B50" w:rsidRDefault="00266B50" w:rsidP="0083470D">
      <w:pPr>
        <w:pStyle w:val="FootnoteText"/>
        <w:spacing w:after="0"/>
      </w:pPr>
      <w:r>
        <w:rPr>
          <w:rStyle w:val="FootnoteReference"/>
        </w:rPr>
        <w:footnoteRef/>
      </w:r>
      <w:r>
        <w:t xml:space="preserve"> As David Keen points out; “academics are constrained by what they like to call their ‘disciplines’, a terms that would appear more appropriate for a military institution… A ‘discipline’ prescribes a set of questions that one I ssupposed to ask; at the same time (thought this is less often noted) it implicitly prescribes a set of questions that one is not supposed to ask” (1999: 97).  </w:t>
      </w:r>
    </w:p>
  </w:footnote>
  <w:footnote w:id="44">
    <w:p w:rsidR="00266B50" w:rsidRDefault="00266B50" w:rsidP="0083470D">
      <w:pPr>
        <w:pStyle w:val="FootnoteText"/>
        <w:spacing w:after="0"/>
      </w:pPr>
      <w:r>
        <w:rPr>
          <w:rStyle w:val="FootnoteReference"/>
        </w:rPr>
        <w:footnoteRef/>
      </w:r>
      <w:r>
        <w:t xml:space="preserve"> Regarding the ambiguity of the word ‘object’ itself, and drawing from the work of Hooper-Greenhill, Bal writes, “According to the Chambers Dictionary (1996), an object is a material thing, but also an aim or purpose, a person or thing to which action, feelings or thoughts are directed: thing, intention and target (Hooper-Greenhill, 2000:104). The conflation of the thing with aim… casts the shadow of intention of the subject over the object. In this guise, the ambiguity of the word ‘object’ harks back to the goals of 19</w:t>
      </w:r>
      <w:r w:rsidRPr="00F71DD8">
        <w:rPr>
          <w:vertAlign w:val="superscript"/>
        </w:rPr>
        <w:t>th</w:t>
      </w:r>
      <w:r>
        <w:t xml:space="preserve">-century object-teaching and its roots in pedagogical positivism.” (2003: 8). </w:t>
      </w:r>
    </w:p>
  </w:footnote>
  <w:footnote w:id="45">
    <w:p w:rsidR="00266B50" w:rsidRDefault="00266B50" w:rsidP="0083470D">
      <w:pPr>
        <w:pStyle w:val="FootnoteText"/>
        <w:spacing w:after="0"/>
      </w:pPr>
      <w:r>
        <w:rPr>
          <w:rStyle w:val="FootnoteReference"/>
        </w:rPr>
        <w:footnoteRef/>
      </w:r>
      <w:r>
        <w:t xml:space="preserve"> I am grateful to Renee Holleman who ‘gave me’ Ranci</w:t>
      </w:r>
      <w:r>
        <w:rPr>
          <w:rFonts w:cstheme="minorHAnsi"/>
        </w:rPr>
        <w:t>è</w:t>
      </w:r>
      <w:r>
        <w:t>re (2012).</w:t>
      </w:r>
    </w:p>
  </w:footnote>
  <w:footnote w:id="46">
    <w:p w:rsidR="00266B50" w:rsidRDefault="00266B50" w:rsidP="0083470D">
      <w:pPr>
        <w:pStyle w:val="FootnoteText"/>
        <w:spacing w:after="0"/>
      </w:pPr>
      <w:r>
        <w:rPr>
          <w:rStyle w:val="FootnoteReference"/>
        </w:rPr>
        <w:footnoteRef/>
      </w:r>
      <w:r>
        <w:t xml:space="preserve"> I am indebted to Renee Holleman for engaging me in these subtleties (2012).</w:t>
      </w:r>
    </w:p>
  </w:footnote>
  <w:footnote w:id="47">
    <w:p w:rsidR="00266B50" w:rsidRDefault="00266B50" w:rsidP="0083470D">
      <w:pPr>
        <w:pStyle w:val="FootnoteText"/>
        <w:spacing w:after="0"/>
      </w:pPr>
      <w:r>
        <w:rPr>
          <w:rStyle w:val="FootnoteReference"/>
        </w:rPr>
        <w:footnoteRef/>
      </w:r>
      <w:r>
        <w:t xml:space="preserve"> “Ah! What an age it is</w:t>
      </w:r>
      <w:r>
        <w:br/>
        <w:t xml:space="preserve">when to speak of trees is almost a crime </w:t>
      </w:r>
    </w:p>
    <w:p w:rsidR="00266B50" w:rsidRDefault="00266B50" w:rsidP="0083470D">
      <w:pPr>
        <w:pStyle w:val="FootnoteText"/>
        <w:spacing w:after="0"/>
      </w:pPr>
      <w:r>
        <w:t xml:space="preserve">For it is a kind of silence about injustice!” (Bertolt Brecht in Dubow, 1990: 38). </w:t>
      </w:r>
    </w:p>
  </w:footnote>
  <w:footnote w:id="48">
    <w:p w:rsidR="00266B50" w:rsidRDefault="00266B50" w:rsidP="0083470D">
      <w:pPr>
        <w:pStyle w:val="FootnoteText"/>
        <w:spacing w:after="0"/>
      </w:pPr>
      <w:r>
        <w:rPr>
          <w:rStyle w:val="FootnoteReference"/>
        </w:rPr>
        <w:footnoteRef/>
      </w:r>
      <w:r>
        <w:t xml:space="preserve"> I am indebted to Francis Burger for ‘giving me’ Higgie (2012). I am also thankful to Clare Butcher (2012) and James Webb (2012) for different conversations regarding ‘how confusion can be creative’.  </w:t>
      </w:r>
    </w:p>
  </w:footnote>
  <w:footnote w:id="49">
    <w:p w:rsidR="00266B50" w:rsidRDefault="00266B50" w:rsidP="0083470D">
      <w:pPr>
        <w:pStyle w:val="FootnoteText"/>
        <w:spacing w:after="0"/>
      </w:pPr>
      <w:r>
        <w:rPr>
          <w:rStyle w:val="FootnoteReference"/>
        </w:rPr>
        <w:footnoteRef/>
      </w:r>
      <w:r>
        <w:t xml:space="preserve"> I am grateful to Renee Holleman for engaging me in these intricacies (2012).</w:t>
      </w:r>
    </w:p>
  </w:footnote>
  <w:footnote w:id="50">
    <w:p w:rsidR="00266B50" w:rsidRDefault="00266B50" w:rsidP="0083470D">
      <w:pPr>
        <w:pStyle w:val="FootnoteText"/>
        <w:spacing w:after="0"/>
      </w:pPr>
      <w:r>
        <w:rPr>
          <w:rStyle w:val="FootnoteReference"/>
        </w:rPr>
        <w:footnoteRef/>
      </w:r>
      <w:r>
        <w:t xml:space="preserve"> I am thankful to Clare Butcher for engagement regarding the importance of the consideration of this aspect in curatorial practices (2012).</w:t>
      </w:r>
    </w:p>
  </w:footnote>
  <w:footnote w:id="51">
    <w:p w:rsidR="00266B50" w:rsidRDefault="00266B50" w:rsidP="0083470D">
      <w:pPr>
        <w:pStyle w:val="FootnoteText"/>
        <w:spacing w:after="0"/>
      </w:pPr>
      <w:r>
        <w:rPr>
          <w:rStyle w:val="FootnoteReference"/>
        </w:rPr>
        <w:footnoteRef/>
      </w:r>
      <w:r>
        <w:t xml:space="preserve"> Cf. Bakhtin’s ‘grotesque </w:t>
      </w:r>
      <w:r w:rsidRPr="00AB2B20">
        <w:t xml:space="preserve">symposium’ in ‘about-face’. </w:t>
      </w:r>
    </w:p>
  </w:footnote>
  <w:footnote w:id="52">
    <w:p w:rsidR="00266B50" w:rsidRDefault="00266B50" w:rsidP="0083470D">
      <w:pPr>
        <w:pStyle w:val="FootnoteText"/>
        <w:spacing w:after="0"/>
      </w:pPr>
      <w:r>
        <w:rPr>
          <w:rStyle w:val="FootnoteReference"/>
        </w:rPr>
        <w:footnoteRef/>
      </w:r>
      <w:r>
        <w:t xml:space="preserve"> I am thankful to Renee Holleman (2012) for struggling through these and similar constraints with me. </w:t>
      </w:r>
    </w:p>
  </w:footnote>
  <w:footnote w:id="53">
    <w:p w:rsidR="00266B50" w:rsidRDefault="00266B50" w:rsidP="001A7E4F">
      <w:pPr>
        <w:pStyle w:val="FootnoteText"/>
      </w:pPr>
      <w:r>
        <w:rPr>
          <w:rStyle w:val="FootnoteReference"/>
        </w:rPr>
        <w:footnoteRef/>
      </w:r>
      <w:r>
        <w:t xml:space="preserve"> I am indebted to Clare Butcher for a similar observation regarding contemporary South African curatorial practice (2012).</w:t>
      </w:r>
    </w:p>
  </w:footnote>
  <w:footnote w:id="54">
    <w:p w:rsidR="00266B50" w:rsidRDefault="00266B50" w:rsidP="0083470D">
      <w:pPr>
        <w:pStyle w:val="FootnoteText"/>
        <w:spacing w:after="0"/>
      </w:pPr>
      <w:r>
        <w:rPr>
          <w:rStyle w:val="FootnoteReference"/>
        </w:rPr>
        <w:footnoteRef/>
      </w:r>
      <w:r>
        <w:t xml:space="preserve"> Although this, it must be said, is not always a clearly definable ‘discipline’. I am thankful to Josh Ginsburg (2012), Francis Burger (2012), Mamela Nyamza (2012) and James Webb (2012) for, in their own ways, critically complicating this for me.  </w:t>
      </w:r>
    </w:p>
  </w:footnote>
  <w:footnote w:id="55">
    <w:p w:rsidR="00266B50" w:rsidRDefault="00266B50" w:rsidP="0083470D">
      <w:pPr>
        <w:pStyle w:val="FootnoteText"/>
        <w:spacing w:after="0"/>
      </w:pPr>
      <w:r>
        <w:rPr>
          <w:rStyle w:val="FootnoteReference"/>
        </w:rPr>
        <w:footnoteRef/>
      </w:r>
      <w:r>
        <w:t xml:space="preserve"> Smith notes that there has more recently been a smaller wave of similar ‘survey exhibitions’ to mark the ‘decade of democracy’ (2011: 135).  </w:t>
      </w:r>
    </w:p>
  </w:footnote>
  <w:footnote w:id="56">
    <w:p w:rsidR="00266B50" w:rsidRDefault="00266B50" w:rsidP="0083470D">
      <w:pPr>
        <w:pStyle w:val="FootnoteText"/>
        <w:spacing w:after="0"/>
      </w:pPr>
      <w:r>
        <w:rPr>
          <w:rStyle w:val="FootnoteReference"/>
        </w:rPr>
        <w:footnoteRef/>
      </w:r>
      <w:r>
        <w:t xml:space="preserve"> Meaning ‘Let us build together’.</w:t>
      </w:r>
    </w:p>
  </w:footnote>
  <w:footnote w:id="57">
    <w:p w:rsidR="00266B50" w:rsidRDefault="00266B50" w:rsidP="0083470D">
      <w:pPr>
        <w:pStyle w:val="FootnoteText"/>
        <w:spacing w:after="0"/>
      </w:pPr>
      <w:r>
        <w:rPr>
          <w:rStyle w:val="FootnoteReference"/>
        </w:rPr>
        <w:footnoteRef/>
      </w:r>
      <w:r>
        <w:t xml:space="preserve"> A prominent </w:t>
      </w:r>
      <w:r w:rsidRPr="00AB2B20">
        <w:t xml:space="preserve">South African </w:t>
      </w:r>
      <w:r>
        <w:t>advertising company.</w:t>
      </w:r>
    </w:p>
  </w:footnote>
  <w:footnote w:id="58">
    <w:p w:rsidR="00266B50" w:rsidRDefault="00266B50" w:rsidP="0083470D">
      <w:pPr>
        <w:pStyle w:val="FootnoteText"/>
        <w:spacing w:after="0"/>
      </w:pPr>
      <w:r>
        <w:rPr>
          <w:rStyle w:val="FootnoteReference"/>
        </w:rPr>
        <w:footnoteRef/>
      </w:r>
      <w:r>
        <w:t xml:space="preserve"> I am thankful to Clare Butcher (2012) for critically complicating this for me with regards to curatorial practice and for highlighting the always inevitable seeping of surplus meaning.</w:t>
      </w:r>
    </w:p>
  </w:footnote>
  <w:footnote w:id="59">
    <w:p w:rsidR="00266B50" w:rsidRDefault="00266B50" w:rsidP="0083470D">
      <w:pPr>
        <w:pStyle w:val="FootnoteText"/>
        <w:spacing w:after="0"/>
      </w:pPr>
      <w:r>
        <w:rPr>
          <w:rStyle w:val="FootnoteReference"/>
        </w:rPr>
        <w:footnoteRef/>
      </w:r>
      <w:r>
        <w:t xml:space="preserve"> Cf. Burnett’s assertion that aesthetics “would best be understood in opposition to something we all understand, an experience we can easily identify: anaesthesia” (1999: 83). </w:t>
      </w:r>
    </w:p>
  </w:footnote>
  <w:footnote w:id="60">
    <w:p w:rsidR="00266B50" w:rsidRDefault="00266B50" w:rsidP="0083470D">
      <w:pPr>
        <w:pStyle w:val="FootnoteText"/>
        <w:spacing w:after="0"/>
      </w:pPr>
      <w:r>
        <w:rPr>
          <w:rStyle w:val="FootnoteReference"/>
        </w:rPr>
        <w:footnoteRef/>
      </w:r>
      <w:r>
        <w:t xml:space="preserve"> I am thankful to Renee Holleman (2012) for moving me through this. </w:t>
      </w:r>
    </w:p>
  </w:footnote>
  <w:footnote w:id="61">
    <w:p w:rsidR="00266B50" w:rsidRDefault="00266B50" w:rsidP="0083470D">
      <w:pPr>
        <w:pStyle w:val="FootnoteText"/>
        <w:spacing w:after="0"/>
      </w:pPr>
      <w:r>
        <w:rPr>
          <w:rStyle w:val="FootnoteReference"/>
        </w:rPr>
        <w:footnoteRef/>
      </w:r>
      <w:r>
        <w:t xml:space="preserve"> Thank you to Francis Burger (2012) for all of the mess! And, also, thanks to Clare Butcher (2012) for the generative quality of this.  </w:t>
      </w:r>
    </w:p>
  </w:footnote>
  <w:footnote w:id="62">
    <w:p w:rsidR="00266B50" w:rsidRDefault="00266B50" w:rsidP="001A7E4F">
      <w:pPr>
        <w:pStyle w:val="FootnoteText"/>
      </w:pPr>
      <w:r>
        <w:rPr>
          <w:rStyle w:val="FootnoteReference"/>
        </w:rPr>
        <w:footnoteRef/>
      </w:r>
      <w:r>
        <w:t xml:space="preserve"> I am indebted to Josh Ginsburg (2012) for moving me through a rigorous experimentation in interesting ways to ‘think through the visual’. </w:t>
      </w:r>
    </w:p>
  </w:footnote>
  <w:footnote w:id="63">
    <w:p w:rsidR="00266B50" w:rsidRDefault="00266B50" w:rsidP="0083470D">
      <w:pPr>
        <w:pStyle w:val="FootnoteText"/>
        <w:spacing w:after="0"/>
      </w:pPr>
      <w:r w:rsidRPr="00AF18B0">
        <w:rPr>
          <w:rStyle w:val="FootnoteReference"/>
        </w:rPr>
        <w:footnoteRef/>
      </w:r>
      <w:r w:rsidRPr="00AF18B0">
        <w:t xml:space="preserve"> I am thankful to Francis Burger (2012) and to Josh Ginsberg (2012) for an awareness of the work of Paul Cilliers and specifically to critical complexity through his publication, </w:t>
      </w:r>
      <w:r w:rsidRPr="00AF18B0">
        <w:rPr>
          <w:i/>
        </w:rPr>
        <w:t xml:space="preserve">Complexity and Postmodernism; Understanding Complex Systems </w:t>
      </w:r>
      <w:r w:rsidRPr="00AF18B0">
        <w:t xml:space="preserve">(1998). </w:t>
      </w:r>
    </w:p>
  </w:footnote>
  <w:footnote w:id="64">
    <w:p w:rsidR="00266B50" w:rsidRDefault="00266B50" w:rsidP="0083470D">
      <w:pPr>
        <w:pStyle w:val="FootnoteText"/>
        <w:spacing w:after="0"/>
      </w:pPr>
      <w:r>
        <w:rPr>
          <w:rStyle w:val="FootnoteReference"/>
        </w:rPr>
        <w:footnoteRef/>
      </w:r>
      <w:r>
        <w:t xml:space="preserve"> To supplement with mathematical theory; while the standard conception of infinity according to classical finitism asserts that infinity is only potential, not actual, set theory provides an account “not of a potential but of an actual infinity. Infinity or, better, infinities are actually there, all at once” (Gibson, 2006: 8). It is, at the very least, interesting to note that the concept of actual infinity is the cornerstone of Badiou’s thought- Badiou surfaced at the bottom of ‘about-face.’ For more on set theory, see Gibson, 2006: 6- 16. </w:t>
      </w:r>
    </w:p>
  </w:footnote>
  <w:footnote w:id="65">
    <w:p w:rsidR="00266B50" w:rsidRDefault="00266B50" w:rsidP="0083470D">
      <w:pPr>
        <w:pStyle w:val="FootnoteText"/>
        <w:spacing w:after="0"/>
      </w:pPr>
      <w:r>
        <w:rPr>
          <w:rStyle w:val="FootnoteReference"/>
        </w:rPr>
        <w:footnoteRef/>
      </w:r>
      <w:r>
        <w:t xml:space="preserve"> For an elaboration of social systems as complex systems, see Cilliers, 1998: 119- 123.</w:t>
      </w:r>
    </w:p>
  </w:footnote>
  <w:footnote w:id="66">
    <w:p w:rsidR="00266B50" w:rsidRDefault="00266B50" w:rsidP="0083470D">
      <w:pPr>
        <w:pStyle w:val="FootnoteText"/>
        <w:spacing w:after="0"/>
      </w:pPr>
      <w:r>
        <w:rPr>
          <w:rStyle w:val="FootnoteReference"/>
        </w:rPr>
        <w:footnoteRef/>
      </w:r>
      <w:r>
        <w:t xml:space="preserve"> To again ground this in the social system, Cilliers states that “the social system is non-linear and assymetrical as well. The same piece of information has different effects on different individuals, and small causes can have large effects. The competitive nature of social systems is often regulated by systems of power, ensuring an asymmetrical system of relationships. This, it must be emphasised strongly, is not an argument in favour of relations of domination or exploitation. The argument is merely one for the acknowledgement of complexity” (1998: 120). </w:t>
      </w:r>
    </w:p>
  </w:footnote>
  <w:footnote w:id="67">
    <w:p w:rsidR="00266B50" w:rsidRDefault="00266B50" w:rsidP="0083470D">
      <w:pPr>
        <w:pStyle w:val="FootnoteText"/>
        <w:spacing w:after="0"/>
      </w:pPr>
      <w:r>
        <w:rPr>
          <w:rStyle w:val="FootnoteReference"/>
        </w:rPr>
        <w:footnoteRef/>
      </w:r>
      <w:r>
        <w:t xml:space="preserve"> I am thankful to Josh Ginsburg (2012) for flaring the network for me.</w:t>
      </w:r>
    </w:p>
  </w:footnote>
  <w:footnote w:id="68">
    <w:p w:rsidR="00266B50" w:rsidRDefault="00266B50" w:rsidP="0083470D">
      <w:pPr>
        <w:pStyle w:val="FootnoteText"/>
        <w:spacing w:after="0"/>
      </w:pPr>
      <w:r>
        <w:rPr>
          <w:rStyle w:val="FootnoteReference"/>
        </w:rPr>
        <w:footnoteRef/>
      </w:r>
      <w:r>
        <w:t xml:space="preserve"> In Badiou’s terms, this could be described as the tendency for ethics to progressively show itself “to be incapable of preventing its own betrayal” (Gibson, 2006: 91). </w:t>
      </w:r>
    </w:p>
  </w:footnote>
  <w:footnote w:id="69">
    <w:p w:rsidR="00266B50" w:rsidRDefault="00266B50" w:rsidP="0083470D">
      <w:pPr>
        <w:pStyle w:val="FootnoteText"/>
        <w:spacing w:after="0"/>
      </w:pPr>
      <w:r>
        <w:rPr>
          <w:rStyle w:val="FootnoteReference"/>
        </w:rPr>
        <w:footnoteRef/>
      </w:r>
      <w:r>
        <w:t xml:space="preserve"> Thank you to Josh Ginsburg (2012) for moving me through graphs in which accident and chance intervened in atrophy. </w:t>
      </w:r>
    </w:p>
  </w:footnote>
  <w:footnote w:id="70">
    <w:p w:rsidR="00266B50" w:rsidRDefault="00266B50" w:rsidP="0083470D">
      <w:pPr>
        <w:pStyle w:val="FootnoteText"/>
        <w:spacing w:after="0"/>
      </w:pPr>
      <w:r>
        <w:rPr>
          <w:rStyle w:val="FootnoteReference"/>
        </w:rPr>
        <w:footnoteRef/>
      </w:r>
      <w:r>
        <w:t xml:space="preserve"> Hermanus makes explicit; “Ethics is necessary in a complex world in which matters cannot be simplified to calculable problems without drawing normative elements into the process of both identifying the problem and deciding which way to go from there” (2010” 117).</w:t>
      </w:r>
    </w:p>
  </w:footnote>
  <w:footnote w:id="71">
    <w:p w:rsidR="00266B50" w:rsidRDefault="00266B50" w:rsidP="0083470D">
      <w:pPr>
        <w:pStyle w:val="FootnoteText"/>
        <w:spacing w:after="0"/>
      </w:pPr>
      <w:r>
        <w:rPr>
          <w:rStyle w:val="FootnoteReference"/>
        </w:rPr>
        <w:footnoteRef/>
      </w:r>
      <w:r>
        <w:t xml:space="preserve"> What Derrida and Roudinesco might refer to as “a general ethics of vigilance” (2004: 28). </w:t>
      </w:r>
    </w:p>
  </w:footnote>
  <w:footnote w:id="72">
    <w:p w:rsidR="00266B50" w:rsidRDefault="00266B50" w:rsidP="0083470D">
      <w:pPr>
        <w:pStyle w:val="FootnoteText"/>
        <w:spacing w:after="0"/>
      </w:pPr>
      <w:r>
        <w:rPr>
          <w:rStyle w:val="FootnoteReference"/>
        </w:rPr>
        <w:footnoteRef/>
      </w:r>
      <w:r>
        <w:t xml:space="preserve"> As has been previously been pointed through, for example, the thought of Ranci</w:t>
      </w:r>
      <w:r>
        <w:rPr>
          <w:rFonts w:cstheme="minorHAnsi"/>
        </w:rPr>
        <w:t>é</w:t>
      </w:r>
      <w:r>
        <w:t>re for whom I thank Renee Holleman (2012). Previously, this was distinguished from a ‘politics of aesthetics’.</w:t>
      </w:r>
    </w:p>
  </w:footnote>
  <w:footnote w:id="73">
    <w:p w:rsidR="00266B50" w:rsidRDefault="00266B50" w:rsidP="0083470D">
      <w:pPr>
        <w:pStyle w:val="FootnoteText"/>
        <w:spacing w:after="0"/>
      </w:pPr>
      <w:r>
        <w:rPr>
          <w:rStyle w:val="FootnoteReference"/>
        </w:rPr>
        <w:footnoteRef/>
      </w:r>
      <w:r>
        <w:t xml:space="preserve"> The term ‘level’ does not here necessarily imply a discreet, separate, or bounded realm, as is often the implication in the general usage of this term, rather, it is employed in this exploration as a strategy in order to make the complexity of violence comprehensible. </w:t>
      </w:r>
    </w:p>
  </w:footnote>
  <w:footnote w:id="74">
    <w:p w:rsidR="00266B50" w:rsidRDefault="00266B50" w:rsidP="0083470D">
      <w:pPr>
        <w:pStyle w:val="FootnoteText"/>
        <w:spacing w:after="0"/>
      </w:pPr>
      <w:r>
        <w:rPr>
          <w:rStyle w:val="FootnoteReference"/>
        </w:rPr>
        <w:footnoteRef/>
      </w:r>
      <w:r>
        <w:t xml:space="preserve"> ‘Framework’ is not, by any means, a neutral term or action within this exploration, however, problemat</w:t>
      </w:r>
      <w:r w:rsidRPr="00EC1A63">
        <w:t>i</w:t>
      </w:r>
      <w:r>
        <w:t>s</w:t>
      </w:r>
      <w:r w:rsidRPr="00EC1A63">
        <w:t>i</w:t>
      </w:r>
      <w:r>
        <w:t xml:space="preserve">ng this, Hermanus’ framework of violence can be approached through acknowledgement of this articulation as constructed through an ethical activation of her critically informed ability to choose.  </w:t>
      </w:r>
    </w:p>
  </w:footnote>
  <w:footnote w:id="75">
    <w:p w:rsidR="00266B50" w:rsidRDefault="00266B50" w:rsidP="0083470D">
      <w:pPr>
        <w:pStyle w:val="FootnoteText"/>
        <w:spacing w:after="0"/>
      </w:pPr>
      <w:r>
        <w:rPr>
          <w:rStyle w:val="FootnoteReference"/>
        </w:rPr>
        <w:footnoteRef/>
      </w:r>
      <w:r>
        <w:t xml:space="preserve"> Derrida refers to violence as a ‘distributed force’ (2002: 235). </w:t>
      </w:r>
    </w:p>
  </w:footnote>
  <w:footnote w:id="76">
    <w:p w:rsidR="00266B50" w:rsidRDefault="00266B50" w:rsidP="0083470D">
      <w:pPr>
        <w:pStyle w:val="FootnoteText"/>
        <w:spacing w:after="0"/>
      </w:pPr>
      <w:r>
        <w:rPr>
          <w:rStyle w:val="FootnoteReference"/>
        </w:rPr>
        <w:footnoteRef/>
      </w:r>
      <w:r>
        <w:t xml:space="preserve"> It is here pertinent to note that Hermanus brings in Arendt’s analysis of violence in ‘On Violence’ (1970) as a challenge to this system (in which violence is generalised and distributed). To quote this point at </w:t>
      </w:r>
      <w:r w:rsidRPr="00EC1A63">
        <w:t>length</w:t>
      </w:r>
      <w:r>
        <w:t xml:space="preserve">, “this was done deliberately as she writes with a clear separation of violence and nonviolence in which the former is rejected outright as a viable and lasting solution to political problems… the advantage of Arendt’s conceptualisation of violence is that it makes the identification of violent and nonviolent means and ends simple, or at least simple to identify if not achieve. .. this view was itself shown to be problematic and in fact potentially implicated in the concealment of violence in the system” (2010: 118).  </w:t>
      </w:r>
    </w:p>
  </w:footnote>
  <w:footnote w:id="77">
    <w:p w:rsidR="00266B50" w:rsidRDefault="00266B50" w:rsidP="0083470D">
      <w:pPr>
        <w:pStyle w:val="FootnoteText"/>
        <w:spacing w:after="0"/>
      </w:pPr>
      <w:r>
        <w:rPr>
          <w:rStyle w:val="FootnoteReference"/>
        </w:rPr>
        <w:footnoteRef/>
      </w:r>
      <w:r>
        <w:t xml:space="preserve"> Here I am thankful for the metaphor of seemingly fragile pollen, which Igshaan Adams pointed to as being, in actuality, extremely durable (2012).  </w:t>
      </w:r>
    </w:p>
  </w:footnote>
  <w:footnote w:id="78">
    <w:p w:rsidR="00266B50" w:rsidRDefault="00266B50" w:rsidP="0083470D">
      <w:pPr>
        <w:pStyle w:val="FootnoteText"/>
        <w:spacing w:after="0"/>
      </w:pPr>
      <w:r>
        <w:rPr>
          <w:rStyle w:val="FootnoteReference"/>
        </w:rPr>
        <w:footnoteRef/>
      </w:r>
      <w:r>
        <w:t xml:space="preserve"> </w:t>
      </w:r>
      <w:r w:rsidRPr="00011AE2">
        <w:t xml:space="preserve">This has previously been gestured to in </w:t>
      </w:r>
      <w:r>
        <w:t xml:space="preserve">elaboration of </w:t>
      </w:r>
      <w:r w:rsidRPr="00011AE2">
        <w:t xml:space="preserve">the construction of the </w:t>
      </w:r>
      <w:r>
        <w:t>‘</w:t>
      </w:r>
      <w:r w:rsidRPr="00011AE2">
        <w:t>prosthetic body</w:t>
      </w:r>
      <w:r>
        <w:t>.’</w:t>
      </w:r>
    </w:p>
  </w:footnote>
  <w:footnote w:id="79">
    <w:p w:rsidR="00266B50" w:rsidRDefault="00266B50" w:rsidP="0083470D">
      <w:pPr>
        <w:pStyle w:val="FootnoteText"/>
        <w:spacing w:after="0"/>
      </w:pPr>
      <w:r>
        <w:rPr>
          <w:rStyle w:val="FootnoteReference"/>
        </w:rPr>
        <w:footnoteRef/>
      </w:r>
      <w:r>
        <w:t xml:space="preserve"> For further explication of these concepts, see: Hermanus, 2010; Morin, 1992; and Cilliers, 2005. </w:t>
      </w:r>
    </w:p>
  </w:footnote>
  <w:footnote w:id="80">
    <w:p w:rsidR="00266B50" w:rsidRDefault="00266B50" w:rsidP="0083470D">
      <w:pPr>
        <w:pStyle w:val="FootnoteText"/>
        <w:spacing w:after="0"/>
      </w:pPr>
      <w:r>
        <w:rPr>
          <w:rStyle w:val="FootnoteReference"/>
        </w:rPr>
        <w:footnoteRef/>
      </w:r>
      <w:r>
        <w:t xml:space="preserve"> As Hermanus states, “In a sense, the emphasis on openness in complexity thinking- critical complexity theory and deconstruction- must always assume a boundary, border or level of stability that is susceptible to being opened. </w:t>
      </w:r>
    </w:p>
  </w:footnote>
  <w:footnote w:id="81">
    <w:p w:rsidR="00266B50" w:rsidRDefault="00266B50" w:rsidP="004848A5">
      <w:pPr>
        <w:pStyle w:val="FootnoteText"/>
      </w:pPr>
      <w:r>
        <w:rPr>
          <w:rStyle w:val="FootnoteReference"/>
        </w:rPr>
        <w:footnoteRef/>
      </w:r>
      <w:r>
        <w:t xml:space="preserve"> I am thankful to Igshaan Adams (2012) and Mamela Nyamza (2012) for discussions revolving here.  </w:t>
      </w:r>
    </w:p>
  </w:footnote>
  <w:footnote w:id="82">
    <w:p w:rsidR="00266B50" w:rsidRDefault="00266B50" w:rsidP="0083470D">
      <w:pPr>
        <w:pStyle w:val="FootnoteText"/>
        <w:spacing w:after="0"/>
      </w:pPr>
      <w:r>
        <w:rPr>
          <w:rStyle w:val="FootnoteReference"/>
        </w:rPr>
        <w:footnoteRef/>
      </w:r>
      <w:r>
        <w:t xml:space="preserve"> A brief example could perhaps be the way in which the image of the veil has been translated into a banning of the veil in France- a damaging action perhaps perpetuating inequality although taken under the guise of ‘liberal democratic’ principles of equality.   </w:t>
      </w:r>
    </w:p>
  </w:footnote>
  <w:footnote w:id="83">
    <w:p w:rsidR="00266B50" w:rsidRDefault="00266B50" w:rsidP="0083470D">
      <w:pPr>
        <w:pStyle w:val="FootnoteText"/>
        <w:spacing w:after="0"/>
      </w:pPr>
      <w:r>
        <w:rPr>
          <w:rStyle w:val="FootnoteReference"/>
        </w:rPr>
        <w:footnoteRef/>
      </w:r>
      <w:r>
        <w:t xml:space="preserve"> While ‘side alleys’ may evoke, for some, the ‘unseen’ and thus indicate a return to the logic of the paranoid, it is my intuition that these alleys are perhaps only unseen by those too paranoid to buy their bread in them. In fact they jostle with life, are seen a thousand times in a thousand different movements.</w:t>
      </w:r>
    </w:p>
  </w:footnote>
  <w:footnote w:id="84">
    <w:p w:rsidR="00266B50" w:rsidRDefault="00266B50" w:rsidP="0083470D">
      <w:pPr>
        <w:pStyle w:val="FootnoteText"/>
        <w:spacing w:after="0"/>
      </w:pPr>
      <w:r>
        <w:rPr>
          <w:rStyle w:val="FootnoteReference"/>
        </w:rPr>
        <w:footnoteRef/>
      </w:r>
      <w:r>
        <w:t xml:space="preserve"> I am thankful to Francis Burger (2012) for pointing to the importance of effort, of struggle, even if (and perhaps even more so) in the risk of ‘failure’. </w:t>
      </w:r>
    </w:p>
  </w:footnote>
  <w:footnote w:id="85">
    <w:p w:rsidR="00266B50" w:rsidRDefault="00266B50" w:rsidP="00F103DF">
      <w:pPr>
        <w:pStyle w:val="FootnoteText"/>
      </w:pPr>
      <w:r>
        <w:rPr>
          <w:rStyle w:val="FootnoteReference"/>
        </w:rPr>
        <w:footnoteRef/>
      </w:r>
      <w:r>
        <w:t xml:space="preserve"> C.f. Mbembe’s discussion of the banality of power in ‘On the Postcolony’ (2001).</w:t>
      </w:r>
    </w:p>
  </w:footnote>
  <w:footnote w:id="86">
    <w:p w:rsidR="00266B50" w:rsidRDefault="00266B50" w:rsidP="0083470D">
      <w:pPr>
        <w:pStyle w:val="FootnoteText"/>
        <w:spacing w:after="0"/>
      </w:pPr>
      <w:r>
        <w:rPr>
          <w:rStyle w:val="FootnoteReference"/>
        </w:rPr>
        <w:footnoteRef/>
      </w:r>
      <w:r>
        <w:t xml:space="preserve"> While Muholi has worked for a number of years in the realm of the archive, “the making/mapping/preserving of radical black lesbian visual history” </w:t>
      </w:r>
      <w:r w:rsidRPr="00F04462">
        <w:t xml:space="preserve">(Muholi, nd.: 3) </w:t>
      </w:r>
      <w:r>
        <w:t>necessitated by the perceived invisibility and silences of preservations and presentations that fail to acknowledge the complexities of these spaces and these subjectivities, within this wider context, it is at least possible that this act of censorship attempts to muzzle such efforts</w:t>
      </w:r>
      <w:r w:rsidRPr="00F04462">
        <w:t xml:space="preserve">. It is also pertinent to note that the recent largely unpublicised robbery of these archives perhaps occurred in a similar vein.   </w:t>
      </w:r>
    </w:p>
  </w:footnote>
  <w:footnote w:id="87">
    <w:p w:rsidR="00266B50" w:rsidRDefault="00266B50" w:rsidP="0083470D">
      <w:pPr>
        <w:pStyle w:val="FootnoteText"/>
        <w:spacing w:after="0"/>
      </w:pPr>
      <w:r>
        <w:rPr>
          <w:rStyle w:val="FootnoteReference"/>
        </w:rPr>
        <w:footnoteRef/>
      </w:r>
      <w:r>
        <w:t xml:space="preserve"> As Joan Nagel makes explicit, “national boundaries are also sexual boundaries” (2000: 107). </w:t>
      </w:r>
    </w:p>
  </w:footnote>
  <w:footnote w:id="88">
    <w:p w:rsidR="00266B50" w:rsidRDefault="00266B50" w:rsidP="0083470D">
      <w:pPr>
        <w:pStyle w:val="FootnoteText"/>
        <w:spacing w:after="0"/>
      </w:pPr>
      <w:r>
        <w:rPr>
          <w:rStyle w:val="FootnoteReference"/>
        </w:rPr>
        <w:footnoteRef/>
      </w:r>
      <w:r>
        <w:t xml:space="preserve"> I am thankful to Clare Butcher (2012) for engaging me in the importance of site.</w:t>
      </w:r>
    </w:p>
  </w:footnote>
  <w:footnote w:id="89">
    <w:p w:rsidR="00266B50" w:rsidRDefault="00266B50" w:rsidP="0083470D">
      <w:pPr>
        <w:pStyle w:val="FootnoteText"/>
        <w:spacing w:after="0"/>
      </w:pPr>
      <w:r>
        <w:rPr>
          <w:rStyle w:val="FootnoteReference"/>
        </w:rPr>
        <w:footnoteRef/>
      </w:r>
      <w:r>
        <w:t xml:space="preserve"> Speaking of art, embroiled in site and abound with irony, </w:t>
      </w:r>
      <w:r w:rsidRPr="00A64138">
        <w:t>one can</w:t>
      </w:r>
      <w:r>
        <w:t xml:space="preserve"> perhaps also recall the vantage point of Signal Hill from which</w:t>
      </w:r>
      <w:r w:rsidRPr="00857B79">
        <w:rPr>
          <w:lang w:val="en-US"/>
        </w:rPr>
        <w:t xml:space="preserve"> </w:t>
      </w:r>
      <w:r>
        <w:rPr>
          <w:lang w:val="en-US"/>
        </w:rPr>
        <w:t>“many of the nineteenth-century paintings of the Cape that established the conventions of the picturesque colonial landscape were composed” (Baderoon, 2011: 81). The lanscapes, ‘emptied of rival human presences” (Bunn in Baderoon, 2011: 79), assisted in legitimating a colonial presence in Africa (Baderoon, 2011: 79). Signal Hill is ironically also the site of the oldest slave graveyard in South Africa (Baderoon, 2011: 81) and is, with no small consequence to the discussion at hand, the site from which the colonial noon-day canon</w:t>
      </w:r>
      <w:r w:rsidRPr="007E2C1F">
        <w:rPr>
          <w:i/>
          <w:lang w:val="en-US"/>
        </w:rPr>
        <w:t xml:space="preserve"> still</w:t>
      </w:r>
      <w:r>
        <w:rPr>
          <w:lang w:val="en-US"/>
        </w:rPr>
        <w:t xml:space="preserve"> fires. </w:t>
      </w:r>
    </w:p>
  </w:footnote>
  <w:footnote w:id="90">
    <w:p w:rsidR="00266B50" w:rsidRDefault="00266B50" w:rsidP="0083470D">
      <w:pPr>
        <w:pStyle w:val="FootnoteText"/>
        <w:spacing w:after="0"/>
      </w:pPr>
      <w:r>
        <w:rPr>
          <w:rStyle w:val="FootnoteReference"/>
        </w:rPr>
        <w:footnoteRef/>
      </w:r>
      <w:r>
        <w:t xml:space="preserve"> In, for example, </w:t>
      </w:r>
      <w:r w:rsidRPr="0020738E">
        <w:t>‘Mapping Our Histories: A Visual History of Black Lesbians</w:t>
      </w:r>
      <w:r>
        <w:t xml:space="preserve"> in Post-Apartheid South Africa</w:t>
      </w:r>
      <w:r w:rsidRPr="0020738E">
        <w:t>’</w:t>
      </w:r>
      <w:r>
        <w:t xml:space="preserve"> (n.d.)</w:t>
      </w:r>
    </w:p>
  </w:footnote>
  <w:footnote w:id="91">
    <w:p w:rsidR="00266B50" w:rsidRDefault="00266B50" w:rsidP="0083470D">
      <w:pPr>
        <w:pStyle w:val="FootnoteText"/>
        <w:spacing w:after="0"/>
      </w:pPr>
      <w:r>
        <w:rPr>
          <w:rStyle w:val="FootnoteReference"/>
        </w:rPr>
        <w:footnoteRef/>
      </w:r>
      <w:r>
        <w:t xml:space="preserve"> To be more explicit, bodies disciplined through ‘corrective rape’. </w:t>
      </w:r>
    </w:p>
  </w:footnote>
  <w:footnote w:id="92">
    <w:p w:rsidR="00266B50" w:rsidRDefault="00266B50" w:rsidP="0083470D">
      <w:pPr>
        <w:pStyle w:val="FootnoteText"/>
        <w:spacing w:after="0"/>
      </w:pPr>
      <w:r>
        <w:rPr>
          <w:rStyle w:val="FootnoteReference"/>
        </w:rPr>
        <w:footnoteRef/>
      </w:r>
      <w:r>
        <w:t xml:space="preserve"> As Zarkov points out, this paradigm, even if perhaps well-intentioned, inscribes the inevitability of the rapability of women and “simultaneously ascribes the propensity to rape as an essential prerogative of maleness. These definitions, paradoxically, reinforce the greatest of all gender distinctions, assuming, once again, the omnipotence of men and the absolute powerlessness of women.” (2006: 219).   </w:t>
      </w:r>
    </w:p>
  </w:footnote>
  <w:footnote w:id="93">
    <w:p w:rsidR="00266B50" w:rsidRDefault="00266B50" w:rsidP="0083470D">
      <w:pPr>
        <w:pStyle w:val="FootnoteText"/>
        <w:spacing w:after="0"/>
      </w:pPr>
      <w:r>
        <w:rPr>
          <w:rStyle w:val="FootnoteReference"/>
        </w:rPr>
        <w:footnoteRef/>
      </w:r>
      <w:r>
        <w:t xml:space="preserve"> Following my intuition, an inscription which is necessary not only in order to maintain ‘gender distinctions’ as Zarkov explicated, but also necessary for the maintenance of a prolific South African private security industry operable primarily through the employment of ‘moral panics’.</w:t>
      </w:r>
    </w:p>
  </w:footnote>
  <w:footnote w:id="94">
    <w:p w:rsidR="00266B50" w:rsidRDefault="00266B50" w:rsidP="0083470D">
      <w:pPr>
        <w:pStyle w:val="FootnoteText"/>
        <w:spacing w:after="0"/>
      </w:pPr>
      <w:r>
        <w:rPr>
          <w:rStyle w:val="FootnoteReference"/>
        </w:rPr>
        <w:footnoteRef/>
      </w:r>
      <w:r>
        <w:t xml:space="preserve"> As Gqola states, “Muholi’s work is less about making Black lesbians visible as it is about engaging with the regimes that have used these women’s hyper-visibility as a way to violate them” (Gqola in Baderoon, 2011: 87). It must also here be said that I am thankful to Mamela Nyamza (2012) for engaging me in some of complexities surrounding this. </w:t>
      </w:r>
    </w:p>
  </w:footnote>
  <w:footnote w:id="95">
    <w:p w:rsidR="00266B50" w:rsidRDefault="00266B50" w:rsidP="0083470D">
      <w:pPr>
        <w:pStyle w:val="FootnoteText"/>
        <w:spacing w:after="0"/>
      </w:pPr>
      <w:r>
        <w:rPr>
          <w:rStyle w:val="FootnoteReference"/>
        </w:rPr>
        <w:footnoteRef/>
      </w:r>
      <w:r>
        <w:t xml:space="preserve"> Unfortunately illumed far more in moral panics and discourse than in actual support and redress. </w:t>
      </w:r>
    </w:p>
  </w:footnote>
  <w:footnote w:id="96">
    <w:p w:rsidR="00266B50" w:rsidRDefault="00266B50" w:rsidP="0083470D">
      <w:pPr>
        <w:pStyle w:val="FootnoteText"/>
        <w:spacing w:after="0"/>
      </w:pPr>
      <w:r>
        <w:rPr>
          <w:rStyle w:val="FootnoteReference"/>
        </w:rPr>
        <w:footnoteRef/>
      </w:r>
      <w:r>
        <w:t xml:space="preserve"> T</w:t>
      </w:r>
      <w:r w:rsidRPr="00791461">
        <w:t xml:space="preserve">his is perhaps especially so if the former is inscribed within logic that </w:t>
      </w:r>
      <w:r>
        <w:t xml:space="preserve">necessarily </w:t>
      </w:r>
      <w:r w:rsidRPr="00791461">
        <w:t>ascribes power to men and vulnerability to women</w:t>
      </w:r>
      <w:r>
        <w:t>, rather than addressing gender-based violence as non-discriminatorily endemic.</w:t>
      </w:r>
    </w:p>
  </w:footnote>
  <w:footnote w:id="97">
    <w:p w:rsidR="00266B50" w:rsidRDefault="00266B50" w:rsidP="00F103DF">
      <w:pPr>
        <w:pStyle w:val="FootnoteText"/>
      </w:pPr>
      <w:r>
        <w:rPr>
          <w:rStyle w:val="FootnoteReference"/>
        </w:rPr>
        <w:footnoteRef/>
      </w:r>
      <w:r>
        <w:t xml:space="preserve"> Before this, male rape was only recognised through the terminology of ‘indecent assault’ (Meel, 2009: 1). </w:t>
      </w:r>
    </w:p>
  </w:footnote>
  <w:footnote w:id="98">
    <w:p w:rsidR="00266B50" w:rsidRDefault="00266B50" w:rsidP="0083470D">
      <w:pPr>
        <w:pStyle w:val="FootnoteText"/>
        <w:spacing w:after="0"/>
      </w:pPr>
      <w:r>
        <w:rPr>
          <w:rStyle w:val="FootnoteReference"/>
        </w:rPr>
        <w:footnoteRef/>
      </w:r>
      <w:r>
        <w:t xml:space="preserve"> Informal settlements are often found on the peripheries of South African cities and suburbs. </w:t>
      </w:r>
    </w:p>
  </w:footnote>
  <w:footnote w:id="99">
    <w:p w:rsidR="00266B50" w:rsidRDefault="00266B50" w:rsidP="0083470D">
      <w:pPr>
        <w:pStyle w:val="FootnoteText"/>
        <w:spacing w:after="0"/>
      </w:pPr>
      <w:r>
        <w:rPr>
          <w:rStyle w:val="FootnoteReference"/>
        </w:rPr>
        <w:footnoteRef/>
      </w:r>
      <w:r>
        <w:t xml:space="preserve"> Here it should be noted that in South Africa, socio-economic divides are still largely racialised divides. </w:t>
      </w:r>
    </w:p>
  </w:footnote>
  <w:footnote w:id="100">
    <w:p w:rsidR="00266B50" w:rsidRDefault="00266B50" w:rsidP="0083470D">
      <w:pPr>
        <w:pStyle w:val="FootnoteText"/>
        <w:spacing w:after="0"/>
      </w:pPr>
      <w:r>
        <w:rPr>
          <w:rStyle w:val="FootnoteReference"/>
        </w:rPr>
        <w:footnoteRef/>
      </w:r>
      <w:r>
        <w:t xml:space="preserve"> Automatically erroneously associating a response by an ANC member as somehow entirely representative of these ‘sensibilities’. </w:t>
      </w:r>
    </w:p>
  </w:footnote>
  <w:footnote w:id="101">
    <w:p w:rsidR="00266B50" w:rsidRDefault="00266B50" w:rsidP="0083470D">
      <w:pPr>
        <w:pStyle w:val="FootnoteText"/>
        <w:spacing w:after="0"/>
      </w:pPr>
      <w:r>
        <w:rPr>
          <w:rStyle w:val="FootnoteReference"/>
        </w:rPr>
        <w:footnoteRef/>
      </w:r>
      <w:r>
        <w:t xml:space="preserve"> In this, the logic of Behr’s proverb (given in opening) is seen to be</w:t>
      </w:r>
      <w:r w:rsidRPr="00C66EE7">
        <w:rPr>
          <w:i/>
        </w:rPr>
        <w:t xml:space="preserve"> repeated</w:t>
      </w:r>
      <w:r>
        <w:t xml:space="preserve"> by </w:t>
      </w:r>
      <w:r w:rsidRPr="00C66EE7">
        <w:t>Xingwana</w:t>
      </w:r>
      <w:r>
        <w:t xml:space="preserve"> in her assertion of Muholi’s works as being ‘against nation-building.’</w:t>
      </w:r>
    </w:p>
  </w:footnote>
  <w:footnote w:id="102">
    <w:p w:rsidR="00266B50" w:rsidRDefault="00266B50" w:rsidP="0083470D">
      <w:pPr>
        <w:pStyle w:val="FootnoteText"/>
        <w:spacing w:after="0"/>
      </w:pPr>
      <w:r>
        <w:rPr>
          <w:rStyle w:val="FootnoteReference"/>
        </w:rPr>
        <w:footnoteRef/>
      </w:r>
      <w:r>
        <w:t xml:space="preserve"> Customary law “is a form of law based on the practices and beliefs of African communities and enforced by community structures” (Bonthuys, 2008: 729-730). </w:t>
      </w:r>
    </w:p>
  </w:footnote>
  <w:footnote w:id="103">
    <w:p w:rsidR="00266B50" w:rsidRDefault="00266B50" w:rsidP="0083470D">
      <w:pPr>
        <w:pStyle w:val="FootnoteText"/>
        <w:spacing w:after="0"/>
      </w:pPr>
      <w:r>
        <w:rPr>
          <w:rStyle w:val="FootnoteReference"/>
        </w:rPr>
        <w:footnoteRef/>
      </w:r>
      <w:r>
        <w:t xml:space="preserve"> Bonthuys provides a number of examples such as the accepted practice of traditional healers (sangomas) taking ‘ancestral wives’ and the </w:t>
      </w:r>
      <w:r w:rsidRPr="00B119DC">
        <w:t>Rain Queen of the Lovedu who usually marries many wives (</w:t>
      </w:r>
      <w:r>
        <w:t xml:space="preserve">2008: 731). </w:t>
      </w:r>
    </w:p>
  </w:footnote>
  <w:footnote w:id="104">
    <w:p w:rsidR="00266B50" w:rsidRDefault="00266B50" w:rsidP="0083470D">
      <w:pPr>
        <w:pStyle w:val="FootnoteText"/>
        <w:spacing w:after="0"/>
      </w:pPr>
      <w:r>
        <w:rPr>
          <w:rStyle w:val="FootnoteReference"/>
        </w:rPr>
        <w:footnoteRef/>
      </w:r>
      <w:r>
        <w:t xml:space="preserve"> Despite an extremely progressive Constitution in this regard (see, for example, Msibi, 2011).</w:t>
      </w:r>
    </w:p>
  </w:footnote>
  <w:footnote w:id="105">
    <w:p w:rsidR="00266B50" w:rsidRDefault="00266B50" w:rsidP="0083470D">
      <w:pPr>
        <w:pStyle w:val="FootnoteText"/>
        <w:spacing w:after="0"/>
      </w:pPr>
      <w:r>
        <w:rPr>
          <w:rStyle w:val="FootnoteReference"/>
        </w:rPr>
        <w:footnoteRef/>
      </w:r>
      <w:r>
        <w:t xml:space="preserve"> The violence of these logics was elaborated in ‘it ain’t easy to speak of trees’. </w:t>
      </w:r>
    </w:p>
  </w:footnote>
  <w:footnote w:id="106">
    <w:p w:rsidR="00266B50" w:rsidRDefault="00266B50" w:rsidP="0083470D">
      <w:pPr>
        <w:pStyle w:val="FootnoteText"/>
        <w:spacing w:after="0"/>
      </w:pPr>
      <w:r>
        <w:rPr>
          <w:rStyle w:val="FootnoteReference"/>
        </w:rPr>
        <w:footnoteRef/>
      </w:r>
      <w:r>
        <w:t xml:space="preserve"> I am thankful to Clare Butcher (2012) for highlighting the closure of these camps and the damage done to very real nuances by them. Butcher also pointed out how this closure, as a crutch, stood, in many ways as somehow contrary to the practice of ‘curating’.  </w:t>
      </w:r>
    </w:p>
  </w:footnote>
  <w:footnote w:id="107">
    <w:p w:rsidR="00266B50" w:rsidRDefault="00266B50" w:rsidP="0083470D">
      <w:pPr>
        <w:pStyle w:val="FootnoteText"/>
        <w:spacing w:after="0"/>
      </w:pPr>
      <w:r>
        <w:rPr>
          <w:rStyle w:val="FootnoteReference"/>
        </w:rPr>
        <w:footnoteRef/>
      </w:r>
      <w:r>
        <w:t xml:space="preserve"> It must be noted that these ‘categorisations’ are pointed to, through the use of apostrophes as problematic. In the context of South Africa, they have certainly been extremely damaging and violent, however, we may, at this stage still lack a language with which to simultaneously address on-going experiential realities and the complexities of being human.  </w:t>
      </w:r>
    </w:p>
  </w:footnote>
  <w:footnote w:id="108">
    <w:p w:rsidR="00266B50" w:rsidRDefault="00266B50" w:rsidP="0083470D">
      <w:pPr>
        <w:pStyle w:val="FootnoteText"/>
        <w:spacing w:after="0"/>
      </w:pPr>
      <w:r>
        <w:rPr>
          <w:rStyle w:val="FootnoteReference"/>
        </w:rPr>
        <w:footnoteRef/>
      </w:r>
      <w:r>
        <w:t xml:space="preserve"> I am once again, thankful to James Webb (2012) for this pivotal concept.</w:t>
      </w:r>
    </w:p>
  </w:footnote>
  <w:footnote w:id="109">
    <w:p w:rsidR="00266B50" w:rsidRDefault="00266B50" w:rsidP="0083470D">
      <w:pPr>
        <w:pStyle w:val="FootnoteText"/>
        <w:spacing w:after="0"/>
      </w:pPr>
      <w:r>
        <w:rPr>
          <w:rStyle w:val="FootnoteReference"/>
        </w:rPr>
        <w:footnoteRef/>
      </w:r>
      <w:r>
        <w:t xml:space="preserve"> While it has already been pointed to that this kind of terminology is extremely damaging, especially when considered in the context of South Africa’s ‘past’, the use of such is informed by a critical choice in which the explication of their continued and present violence is seen to necessitate them. </w:t>
      </w:r>
    </w:p>
  </w:footnote>
  <w:footnote w:id="110">
    <w:p w:rsidR="00266B50" w:rsidRDefault="00266B50" w:rsidP="0083470D">
      <w:pPr>
        <w:pStyle w:val="FootnoteText"/>
        <w:spacing w:after="0"/>
      </w:pPr>
      <w:r>
        <w:rPr>
          <w:rStyle w:val="FootnoteReference"/>
        </w:rPr>
        <w:footnoteRef/>
      </w:r>
      <w:r>
        <w:t xml:space="preserve"> As Gosine (2009) points out; the construction of such ‘monsters’ has been central to and for the project of ‘development’ in a number of different contexts. There is, to my intuition, an interesting correlation between this and the images often created in order to fuel the private security industry in South Africa (largely targeted at the suburbs). These images often capitalise on and hype the threat of the ‘stranger’ coming into the home.  In the context of sexual violence, this image defers from the ways in which this actually often occurs </w:t>
      </w:r>
      <w:r w:rsidRPr="00CF2239">
        <w:rPr>
          <w:i/>
        </w:rPr>
        <w:t>within</w:t>
      </w:r>
      <w:r>
        <w:t xml:space="preserve"> the spaces of the home. As a perhaps interesting cross reference, see Hunter’s discussion of the ‘gendered politics of social reproduction’ as often incorporated through particularly constructed spaces (2011).</w:t>
      </w:r>
    </w:p>
  </w:footnote>
  <w:footnote w:id="111">
    <w:p w:rsidR="00266B50" w:rsidRDefault="00266B50" w:rsidP="0083470D">
      <w:pPr>
        <w:pStyle w:val="FootnoteText"/>
        <w:spacing w:after="0"/>
      </w:pPr>
      <w:r>
        <w:rPr>
          <w:rStyle w:val="FootnoteReference"/>
        </w:rPr>
        <w:footnoteRef/>
      </w:r>
      <w:r>
        <w:t xml:space="preserve"> Again the use of such terminology is by no means neutral, as highlighted through the use of apostrophes. </w:t>
      </w:r>
    </w:p>
  </w:footnote>
  <w:footnote w:id="112">
    <w:p w:rsidR="00266B50" w:rsidRDefault="00266B50" w:rsidP="0083470D">
      <w:pPr>
        <w:pStyle w:val="FootnoteText"/>
        <w:spacing w:after="0"/>
      </w:pPr>
      <w:r>
        <w:rPr>
          <w:rStyle w:val="FootnoteReference"/>
        </w:rPr>
        <w:footnoteRef/>
      </w:r>
      <w:r>
        <w:t xml:space="preserve"> It must be stressed here that, in earlier discussions of experientiality, it was suggested that there is no inherent hierarchy implicit in these different responses. Both reacting for critical distance and reacting from emotion are vital methods of engagement. </w:t>
      </w:r>
    </w:p>
  </w:footnote>
  <w:footnote w:id="113">
    <w:p w:rsidR="00266B50" w:rsidRDefault="00266B50" w:rsidP="00F103DF">
      <w:pPr>
        <w:pStyle w:val="FootnoteText"/>
      </w:pPr>
      <w:r>
        <w:rPr>
          <w:rStyle w:val="FootnoteReference"/>
        </w:rPr>
        <w:footnoteRef/>
      </w:r>
      <w:r>
        <w:t xml:space="preserve"> It must here be noted that while two particular examples have here been activated, there exist other moments of actual censorship and assertions of the need for censorship with regards to the visual in the perhaps paradoxically constitutionally progressive South Africa. Other examples would include (although not exhaustively); the work of Jean Brundrit, Clive Van den Burg, Anton Kannemeyer and Conrad Botes, Kaolin Thompson and Andries Botha.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18C" w:rsidRDefault="00B5618C">
    <w:pPr>
      <w:pStyle w:val="Header"/>
      <w:jc w:val="right"/>
    </w:pPr>
  </w:p>
  <w:p w:rsidR="00266B50" w:rsidRDefault="00266B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682034"/>
      <w:docPartObj>
        <w:docPartGallery w:val="Page Numbers (Top of Page)"/>
        <w:docPartUnique/>
      </w:docPartObj>
    </w:sdtPr>
    <w:sdtEndPr>
      <w:rPr>
        <w:noProof/>
      </w:rPr>
    </w:sdtEndPr>
    <w:sdtContent>
      <w:p w:rsidR="00B5618C" w:rsidRDefault="00B5618C">
        <w:pPr>
          <w:pStyle w:val="Header"/>
          <w:jc w:val="right"/>
        </w:pPr>
        <w:r>
          <w:fldChar w:fldCharType="begin"/>
        </w:r>
        <w:r>
          <w:instrText xml:space="preserve"> PAGE   \* MERGEFORMAT </w:instrText>
        </w:r>
        <w:r>
          <w:fldChar w:fldCharType="separate"/>
        </w:r>
        <w:r w:rsidR="008F4BFC">
          <w:rPr>
            <w:noProof/>
          </w:rPr>
          <w:t>51</w:t>
        </w:r>
        <w:r>
          <w:rPr>
            <w:noProof/>
          </w:rPr>
          <w:fldChar w:fldCharType="end"/>
        </w:r>
      </w:p>
    </w:sdtContent>
  </w:sdt>
  <w:p w:rsidR="00B5618C" w:rsidRDefault="00B561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FB6533"/>
    <w:multiLevelType w:val="hybridMultilevel"/>
    <w:tmpl w:val="240409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6686649D"/>
    <w:multiLevelType w:val="hybridMultilevel"/>
    <w:tmpl w:val="76ECB8EA"/>
    <w:lvl w:ilvl="0" w:tplc="8B0CC11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70CE6709"/>
    <w:multiLevelType w:val="hybridMultilevel"/>
    <w:tmpl w:val="D98688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CF8"/>
    <w:rsid w:val="00104CC2"/>
    <w:rsid w:val="00116912"/>
    <w:rsid w:val="001223C3"/>
    <w:rsid w:val="001A7E4F"/>
    <w:rsid w:val="00211CAD"/>
    <w:rsid w:val="00250F80"/>
    <w:rsid w:val="00253BEE"/>
    <w:rsid w:val="00266B50"/>
    <w:rsid w:val="002C510B"/>
    <w:rsid w:val="00385E00"/>
    <w:rsid w:val="003E331B"/>
    <w:rsid w:val="00445FDD"/>
    <w:rsid w:val="00473A71"/>
    <w:rsid w:val="00477D88"/>
    <w:rsid w:val="004848A5"/>
    <w:rsid w:val="0049010C"/>
    <w:rsid w:val="005055A0"/>
    <w:rsid w:val="00556AC6"/>
    <w:rsid w:val="00560B3A"/>
    <w:rsid w:val="00563A36"/>
    <w:rsid w:val="005960AA"/>
    <w:rsid w:val="005A2D5B"/>
    <w:rsid w:val="005C5518"/>
    <w:rsid w:val="005D3007"/>
    <w:rsid w:val="006604EC"/>
    <w:rsid w:val="006953E0"/>
    <w:rsid w:val="006E654C"/>
    <w:rsid w:val="00733AAC"/>
    <w:rsid w:val="007A28BA"/>
    <w:rsid w:val="00801CF8"/>
    <w:rsid w:val="0083470D"/>
    <w:rsid w:val="008F4BFC"/>
    <w:rsid w:val="0090113B"/>
    <w:rsid w:val="00940A72"/>
    <w:rsid w:val="00970D7D"/>
    <w:rsid w:val="00A76A71"/>
    <w:rsid w:val="00AA11DE"/>
    <w:rsid w:val="00AA6549"/>
    <w:rsid w:val="00AE4E5B"/>
    <w:rsid w:val="00B5618C"/>
    <w:rsid w:val="00B614BB"/>
    <w:rsid w:val="00BF5061"/>
    <w:rsid w:val="00C67F51"/>
    <w:rsid w:val="00CD2CC8"/>
    <w:rsid w:val="00CE3FCD"/>
    <w:rsid w:val="00D01DCF"/>
    <w:rsid w:val="00D558C5"/>
    <w:rsid w:val="00DA6B6E"/>
    <w:rsid w:val="00E04EAB"/>
    <w:rsid w:val="00E51E25"/>
    <w:rsid w:val="00E7542F"/>
    <w:rsid w:val="00EC3A52"/>
    <w:rsid w:val="00ED4DF6"/>
    <w:rsid w:val="00F103DF"/>
    <w:rsid w:val="00F46D2D"/>
    <w:rsid w:val="00F563DF"/>
    <w:rsid w:val="00FC28A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6B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CF8"/>
    <w:rPr>
      <w:rFonts w:ascii="Tahoma" w:hAnsi="Tahoma" w:cs="Tahoma"/>
      <w:sz w:val="16"/>
      <w:szCs w:val="16"/>
    </w:rPr>
  </w:style>
  <w:style w:type="paragraph" w:styleId="Header">
    <w:name w:val="header"/>
    <w:basedOn w:val="Normal"/>
    <w:link w:val="HeaderChar"/>
    <w:uiPriority w:val="99"/>
    <w:unhideWhenUsed/>
    <w:rsid w:val="00801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CF8"/>
  </w:style>
  <w:style w:type="paragraph" w:styleId="Footer">
    <w:name w:val="footer"/>
    <w:basedOn w:val="Normal"/>
    <w:link w:val="FooterChar"/>
    <w:uiPriority w:val="99"/>
    <w:unhideWhenUsed/>
    <w:rsid w:val="00801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CF8"/>
  </w:style>
  <w:style w:type="paragraph" w:styleId="EndnoteText">
    <w:name w:val="endnote text"/>
    <w:basedOn w:val="Normal"/>
    <w:link w:val="EndnoteTextChar"/>
    <w:uiPriority w:val="99"/>
    <w:semiHidden/>
    <w:unhideWhenUsed/>
    <w:rsid w:val="00C67F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7F51"/>
    <w:rPr>
      <w:sz w:val="20"/>
      <w:szCs w:val="20"/>
    </w:rPr>
  </w:style>
  <w:style w:type="paragraph" w:styleId="FootnoteText">
    <w:name w:val="footnote text"/>
    <w:basedOn w:val="Normal"/>
    <w:link w:val="FootnoteTextChar"/>
    <w:uiPriority w:val="99"/>
    <w:unhideWhenUsed/>
    <w:rsid w:val="00C67F51"/>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67F51"/>
    <w:rPr>
      <w:rFonts w:ascii="Calibri" w:eastAsia="Calibri" w:hAnsi="Calibri" w:cs="Times New Roman"/>
      <w:sz w:val="20"/>
      <w:szCs w:val="20"/>
    </w:rPr>
  </w:style>
  <w:style w:type="character" w:styleId="FootnoteReference">
    <w:name w:val="footnote reference"/>
    <w:uiPriority w:val="99"/>
    <w:semiHidden/>
    <w:unhideWhenUsed/>
    <w:rsid w:val="00C67F51"/>
    <w:rPr>
      <w:vertAlign w:val="superscript"/>
    </w:rPr>
  </w:style>
  <w:style w:type="paragraph" w:styleId="ListParagraph">
    <w:name w:val="List Paragraph"/>
    <w:basedOn w:val="Normal"/>
    <w:uiPriority w:val="34"/>
    <w:qFormat/>
    <w:rsid w:val="00AA11DE"/>
    <w:pPr>
      <w:ind w:left="720"/>
      <w:contextualSpacing/>
    </w:pPr>
  </w:style>
  <w:style w:type="character" w:styleId="Hyperlink">
    <w:name w:val="Hyperlink"/>
    <w:basedOn w:val="DefaultParagraphFont"/>
    <w:uiPriority w:val="99"/>
    <w:unhideWhenUsed/>
    <w:rsid w:val="00F46D2D"/>
    <w:rPr>
      <w:color w:val="0000FF" w:themeColor="hyperlink"/>
      <w:u w:val="single"/>
    </w:rPr>
  </w:style>
  <w:style w:type="character" w:customStyle="1" w:styleId="Heading1Char">
    <w:name w:val="Heading 1 Char"/>
    <w:basedOn w:val="DefaultParagraphFont"/>
    <w:link w:val="Heading1"/>
    <w:uiPriority w:val="9"/>
    <w:rsid w:val="00266B5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3470D"/>
    <w:pPr>
      <w:outlineLvl w:val="9"/>
    </w:pPr>
    <w:rPr>
      <w:lang w:val="en-US" w:eastAsia="ja-JP"/>
    </w:rPr>
  </w:style>
  <w:style w:type="paragraph" w:styleId="TOC1">
    <w:name w:val="toc 1"/>
    <w:basedOn w:val="Normal"/>
    <w:next w:val="Normal"/>
    <w:autoRedefine/>
    <w:uiPriority w:val="39"/>
    <w:unhideWhenUsed/>
    <w:rsid w:val="0083470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6B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CF8"/>
    <w:rPr>
      <w:rFonts w:ascii="Tahoma" w:hAnsi="Tahoma" w:cs="Tahoma"/>
      <w:sz w:val="16"/>
      <w:szCs w:val="16"/>
    </w:rPr>
  </w:style>
  <w:style w:type="paragraph" w:styleId="Header">
    <w:name w:val="header"/>
    <w:basedOn w:val="Normal"/>
    <w:link w:val="HeaderChar"/>
    <w:uiPriority w:val="99"/>
    <w:unhideWhenUsed/>
    <w:rsid w:val="00801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CF8"/>
  </w:style>
  <w:style w:type="paragraph" w:styleId="Footer">
    <w:name w:val="footer"/>
    <w:basedOn w:val="Normal"/>
    <w:link w:val="FooterChar"/>
    <w:uiPriority w:val="99"/>
    <w:unhideWhenUsed/>
    <w:rsid w:val="00801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CF8"/>
  </w:style>
  <w:style w:type="paragraph" w:styleId="EndnoteText">
    <w:name w:val="endnote text"/>
    <w:basedOn w:val="Normal"/>
    <w:link w:val="EndnoteTextChar"/>
    <w:uiPriority w:val="99"/>
    <w:semiHidden/>
    <w:unhideWhenUsed/>
    <w:rsid w:val="00C67F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7F51"/>
    <w:rPr>
      <w:sz w:val="20"/>
      <w:szCs w:val="20"/>
    </w:rPr>
  </w:style>
  <w:style w:type="paragraph" w:styleId="FootnoteText">
    <w:name w:val="footnote text"/>
    <w:basedOn w:val="Normal"/>
    <w:link w:val="FootnoteTextChar"/>
    <w:uiPriority w:val="99"/>
    <w:unhideWhenUsed/>
    <w:rsid w:val="00C67F51"/>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67F51"/>
    <w:rPr>
      <w:rFonts w:ascii="Calibri" w:eastAsia="Calibri" w:hAnsi="Calibri" w:cs="Times New Roman"/>
      <w:sz w:val="20"/>
      <w:szCs w:val="20"/>
    </w:rPr>
  </w:style>
  <w:style w:type="character" w:styleId="FootnoteReference">
    <w:name w:val="footnote reference"/>
    <w:uiPriority w:val="99"/>
    <w:semiHidden/>
    <w:unhideWhenUsed/>
    <w:rsid w:val="00C67F51"/>
    <w:rPr>
      <w:vertAlign w:val="superscript"/>
    </w:rPr>
  </w:style>
  <w:style w:type="paragraph" w:styleId="ListParagraph">
    <w:name w:val="List Paragraph"/>
    <w:basedOn w:val="Normal"/>
    <w:uiPriority w:val="34"/>
    <w:qFormat/>
    <w:rsid w:val="00AA11DE"/>
    <w:pPr>
      <w:ind w:left="720"/>
      <w:contextualSpacing/>
    </w:pPr>
  </w:style>
  <w:style w:type="character" w:styleId="Hyperlink">
    <w:name w:val="Hyperlink"/>
    <w:basedOn w:val="DefaultParagraphFont"/>
    <w:uiPriority w:val="99"/>
    <w:unhideWhenUsed/>
    <w:rsid w:val="00F46D2D"/>
    <w:rPr>
      <w:color w:val="0000FF" w:themeColor="hyperlink"/>
      <w:u w:val="single"/>
    </w:rPr>
  </w:style>
  <w:style w:type="character" w:customStyle="1" w:styleId="Heading1Char">
    <w:name w:val="Heading 1 Char"/>
    <w:basedOn w:val="DefaultParagraphFont"/>
    <w:link w:val="Heading1"/>
    <w:uiPriority w:val="9"/>
    <w:rsid w:val="00266B5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3470D"/>
    <w:pPr>
      <w:outlineLvl w:val="9"/>
    </w:pPr>
    <w:rPr>
      <w:lang w:val="en-US" w:eastAsia="ja-JP"/>
    </w:rPr>
  </w:style>
  <w:style w:type="paragraph" w:styleId="TOC1">
    <w:name w:val="toc 1"/>
    <w:basedOn w:val="Normal"/>
    <w:next w:val="Normal"/>
    <w:autoRedefine/>
    <w:uiPriority w:val="39"/>
    <w:unhideWhenUsed/>
    <w:rsid w:val="0083470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andnotbut.blogspot.com" TargetMode="External"/><Relationship Id="rId26" Type="http://schemas.openxmlformats.org/officeDocument/2006/relationships/hyperlink" Target="http://transform.eipcp.net" TargetMode="External"/><Relationship Id="rId3" Type="http://schemas.openxmlformats.org/officeDocument/2006/relationships/styles" Target="styles.xml"/><Relationship Id="rId21" Type="http://schemas.openxmlformats.org/officeDocument/2006/relationships/hyperlink" Target="http://scholar.sun.ac.za/handle/10019.1/5254"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zanelemuholi.com/ZM%20moh_final_230609.pdf" TargetMode="External"/><Relationship Id="rId33" Type="http://schemas.openxmlformats.org/officeDocument/2006/relationships/hyperlink" Target="http://prostituting.tumblr.com/post/37072507016"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iss.nl/workingpapers" TargetMode="External"/><Relationship Id="rId29" Type="http://schemas.openxmlformats.org/officeDocument/2006/relationships/hyperlink" Target="http://pulltheneedleout.tumblr.com/post/384083616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frontiercountry.blogspot.nl/2011/07/am-i-victim-of-this-wicked-game.html" TargetMode="External"/><Relationship Id="rId32" Type="http://schemas.openxmlformats.org/officeDocument/2006/relationships/hyperlink" Target="http://girlgrimes.tumblr.com/post/31976849548"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iol.co.za/news/south-africa/shocking-statistics-on-male-rape-1.410133" TargetMode="External"/><Relationship Id="rId28" Type="http://schemas.openxmlformats.org/officeDocument/2006/relationships/hyperlink" Target="http://jesuisperdu.tumblr.com/post/37769065779/erichelgas-ripped-seamless-2012"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thelancet.com" TargetMode="External"/><Relationship Id="rId31" Type="http://schemas.openxmlformats.org/officeDocument/2006/relationships/hyperlink" Target="http://zabij.tumblr.com/image/3772659552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frieze.com/issue/article/it_aint_easy/" TargetMode="External"/><Relationship Id="rId27" Type="http://schemas.openxmlformats.org/officeDocument/2006/relationships/hyperlink" Target="http://www.witness.co.za/index.php?showcontent&amp;global%5b%20%20id%5d=62014" TargetMode="External"/><Relationship Id="rId30" Type="http://schemas.openxmlformats.org/officeDocument/2006/relationships/hyperlink" Target="http://girlgrimes.tumblr.com/image/3770429353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3DEB5-DADB-4176-8A9B-CD14F90F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13700</Words>
  <Characters>78091</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Sacha Knox</dc:creator>
  <cp:lastModifiedBy>Sacha Knox</cp:lastModifiedBy>
  <cp:revision>3</cp:revision>
  <dcterms:created xsi:type="dcterms:W3CDTF">2012-12-21T10:33:00Z</dcterms:created>
  <dcterms:modified xsi:type="dcterms:W3CDTF">2012-12-21T10:35:00Z</dcterms:modified>
</cp:coreProperties>
</file>