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21" w:rsidRPr="00DD42B2" w:rsidRDefault="00DD42B2" w:rsidP="00801FB7">
      <w:pPr>
        <w:suppressAutoHyphens/>
        <w:ind w:firstLine="0"/>
        <w:jc w:val="center"/>
        <w:rPr>
          <w:rFonts w:ascii="Times New Roman" w:hAnsi="Times New Roman"/>
          <w:b/>
          <w:sz w:val="28"/>
          <w:szCs w:val="20"/>
        </w:rPr>
      </w:pPr>
      <w:bookmarkStart w:id="0" w:name="OLE_LINK2"/>
      <w:bookmarkStart w:id="1" w:name="OLE_LINK1"/>
      <w:r w:rsidRPr="00DD42B2">
        <w:rPr>
          <w:rFonts w:ascii="Times New Roman" w:hAnsi="Times New Roman"/>
          <w:b/>
          <w:sz w:val="28"/>
          <w:szCs w:val="20"/>
        </w:rPr>
        <w:t>Democratic Consolidation within the European Union:</w:t>
      </w:r>
    </w:p>
    <w:p w:rsidR="00DD42B2" w:rsidRPr="00DD42B2" w:rsidRDefault="00DD42B2" w:rsidP="00801FB7">
      <w:pPr>
        <w:suppressAutoHyphens/>
        <w:ind w:firstLine="0"/>
        <w:jc w:val="center"/>
        <w:rPr>
          <w:rFonts w:ascii="Times New Roman" w:hAnsi="Times New Roman"/>
          <w:b/>
          <w:sz w:val="28"/>
          <w:szCs w:val="20"/>
        </w:rPr>
      </w:pPr>
      <w:r w:rsidRPr="00DD42B2">
        <w:rPr>
          <w:rFonts w:ascii="Times New Roman" w:hAnsi="Times New Roman"/>
          <w:b/>
          <w:sz w:val="28"/>
          <w:szCs w:val="20"/>
        </w:rPr>
        <w:t>The Case of Bulgaria</w:t>
      </w:r>
    </w:p>
    <w:p w:rsidR="00DD42B2" w:rsidRPr="00DD42B2" w:rsidRDefault="00DD42B2" w:rsidP="00801FB7">
      <w:pPr>
        <w:suppressAutoHyphens/>
        <w:ind w:firstLine="0"/>
        <w:jc w:val="center"/>
        <w:rPr>
          <w:rFonts w:ascii="Times New Roman" w:hAnsi="Times New Roman"/>
          <w:smallCaps/>
          <w:sz w:val="36"/>
          <w:szCs w:val="36"/>
        </w:rPr>
      </w:pPr>
    </w:p>
    <w:p w:rsidR="00DD42B2" w:rsidRPr="00DD42B2" w:rsidRDefault="00DD42B2" w:rsidP="00DD42B2">
      <w:pPr>
        <w:jc w:val="center"/>
        <w:rPr>
          <w:rFonts w:ascii="Times New Roman" w:hAnsi="Times New Roman"/>
          <w:sz w:val="26"/>
          <w:szCs w:val="26"/>
        </w:rPr>
      </w:pPr>
      <w:r w:rsidRPr="00DD42B2">
        <w:rPr>
          <w:rFonts w:ascii="Times New Roman" w:hAnsi="Times New Roman"/>
          <w:sz w:val="26"/>
          <w:szCs w:val="26"/>
        </w:rPr>
        <w:t>First Part of a Research Paper presented by:</w:t>
      </w:r>
    </w:p>
    <w:p w:rsidR="00DD42B2" w:rsidRPr="00DD42B2" w:rsidRDefault="00DD42B2" w:rsidP="00DD42B2">
      <w:pPr>
        <w:ind w:firstLine="0"/>
        <w:jc w:val="center"/>
        <w:rPr>
          <w:rFonts w:ascii="Times New Roman" w:hAnsi="Times New Roman"/>
          <w:sz w:val="26"/>
          <w:szCs w:val="26"/>
        </w:rPr>
      </w:pPr>
      <w:r w:rsidRPr="00DD42B2">
        <w:rPr>
          <w:rFonts w:ascii="Times New Roman" w:hAnsi="Times New Roman"/>
          <w:sz w:val="26"/>
          <w:szCs w:val="26"/>
        </w:rPr>
        <w:t>Vanya Dimitrova</w:t>
      </w:r>
    </w:p>
    <w:p w:rsidR="006C65AA" w:rsidRPr="00DD42B2" w:rsidRDefault="00DD42B2" w:rsidP="009F0B29">
      <w:pPr>
        <w:ind w:firstLine="0"/>
        <w:jc w:val="center"/>
        <w:rPr>
          <w:rFonts w:ascii="Times New Roman" w:hAnsi="Times New Roman"/>
          <w:sz w:val="26"/>
          <w:szCs w:val="26"/>
        </w:rPr>
      </w:pPr>
      <w:r w:rsidRPr="00DD42B2">
        <w:rPr>
          <w:rFonts w:ascii="Times New Roman" w:hAnsi="Times New Roman"/>
          <w:sz w:val="26"/>
          <w:szCs w:val="26"/>
        </w:rPr>
        <w:t>(Bulgaria)</w:t>
      </w:r>
    </w:p>
    <w:p w:rsidR="009F0B29" w:rsidRPr="00DD42B2" w:rsidRDefault="009F0B29" w:rsidP="009F0B29">
      <w:pPr>
        <w:spacing w:before="500"/>
        <w:ind w:firstLine="0"/>
        <w:jc w:val="center"/>
        <w:rPr>
          <w:rFonts w:ascii="Times New Roman" w:hAnsi="Times New Roman"/>
          <w:sz w:val="26"/>
          <w:szCs w:val="26"/>
        </w:rPr>
      </w:pPr>
      <w:r w:rsidRPr="00DD42B2">
        <w:rPr>
          <w:rFonts w:ascii="Times New Roman" w:hAnsi="Times New Roman"/>
          <w:sz w:val="26"/>
          <w:szCs w:val="26"/>
        </w:rPr>
        <w:t>in partial fulfillment of the requirements for obtaining the degree of</w:t>
      </w:r>
    </w:p>
    <w:p w:rsidR="009F0B29" w:rsidRPr="00DD42B2" w:rsidRDefault="00043966" w:rsidP="009F0B29">
      <w:pPr>
        <w:ind w:firstLine="0"/>
        <w:jc w:val="center"/>
        <w:rPr>
          <w:rFonts w:ascii="Times New Roman" w:hAnsi="Times New Roman"/>
          <w:smallCaps/>
          <w:sz w:val="26"/>
          <w:szCs w:val="26"/>
        </w:rPr>
      </w:pPr>
      <w:r w:rsidRPr="00DD42B2">
        <w:rPr>
          <w:rFonts w:ascii="Times New Roman" w:hAnsi="Times New Roman"/>
          <w:smallCaps/>
          <w:sz w:val="26"/>
          <w:szCs w:val="26"/>
        </w:rPr>
        <w:t>MASTERS OF ARTS IN DEVELOPMENT STUDIES</w:t>
      </w:r>
    </w:p>
    <w:p w:rsidR="009F0B29" w:rsidRPr="00DD42B2" w:rsidRDefault="009F0B29" w:rsidP="00043966">
      <w:pPr>
        <w:spacing w:before="600" w:after="200"/>
        <w:ind w:firstLine="0"/>
        <w:jc w:val="center"/>
        <w:rPr>
          <w:rFonts w:ascii="Times New Roman" w:hAnsi="Times New Roman"/>
          <w:sz w:val="26"/>
          <w:szCs w:val="26"/>
        </w:rPr>
      </w:pPr>
      <w:r w:rsidRPr="00DD42B2">
        <w:rPr>
          <w:rFonts w:ascii="Times New Roman" w:hAnsi="Times New Roman"/>
          <w:sz w:val="26"/>
          <w:szCs w:val="26"/>
        </w:rPr>
        <w:t>Specialization:</w:t>
      </w:r>
    </w:p>
    <w:p w:rsidR="00DD42B2" w:rsidRPr="00DD42B2" w:rsidRDefault="00DD42B2" w:rsidP="00DD42B2">
      <w:pPr>
        <w:ind w:firstLine="0"/>
        <w:jc w:val="center"/>
        <w:rPr>
          <w:rFonts w:ascii="Times New Roman" w:hAnsi="Times New Roman"/>
          <w:b/>
          <w:sz w:val="26"/>
          <w:szCs w:val="26"/>
        </w:rPr>
      </w:pPr>
      <w:r w:rsidRPr="00DD42B2">
        <w:rPr>
          <w:rFonts w:ascii="Times New Roman" w:hAnsi="Times New Roman"/>
          <w:b/>
          <w:sz w:val="26"/>
          <w:szCs w:val="26"/>
        </w:rPr>
        <w:t xml:space="preserve">Governance and Democracy </w:t>
      </w:r>
      <w:r w:rsidRPr="00DD42B2">
        <w:rPr>
          <w:rFonts w:ascii="Times New Roman" w:hAnsi="Times New Roman"/>
          <w:b/>
          <w:sz w:val="26"/>
          <w:szCs w:val="26"/>
        </w:rPr>
        <w:br/>
        <w:t>(G&amp;D)</w:t>
      </w:r>
    </w:p>
    <w:p w:rsidR="009F0B29" w:rsidRPr="00DD42B2" w:rsidRDefault="00D87576" w:rsidP="009F0B29">
      <w:pPr>
        <w:spacing w:before="600" w:after="200"/>
        <w:ind w:firstLine="0"/>
        <w:jc w:val="center"/>
        <w:rPr>
          <w:rFonts w:ascii="Times New Roman" w:hAnsi="Times New Roman"/>
          <w:sz w:val="26"/>
          <w:szCs w:val="26"/>
        </w:rPr>
      </w:pPr>
      <w:r w:rsidRPr="00DD42B2">
        <w:rPr>
          <w:rFonts w:ascii="Times New Roman" w:hAnsi="Times New Roman"/>
          <w:sz w:val="26"/>
          <w:szCs w:val="26"/>
        </w:rPr>
        <w:t>Members of the E</w:t>
      </w:r>
      <w:r w:rsidR="009F0B29" w:rsidRPr="00DD42B2">
        <w:rPr>
          <w:rFonts w:ascii="Times New Roman" w:hAnsi="Times New Roman"/>
          <w:sz w:val="26"/>
          <w:szCs w:val="26"/>
        </w:rPr>
        <w:t xml:space="preserve">xamining </w:t>
      </w:r>
      <w:r w:rsidRPr="00DD42B2">
        <w:rPr>
          <w:rFonts w:ascii="Times New Roman" w:hAnsi="Times New Roman"/>
          <w:sz w:val="26"/>
          <w:szCs w:val="26"/>
        </w:rPr>
        <w:t>C</w:t>
      </w:r>
      <w:r w:rsidR="009F0B29" w:rsidRPr="00DD42B2">
        <w:rPr>
          <w:rFonts w:ascii="Times New Roman" w:hAnsi="Times New Roman"/>
          <w:sz w:val="26"/>
          <w:szCs w:val="26"/>
        </w:rPr>
        <w:t>ommittee:</w:t>
      </w:r>
    </w:p>
    <w:p w:rsidR="00DD42B2" w:rsidRPr="00DD42B2" w:rsidRDefault="00DD42B2" w:rsidP="00DD42B2">
      <w:pPr>
        <w:ind w:firstLine="0"/>
        <w:jc w:val="center"/>
        <w:rPr>
          <w:rFonts w:ascii="Times New Roman" w:hAnsi="Times New Roman"/>
          <w:sz w:val="26"/>
          <w:szCs w:val="26"/>
        </w:rPr>
      </w:pPr>
      <w:r w:rsidRPr="00DD42B2">
        <w:rPr>
          <w:rFonts w:ascii="Times New Roman" w:hAnsi="Times New Roman"/>
          <w:sz w:val="26"/>
          <w:szCs w:val="26"/>
        </w:rPr>
        <w:t>Dr Karim Knio</w:t>
      </w:r>
    </w:p>
    <w:p w:rsidR="009F0B29" w:rsidRPr="00DD42B2" w:rsidRDefault="009F0B29" w:rsidP="009F0B29">
      <w:pPr>
        <w:spacing w:before="800"/>
        <w:ind w:firstLine="0"/>
        <w:jc w:val="center"/>
        <w:rPr>
          <w:rFonts w:ascii="Times New Roman" w:hAnsi="Times New Roman"/>
          <w:sz w:val="26"/>
          <w:szCs w:val="26"/>
        </w:rPr>
      </w:pPr>
      <w:r w:rsidRPr="00DD42B2">
        <w:rPr>
          <w:rFonts w:ascii="Times New Roman" w:hAnsi="Times New Roman"/>
          <w:sz w:val="26"/>
          <w:szCs w:val="26"/>
        </w:rPr>
        <w:t>The Hague, The Netherlands</w:t>
      </w:r>
      <w:r w:rsidRPr="00DD42B2">
        <w:rPr>
          <w:rFonts w:ascii="Times New Roman" w:hAnsi="Times New Roman"/>
          <w:sz w:val="26"/>
          <w:szCs w:val="26"/>
        </w:rPr>
        <w:br/>
      </w:r>
      <w:r w:rsidR="00DD42B2" w:rsidRPr="00DD42B2">
        <w:rPr>
          <w:rFonts w:ascii="Times New Roman" w:hAnsi="Times New Roman"/>
          <w:sz w:val="26"/>
          <w:szCs w:val="26"/>
        </w:rPr>
        <w:t xml:space="preserve">September </w:t>
      </w:r>
      <w:r w:rsidR="00043966" w:rsidRPr="00DD42B2">
        <w:rPr>
          <w:rFonts w:ascii="Times New Roman" w:hAnsi="Times New Roman"/>
          <w:sz w:val="26"/>
          <w:szCs w:val="26"/>
        </w:rPr>
        <w:t>2012</w:t>
      </w:r>
    </w:p>
    <w:p w:rsidR="00043460" w:rsidRDefault="00532F55" w:rsidP="007046B3">
      <w:pPr>
        <w:pStyle w:val="disclaimer"/>
        <w:spacing w:before="0"/>
        <w:rPr>
          <w:w w:val="115"/>
        </w:rPr>
      </w:pPr>
      <w:r w:rsidRPr="00F756EE">
        <w:rPr>
          <w:rFonts w:ascii="Garamond" w:hAnsi="Garamond"/>
          <w:sz w:val="28"/>
        </w:rPr>
        <w:br w:type="page"/>
      </w:r>
      <w:r w:rsidR="00CE123C" w:rsidRPr="00CE123C">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6" o:spid="_x0000_s1030" type="#_x0000_t75" alt="Description: disclaimer" style="position:absolute;margin-left:0;margin-top:.2pt;width:595.5pt;height:841.5pt;z-index:251664384;visibility:visible;mso-position-horizontal:center;mso-position-horizontal-relative:margin;mso-position-vertical-relative:margin">
            <v:imagedata r:id="rId8" o:title="disclaimer"/>
            <w10:wrap type="square" anchorx="margin" anchory="margin"/>
          </v:shape>
        </w:pict>
      </w:r>
    </w:p>
    <w:p w:rsidR="00A41F75" w:rsidRPr="009F0B29" w:rsidRDefault="000908A6" w:rsidP="009F0B29">
      <w:pPr>
        <w:spacing w:after="400"/>
        <w:ind w:firstLine="0"/>
        <w:rPr>
          <w:b/>
          <w:sz w:val="36"/>
          <w:szCs w:val="36"/>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Start w:id="12" w:name="_Toc212783950"/>
      <w:bookmarkEnd w:id="0"/>
      <w:bookmarkEnd w:id="1"/>
      <w:r w:rsidRPr="009F0B29">
        <w:rPr>
          <w:b/>
          <w:sz w:val="36"/>
          <w:szCs w:val="36"/>
        </w:rPr>
        <w:lastRenderedPageBreak/>
        <w:t>C</w:t>
      </w:r>
      <w:r w:rsidR="00316EDA" w:rsidRPr="009F0B29">
        <w:rPr>
          <w:b/>
          <w:sz w:val="36"/>
          <w:szCs w:val="36"/>
        </w:rPr>
        <w:t>ontents</w:t>
      </w:r>
      <w:bookmarkEnd w:id="2"/>
      <w:bookmarkEnd w:id="3"/>
      <w:bookmarkEnd w:id="4"/>
      <w:bookmarkEnd w:id="5"/>
      <w:bookmarkEnd w:id="6"/>
      <w:bookmarkEnd w:id="7"/>
      <w:bookmarkEnd w:id="8"/>
      <w:bookmarkEnd w:id="9"/>
      <w:bookmarkEnd w:id="10"/>
      <w:bookmarkEnd w:id="11"/>
      <w:bookmarkEnd w:id="12"/>
    </w:p>
    <w:p w:rsidR="009F7698" w:rsidRDefault="00CE123C">
      <w:pPr>
        <w:pStyle w:val="TOC1"/>
        <w:rPr>
          <w:rFonts w:asciiTheme="minorHAnsi" w:eastAsiaTheme="minorEastAsia" w:hAnsiTheme="minorHAnsi" w:cstheme="minorBidi"/>
          <w:b w:val="0"/>
          <w:sz w:val="22"/>
          <w:szCs w:val="22"/>
          <w:lang w:val="bg-BG" w:eastAsia="bg-BG"/>
        </w:rPr>
      </w:pPr>
      <w:r w:rsidRPr="00CE123C">
        <w:rPr>
          <w:i/>
        </w:rPr>
        <w:fldChar w:fldCharType="begin"/>
      </w:r>
      <w:r w:rsidR="000E7B60">
        <w:instrText xml:space="preserve"> TOC \o "1-3" \h \z \t "Heading 1 not chapter,4" </w:instrText>
      </w:r>
      <w:r w:rsidRPr="00CE123C">
        <w:rPr>
          <w:i/>
        </w:rPr>
        <w:fldChar w:fldCharType="separate"/>
      </w:r>
      <w:hyperlink w:anchor="_Toc334483982" w:history="1">
        <w:r w:rsidR="009F7698" w:rsidRPr="001B6D72">
          <w:rPr>
            <w:rStyle w:val="Hyperlink"/>
            <w:rFonts w:ascii="Times New Roman" w:hAnsi="Times New Roman"/>
          </w:rPr>
          <w:t>Chapter 1 Introduction</w:t>
        </w:r>
        <w:r w:rsidR="009F7698">
          <w:rPr>
            <w:webHidden/>
          </w:rPr>
          <w:tab/>
        </w:r>
        <w:r>
          <w:rPr>
            <w:webHidden/>
          </w:rPr>
          <w:fldChar w:fldCharType="begin"/>
        </w:r>
        <w:r w:rsidR="009F7698">
          <w:rPr>
            <w:webHidden/>
          </w:rPr>
          <w:instrText xml:space="preserve"> PAGEREF _Toc334483982 \h </w:instrText>
        </w:r>
        <w:r>
          <w:rPr>
            <w:webHidden/>
          </w:rPr>
        </w:r>
        <w:r>
          <w:rPr>
            <w:webHidden/>
          </w:rPr>
          <w:fldChar w:fldCharType="separate"/>
        </w:r>
        <w:r w:rsidR="009F7698">
          <w:rPr>
            <w:webHidden/>
          </w:rPr>
          <w:t>1</w:t>
        </w:r>
        <w:r>
          <w:rPr>
            <w:webHidden/>
          </w:rPr>
          <w:fldChar w:fldCharType="end"/>
        </w:r>
      </w:hyperlink>
    </w:p>
    <w:p w:rsidR="009F7698" w:rsidRDefault="00CE123C">
      <w:pPr>
        <w:pStyle w:val="TOC1"/>
        <w:rPr>
          <w:rFonts w:asciiTheme="minorHAnsi" w:eastAsiaTheme="minorEastAsia" w:hAnsiTheme="minorHAnsi" w:cstheme="minorBidi"/>
          <w:b w:val="0"/>
          <w:sz w:val="22"/>
          <w:szCs w:val="22"/>
          <w:lang w:val="bg-BG" w:eastAsia="bg-BG"/>
        </w:rPr>
      </w:pPr>
      <w:hyperlink w:anchor="_Toc334483983" w:history="1">
        <w:r w:rsidR="009F7698" w:rsidRPr="001B6D72">
          <w:rPr>
            <w:rStyle w:val="Hyperlink"/>
            <w:rFonts w:ascii="Times New Roman" w:hAnsi="Times New Roman"/>
          </w:rPr>
          <w:t>Chapter 2 Theoretical Framework</w:t>
        </w:r>
        <w:r w:rsidR="009F7698">
          <w:rPr>
            <w:webHidden/>
          </w:rPr>
          <w:tab/>
        </w:r>
        <w:r>
          <w:rPr>
            <w:webHidden/>
          </w:rPr>
          <w:fldChar w:fldCharType="begin"/>
        </w:r>
        <w:r w:rsidR="009F7698">
          <w:rPr>
            <w:webHidden/>
          </w:rPr>
          <w:instrText xml:space="preserve"> PAGEREF _Toc334483983 \h </w:instrText>
        </w:r>
        <w:r>
          <w:rPr>
            <w:webHidden/>
          </w:rPr>
        </w:r>
        <w:r>
          <w:rPr>
            <w:webHidden/>
          </w:rPr>
          <w:fldChar w:fldCharType="separate"/>
        </w:r>
        <w:r w:rsidR="009F7698">
          <w:rPr>
            <w:webHidden/>
          </w:rPr>
          <w:t>3</w:t>
        </w:r>
        <w:r>
          <w:rPr>
            <w:webHidden/>
          </w:rPr>
          <w:fldChar w:fldCharType="end"/>
        </w:r>
      </w:hyperlink>
    </w:p>
    <w:p w:rsidR="009F7698" w:rsidRDefault="00CE123C">
      <w:pPr>
        <w:pStyle w:val="TOC2"/>
        <w:rPr>
          <w:rFonts w:asciiTheme="minorHAnsi" w:eastAsiaTheme="minorEastAsia" w:hAnsiTheme="minorHAnsi" w:cstheme="minorBidi"/>
          <w:sz w:val="22"/>
          <w:szCs w:val="22"/>
          <w:lang w:val="bg-BG" w:eastAsia="bg-BG"/>
        </w:rPr>
      </w:pPr>
      <w:hyperlink w:anchor="_Toc334483984" w:history="1">
        <w:r w:rsidR="009F7698" w:rsidRPr="001B6D72">
          <w:rPr>
            <w:rStyle w:val="Hyperlink"/>
            <w:rFonts w:ascii="Times New Roman" w:hAnsi="Times New Roman"/>
          </w:rPr>
          <w:t>2.1. What does democratic consolidation mean?</w:t>
        </w:r>
        <w:r w:rsidR="009F7698">
          <w:rPr>
            <w:webHidden/>
          </w:rPr>
          <w:tab/>
        </w:r>
        <w:r>
          <w:rPr>
            <w:webHidden/>
          </w:rPr>
          <w:fldChar w:fldCharType="begin"/>
        </w:r>
        <w:r w:rsidR="009F7698">
          <w:rPr>
            <w:webHidden/>
          </w:rPr>
          <w:instrText xml:space="preserve"> PAGEREF _Toc334483984 \h </w:instrText>
        </w:r>
        <w:r>
          <w:rPr>
            <w:webHidden/>
          </w:rPr>
        </w:r>
        <w:r>
          <w:rPr>
            <w:webHidden/>
          </w:rPr>
          <w:fldChar w:fldCharType="separate"/>
        </w:r>
        <w:r w:rsidR="009F7698">
          <w:rPr>
            <w:webHidden/>
          </w:rPr>
          <w:t>3</w:t>
        </w:r>
        <w:r>
          <w:rPr>
            <w:webHidden/>
          </w:rPr>
          <w:fldChar w:fldCharType="end"/>
        </w:r>
      </w:hyperlink>
    </w:p>
    <w:p w:rsidR="009F7698" w:rsidRDefault="00CE123C">
      <w:pPr>
        <w:pStyle w:val="TOC2"/>
        <w:rPr>
          <w:rFonts w:asciiTheme="minorHAnsi" w:eastAsiaTheme="minorEastAsia" w:hAnsiTheme="minorHAnsi" w:cstheme="minorBidi"/>
          <w:sz w:val="22"/>
          <w:szCs w:val="22"/>
          <w:lang w:val="bg-BG" w:eastAsia="bg-BG"/>
        </w:rPr>
      </w:pPr>
      <w:hyperlink w:anchor="_Toc334483985" w:history="1">
        <w:r w:rsidR="009F7698" w:rsidRPr="001B6D72">
          <w:rPr>
            <w:rStyle w:val="Hyperlink"/>
            <w:rFonts w:ascii="Times New Roman" w:hAnsi="Times New Roman"/>
          </w:rPr>
          <w:t>2.2. Normative Power Europe</w:t>
        </w:r>
        <w:r w:rsidR="009F7698">
          <w:rPr>
            <w:webHidden/>
          </w:rPr>
          <w:tab/>
        </w:r>
        <w:r>
          <w:rPr>
            <w:webHidden/>
          </w:rPr>
          <w:fldChar w:fldCharType="begin"/>
        </w:r>
        <w:r w:rsidR="009F7698">
          <w:rPr>
            <w:webHidden/>
          </w:rPr>
          <w:instrText xml:space="preserve"> PAGEREF _Toc334483985 \h </w:instrText>
        </w:r>
        <w:r>
          <w:rPr>
            <w:webHidden/>
          </w:rPr>
        </w:r>
        <w:r>
          <w:rPr>
            <w:webHidden/>
          </w:rPr>
          <w:fldChar w:fldCharType="separate"/>
        </w:r>
        <w:r w:rsidR="009F7698">
          <w:rPr>
            <w:webHidden/>
          </w:rPr>
          <w:t>4</w:t>
        </w:r>
        <w:r>
          <w:rPr>
            <w:webHidden/>
          </w:rPr>
          <w:fldChar w:fldCharType="end"/>
        </w:r>
      </w:hyperlink>
    </w:p>
    <w:p w:rsidR="009F7698" w:rsidRDefault="00CE123C">
      <w:pPr>
        <w:pStyle w:val="TOC3"/>
        <w:rPr>
          <w:rFonts w:asciiTheme="minorHAnsi" w:eastAsiaTheme="minorEastAsia" w:hAnsiTheme="minorHAnsi" w:cstheme="minorBidi"/>
          <w:noProof/>
          <w:sz w:val="22"/>
          <w:szCs w:val="22"/>
          <w:lang w:val="bg-BG" w:eastAsia="bg-BG"/>
        </w:rPr>
      </w:pPr>
      <w:hyperlink w:anchor="_Toc334483986" w:history="1">
        <w:r w:rsidR="009F7698" w:rsidRPr="001B6D72">
          <w:rPr>
            <w:rStyle w:val="Hyperlink"/>
            <w:rFonts w:ascii="Times New Roman" w:hAnsi="Times New Roman"/>
            <w:noProof/>
          </w:rPr>
          <w:t>2.2.1. General outline and debates</w:t>
        </w:r>
        <w:r w:rsidR="009F7698">
          <w:rPr>
            <w:noProof/>
            <w:webHidden/>
          </w:rPr>
          <w:tab/>
        </w:r>
        <w:r>
          <w:rPr>
            <w:noProof/>
            <w:webHidden/>
          </w:rPr>
          <w:fldChar w:fldCharType="begin"/>
        </w:r>
        <w:r w:rsidR="009F7698">
          <w:rPr>
            <w:noProof/>
            <w:webHidden/>
          </w:rPr>
          <w:instrText xml:space="preserve"> PAGEREF _Toc334483986 \h </w:instrText>
        </w:r>
        <w:r>
          <w:rPr>
            <w:noProof/>
            <w:webHidden/>
          </w:rPr>
        </w:r>
        <w:r>
          <w:rPr>
            <w:noProof/>
            <w:webHidden/>
          </w:rPr>
          <w:fldChar w:fldCharType="separate"/>
        </w:r>
        <w:r w:rsidR="009F7698">
          <w:rPr>
            <w:noProof/>
            <w:webHidden/>
          </w:rPr>
          <w:t>4</w:t>
        </w:r>
        <w:r>
          <w:rPr>
            <w:noProof/>
            <w:webHidden/>
          </w:rPr>
          <w:fldChar w:fldCharType="end"/>
        </w:r>
      </w:hyperlink>
    </w:p>
    <w:p w:rsidR="009F7698" w:rsidRDefault="00CE123C">
      <w:pPr>
        <w:pStyle w:val="TOC3"/>
        <w:rPr>
          <w:rFonts w:asciiTheme="minorHAnsi" w:eastAsiaTheme="minorEastAsia" w:hAnsiTheme="minorHAnsi" w:cstheme="minorBidi"/>
          <w:noProof/>
          <w:sz w:val="22"/>
          <w:szCs w:val="22"/>
          <w:lang w:val="bg-BG" w:eastAsia="bg-BG"/>
        </w:rPr>
      </w:pPr>
      <w:hyperlink w:anchor="_Toc334483987" w:history="1">
        <w:r w:rsidR="009F7698" w:rsidRPr="001B6D72">
          <w:rPr>
            <w:rStyle w:val="Hyperlink"/>
            <w:rFonts w:ascii="Times New Roman" w:hAnsi="Times New Roman"/>
            <w:noProof/>
          </w:rPr>
          <w:t>2.2.2. Democracy and EU membership negotiations through the prism of NPE</w:t>
        </w:r>
        <w:r w:rsidR="009F7698">
          <w:rPr>
            <w:noProof/>
            <w:webHidden/>
          </w:rPr>
          <w:tab/>
        </w:r>
        <w:r>
          <w:rPr>
            <w:noProof/>
            <w:webHidden/>
          </w:rPr>
          <w:fldChar w:fldCharType="begin"/>
        </w:r>
        <w:r w:rsidR="009F7698">
          <w:rPr>
            <w:noProof/>
            <w:webHidden/>
          </w:rPr>
          <w:instrText xml:space="preserve"> PAGEREF _Toc334483987 \h </w:instrText>
        </w:r>
        <w:r>
          <w:rPr>
            <w:noProof/>
            <w:webHidden/>
          </w:rPr>
        </w:r>
        <w:r>
          <w:rPr>
            <w:noProof/>
            <w:webHidden/>
          </w:rPr>
          <w:fldChar w:fldCharType="separate"/>
        </w:r>
        <w:r w:rsidR="009F7698">
          <w:rPr>
            <w:noProof/>
            <w:webHidden/>
          </w:rPr>
          <w:t>7</w:t>
        </w:r>
        <w:r>
          <w:rPr>
            <w:noProof/>
            <w:webHidden/>
          </w:rPr>
          <w:fldChar w:fldCharType="end"/>
        </w:r>
      </w:hyperlink>
    </w:p>
    <w:p w:rsidR="009F7698" w:rsidRDefault="00CE123C">
      <w:pPr>
        <w:pStyle w:val="TOC2"/>
        <w:rPr>
          <w:rFonts w:asciiTheme="minorHAnsi" w:eastAsiaTheme="minorEastAsia" w:hAnsiTheme="minorHAnsi" w:cstheme="minorBidi"/>
          <w:sz w:val="22"/>
          <w:szCs w:val="22"/>
          <w:lang w:val="bg-BG" w:eastAsia="bg-BG"/>
        </w:rPr>
      </w:pPr>
      <w:hyperlink w:anchor="_Toc334483988" w:history="1">
        <w:r w:rsidR="009F7698" w:rsidRPr="001B6D72">
          <w:rPr>
            <w:rStyle w:val="Hyperlink"/>
            <w:rFonts w:ascii="Times New Roman" w:hAnsi="Times New Roman"/>
          </w:rPr>
          <w:t>2.3. Kitschelt and Historical Institutionalism</w:t>
        </w:r>
        <w:r w:rsidR="009F7698">
          <w:rPr>
            <w:webHidden/>
          </w:rPr>
          <w:tab/>
        </w:r>
        <w:r>
          <w:rPr>
            <w:webHidden/>
          </w:rPr>
          <w:fldChar w:fldCharType="begin"/>
        </w:r>
        <w:r w:rsidR="009F7698">
          <w:rPr>
            <w:webHidden/>
          </w:rPr>
          <w:instrText xml:space="preserve"> PAGEREF _Toc334483988 \h </w:instrText>
        </w:r>
        <w:r>
          <w:rPr>
            <w:webHidden/>
          </w:rPr>
        </w:r>
        <w:r>
          <w:rPr>
            <w:webHidden/>
          </w:rPr>
          <w:fldChar w:fldCharType="separate"/>
        </w:r>
        <w:r w:rsidR="009F7698">
          <w:rPr>
            <w:webHidden/>
          </w:rPr>
          <w:t>9</w:t>
        </w:r>
        <w:r>
          <w:rPr>
            <w:webHidden/>
          </w:rPr>
          <w:fldChar w:fldCharType="end"/>
        </w:r>
      </w:hyperlink>
    </w:p>
    <w:p w:rsidR="009F7698" w:rsidRDefault="00CE123C">
      <w:pPr>
        <w:pStyle w:val="TOC3"/>
        <w:rPr>
          <w:rFonts w:asciiTheme="minorHAnsi" w:eastAsiaTheme="minorEastAsia" w:hAnsiTheme="minorHAnsi" w:cstheme="minorBidi"/>
          <w:noProof/>
          <w:sz w:val="22"/>
          <w:szCs w:val="22"/>
          <w:lang w:val="bg-BG" w:eastAsia="bg-BG"/>
        </w:rPr>
      </w:pPr>
      <w:hyperlink w:anchor="_Toc334483989" w:history="1">
        <w:r w:rsidR="009F7698" w:rsidRPr="001B6D72">
          <w:rPr>
            <w:rStyle w:val="Hyperlink"/>
            <w:rFonts w:ascii="Times New Roman" w:hAnsi="Times New Roman"/>
            <w:noProof/>
          </w:rPr>
          <w:t>2.3.1. Democratic Consolidation and Party Cleavages</w:t>
        </w:r>
        <w:r w:rsidR="009F7698">
          <w:rPr>
            <w:noProof/>
            <w:webHidden/>
          </w:rPr>
          <w:tab/>
        </w:r>
        <w:r>
          <w:rPr>
            <w:noProof/>
            <w:webHidden/>
          </w:rPr>
          <w:fldChar w:fldCharType="begin"/>
        </w:r>
        <w:r w:rsidR="009F7698">
          <w:rPr>
            <w:noProof/>
            <w:webHidden/>
          </w:rPr>
          <w:instrText xml:space="preserve"> PAGEREF _Toc334483989 \h </w:instrText>
        </w:r>
        <w:r>
          <w:rPr>
            <w:noProof/>
            <w:webHidden/>
          </w:rPr>
        </w:r>
        <w:r>
          <w:rPr>
            <w:noProof/>
            <w:webHidden/>
          </w:rPr>
          <w:fldChar w:fldCharType="separate"/>
        </w:r>
        <w:r w:rsidR="009F7698">
          <w:rPr>
            <w:noProof/>
            <w:webHidden/>
          </w:rPr>
          <w:t>9</w:t>
        </w:r>
        <w:r>
          <w:rPr>
            <w:noProof/>
            <w:webHidden/>
          </w:rPr>
          <w:fldChar w:fldCharType="end"/>
        </w:r>
      </w:hyperlink>
    </w:p>
    <w:p w:rsidR="009F7698" w:rsidRDefault="00CE123C">
      <w:pPr>
        <w:pStyle w:val="TOC3"/>
        <w:rPr>
          <w:rFonts w:asciiTheme="minorHAnsi" w:eastAsiaTheme="minorEastAsia" w:hAnsiTheme="minorHAnsi" w:cstheme="minorBidi"/>
          <w:noProof/>
          <w:sz w:val="22"/>
          <w:szCs w:val="22"/>
          <w:lang w:val="bg-BG" w:eastAsia="bg-BG"/>
        </w:rPr>
      </w:pPr>
      <w:hyperlink w:anchor="_Toc334483990" w:history="1">
        <w:r w:rsidR="009F7698" w:rsidRPr="001B6D72">
          <w:rPr>
            <w:rStyle w:val="Hyperlink"/>
            <w:rFonts w:ascii="Times New Roman" w:hAnsi="Times New Roman"/>
            <w:noProof/>
          </w:rPr>
          <w:t>2.3.2. Gaps within Historical Institutionalism</w:t>
        </w:r>
        <w:r w:rsidR="009F7698">
          <w:rPr>
            <w:noProof/>
            <w:webHidden/>
          </w:rPr>
          <w:tab/>
        </w:r>
        <w:r>
          <w:rPr>
            <w:noProof/>
            <w:webHidden/>
          </w:rPr>
          <w:fldChar w:fldCharType="begin"/>
        </w:r>
        <w:r w:rsidR="009F7698">
          <w:rPr>
            <w:noProof/>
            <w:webHidden/>
          </w:rPr>
          <w:instrText xml:space="preserve"> PAGEREF _Toc334483990 \h </w:instrText>
        </w:r>
        <w:r>
          <w:rPr>
            <w:noProof/>
            <w:webHidden/>
          </w:rPr>
        </w:r>
        <w:r>
          <w:rPr>
            <w:noProof/>
            <w:webHidden/>
          </w:rPr>
          <w:fldChar w:fldCharType="separate"/>
        </w:r>
        <w:r w:rsidR="009F7698">
          <w:rPr>
            <w:noProof/>
            <w:webHidden/>
          </w:rPr>
          <w:t>12</w:t>
        </w:r>
        <w:r>
          <w:rPr>
            <w:noProof/>
            <w:webHidden/>
          </w:rPr>
          <w:fldChar w:fldCharType="end"/>
        </w:r>
      </w:hyperlink>
    </w:p>
    <w:p w:rsidR="009F7698" w:rsidRDefault="00CE123C">
      <w:pPr>
        <w:pStyle w:val="TOC2"/>
        <w:rPr>
          <w:rFonts w:asciiTheme="minorHAnsi" w:eastAsiaTheme="minorEastAsia" w:hAnsiTheme="minorHAnsi" w:cstheme="minorBidi"/>
          <w:sz w:val="22"/>
          <w:szCs w:val="22"/>
          <w:lang w:val="bg-BG" w:eastAsia="bg-BG"/>
        </w:rPr>
      </w:pPr>
      <w:hyperlink w:anchor="_Toc334483991" w:history="1">
        <w:r w:rsidR="009F7698" w:rsidRPr="001B6D72">
          <w:rPr>
            <w:rStyle w:val="Hyperlink"/>
            <w:rFonts w:ascii="Times New Roman" w:hAnsi="Times New Roman"/>
          </w:rPr>
          <w:t>2.4. Neo-Gramscian Approach</w:t>
        </w:r>
        <w:r w:rsidR="009F7698">
          <w:rPr>
            <w:webHidden/>
          </w:rPr>
          <w:tab/>
        </w:r>
        <w:r>
          <w:rPr>
            <w:webHidden/>
          </w:rPr>
          <w:fldChar w:fldCharType="begin"/>
        </w:r>
        <w:r w:rsidR="009F7698">
          <w:rPr>
            <w:webHidden/>
          </w:rPr>
          <w:instrText xml:space="preserve"> PAGEREF _Toc334483991 \h </w:instrText>
        </w:r>
        <w:r>
          <w:rPr>
            <w:webHidden/>
          </w:rPr>
        </w:r>
        <w:r>
          <w:rPr>
            <w:webHidden/>
          </w:rPr>
          <w:fldChar w:fldCharType="separate"/>
        </w:r>
        <w:r w:rsidR="009F7698">
          <w:rPr>
            <w:webHidden/>
          </w:rPr>
          <w:t>14</w:t>
        </w:r>
        <w:r>
          <w:rPr>
            <w:webHidden/>
          </w:rPr>
          <w:fldChar w:fldCharType="end"/>
        </w:r>
      </w:hyperlink>
    </w:p>
    <w:p w:rsidR="009F7698" w:rsidRDefault="00CE123C">
      <w:pPr>
        <w:pStyle w:val="TOC3"/>
        <w:rPr>
          <w:rFonts w:asciiTheme="minorHAnsi" w:eastAsiaTheme="minorEastAsia" w:hAnsiTheme="minorHAnsi" w:cstheme="minorBidi"/>
          <w:noProof/>
          <w:sz w:val="22"/>
          <w:szCs w:val="22"/>
          <w:lang w:val="bg-BG" w:eastAsia="bg-BG"/>
        </w:rPr>
      </w:pPr>
      <w:hyperlink w:anchor="_Toc334483992" w:history="1">
        <w:r w:rsidR="009F7698" w:rsidRPr="001B6D72">
          <w:rPr>
            <w:rStyle w:val="Hyperlink"/>
            <w:rFonts w:ascii="Times New Roman" w:hAnsi="Times New Roman"/>
            <w:noProof/>
          </w:rPr>
          <w:t>2.4.1. Outline of the approach and basic concepts</w:t>
        </w:r>
        <w:r w:rsidR="009F7698">
          <w:rPr>
            <w:noProof/>
            <w:webHidden/>
          </w:rPr>
          <w:tab/>
        </w:r>
        <w:r>
          <w:rPr>
            <w:noProof/>
            <w:webHidden/>
          </w:rPr>
          <w:fldChar w:fldCharType="begin"/>
        </w:r>
        <w:r w:rsidR="009F7698">
          <w:rPr>
            <w:noProof/>
            <w:webHidden/>
          </w:rPr>
          <w:instrText xml:space="preserve"> PAGEREF _Toc334483992 \h </w:instrText>
        </w:r>
        <w:r>
          <w:rPr>
            <w:noProof/>
            <w:webHidden/>
          </w:rPr>
        </w:r>
        <w:r>
          <w:rPr>
            <w:noProof/>
            <w:webHidden/>
          </w:rPr>
          <w:fldChar w:fldCharType="separate"/>
        </w:r>
        <w:r w:rsidR="009F7698">
          <w:rPr>
            <w:noProof/>
            <w:webHidden/>
          </w:rPr>
          <w:t>14</w:t>
        </w:r>
        <w:r>
          <w:rPr>
            <w:noProof/>
            <w:webHidden/>
          </w:rPr>
          <w:fldChar w:fldCharType="end"/>
        </w:r>
      </w:hyperlink>
    </w:p>
    <w:p w:rsidR="009F7698" w:rsidRDefault="00CE123C">
      <w:pPr>
        <w:pStyle w:val="TOC3"/>
        <w:rPr>
          <w:rFonts w:asciiTheme="minorHAnsi" w:eastAsiaTheme="minorEastAsia" w:hAnsiTheme="minorHAnsi" w:cstheme="minorBidi"/>
          <w:noProof/>
          <w:sz w:val="22"/>
          <w:szCs w:val="22"/>
          <w:lang w:val="bg-BG" w:eastAsia="bg-BG"/>
        </w:rPr>
      </w:pPr>
      <w:hyperlink w:anchor="_Toc334483993" w:history="1">
        <w:r w:rsidR="009F7698" w:rsidRPr="001B6D72">
          <w:rPr>
            <w:rStyle w:val="Hyperlink"/>
            <w:rFonts w:ascii="Times New Roman" w:hAnsi="Times New Roman"/>
            <w:noProof/>
          </w:rPr>
          <w:t>2.4.2. European policy, enlargement and democracy promotion through Neo-Gramscian eyes</w:t>
        </w:r>
        <w:r w:rsidR="009F7698">
          <w:rPr>
            <w:noProof/>
            <w:webHidden/>
          </w:rPr>
          <w:tab/>
        </w:r>
        <w:r>
          <w:rPr>
            <w:noProof/>
            <w:webHidden/>
          </w:rPr>
          <w:fldChar w:fldCharType="begin"/>
        </w:r>
        <w:r w:rsidR="009F7698">
          <w:rPr>
            <w:noProof/>
            <w:webHidden/>
          </w:rPr>
          <w:instrText xml:space="preserve"> PAGEREF _Toc334483993 \h </w:instrText>
        </w:r>
        <w:r>
          <w:rPr>
            <w:noProof/>
            <w:webHidden/>
          </w:rPr>
        </w:r>
        <w:r>
          <w:rPr>
            <w:noProof/>
            <w:webHidden/>
          </w:rPr>
          <w:fldChar w:fldCharType="separate"/>
        </w:r>
        <w:r w:rsidR="009F7698">
          <w:rPr>
            <w:noProof/>
            <w:webHidden/>
          </w:rPr>
          <w:t>15</w:t>
        </w:r>
        <w:r>
          <w:rPr>
            <w:noProof/>
            <w:webHidden/>
          </w:rPr>
          <w:fldChar w:fldCharType="end"/>
        </w:r>
      </w:hyperlink>
    </w:p>
    <w:p w:rsidR="00043460" w:rsidRPr="008B3247" w:rsidRDefault="00CE123C" w:rsidP="00EB1441">
      <w:pPr>
        <w:pStyle w:val="TOC1"/>
      </w:pPr>
      <w:r>
        <w:rPr>
          <w:b w:val="0"/>
          <w:noProof w:val="0"/>
        </w:rPr>
        <w:fldChar w:fldCharType="end"/>
      </w:r>
    </w:p>
    <w:p w:rsidR="005F09DD" w:rsidRDefault="00DD42B2" w:rsidP="00DD42B2">
      <w:pPr>
        <w:pStyle w:val="Heading1NOTchapter"/>
        <w:spacing w:after="300"/>
        <w:sectPr w:rsidR="005F09DD" w:rsidSect="001F4E93">
          <w:footerReference w:type="even" r:id="rId9"/>
          <w:footerReference w:type="default" r:id="rId10"/>
          <w:headerReference w:type="first" r:id="rId11"/>
          <w:footerReference w:type="first" r:id="rId12"/>
          <w:endnotePr>
            <w:numFmt w:val="decimal"/>
          </w:endnotePr>
          <w:pgSz w:w="11906" w:h="16838" w:code="9"/>
          <w:pgMar w:top="1701" w:right="2268" w:bottom="1701" w:left="2268" w:header="709" w:footer="851" w:gutter="0"/>
          <w:pgNumType w:fmt="lowerRoman" w:start="1"/>
          <w:cols w:space="708"/>
          <w:titlePg/>
          <w:docGrid w:linePitch="360"/>
        </w:sectPr>
      </w:pPr>
      <w:bookmarkStart w:id="13" w:name="_Toc120098264"/>
      <w:r>
        <w:t xml:space="preserve"> </w:t>
      </w:r>
    </w:p>
    <w:bookmarkEnd w:id="13"/>
    <w:p w:rsidR="005F09DD" w:rsidRPr="00163DB0" w:rsidRDefault="00B20AE4" w:rsidP="00B20AE4">
      <w:pPr>
        <w:pStyle w:val="Heading1"/>
        <w:rPr>
          <w:rFonts w:ascii="Times New Roman" w:hAnsi="Times New Roman"/>
        </w:rPr>
      </w:pPr>
      <w:r>
        <w:lastRenderedPageBreak/>
        <w:br/>
      </w:r>
      <w:bookmarkStart w:id="14" w:name="_Toc334483982"/>
      <w:r w:rsidR="004745AA" w:rsidRPr="00163DB0">
        <w:rPr>
          <w:rFonts w:ascii="Times New Roman" w:hAnsi="Times New Roman"/>
        </w:rPr>
        <w:t>Introduction</w:t>
      </w:r>
      <w:bookmarkEnd w:id="14"/>
    </w:p>
    <w:p w:rsidR="00C20D50" w:rsidRPr="007326BF" w:rsidRDefault="00C20D50" w:rsidP="00163DB0">
      <w:pPr>
        <w:spacing w:line="360" w:lineRule="auto"/>
        <w:ind w:firstLine="720"/>
        <w:contextualSpacing/>
        <w:jc w:val="both"/>
        <w:rPr>
          <w:rFonts w:ascii="Times New Roman" w:hAnsi="Times New Roman"/>
          <w:i/>
        </w:rPr>
      </w:pPr>
      <w:r w:rsidRPr="007326BF">
        <w:rPr>
          <w:rFonts w:ascii="Times New Roman" w:hAnsi="Times New Roman"/>
        </w:rPr>
        <w:t>More than twenty years have already passed since the fall of the communist regimes in 1989, but the consequences of the changes within both the political and economic structures in Eastern Europe are still being studied and analyzed. The emphasis of the mainstream discourse within the Eastern European countries is usually put on how to adjust to the market economy and to build democracy, but the almost unified preferences t</w:t>
      </w:r>
      <w:r w:rsidRPr="007326BF">
        <w:rPr>
          <w:rFonts w:ascii="Times New Roman" w:hAnsi="Times New Roman"/>
        </w:rPr>
        <w:t>o</w:t>
      </w:r>
      <w:r w:rsidRPr="007326BF">
        <w:rPr>
          <w:rFonts w:ascii="Times New Roman" w:hAnsi="Times New Roman"/>
        </w:rPr>
        <w:t>wards exactly these political and economic models are rarely questioned, if ever. Popular expectations and hopes for improvement of life standards were usually linked to the purpose to join the European Union, which was promoted as one of the most important goals in most of the countries in the region. Almost two decades after 1989 and after many reforms, a large EU enlargement to the East was finally a fact, but the criticisms on the part of the older member states towards the new not only did not stop, but continue to create contradictory reactions in both Western and Eastern Europe. A</w:t>
      </w:r>
      <w:r w:rsidRPr="007326BF">
        <w:rPr>
          <w:rFonts w:ascii="Times New Roman" w:hAnsi="Times New Roman"/>
        </w:rPr>
        <w:t>l</w:t>
      </w:r>
      <w:r w:rsidRPr="007326BF">
        <w:rPr>
          <w:rFonts w:ascii="Times New Roman" w:hAnsi="Times New Roman"/>
        </w:rPr>
        <w:t>though the main international focus concerning democracy issues is now on Romania and Hungary, Bulgaria is also often scolded for corruption pra</w:t>
      </w:r>
      <w:r w:rsidRPr="007326BF">
        <w:rPr>
          <w:rFonts w:ascii="Times New Roman" w:hAnsi="Times New Roman"/>
        </w:rPr>
        <w:t>c</w:t>
      </w:r>
      <w:r w:rsidRPr="007326BF">
        <w:rPr>
          <w:rFonts w:ascii="Times New Roman" w:hAnsi="Times New Roman"/>
        </w:rPr>
        <w:t>tices, problems with the judicial system, organized crime and inefficient r</w:t>
      </w:r>
      <w:r w:rsidRPr="007326BF">
        <w:rPr>
          <w:rFonts w:ascii="Times New Roman" w:hAnsi="Times New Roman"/>
        </w:rPr>
        <w:t>e</w:t>
      </w:r>
      <w:r w:rsidRPr="007326BF">
        <w:rPr>
          <w:rFonts w:ascii="Times New Roman" w:hAnsi="Times New Roman"/>
        </w:rPr>
        <w:t>forms. Sometimes Bulgaria is defined as "consolidated democracy" (by Freedom House in 2002) (Minkova et al</w:t>
      </w:r>
      <w:r w:rsidR="005151A2">
        <w:rPr>
          <w:rFonts w:ascii="Times New Roman" w:hAnsi="Times New Roman"/>
        </w:rPr>
        <w:t>, 2006</w:t>
      </w:r>
      <w:r w:rsidRPr="007326BF">
        <w:rPr>
          <w:rFonts w:ascii="Times New Roman" w:hAnsi="Times New Roman"/>
        </w:rPr>
        <w:t>: 27) while the same NGO in 2010 declares that “[a]fter twenty years of democratization, Bulgaria and Romania find themselves in the category of ‘semi-consolidated demo</w:t>
      </w:r>
      <w:r w:rsidRPr="00C64FB9">
        <w:rPr>
          <w:rFonts w:ascii="Times New Roman" w:hAnsi="Times New Roman"/>
        </w:rPr>
        <w:t>cr</w:t>
      </w:r>
      <w:r w:rsidRPr="00C64FB9">
        <w:rPr>
          <w:rFonts w:ascii="Times New Roman" w:hAnsi="Times New Roman"/>
        </w:rPr>
        <w:t>a</w:t>
      </w:r>
      <w:r w:rsidRPr="00C64FB9">
        <w:rPr>
          <w:rFonts w:ascii="Times New Roman" w:hAnsi="Times New Roman"/>
        </w:rPr>
        <w:t>cies’” (</w:t>
      </w:r>
      <w:r w:rsidRPr="00C64FB9">
        <w:rPr>
          <w:rFonts w:ascii="Times New Roman" w:hAnsi="Times New Roman"/>
          <w:lang w:val="en-US"/>
        </w:rPr>
        <w:t>Spendzharova</w:t>
      </w:r>
      <w:r w:rsidRPr="00C64FB9">
        <w:rPr>
          <w:rFonts w:ascii="Times New Roman" w:hAnsi="Times New Roman"/>
        </w:rPr>
        <w:t xml:space="preserve"> and </w:t>
      </w:r>
      <w:r w:rsidRPr="00C64FB9">
        <w:rPr>
          <w:rFonts w:ascii="Times New Roman" w:hAnsi="Times New Roman"/>
          <w:lang w:val="en-US"/>
        </w:rPr>
        <w:t>Vachudova</w:t>
      </w:r>
      <w:r w:rsidRPr="00C64FB9">
        <w:rPr>
          <w:rFonts w:ascii="Times New Roman" w:hAnsi="Times New Roman"/>
        </w:rPr>
        <w:t>, 2012: 40). The</w:t>
      </w:r>
      <w:r w:rsidRPr="007326BF">
        <w:rPr>
          <w:rFonts w:ascii="Times New Roman" w:hAnsi="Times New Roman"/>
        </w:rPr>
        <w:t xml:space="preserve"> best illustration of these hesitant opinions about Bulgaria's achievements in the sphere of d</w:t>
      </w:r>
      <w:r w:rsidRPr="007326BF">
        <w:rPr>
          <w:rFonts w:ascii="Times New Roman" w:hAnsi="Times New Roman"/>
        </w:rPr>
        <w:t>e</w:t>
      </w:r>
      <w:r w:rsidRPr="007326BF">
        <w:rPr>
          <w:rFonts w:ascii="Times New Roman" w:hAnsi="Times New Roman"/>
        </w:rPr>
        <w:t>mocracy is the continuous blockage on its aspirations for Schengen me</w:t>
      </w:r>
      <w:r w:rsidRPr="007326BF">
        <w:rPr>
          <w:rFonts w:ascii="Times New Roman" w:hAnsi="Times New Roman"/>
        </w:rPr>
        <w:t>m</w:t>
      </w:r>
      <w:r w:rsidRPr="007326BF">
        <w:rPr>
          <w:rFonts w:ascii="Times New Roman" w:hAnsi="Times New Roman"/>
        </w:rPr>
        <w:t xml:space="preserve">bership by countries such as the Netherlands, Finland, Germany, France, etc. </w:t>
      </w:r>
    </w:p>
    <w:p w:rsidR="009400BC" w:rsidRDefault="00C20D50" w:rsidP="00163DB0">
      <w:pPr>
        <w:pStyle w:val="Numberedtext"/>
        <w:numPr>
          <w:ilvl w:val="0"/>
          <w:numId w:val="0"/>
        </w:numPr>
        <w:tabs>
          <w:tab w:val="clear" w:pos="425"/>
          <w:tab w:val="left" w:pos="720"/>
        </w:tabs>
        <w:spacing w:line="360" w:lineRule="auto"/>
        <w:jc w:val="both"/>
      </w:pPr>
      <w:r w:rsidRPr="007326BF">
        <w:rPr>
          <w:rFonts w:ascii="Times New Roman" w:hAnsi="Times New Roman"/>
        </w:rPr>
        <w:tab/>
        <w:t>Provoked by the lack of enough academic researches and discussions in the public sphere that could look on the democratic and economic trans</w:t>
      </w:r>
      <w:r w:rsidRPr="007326BF">
        <w:rPr>
          <w:rFonts w:ascii="Times New Roman" w:hAnsi="Times New Roman"/>
        </w:rPr>
        <w:t>i</w:t>
      </w:r>
      <w:r w:rsidRPr="007326BF">
        <w:rPr>
          <w:rFonts w:ascii="Times New Roman" w:hAnsi="Times New Roman"/>
        </w:rPr>
        <w:t>tion and realities from a perspective different to the mainstream ones, I am trying to give an alternative view on it. Many authors concentrate on trans</w:t>
      </w:r>
      <w:r w:rsidRPr="007326BF">
        <w:rPr>
          <w:rFonts w:ascii="Times New Roman" w:hAnsi="Times New Roman"/>
        </w:rPr>
        <w:t>i</w:t>
      </w:r>
      <w:r w:rsidRPr="007326BF">
        <w:rPr>
          <w:rFonts w:ascii="Times New Roman" w:hAnsi="Times New Roman"/>
        </w:rPr>
        <w:lastRenderedPageBreak/>
        <w:t>tology and consolidology literature trying to define different structural pr</w:t>
      </w:r>
      <w:r w:rsidRPr="007326BF">
        <w:rPr>
          <w:rFonts w:ascii="Times New Roman" w:hAnsi="Times New Roman"/>
        </w:rPr>
        <w:t>e</w:t>
      </w:r>
      <w:r w:rsidRPr="007326BF">
        <w:rPr>
          <w:rFonts w:ascii="Times New Roman" w:hAnsi="Times New Roman"/>
        </w:rPr>
        <w:t>conditions or put a priority on agency, classify stages of democratization and deal with a variety of definitions of democratic consolidation. The main focus of these works has been on the different speed and results of democr</w:t>
      </w:r>
      <w:r w:rsidRPr="007326BF">
        <w:rPr>
          <w:rFonts w:ascii="Times New Roman" w:hAnsi="Times New Roman"/>
        </w:rPr>
        <w:t>a</w:t>
      </w:r>
      <w:r w:rsidRPr="007326BF">
        <w:rPr>
          <w:rFonts w:ascii="Times New Roman" w:hAnsi="Times New Roman"/>
        </w:rPr>
        <w:t>tization as well as on the influence of the EU membership perspective on democracy building. Thus liberal democracy has been taken for granted and the progress towards it has been judged on the basis of presence or absence of certain features. The EU reports, more specifically those under the Coo</w:t>
      </w:r>
      <w:r w:rsidRPr="007326BF">
        <w:rPr>
          <w:rFonts w:ascii="Times New Roman" w:hAnsi="Times New Roman"/>
        </w:rPr>
        <w:t>p</w:t>
      </w:r>
      <w:r w:rsidRPr="007326BF">
        <w:rPr>
          <w:rFonts w:ascii="Times New Roman" w:hAnsi="Times New Roman"/>
        </w:rPr>
        <w:t>eration and Verification Mechanism have been repeating the same concl</w:t>
      </w:r>
      <w:r w:rsidRPr="007326BF">
        <w:rPr>
          <w:rFonts w:ascii="Times New Roman" w:hAnsi="Times New Roman"/>
        </w:rPr>
        <w:t>u</w:t>
      </w:r>
      <w:r w:rsidRPr="007326BF">
        <w:rPr>
          <w:rFonts w:ascii="Times New Roman" w:hAnsi="Times New Roman"/>
        </w:rPr>
        <w:t>sions and recommendations to Bulgaria</w:t>
      </w:r>
      <w:r>
        <w:rPr>
          <w:rFonts w:ascii="Times New Roman" w:hAnsi="Times New Roman"/>
        </w:rPr>
        <w:t xml:space="preserve"> </w:t>
      </w:r>
      <w:r w:rsidRPr="007326BF">
        <w:rPr>
          <w:rFonts w:ascii="Times New Roman" w:hAnsi="Times New Roman"/>
        </w:rPr>
        <w:t>for years, obviously without a huge effect and it seems that there is lack of real comprehension of what is behind the common findings concerning corruption and rule of law deficiency. Thus, I would like to interrogate the today mainstream explanations and a</w:t>
      </w:r>
      <w:r w:rsidRPr="007326BF">
        <w:rPr>
          <w:rFonts w:ascii="Times New Roman" w:hAnsi="Times New Roman"/>
        </w:rPr>
        <w:t>p</w:t>
      </w:r>
      <w:r w:rsidRPr="007326BF">
        <w:rPr>
          <w:rFonts w:ascii="Times New Roman" w:hAnsi="Times New Roman"/>
        </w:rPr>
        <w:t xml:space="preserve">proaches, and to suggest another explanation of what has happened in the region, which is to be more power-based and questioning the frameworks taken usually for granted. </w:t>
      </w:r>
      <w:r w:rsidRPr="00C64FB9">
        <w:rPr>
          <w:rFonts w:ascii="Times New Roman" w:hAnsi="Times New Roman"/>
          <w:lang w:val="en-US"/>
        </w:rPr>
        <w:t>For this purpose I will examine the case of Bulg</w:t>
      </w:r>
      <w:r w:rsidRPr="00C64FB9">
        <w:rPr>
          <w:rFonts w:ascii="Times New Roman" w:hAnsi="Times New Roman"/>
          <w:lang w:val="en-US"/>
        </w:rPr>
        <w:t>a</w:t>
      </w:r>
      <w:r w:rsidRPr="00C64FB9">
        <w:rPr>
          <w:rFonts w:ascii="Times New Roman" w:hAnsi="Times New Roman"/>
          <w:lang w:val="en-US"/>
        </w:rPr>
        <w:t>ria, the last country to join the EI in 2007, from the prism of three distinct theoretical approaches.</w:t>
      </w:r>
    </w:p>
    <w:p w:rsidR="009400BC" w:rsidRPr="00163DB0" w:rsidRDefault="00233B8B" w:rsidP="009400BC">
      <w:pPr>
        <w:pStyle w:val="Heading1"/>
        <w:rPr>
          <w:rFonts w:ascii="Times New Roman" w:hAnsi="Times New Roman"/>
        </w:rPr>
      </w:pPr>
      <w:bookmarkStart w:id="15" w:name="_Toc120098277"/>
      <w:r w:rsidRPr="00163DB0">
        <w:rPr>
          <w:rFonts w:ascii="Times New Roman" w:hAnsi="Times New Roman"/>
        </w:rPr>
        <w:lastRenderedPageBreak/>
        <w:br/>
      </w:r>
      <w:bookmarkStart w:id="16" w:name="_Toc334483983"/>
      <w:r w:rsidR="00C20D50" w:rsidRPr="00163DB0">
        <w:rPr>
          <w:rFonts w:ascii="Times New Roman" w:hAnsi="Times New Roman"/>
        </w:rPr>
        <w:t>Theoretical Framework</w:t>
      </w:r>
      <w:bookmarkEnd w:id="16"/>
    </w:p>
    <w:p w:rsidR="00F30656" w:rsidRDefault="00F30656" w:rsidP="00F30656">
      <w:pPr>
        <w:spacing w:line="360" w:lineRule="auto"/>
        <w:ind w:firstLine="0"/>
        <w:contextualSpacing/>
        <w:jc w:val="both"/>
        <w:rPr>
          <w:rFonts w:ascii="Times New Roman" w:hAnsi="Times New Roman"/>
          <w:color w:val="FF0000"/>
        </w:rPr>
      </w:pPr>
      <w:r w:rsidRPr="00C64FB9">
        <w:rPr>
          <w:rFonts w:ascii="Times New Roman" w:hAnsi="Times New Roman"/>
          <w:lang w:val="en-US"/>
        </w:rPr>
        <w:t>I am going to make use of three theoretical frameworks in the present r</w:t>
      </w:r>
      <w:r w:rsidRPr="00C64FB9">
        <w:rPr>
          <w:rFonts w:ascii="Times New Roman" w:hAnsi="Times New Roman"/>
          <w:lang w:val="en-US"/>
        </w:rPr>
        <w:t>e</w:t>
      </w:r>
      <w:r w:rsidRPr="00C64FB9">
        <w:rPr>
          <w:rFonts w:ascii="Times New Roman" w:hAnsi="Times New Roman"/>
          <w:lang w:val="en-US"/>
        </w:rPr>
        <w:t xml:space="preserve">search. </w:t>
      </w:r>
      <w:r w:rsidRPr="00C64FB9">
        <w:rPr>
          <w:rFonts w:ascii="Times New Roman" w:hAnsi="Times New Roman"/>
        </w:rPr>
        <w:t xml:space="preserve">Two of them are quite mainstream: </w:t>
      </w:r>
      <w:r w:rsidRPr="00C64FB9">
        <w:rPr>
          <w:rFonts w:ascii="Times New Roman" w:hAnsi="Times New Roman"/>
          <w:lang w:val="en-US"/>
        </w:rPr>
        <w:t xml:space="preserve">first, </w:t>
      </w:r>
      <w:r w:rsidRPr="00C64FB9">
        <w:rPr>
          <w:rFonts w:ascii="Times New Roman" w:hAnsi="Times New Roman"/>
        </w:rPr>
        <w:t>Normative Power Europe, a term coined by Ian Manners, and</w:t>
      </w:r>
      <w:r w:rsidRPr="00C64FB9">
        <w:rPr>
          <w:rFonts w:ascii="Times New Roman" w:hAnsi="Times New Roman"/>
          <w:lang w:val="en-US"/>
        </w:rPr>
        <w:t>,</w:t>
      </w:r>
      <w:r w:rsidRPr="00C64FB9">
        <w:rPr>
          <w:rFonts w:ascii="Times New Roman" w:hAnsi="Times New Roman"/>
        </w:rPr>
        <w:t xml:space="preserve"> </w:t>
      </w:r>
      <w:r w:rsidRPr="00C64FB9">
        <w:rPr>
          <w:rFonts w:ascii="Times New Roman" w:hAnsi="Times New Roman"/>
          <w:lang w:val="en-US"/>
        </w:rPr>
        <w:t xml:space="preserve">second, </w:t>
      </w:r>
      <w:r w:rsidRPr="00C64FB9">
        <w:rPr>
          <w:rFonts w:ascii="Times New Roman" w:hAnsi="Times New Roman"/>
        </w:rPr>
        <w:t>a type of historical institutiona</w:t>
      </w:r>
      <w:r w:rsidRPr="00C64FB9">
        <w:rPr>
          <w:rFonts w:ascii="Times New Roman" w:hAnsi="Times New Roman"/>
        </w:rPr>
        <w:t>l</w:t>
      </w:r>
      <w:r w:rsidRPr="00C64FB9">
        <w:rPr>
          <w:rFonts w:ascii="Times New Roman" w:hAnsi="Times New Roman"/>
        </w:rPr>
        <w:t xml:space="preserve">ism as used by Herbert Kitschelt. However, I suggest </w:t>
      </w:r>
      <w:r w:rsidRPr="00C64FB9">
        <w:rPr>
          <w:rFonts w:ascii="Times New Roman" w:hAnsi="Times New Roman"/>
          <w:lang w:val="en-US"/>
        </w:rPr>
        <w:t>a third perspective for a</w:t>
      </w:r>
      <w:r w:rsidRPr="00C64FB9">
        <w:rPr>
          <w:rFonts w:ascii="Times New Roman" w:hAnsi="Times New Roman"/>
        </w:rPr>
        <w:t xml:space="preserve"> deeper explanation and </w:t>
      </w:r>
      <w:r w:rsidRPr="00C64FB9">
        <w:rPr>
          <w:rFonts w:ascii="Times New Roman" w:hAnsi="Times New Roman"/>
          <w:lang w:val="en-US"/>
        </w:rPr>
        <w:t xml:space="preserve">better </w:t>
      </w:r>
      <w:r w:rsidRPr="00C64FB9">
        <w:rPr>
          <w:rFonts w:ascii="Times New Roman" w:hAnsi="Times New Roman"/>
        </w:rPr>
        <w:t>understanding of the processes in Bulgaria and I will use a Neo-Gramscian approach for this purpose.</w:t>
      </w:r>
      <w:r w:rsidRPr="00C64FB9">
        <w:rPr>
          <w:rFonts w:ascii="Times New Roman" w:hAnsi="Times New Roman"/>
          <w:lang w:val="en-US"/>
        </w:rPr>
        <w:t xml:space="preserve"> First of all, ho</w:t>
      </w:r>
      <w:r w:rsidRPr="00C64FB9">
        <w:rPr>
          <w:rFonts w:ascii="Times New Roman" w:hAnsi="Times New Roman"/>
          <w:lang w:val="en-US"/>
        </w:rPr>
        <w:t>w</w:t>
      </w:r>
      <w:r w:rsidRPr="00C64FB9">
        <w:rPr>
          <w:rFonts w:ascii="Times New Roman" w:hAnsi="Times New Roman"/>
          <w:lang w:val="en-US"/>
        </w:rPr>
        <w:t>ever, I will supply an overview of the concept of democratic consolidation as a part of the democratization process.</w:t>
      </w:r>
    </w:p>
    <w:p w:rsidR="00F30656" w:rsidRDefault="00F30656" w:rsidP="00F30656">
      <w:pPr>
        <w:spacing w:line="360" w:lineRule="auto"/>
        <w:contextualSpacing/>
        <w:jc w:val="both"/>
        <w:rPr>
          <w:rFonts w:ascii="Times New Roman" w:hAnsi="Times New Roman"/>
        </w:rPr>
      </w:pPr>
      <w:r w:rsidRPr="007326BF">
        <w:rPr>
          <w:rFonts w:ascii="Times New Roman" w:hAnsi="Times New Roman"/>
        </w:rPr>
        <w:tab/>
        <w:t>In my research I use predominantly secondary literature: academic researches and journal articles. I will also use some EU documentation from the negotiation process and after it. Newspaper articles and reports on Bu</w:t>
      </w:r>
      <w:r w:rsidRPr="007326BF">
        <w:rPr>
          <w:rFonts w:ascii="Times New Roman" w:hAnsi="Times New Roman"/>
        </w:rPr>
        <w:t>l</w:t>
      </w:r>
      <w:r w:rsidRPr="007326BF">
        <w:rPr>
          <w:rFonts w:ascii="Times New Roman" w:hAnsi="Times New Roman"/>
        </w:rPr>
        <w:t>garia have been explored and found helpful as well.</w:t>
      </w:r>
    </w:p>
    <w:p w:rsidR="00C20D50" w:rsidRPr="00163DB0" w:rsidRDefault="00C20D50" w:rsidP="00C20D50">
      <w:pPr>
        <w:pStyle w:val="Heading2"/>
        <w:rPr>
          <w:rFonts w:ascii="Times New Roman" w:hAnsi="Times New Roman"/>
          <w:sz w:val="28"/>
        </w:rPr>
      </w:pPr>
      <w:bookmarkStart w:id="17" w:name="_Toc334483984"/>
      <w:r w:rsidRPr="00163DB0">
        <w:rPr>
          <w:rFonts w:ascii="Times New Roman" w:hAnsi="Times New Roman"/>
        </w:rPr>
        <w:t>2.1</w:t>
      </w:r>
      <w:r w:rsidR="009F7698">
        <w:rPr>
          <w:rFonts w:ascii="Times New Roman" w:hAnsi="Times New Roman"/>
        </w:rPr>
        <w:t>.</w:t>
      </w:r>
      <w:r w:rsidRPr="00163DB0">
        <w:rPr>
          <w:rFonts w:ascii="Times New Roman" w:hAnsi="Times New Roman"/>
        </w:rPr>
        <w:t xml:space="preserve"> </w:t>
      </w:r>
      <w:r w:rsidRPr="00163DB0">
        <w:rPr>
          <w:rFonts w:ascii="Times New Roman" w:hAnsi="Times New Roman"/>
          <w:sz w:val="28"/>
        </w:rPr>
        <w:t>What does democratic consolidation mean?</w:t>
      </w:r>
      <w:bookmarkEnd w:id="17"/>
    </w:p>
    <w:p w:rsidR="00C20D50" w:rsidRDefault="00C20D50" w:rsidP="00C20D50">
      <w:pPr>
        <w:spacing w:line="360" w:lineRule="auto"/>
        <w:ind w:firstLine="720"/>
        <w:contextualSpacing/>
        <w:jc w:val="both"/>
        <w:rPr>
          <w:rFonts w:ascii="Times New Roman" w:hAnsi="Times New Roman"/>
        </w:rPr>
      </w:pPr>
      <w:r>
        <w:rPr>
          <w:rFonts w:ascii="Times New Roman" w:hAnsi="Times New Roman"/>
        </w:rPr>
        <w:t xml:space="preserve">Although this paper is not going into debates of definitions and measuring democratic consolidation, a brief overview over general frames is needed. </w:t>
      </w:r>
      <w:r w:rsidRPr="007B52A7">
        <w:rPr>
          <w:rFonts w:ascii="Times New Roman" w:hAnsi="Times New Roman"/>
        </w:rPr>
        <w:t>There are different definitions of democratic consolidation, some of them minimalist taking into account the holding of free and fair elections as the most important sign of it, while other definitions go deeper into dome</w:t>
      </w:r>
      <w:r w:rsidRPr="007B52A7">
        <w:rPr>
          <w:rFonts w:ascii="Times New Roman" w:hAnsi="Times New Roman"/>
        </w:rPr>
        <w:t>s</w:t>
      </w:r>
      <w:r w:rsidRPr="007B52A7">
        <w:rPr>
          <w:rFonts w:ascii="Times New Roman" w:hAnsi="Times New Roman"/>
        </w:rPr>
        <w:t xml:space="preserve">tic factors, such as the acceptance of democracy as “the only game in the town” for Linz and Stepan, civil society, political culture for Robert Dahl </w:t>
      </w:r>
      <w:r w:rsidRPr="00037DC4">
        <w:rPr>
          <w:rFonts w:ascii="Times New Roman" w:hAnsi="Times New Roman"/>
        </w:rPr>
        <w:t>(Diamond</w:t>
      </w:r>
      <w:r w:rsidR="00037DC4" w:rsidRPr="00037DC4">
        <w:rPr>
          <w:rFonts w:ascii="Times New Roman" w:hAnsi="Times New Roman"/>
        </w:rPr>
        <w:t xml:space="preserve"> et al</w:t>
      </w:r>
      <w:r w:rsidRPr="00037DC4">
        <w:rPr>
          <w:rFonts w:ascii="Times New Roman" w:hAnsi="Times New Roman"/>
        </w:rPr>
        <w:t>, 1997: xvii</w:t>
      </w:r>
      <w:r w:rsidRPr="007B52A7">
        <w:rPr>
          <w:rFonts w:ascii="Times New Roman" w:hAnsi="Times New Roman"/>
        </w:rPr>
        <w:t>). There is a distinction between electoral demo</w:t>
      </w:r>
      <w:r w:rsidRPr="007B52A7">
        <w:rPr>
          <w:rFonts w:ascii="Times New Roman" w:hAnsi="Times New Roman"/>
        </w:rPr>
        <w:t>c</w:t>
      </w:r>
      <w:r w:rsidRPr="007B52A7">
        <w:rPr>
          <w:rFonts w:ascii="Times New Roman" w:hAnsi="Times New Roman"/>
        </w:rPr>
        <w:t>racy and the entrenched institutions of liberal democracy, as Linz and St</w:t>
      </w:r>
      <w:r w:rsidRPr="007B52A7">
        <w:rPr>
          <w:rFonts w:ascii="Times New Roman" w:hAnsi="Times New Roman"/>
        </w:rPr>
        <w:t>e</w:t>
      </w:r>
      <w:r w:rsidRPr="007B52A7">
        <w:rPr>
          <w:rFonts w:ascii="Times New Roman" w:hAnsi="Times New Roman"/>
        </w:rPr>
        <w:t>pan postulate: “If freely elected executives… infringe the constitution, vi</w:t>
      </w:r>
      <w:r w:rsidRPr="007B52A7">
        <w:rPr>
          <w:rFonts w:ascii="Times New Roman" w:hAnsi="Times New Roman"/>
        </w:rPr>
        <w:t>o</w:t>
      </w:r>
      <w:r w:rsidRPr="007B52A7">
        <w:rPr>
          <w:rFonts w:ascii="Times New Roman" w:hAnsi="Times New Roman"/>
        </w:rPr>
        <w:t>late the rights of individuals and minorities, impinge upon the legitimate functions of the legislature, and thus fail to rule within the bounds of a state of law, their regimes are not democracies” (</w:t>
      </w:r>
      <w:r w:rsidR="00037DC4" w:rsidRPr="00037DC4">
        <w:rPr>
          <w:rFonts w:ascii="Times New Roman" w:hAnsi="Times New Roman"/>
        </w:rPr>
        <w:t>Diamond et al</w:t>
      </w:r>
      <w:r w:rsidRPr="007B52A7">
        <w:rPr>
          <w:rFonts w:ascii="Times New Roman" w:hAnsi="Times New Roman"/>
        </w:rPr>
        <w:t xml:space="preserve">, 1997: xiv). For them in order to consider a democracy consolidated it needs to become “the only game in town”, and democratic behavior, attitude, values to become deeply embedded in the institutions, society and in political life. Thus there </w:t>
      </w:r>
      <w:r w:rsidRPr="007B52A7">
        <w:rPr>
          <w:rFonts w:ascii="Times New Roman" w:hAnsi="Times New Roman"/>
        </w:rPr>
        <w:lastRenderedPageBreak/>
        <w:t>should be a deep conviction in the society and political elite that democratic regime cannot and should not be infringed and everyone abides by the d</w:t>
      </w:r>
      <w:r w:rsidRPr="007B52A7">
        <w:rPr>
          <w:rFonts w:ascii="Times New Roman" w:hAnsi="Times New Roman"/>
        </w:rPr>
        <w:t>e</w:t>
      </w:r>
      <w:r w:rsidRPr="007B52A7">
        <w:rPr>
          <w:rFonts w:ascii="Times New Roman" w:hAnsi="Times New Roman"/>
        </w:rPr>
        <w:t>mocratic rules (</w:t>
      </w:r>
      <w:r w:rsidR="00037DC4" w:rsidRPr="00037DC4">
        <w:rPr>
          <w:rFonts w:ascii="Times New Roman" w:hAnsi="Times New Roman"/>
        </w:rPr>
        <w:t>Diamond et al</w:t>
      </w:r>
      <w:r w:rsidRPr="007B52A7">
        <w:rPr>
          <w:rFonts w:ascii="Times New Roman" w:hAnsi="Times New Roman"/>
        </w:rPr>
        <w:t>, 1997: xv).  Other authors, such as Nikiforos Diamandouros and Robert Dahl also insist that it is important for democracy consolidation that conflicts between political opponents, minorities, etc, should be dealt with via protecting their rights through institutions. In order for institutions to become truly democratic and to serve their purpose, Dahl argues that a specific democratic political culture should come into being, including “shared norms as political trust, tolerance, willingness to co</w:t>
      </w:r>
      <w:r w:rsidRPr="007B52A7">
        <w:rPr>
          <w:rFonts w:ascii="Times New Roman" w:hAnsi="Times New Roman"/>
        </w:rPr>
        <w:t>m</w:t>
      </w:r>
      <w:r w:rsidRPr="007B52A7">
        <w:rPr>
          <w:rFonts w:ascii="Times New Roman" w:hAnsi="Times New Roman"/>
        </w:rPr>
        <w:t>promise, and, most of all, belief in democratic legitimacy [or] those instit</w:t>
      </w:r>
      <w:r w:rsidRPr="007B52A7">
        <w:rPr>
          <w:rFonts w:ascii="Times New Roman" w:hAnsi="Times New Roman"/>
        </w:rPr>
        <w:t>u</w:t>
      </w:r>
      <w:r w:rsidRPr="007B52A7">
        <w:rPr>
          <w:rFonts w:ascii="Times New Roman" w:hAnsi="Times New Roman"/>
        </w:rPr>
        <w:t>tions will be vulnerable to breakdown in times of crisis” (</w:t>
      </w:r>
      <w:r w:rsidR="00037DC4" w:rsidRPr="00037DC4">
        <w:rPr>
          <w:rFonts w:ascii="Times New Roman" w:hAnsi="Times New Roman"/>
        </w:rPr>
        <w:t>Diamond et al</w:t>
      </w:r>
      <w:r w:rsidRPr="007B52A7">
        <w:rPr>
          <w:rFonts w:ascii="Times New Roman" w:hAnsi="Times New Roman"/>
        </w:rPr>
        <w:t xml:space="preserve">, 1997: xviii). In brief, a democratic consolidation is about legitimized shared democratic values and norms, materialized and solidly enrooted in political institutions and in the minds of political actors and society. </w:t>
      </w:r>
    </w:p>
    <w:p w:rsidR="00C20D50" w:rsidRDefault="00C20D50" w:rsidP="00C20D50">
      <w:pPr>
        <w:spacing w:line="360" w:lineRule="auto"/>
        <w:ind w:firstLine="720"/>
        <w:contextualSpacing/>
        <w:jc w:val="both"/>
        <w:rPr>
          <w:rFonts w:ascii="Times New Roman" w:hAnsi="Times New Roman"/>
        </w:rPr>
      </w:pPr>
      <w:r>
        <w:rPr>
          <w:rFonts w:ascii="Times New Roman" w:hAnsi="Times New Roman"/>
        </w:rPr>
        <w:t>Then on the basis of Linz and Stepan's conceptualization in order to verify whether a certain country has become democratically consolidated, a look into its institutions and political culture is required. Problem-solving theories do exactly this and analyze the degree of democratization according to the above definitions' requirements. Critical theories, on the other hand, do not concentrate on every feature of these requirements, but look at d</w:t>
      </w:r>
      <w:r>
        <w:rPr>
          <w:rFonts w:ascii="Times New Roman" w:hAnsi="Times New Roman"/>
        </w:rPr>
        <w:t>e</w:t>
      </w:r>
      <w:r>
        <w:rPr>
          <w:rFonts w:ascii="Times New Roman" w:hAnsi="Times New Roman"/>
        </w:rPr>
        <w:t>mocracy as a part of the whole system.</w:t>
      </w:r>
    </w:p>
    <w:p w:rsidR="00C20D50" w:rsidRPr="007B52A7" w:rsidRDefault="00C20D50" w:rsidP="00C20D50">
      <w:pPr>
        <w:spacing w:line="360" w:lineRule="auto"/>
        <w:ind w:firstLine="720"/>
        <w:contextualSpacing/>
        <w:jc w:val="both"/>
        <w:rPr>
          <w:rFonts w:ascii="Times New Roman" w:hAnsi="Times New Roman"/>
        </w:rPr>
      </w:pPr>
    </w:p>
    <w:p w:rsidR="00C20D50" w:rsidRPr="00163DB0" w:rsidRDefault="00C20D50" w:rsidP="00C20D50">
      <w:pPr>
        <w:pStyle w:val="Heading2"/>
        <w:rPr>
          <w:rFonts w:ascii="Times New Roman" w:hAnsi="Times New Roman"/>
        </w:rPr>
      </w:pPr>
      <w:bookmarkStart w:id="18" w:name="_Toc334483985"/>
      <w:r w:rsidRPr="00163DB0">
        <w:rPr>
          <w:rFonts w:ascii="Times New Roman" w:hAnsi="Times New Roman"/>
        </w:rPr>
        <w:t>2.2. Normative Power Europe</w:t>
      </w:r>
      <w:bookmarkEnd w:id="18"/>
    </w:p>
    <w:p w:rsidR="00C20D50" w:rsidRPr="00163DB0" w:rsidRDefault="00C20D50" w:rsidP="00C20D50">
      <w:pPr>
        <w:pStyle w:val="Heading3"/>
        <w:rPr>
          <w:rFonts w:ascii="Times New Roman" w:hAnsi="Times New Roman"/>
        </w:rPr>
      </w:pPr>
      <w:bookmarkStart w:id="19" w:name="_Toc334483986"/>
      <w:r w:rsidRPr="00163DB0">
        <w:rPr>
          <w:rFonts w:ascii="Times New Roman" w:hAnsi="Times New Roman"/>
        </w:rPr>
        <w:t>2.2.1. General outline and debates</w:t>
      </w:r>
      <w:bookmarkEnd w:id="19"/>
    </w:p>
    <w:p w:rsidR="00C20D50" w:rsidRDefault="00C20D50" w:rsidP="00087D79">
      <w:pPr>
        <w:spacing w:line="360" w:lineRule="auto"/>
        <w:ind w:firstLine="0"/>
        <w:jc w:val="both"/>
        <w:rPr>
          <w:rFonts w:ascii="Times New Roman" w:hAnsi="Times New Roman"/>
          <w:color w:val="FF0000"/>
        </w:rPr>
      </w:pPr>
      <w:r w:rsidRPr="007326BF">
        <w:rPr>
          <w:rFonts w:ascii="Times New Roman" w:hAnsi="Times New Roman"/>
        </w:rPr>
        <w:t>The first theoretical concept that I use to analyze the democratic consolid</w:t>
      </w:r>
      <w:r w:rsidRPr="007326BF">
        <w:rPr>
          <w:rFonts w:ascii="Times New Roman" w:hAnsi="Times New Roman"/>
        </w:rPr>
        <w:t>a</w:t>
      </w:r>
      <w:r w:rsidRPr="007326BF">
        <w:rPr>
          <w:rFonts w:ascii="Times New Roman" w:hAnsi="Times New Roman"/>
        </w:rPr>
        <w:t>tion of Bulgaria within the EU is Ian Manners’ Normative Power Europe. First debates</w:t>
      </w:r>
      <w:r w:rsidR="00087D79">
        <w:rPr>
          <w:rStyle w:val="FootnoteReference"/>
        </w:rPr>
        <w:footnoteReference w:id="3"/>
      </w:r>
      <w:r w:rsidRPr="007326BF">
        <w:rPr>
          <w:rFonts w:ascii="Times New Roman" w:hAnsi="Times New Roman"/>
        </w:rPr>
        <w:t xml:space="preserve"> on the distinction between military and civilian power were started by Duchêne in the 1970s, when he </w:t>
      </w:r>
      <w:r w:rsidRPr="006B4367">
        <w:rPr>
          <w:rFonts w:ascii="Times New Roman" w:hAnsi="Times New Roman"/>
        </w:rPr>
        <w:t>took</w:t>
      </w:r>
      <w:r w:rsidRPr="007326BF">
        <w:rPr>
          <w:rFonts w:ascii="Times New Roman" w:hAnsi="Times New Roman"/>
        </w:rPr>
        <w:t xml:space="preserve"> the European Community </w:t>
      </w:r>
      <w:r>
        <w:rPr>
          <w:rFonts w:ascii="Times New Roman" w:hAnsi="Times New Roman"/>
        </w:rPr>
        <w:t>for</w:t>
      </w:r>
      <w:r w:rsidRPr="007326BF">
        <w:rPr>
          <w:rFonts w:ascii="Times New Roman" w:hAnsi="Times New Roman"/>
        </w:rPr>
        <w:t xml:space="preserve"> a civilian power. Academic discussions on the nature of EC's policy </w:t>
      </w:r>
      <w:r w:rsidRPr="007326BF">
        <w:rPr>
          <w:rFonts w:ascii="Times New Roman" w:hAnsi="Times New Roman"/>
        </w:rPr>
        <w:lastRenderedPageBreak/>
        <w:t>were complemented by authors as Galtung, Bull, Hill, who objected to some of Duchêne's claims, as Bull in the 1980s thought that Europe cannot be a significant actor at the international scene without military capacities, while Hill in 1990 argued that "a civilian 'model' does not use coercive instr</w:t>
      </w:r>
      <w:r w:rsidRPr="007326BF">
        <w:rPr>
          <w:rFonts w:ascii="Times New Roman" w:hAnsi="Times New Roman"/>
        </w:rPr>
        <w:t>u</w:t>
      </w:r>
      <w:r w:rsidRPr="007326BF">
        <w:rPr>
          <w:rFonts w:ascii="Times New Roman" w:hAnsi="Times New Roman"/>
        </w:rPr>
        <w:t>ments" (Pace, 2007: 1042). Further elaborations on the civilian and military models were developed with the changes in the international circumstances, namely the fall of communism in Eastern Europe, the disintegration of the former 'enemy' the Soviet Union and the transition of the post-communist countries to market economy and liberal democracy. During this process of democratization the European Union solidified its policy-making on the b</w:t>
      </w:r>
      <w:r w:rsidRPr="007326BF">
        <w:rPr>
          <w:rFonts w:ascii="Times New Roman" w:hAnsi="Times New Roman"/>
        </w:rPr>
        <w:t>a</w:t>
      </w:r>
      <w:r w:rsidRPr="007326BF">
        <w:rPr>
          <w:rFonts w:ascii="Times New Roman" w:hAnsi="Times New Roman"/>
        </w:rPr>
        <w:t>sis of civilian means and promotion of democratic and human rights values. Authors such as Whitman, Larsen and Manners pointed out that thus, d</w:t>
      </w:r>
      <w:r w:rsidRPr="007326BF">
        <w:rPr>
          <w:rFonts w:ascii="Times New Roman" w:hAnsi="Times New Roman"/>
        </w:rPr>
        <w:t>e</w:t>
      </w:r>
      <w:r w:rsidRPr="007326BF">
        <w:rPr>
          <w:rFonts w:ascii="Times New Roman" w:hAnsi="Times New Roman"/>
        </w:rPr>
        <w:t xml:space="preserve">spite the acquisition of military capacities, the European Union in its foreign and domestic policy remains firmly grounded as a civilian power and that "militarization of the EU need not necessarily lead to the diminution of the EU’s normative power, if the process is characterized by critical reﬂection rather than the pursuit of ‘great power'" </w:t>
      </w:r>
      <w:r w:rsidRPr="00064F38">
        <w:rPr>
          <w:rFonts w:ascii="Times New Roman" w:hAnsi="Times New Roman"/>
        </w:rPr>
        <w:t>(Manners, 2006</w:t>
      </w:r>
      <w:r w:rsidR="00064F38" w:rsidRPr="00064F38">
        <w:rPr>
          <w:rFonts w:ascii="Times New Roman" w:hAnsi="Times New Roman"/>
        </w:rPr>
        <w:t>a</w:t>
      </w:r>
      <w:r w:rsidRPr="00064F38">
        <w:rPr>
          <w:rFonts w:ascii="Times New Roman" w:hAnsi="Times New Roman"/>
        </w:rPr>
        <w:t>: 182</w:t>
      </w:r>
      <w:r w:rsidRPr="007326BF">
        <w:rPr>
          <w:rFonts w:ascii="Times New Roman" w:hAnsi="Times New Roman"/>
        </w:rPr>
        <w:t xml:space="preserve">). However, Manners later points out that if militarization goes into the direction beyond the European Security Strategy, this will endanger the 'normativeness' of the EU </w:t>
      </w:r>
      <w:r w:rsidRPr="00064F38">
        <w:rPr>
          <w:rFonts w:ascii="Times New Roman" w:hAnsi="Times New Roman"/>
        </w:rPr>
        <w:t>(ibid.).</w:t>
      </w:r>
    </w:p>
    <w:p w:rsidR="00C20D50" w:rsidRPr="00702464" w:rsidRDefault="00C20D50" w:rsidP="00163DB0">
      <w:pPr>
        <w:spacing w:line="360" w:lineRule="auto"/>
        <w:ind w:firstLine="720"/>
        <w:contextualSpacing/>
        <w:jc w:val="both"/>
        <w:rPr>
          <w:rFonts w:ascii="Times New Roman" w:hAnsi="Times New Roman"/>
        </w:rPr>
      </w:pPr>
      <w:r w:rsidRPr="007326BF">
        <w:rPr>
          <w:rFonts w:ascii="Times New Roman" w:hAnsi="Times New Roman"/>
        </w:rPr>
        <w:t xml:space="preserve">What Manners did was to suggest that there is a difference between civilian and a normative power, and that the EU is actually the second. </w:t>
      </w:r>
      <w:r w:rsidRPr="00702464">
        <w:rPr>
          <w:rFonts w:ascii="Times New Roman" w:hAnsi="Times New Roman"/>
        </w:rPr>
        <w:t>He argues that the European Union is a new polity as a form and essence in the international arena and by virtue of its new form it already promotes new norms and standards and consequently is a normative power. However</w:t>
      </w:r>
      <w:r w:rsidRPr="00064F38">
        <w:rPr>
          <w:rFonts w:ascii="Times New Roman" w:hAnsi="Times New Roman"/>
        </w:rPr>
        <w:t xml:space="preserve">, Manners </w:t>
      </w:r>
      <w:r w:rsidRPr="00702464">
        <w:rPr>
          <w:rFonts w:ascii="Times New Roman" w:hAnsi="Times New Roman"/>
        </w:rPr>
        <w:t>explicitly claims that with the term ‘normative power’ he does not mean that it is ethically good, but simply describes “the EU’s principles, a</w:t>
      </w:r>
      <w:r w:rsidRPr="00702464">
        <w:rPr>
          <w:rFonts w:ascii="Times New Roman" w:hAnsi="Times New Roman"/>
        </w:rPr>
        <w:t>c</w:t>
      </w:r>
      <w:r w:rsidRPr="00702464">
        <w:rPr>
          <w:rFonts w:ascii="Times New Roman" w:hAnsi="Times New Roman"/>
        </w:rPr>
        <w:t>tions and impact in world politics”</w:t>
      </w:r>
      <w:r w:rsidRPr="007326BF">
        <w:rPr>
          <w:rFonts w:ascii="Times New Roman" w:hAnsi="Times New Roman"/>
          <w:color w:val="FF0000"/>
        </w:rPr>
        <w:t xml:space="preserve"> </w:t>
      </w:r>
      <w:r w:rsidRPr="00064F38">
        <w:rPr>
          <w:rFonts w:ascii="Times New Roman" w:hAnsi="Times New Roman"/>
        </w:rPr>
        <w:t>(2008: 46).</w:t>
      </w:r>
      <w:r w:rsidRPr="00702464">
        <w:rPr>
          <w:rFonts w:ascii="Times New Roman" w:hAnsi="Times New Roman"/>
          <w:color w:val="FF0000"/>
        </w:rPr>
        <w:t xml:space="preserve"> </w:t>
      </w:r>
      <w:r w:rsidRPr="00702464">
        <w:rPr>
          <w:rFonts w:ascii="Times New Roman" w:hAnsi="Times New Roman"/>
        </w:rPr>
        <w:t>These principles include co</w:t>
      </w:r>
      <w:r w:rsidRPr="00702464">
        <w:rPr>
          <w:rFonts w:ascii="Times New Roman" w:hAnsi="Times New Roman"/>
        </w:rPr>
        <w:t>n</w:t>
      </w:r>
      <w:r w:rsidRPr="00702464">
        <w:rPr>
          <w:rFonts w:ascii="Times New Roman" w:hAnsi="Times New Roman"/>
        </w:rPr>
        <w:t>sensual democracy, protection of human rights and freedoms, sustainable peace, sustainable development, good governance, the rule of law, equality, solidarity and adherence to the United Nations Charter points. Manners e</w:t>
      </w:r>
      <w:r w:rsidRPr="00702464">
        <w:rPr>
          <w:rFonts w:ascii="Times New Roman" w:hAnsi="Times New Roman"/>
        </w:rPr>
        <w:t>x</w:t>
      </w:r>
      <w:r w:rsidRPr="00702464">
        <w:rPr>
          <w:rFonts w:ascii="Times New Roman" w:hAnsi="Times New Roman"/>
        </w:rPr>
        <w:t>amines the promotion of these norms through the lenses of three types of ethics: virtue, deontological and consequentalist. By their virtue, the EU di</w:t>
      </w:r>
      <w:r w:rsidRPr="00702464">
        <w:rPr>
          <w:rFonts w:ascii="Times New Roman" w:hAnsi="Times New Roman"/>
        </w:rPr>
        <w:t>s</w:t>
      </w:r>
      <w:r w:rsidRPr="00702464">
        <w:rPr>
          <w:rFonts w:ascii="Times New Roman" w:hAnsi="Times New Roman"/>
        </w:rPr>
        <w:lastRenderedPageBreak/>
        <w:t>seminates its ideas through giving example with its own behavior; second, considering that there is a certain number of norms that should be pursued for the good of all; and last remains the principle of “doing least harm”, which is manifested through conditionality and giving rewards if these co</w:t>
      </w:r>
      <w:r w:rsidRPr="00702464">
        <w:rPr>
          <w:rFonts w:ascii="Times New Roman" w:hAnsi="Times New Roman"/>
        </w:rPr>
        <w:t>n</w:t>
      </w:r>
      <w:r w:rsidRPr="00702464">
        <w:rPr>
          <w:rFonts w:ascii="Times New Roman" w:hAnsi="Times New Roman"/>
        </w:rPr>
        <w:t>ditionality requirements are implemented. In short, the logic that EU follows is the logic of persuasion and diffusion of values through dialogue.  Arg</w:t>
      </w:r>
      <w:r w:rsidRPr="00702464">
        <w:rPr>
          <w:rFonts w:ascii="Times New Roman" w:hAnsi="Times New Roman"/>
        </w:rPr>
        <w:t>u</w:t>
      </w:r>
      <w:r w:rsidRPr="00702464">
        <w:rPr>
          <w:rFonts w:ascii="Times New Roman" w:hAnsi="Times New Roman"/>
        </w:rPr>
        <w:t>ment and shaming are the other ‘weapons’ in EU policy, that is convincing a country to do and implement certain rules through sticks and carrots, but never through military menace (</w:t>
      </w:r>
      <w:r w:rsidRPr="00064F38">
        <w:rPr>
          <w:rFonts w:ascii="Times New Roman" w:hAnsi="Times New Roman"/>
        </w:rPr>
        <w:t>Manners, 2006</w:t>
      </w:r>
      <w:r w:rsidR="00064F38" w:rsidRPr="00064F38">
        <w:rPr>
          <w:rFonts w:ascii="Times New Roman" w:hAnsi="Times New Roman"/>
        </w:rPr>
        <w:t>a</w:t>
      </w:r>
      <w:r w:rsidRPr="00064F38">
        <w:rPr>
          <w:rFonts w:ascii="Times New Roman" w:hAnsi="Times New Roman"/>
        </w:rPr>
        <w:t>).</w:t>
      </w:r>
    </w:p>
    <w:p w:rsidR="00C20D50" w:rsidRPr="007326BF" w:rsidRDefault="00C20D50" w:rsidP="00163DB0">
      <w:pPr>
        <w:spacing w:line="360" w:lineRule="auto"/>
        <w:ind w:firstLine="720"/>
        <w:contextualSpacing/>
        <w:jc w:val="both"/>
        <w:rPr>
          <w:rFonts w:ascii="Times New Roman" w:hAnsi="Times New Roman"/>
        </w:rPr>
      </w:pPr>
      <w:r w:rsidRPr="007326BF">
        <w:rPr>
          <w:rFonts w:ascii="Times New Roman" w:hAnsi="Times New Roman"/>
        </w:rPr>
        <w:t>This presentation of the EU as a normative power provoked a nu</w:t>
      </w:r>
      <w:r w:rsidRPr="007326BF">
        <w:rPr>
          <w:rFonts w:ascii="Times New Roman" w:hAnsi="Times New Roman"/>
        </w:rPr>
        <w:t>m</w:t>
      </w:r>
      <w:r w:rsidRPr="007326BF">
        <w:rPr>
          <w:rFonts w:ascii="Times New Roman" w:hAnsi="Times New Roman"/>
        </w:rPr>
        <w:t xml:space="preserve">ber of criticisms. Thomas </w:t>
      </w:r>
      <w:r w:rsidR="00D461B6">
        <w:rPr>
          <w:rFonts w:ascii="Times New Roman" w:hAnsi="Times New Roman"/>
        </w:rPr>
        <w:t>Diez</w:t>
      </w:r>
      <w:r w:rsidRPr="007326BF">
        <w:rPr>
          <w:rFonts w:ascii="Times New Roman" w:hAnsi="Times New Roman"/>
        </w:rPr>
        <w:t xml:space="preserve"> makes the point that when EU is presented as a unique new power, it implies that other actors are supposed to comply with their norms, and that the EU identity constructed as 'normative' cond</w:t>
      </w:r>
      <w:r w:rsidRPr="007326BF">
        <w:rPr>
          <w:rFonts w:ascii="Times New Roman" w:hAnsi="Times New Roman"/>
        </w:rPr>
        <w:t>i</w:t>
      </w:r>
      <w:r w:rsidRPr="007326BF">
        <w:rPr>
          <w:rFonts w:ascii="Times New Roman" w:hAnsi="Times New Roman"/>
        </w:rPr>
        <w:t>tions the emergence of an opposition between the image of EU and the i</w:t>
      </w:r>
      <w:r w:rsidRPr="007326BF">
        <w:rPr>
          <w:rFonts w:ascii="Times New Roman" w:hAnsi="Times New Roman"/>
        </w:rPr>
        <w:t>m</w:t>
      </w:r>
      <w:r w:rsidRPr="007326BF">
        <w:rPr>
          <w:rFonts w:ascii="Times New Roman" w:hAnsi="Times New Roman"/>
        </w:rPr>
        <w:t>age of the 'others' (</w:t>
      </w:r>
      <w:r w:rsidRPr="00064F38">
        <w:rPr>
          <w:rFonts w:ascii="Times New Roman" w:hAnsi="Times New Roman"/>
        </w:rPr>
        <w:t>2005: 614</w:t>
      </w:r>
      <w:r w:rsidRPr="007326BF">
        <w:rPr>
          <w:rFonts w:ascii="Times New Roman" w:hAnsi="Times New Roman"/>
        </w:rPr>
        <w:t xml:space="preserve">). This is how "the discourse of the EU as a normative power constructs a particular </w:t>
      </w:r>
      <w:r>
        <w:rPr>
          <w:rFonts w:ascii="Times New Roman" w:hAnsi="Times New Roman"/>
        </w:rPr>
        <w:t xml:space="preserve">self of the EU... </w:t>
      </w:r>
      <w:r w:rsidRPr="007326BF">
        <w:rPr>
          <w:rFonts w:ascii="Times New Roman" w:hAnsi="Times New Roman"/>
        </w:rPr>
        <w:t>while it attempts to change others through the spread of particular norms" (</w:t>
      </w:r>
      <w:r w:rsidRPr="00064F38">
        <w:rPr>
          <w:rFonts w:ascii="Times New Roman" w:hAnsi="Times New Roman"/>
        </w:rPr>
        <w:t>ibid.).</w:t>
      </w:r>
      <w:r w:rsidRPr="007326BF">
        <w:rPr>
          <w:rFonts w:ascii="Times New Roman" w:hAnsi="Times New Roman"/>
        </w:rPr>
        <w:t xml:space="preserve"> In that way </w:t>
      </w:r>
      <w:r w:rsidR="00D461B6">
        <w:rPr>
          <w:rFonts w:ascii="Times New Roman" w:hAnsi="Times New Roman"/>
        </w:rPr>
        <w:t>Diez</w:t>
      </w:r>
      <w:r w:rsidRPr="007326BF">
        <w:rPr>
          <w:rFonts w:ascii="Times New Roman" w:hAnsi="Times New Roman"/>
        </w:rPr>
        <w:t xml:space="preserve"> argues that the EU is not really a unique</w:t>
      </w:r>
      <w:r>
        <w:rPr>
          <w:rFonts w:ascii="Times New Roman" w:hAnsi="Times New Roman"/>
        </w:rPr>
        <w:t xml:space="preserve"> and new kind of</w:t>
      </w:r>
      <w:r w:rsidRPr="007326BF">
        <w:rPr>
          <w:rFonts w:ascii="Times New Roman" w:hAnsi="Times New Roman"/>
        </w:rPr>
        <w:t xml:space="preserve"> power but just another one in a line in the history. In answer  to </w:t>
      </w:r>
      <w:r w:rsidR="00D461B6">
        <w:rPr>
          <w:rFonts w:ascii="Times New Roman" w:hAnsi="Times New Roman"/>
        </w:rPr>
        <w:t>Diez</w:t>
      </w:r>
      <w:r w:rsidRPr="007326BF">
        <w:rPr>
          <w:rFonts w:ascii="Times New Roman" w:hAnsi="Times New Roman"/>
        </w:rPr>
        <w:t xml:space="preserve"> Manners makes the point that the EU</w:t>
      </w:r>
      <w:r>
        <w:rPr>
          <w:rFonts w:ascii="Times New Roman" w:hAnsi="Times New Roman"/>
        </w:rPr>
        <w:t xml:space="preserve"> actually has tried</w:t>
      </w:r>
      <w:r w:rsidRPr="007326BF">
        <w:rPr>
          <w:rFonts w:ascii="Times New Roman" w:hAnsi="Times New Roman"/>
        </w:rPr>
        <w:t xml:space="preserve"> to escape the so-called 'mission civ</w:t>
      </w:r>
      <w:r w:rsidRPr="007326BF">
        <w:rPr>
          <w:rFonts w:ascii="Times New Roman" w:hAnsi="Times New Roman"/>
        </w:rPr>
        <w:t>i</w:t>
      </w:r>
      <w:r w:rsidRPr="007326BF">
        <w:rPr>
          <w:rFonts w:ascii="Times New Roman" w:hAnsi="Times New Roman"/>
        </w:rPr>
        <w:t>lisatrice' and that its values are not simply in the interest of those benefiting from them, but are universal</w:t>
      </w:r>
      <w:r>
        <w:rPr>
          <w:rFonts w:ascii="Times New Roman" w:hAnsi="Times New Roman"/>
        </w:rPr>
        <w:t xml:space="preserve"> (2006</w:t>
      </w:r>
      <w:r w:rsidR="00DB77E8">
        <w:rPr>
          <w:rFonts w:ascii="Times New Roman" w:hAnsi="Times New Roman"/>
        </w:rPr>
        <w:t>b</w:t>
      </w:r>
      <w:r>
        <w:rPr>
          <w:rFonts w:ascii="Times New Roman" w:hAnsi="Times New Roman"/>
        </w:rPr>
        <w:t>: 175)</w:t>
      </w:r>
      <w:r w:rsidRPr="007326BF">
        <w:rPr>
          <w:rFonts w:ascii="Times New Roman" w:hAnsi="Times New Roman"/>
          <w:color w:val="7030A0"/>
        </w:rPr>
        <w:t xml:space="preserve">. </w:t>
      </w:r>
      <w:r w:rsidRPr="00986C48">
        <w:rPr>
          <w:rFonts w:ascii="Times New Roman" w:hAnsi="Times New Roman"/>
        </w:rPr>
        <w:t>However, this does not answer other questions: where do these 'universal' values come from, can they be really separated from interests (behind them), what are their material ou</w:t>
      </w:r>
      <w:r w:rsidRPr="00986C48">
        <w:rPr>
          <w:rFonts w:ascii="Times New Roman" w:hAnsi="Times New Roman"/>
        </w:rPr>
        <w:t>t</w:t>
      </w:r>
      <w:r w:rsidRPr="00986C48">
        <w:rPr>
          <w:rFonts w:ascii="Times New Roman" w:hAnsi="Times New Roman"/>
        </w:rPr>
        <w:t>comes and influence on EU members or neighbours</w:t>
      </w:r>
      <w:r>
        <w:rPr>
          <w:rFonts w:ascii="Times New Roman" w:hAnsi="Times New Roman"/>
          <w:color w:val="7030A0"/>
        </w:rPr>
        <w:t xml:space="preserve">? </w:t>
      </w:r>
      <w:r w:rsidRPr="007326BF">
        <w:rPr>
          <w:rFonts w:ascii="Times New Roman" w:hAnsi="Times New Roman"/>
        </w:rPr>
        <w:t xml:space="preserve">Actually Manners does not </w:t>
      </w:r>
      <w:r>
        <w:rPr>
          <w:rFonts w:ascii="Times New Roman" w:hAnsi="Times New Roman"/>
        </w:rPr>
        <w:t xml:space="preserve">really </w:t>
      </w:r>
      <w:r w:rsidRPr="007326BF">
        <w:rPr>
          <w:rFonts w:ascii="Times New Roman" w:hAnsi="Times New Roman"/>
        </w:rPr>
        <w:t xml:space="preserve">refute </w:t>
      </w:r>
      <w:r w:rsidR="00D461B6">
        <w:rPr>
          <w:rFonts w:ascii="Times New Roman" w:hAnsi="Times New Roman"/>
        </w:rPr>
        <w:t>Diez</w:t>
      </w:r>
      <w:r w:rsidRPr="007326BF">
        <w:rPr>
          <w:rFonts w:ascii="Times New Roman" w:hAnsi="Times New Roman"/>
        </w:rPr>
        <w:t>'s arguments and what is considered nowadays 'universal' can still be seen as part of a civilising mission as the "Copenh</w:t>
      </w:r>
      <w:r w:rsidRPr="007326BF">
        <w:rPr>
          <w:rFonts w:ascii="Times New Roman" w:hAnsi="Times New Roman"/>
        </w:rPr>
        <w:t>a</w:t>
      </w:r>
      <w:r w:rsidRPr="007326BF">
        <w:rPr>
          <w:rFonts w:ascii="Times New Roman" w:hAnsi="Times New Roman"/>
        </w:rPr>
        <w:t>gen criteria- the criteria setting the political, economic and administrative standards for EU membership applicants- are a prominent example for this in that they 'spelled out what the EU is (or is supposed to be) and therefore what candidate countries should become' (</w:t>
      </w:r>
      <w:r w:rsidR="00D461B6">
        <w:rPr>
          <w:rFonts w:ascii="Times New Roman" w:hAnsi="Times New Roman"/>
        </w:rPr>
        <w:t>Diez</w:t>
      </w:r>
      <w:r w:rsidRPr="007326BF">
        <w:rPr>
          <w:rFonts w:ascii="Times New Roman" w:hAnsi="Times New Roman"/>
        </w:rPr>
        <w:t>, 2005: 629).</w:t>
      </w:r>
    </w:p>
    <w:p w:rsidR="00C20D50" w:rsidRPr="007326BF" w:rsidRDefault="00C20D50" w:rsidP="00163DB0">
      <w:pPr>
        <w:spacing w:line="360" w:lineRule="auto"/>
        <w:ind w:firstLine="720"/>
        <w:contextualSpacing/>
        <w:jc w:val="both"/>
        <w:rPr>
          <w:rFonts w:ascii="Times New Roman" w:hAnsi="Times New Roman"/>
          <w:color w:val="7030A0"/>
        </w:rPr>
      </w:pPr>
      <w:r w:rsidRPr="007326BF">
        <w:rPr>
          <w:rFonts w:ascii="Times New Roman" w:hAnsi="Times New Roman"/>
        </w:rPr>
        <w:t xml:space="preserve">Furthermore, </w:t>
      </w:r>
      <w:r w:rsidR="00D461B6">
        <w:rPr>
          <w:rFonts w:ascii="Times New Roman" w:hAnsi="Times New Roman"/>
        </w:rPr>
        <w:t>Diez</w:t>
      </w:r>
      <w:r w:rsidRPr="007326BF">
        <w:rPr>
          <w:rFonts w:ascii="Times New Roman" w:hAnsi="Times New Roman"/>
        </w:rPr>
        <w:t xml:space="preserve"> points that the discussion </w:t>
      </w:r>
      <w:r>
        <w:rPr>
          <w:rFonts w:ascii="Times New Roman" w:hAnsi="Times New Roman"/>
        </w:rPr>
        <w:t>has been</w:t>
      </w:r>
      <w:r w:rsidRPr="007326BF">
        <w:rPr>
          <w:rFonts w:ascii="Times New Roman" w:hAnsi="Times New Roman"/>
        </w:rPr>
        <w:t xml:space="preserve"> concentrated on the question whether the EU is a normative, civilian or other type of </w:t>
      </w:r>
      <w:r w:rsidRPr="007326BF">
        <w:rPr>
          <w:rFonts w:ascii="Times New Roman" w:hAnsi="Times New Roman"/>
        </w:rPr>
        <w:lastRenderedPageBreak/>
        <w:t>power instead of focusing on the influence of EU policy</w:t>
      </w:r>
      <w:r>
        <w:rPr>
          <w:rFonts w:ascii="Times New Roman" w:hAnsi="Times New Roman"/>
        </w:rPr>
        <w:t>, which is also i</w:t>
      </w:r>
      <w:r>
        <w:rPr>
          <w:rFonts w:ascii="Times New Roman" w:hAnsi="Times New Roman"/>
        </w:rPr>
        <w:t>m</w:t>
      </w:r>
      <w:r>
        <w:rPr>
          <w:rFonts w:ascii="Times New Roman" w:hAnsi="Times New Roman"/>
        </w:rPr>
        <w:t>portant</w:t>
      </w:r>
      <w:r w:rsidRPr="007326BF">
        <w:rPr>
          <w:rFonts w:ascii="Times New Roman" w:hAnsi="Times New Roman"/>
        </w:rPr>
        <w:t>. In fact, being a 'normative power' should not mean that military or economic power is excluded (</w:t>
      </w:r>
      <w:r w:rsidR="00D461B6">
        <w:rPr>
          <w:rFonts w:ascii="Times New Roman" w:hAnsi="Times New Roman"/>
        </w:rPr>
        <w:t>Diez</w:t>
      </w:r>
      <w:r w:rsidRPr="007326BF">
        <w:rPr>
          <w:rFonts w:ascii="Times New Roman" w:hAnsi="Times New Roman"/>
        </w:rPr>
        <w:t>, 2005:</w:t>
      </w:r>
      <w:r>
        <w:rPr>
          <w:rFonts w:ascii="Times New Roman" w:hAnsi="Times New Roman"/>
        </w:rPr>
        <w:t xml:space="preserve"> 616</w:t>
      </w:r>
      <w:r w:rsidRPr="007326BF">
        <w:rPr>
          <w:rFonts w:ascii="Times New Roman" w:hAnsi="Times New Roman"/>
        </w:rPr>
        <w:t>). Although Manners claims that in difference to civilian power, a normative power does not put emph</w:t>
      </w:r>
      <w:r w:rsidRPr="007326BF">
        <w:rPr>
          <w:rFonts w:ascii="Times New Roman" w:hAnsi="Times New Roman"/>
        </w:rPr>
        <w:t>a</w:t>
      </w:r>
      <w:r w:rsidRPr="007326BF">
        <w:rPr>
          <w:rFonts w:ascii="Times New Roman" w:hAnsi="Times New Roman"/>
        </w:rPr>
        <w:t>sis on economic means, but on "contagion of norms through imitation a</w:t>
      </w:r>
      <w:r>
        <w:rPr>
          <w:rFonts w:ascii="Times New Roman" w:hAnsi="Times New Roman"/>
        </w:rPr>
        <w:t>nd attraction" (2006</w:t>
      </w:r>
      <w:r w:rsidR="00DB77E8">
        <w:rPr>
          <w:rFonts w:ascii="Times New Roman" w:hAnsi="Times New Roman"/>
        </w:rPr>
        <w:t>b</w:t>
      </w:r>
      <w:r>
        <w:rPr>
          <w:rFonts w:ascii="Times New Roman" w:hAnsi="Times New Roman"/>
        </w:rPr>
        <w:t>: 176</w:t>
      </w:r>
      <w:r w:rsidRPr="007326BF">
        <w:rPr>
          <w:rFonts w:ascii="Times New Roman" w:hAnsi="Times New Roman"/>
        </w:rPr>
        <w:t>), these norms appeal to "the others" not simply b</w:t>
      </w:r>
      <w:r w:rsidRPr="007326BF">
        <w:rPr>
          <w:rFonts w:ascii="Times New Roman" w:hAnsi="Times New Roman"/>
        </w:rPr>
        <w:t>e</w:t>
      </w:r>
      <w:r w:rsidRPr="007326BF">
        <w:rPr>
          <w:rFonts w:ascii="Times New Roman" w:hAnsi="Times New Roman"/>
        </w:rPr>
        <w:t>cause they are 'universal', but also because their acceptation promises ce</w:t>
      </w:r>
      <w:r w:rsidRPr="007326BF">
        <w:rPr>
          <w:rFonts w:ascii="Times New Roman" w:hAnsi="Times New Roman"/>
        </w:rPr>
        <w:t>r</w:t>
      </w:r>
      <w:r w:rsidRPr="007326BF">
        <w:rPr>
          <w:rFonts w:ascii="Times New Roman" w:hAnsi="Times New Roman"/>
        </w:rPr>
        <w:t xml:space="preserve">tain rewards and benefits. As Krastev mentions: </w:t>
      </w:r>
      <w:r w:rsidRPr="00064F38">
        <w:rPr>
          <w:rFonts w:ascii="Times New Roman" w:hAnsi="Times New Roman"/>
        </w:rPr>
        <w:t xml:space="preserve">"the EU's soft power is not wielded by European governments or the EU Commission, nor reducible to its prosperity and freedoms; it inheres in the promise that if you </w:t>
      </w:r>
      <w:r w:rsidRPr="00064F38">
        <w:rPr>
          <w:rFonts w:ascii="Times New Roman" w:hAnsi="Times New Roman"/>
          <w:i/>
        </w:rPr>
        <w:t xml:space="preserve">like </w:t>
      </w:r>
      <w:r w:rsidRPr="00064F38">
        <w:rPr>
          <w:rFonts w:ascii="Times New Roman" w:hAnsi="Times New Roman"/>
        </w:rPr>
        <w:t xml:space="preserve">us you could </w:t>
      </w:r>
      <w:r w:rsidRPr="00064F38">
        <w:rPr>
          <w:rFonts w:ascii="Times New Roman" w:hAnsi="Times New Roman"/>
          <w:i/>
        </w:rPr>
        <w:t>become</w:t>
      </w:r>
      <w:r w:rsidRPr="00064F38">
        <w:rPr>
          <w:rFonts w:ascii="Times New Roman" w:hAnsi="Times New Roman"/>
        </w:rPr>
        <w:t xml:space="preserve"> one of us" (2005</w:t>
      </w:r>
      <w:r w:rsidRPr="007326BF">
        <w:rPr>
          <w:rFonts w:ascii="Times New Roman" w:hAnsi="Times New Roman"/>
        </w:rPr>
        <w:t>). For sure, the 'becoming one of us' is temp</w:t>
      </w:r>
      <w:r w:rsidRPr="007326BF">
        <w:rPr>
          <w:rFonts w:ascii="Times New Roman" w:hAnsi="Times New Roman"/>
        </w:rPr>
        <w:t>t</w:t>
      </w:r>
      <w:r>
        <w:rPr>
          <w:rFonts w:ascii="Times New Roman" w:hAnsi="Times New Roman"/>
        </w:rPr>
        <w:t>ing for the others not only because of 'liking' specific norms, but also b</w:t>
      </w:r>
      <w:r>
        <w:rPr>
          <w:rFonts w:ascii="Times New Roman" w:hAnsi="Times New Roman"/>
        </w:rPr>
        <w:t>e</w:t>
      </w:r>
      <w:r>
        <w:rPr>
          <w:rFonts w:ascii="Times New Roman" w:hAnsi="Times New Roman"/>
        </w:rPr>
        <w:t>cause of some specific benefit they can bring along</w:t>
      </w:r>
      <w:r w:rsidRPr="007326BF">
        <w:rPr>
          <w:rFonts w:ascii="Times New Roman" w:hAnsi="Times New Roman"/>
        </w:rPr>
        <w:t xml:space="preserve">. </w:t>
      </w:r>
      <w:r w:rsidRPr="00352BB5">
        <w:rPr>
          <w:rFonts w:ascii="Times New Roman" w:hAnsi="Times New Roman"/>
        </w:rPr>
        <w:t>"Transcending the 'normal' of world politics" (Manners</w:t>
      </w:r>
      <w:r>
        <w:rPr>
          <w:rFonts w:ascii="Times New Roman" w:hAnsi="Times New Roman"/>
        </w:rPr>
        <w:t>, 2006</w:t>
      </w:r>
      <w:r w:rsidR="00DB77E8">
        <w:rPr>
          <w:rFonts w:ascii="Times New Roman" w:hAnsi="Times New Roman"/>
        </w:rPr>
        <w:t>b</w:t>
      </w:r>
      <w:r>
        <w:rPr>
          <w:rFonts w:ascii="Times New Roman" w:hAnsi="Times New Roman"/>
        </w:rPr>
        <w:t>: 176</w:t>
      </w:r>
      <w:r w:rsidRPr="00352BB5">
        <w:rPr>
          <w:rFonts w:ascii="Times New Roman" w:hAnsi="Times New Roman"/>
        </w:rPr>
        <w:t xml:space="preserve">) in that way is not really quite visible: what </w:t>
      </w:r>
      <w:r>
        <w:rPr>
          <w:rFonts w:ascii="Times New Roman" w:hAnsi="Times New Roman"/>
        </w:rPr>
        <w:t xml:space="preserve">actually </w:t>
      </w:r>
      <w:r w:rsidRPr="00352BB5">
        <w:rPr>
          <w:rFonts w:ascii="Times New Roman" w:hAnsi="Times New Roman"/>
        </w:rPr>
        <w:t>has the EU changed in the international arena so far?</w:t>
      </w:r>
    </w:p>
    <w:p w:rsidR="00C20D50" w:rsidRPr="00163DB0" w:rsidRDefault="009425BD" w:rsidP="009425BD">
      <w:pPr>
        <w:pStyle w:val="Heading3"/>
        <w:rPr>
          <w:rFonts w:ascii="Times New Roman" w:hAnsi="Times New Roman"/>
        </w:rPr>
      </w:pPr>
      <w:bookmarkStart w:id="20" w:name="_Toc334483987"/>
      <w:r w:rsidRPr="00163DB0">
        <w:rPr>
          <w:rFonts w:ascii="Times New Roman" w:hAnsi="Times New Roman"/>
        </w:rPr>
        <w:t>2.2</w:t>
      </w:r>
      <w:r w:rsidR="00C20D50" w:rsidRPr="00163DB0">
        <w:rPr>
          <w:rFonts w:ascii="Times New Roman" w:hAnsi="Times New Roman"/>
        </w:rPr>
        <w:t>.2. Democracy and EU membership negotiations through the prism of NPE</w:t>
      </w:r>
      <w:bookmarkEnd w:id="20"/>
    </w:p>
    <w:p w:rsidR="00C20D50" w:rsidRDefault="00C20D50" w:rsidP="00C20D50">
      <w:pPr>
        <w:spacing w:line="360" w:lineRule="auto"/>
        <w:ind w:firstLine="720"/>
        <w:contextualSpacing/>
        <w:jc w:val="both"/>
        <w:rPr>
          <w:rFonts w:ascii="Times New Roman" w:hAnsi="Times New Roman"/>
        </w:rPr>
      </w:pPr>
      <w:r w:rsidRPr="007326BF">
        <w:rPr>
          <w:rFonts w:ascii="Times New Roman" w:hAnsi="Times New Roman"/>
        </w:rPr>
        <w:t xml:space="preserve">The end of the Cold War provoked the EU to prove its capabilities as a normative power. The most problematic region were the Balkans, where conflict in ex-Yugoslavia became exasperated. Thus, </w:t>
      </w:r>
      <w:r w:rsidRPr="00064F38">
        <w:rPr>
          <w:rFonts w:ascii="Times New Roman" w:hAnsi="Times New Roman"/>
        </w:rPr>
        <w:t>"[a]ny failure of the EU to bring stability and development to the Balkans will not simply i</w:t>
      </w:r>
      <w:r w:rsidRPr="00064F38">
        <w:rPr>
          <w:rFonts w:ascii="Times New Roman" w:hAnsi="Times New Roman"/>
        </w:rPr>
        <w:t>n</w:t>
      </w:r>
      <w:r w:rsidRPr="00064F38">
        <w:rPr>
          <w:rFonts w:ascii="Times New Roman" w:hAnsi="Times New Roman"/>
        </w:rPr>
        <w:t>crease the import of immigrants and criminality in the member states but will de-legitimize the Europe project" (Krastev, 2005).</w:t>
      </w:r>
      <w:r w:rsidRPr="007326BF">
        <w:rPr>
          <w:rFonts w:ascii="Times New Roman" w:hAnsi="Times New Roman"/>
        </w:rPr>
        <w:t xml:space="preserve"> In fact, the prepar</w:t>
      </w:r>
      <w:r w:rsidRPr="007326BF">
        <w:rPr>
          <w:rFonts w:ascii="Times New Roman" w:hAnsi="Times New Roman"/>
        </w:rPr>
        <w:t>a</w:t>
      </w:r>
      <w:r w:rsidRPr="007326BF">
        <w:rPr>
          <w:rFonts w:ascii="Times New Roman" w:hAnsi="Times New Roman"/>
        </w:rPr>
        <w:t>tion for membership of the countries from Central and Eastern Europe was a trial to the EU's capacity to cope with the transformation of such a vast r</w:t>
      </w:r>
      <w:r w:rsidRPr="007326BF">
        <w:rPr>
          <w:rFonts w:ascii="Times New Roman" w:hAnsi="Times New Roman"/>
        </w:rPr>
        <w:t>e</w:t>
      </w:r>
      <w:r w:rsidRPr="007326BF">
        <w:rPr>
          <w:rFonts w:ascii="Times New Roman" w:hAnsi="Times New Roman"/>
        </w:rPr>
        <w:t>gion</w:t>
      </w:r>
      <w:r>
        <w:rPr>
          <w:rFonts w:ascii="Times New Roman" w:hAnsi="Times New Roman"/>
        </w:rPr>
        <w:t xml:space="preserve"> next to its boundaries. Although not all </w:t>
      </w:r>
      <w:r w:rsidRPr="007326BF">
        <w:rPr>
          <w:rFonts w:ascii="Times New Roman" w:hAnsi="Times New Roman"/>
        </w:rPr>
        <w:t>Central and Eastern European countries expressed willingness to work for membership</w:t>
      </w:r>
      <w:r>
        <w:rPr>
          <w:rFonts w:ascii="Times New Roman" w:hAnsi="Times New Roman"/>
        </w:rPr>
        <w:t xml:space="preserve"> at the beginning of 1990s</w:t>
      </w:r>
      <w:r w:rsidRPr="007326BF">
        <w:rPr>
          <w:rFonts w:ascii="Times New Roman" w:hAnsi="Times New Roman"/>
        </w:rPr>
        <w:t>, at a certain point most of them put this goal as a priority in their agenda. The Copenhagen criteria of the European Union require that cand</w:t>
      </w:r>
      <w:r w:rsidRPr="007326BF">
        <w:rPr>
          <w:rFonts w:ascii="Times New Roman" w:hAnsi="Times New Roman"/>
        </w:rPr>
        <w:t>i</w:t>
      </w:r>
      <w:r w:rsidRPr="007326BF">
        <w:rPr>
          <w:rFonts w:ascii="Times New Roman" w:hAnsi="Times New Roman"/>
        </w:rPr>
        <w:t>date EU members should have achieved "stability of institutions guarante</w:t>
      </w:r>
      <w:r w:rsidRPr="007326BF">
        <w:rPr>
          <w:rFonts w:ascii="Times New Roman" w:hAnsi="Times New Roman"/>
        </w:rPr>
        <w:t>e</w:t>
      </w:r>
      <w:r w:rsidRPr="007326BF">
        <w:rPr>
          <w:rFonts w:ascii="Times New Roman" w:hAnsi="Times New Roman"/>
        </w:rPr>
        <w:t>ing democracy, the rule of law, human rights and … protection of minor</w:t>
      </w:r>
      <w:r w:rsidRPr="007326BF">
        <w:rPr>
          <w:rFonts w:ascii="Times New Roman" w:hAnsi="Times New Roman"/>
        </w:rPr>
        <w:t>i</w:t>
      </w:r>
      <w:r w:rsidRPr="007326BF">
        <w:rPr>
          <w:rFonts w:ascii="Times New Roman" w:hAnsi="Times New Roman"/>
        </w:rPr>
        <w:t>ties" (</w:t>
      </w:r>
      <w:r w:rsidRPr="00064F38">
        <w:rPr>
          <w:rFonts w:ascii="Times New Roman" w:hAnsi="Times New Roman"/>
        </w:rPr>
        <w:t>European Commission</w:t>
      </w:r>
      <w:r w:rsidRPr="003D7ADF">
        <w:rPr>
          <w:rFonts w:ascii="Times New Roman" w:hAnsi="Times New Roman"/>
        </w:rPr>
        <w:t xml:space="preserve">). The EU does not delve into the academic </w:t>
      </w:r>
      <w:r w:rsidRPr="003D7ADF">
        <w:rPr>
          <w:rFonts w:ascii="Times New Roman" w:hAnsi="Times New Roman"/>
        </w:rPr>
        <w:lastRenderedPageBreak/>
        <w:t>debates on democracy and does not provide a clear definition of democracy, but on the basis of the criteria it can be concluded that it has in mind a li</w:t>
      </w:r>
      <w:r w:rsidRPr="003D7ADF">
        <w:rPr>
          <w:rFonts w:ascii="Times New Roman" w:hAnsi="Times New Roman"/>
        </w:rPr>
        <w:t>b</w:t>
      </w:r>
      <w:r w:rsidRPr="003D7ADF">
        <w:rPr>
          <w:rFonts w:ascii="Times New Roman" w:hAnsi="Times New Roman"/>
        </w:rPr>
        <w:t>eral democracy. The lack of attempt to outline thoroughly what is unde</w:t>
      </w:r>
      <w:r w:rsidRPr="003D7ADF">
        <w:rPr>
          <w:rFonts w:ascii="Times New Roman" w:hAnsi="Times New Roman"/>
        </w:rPr>
        <w:t>r</w:t>
      </w:r>
      <w:r w:rsidRPr="003D7ADF">
        <w:rPr>
          <w:rFonts w:ascii="Times New Roman" w:hAnsi="Times New Roman"/>
        </w:rPr>
        <w:t>stood under democracy instead of simply enumerating it</w:t>
      </w:r>
      <w:r>
        <w:rPr>
          <w:rFonts w:ascii="Times New Roman" w:hAnsi="Times New Roman"/>
        </w:rPr>
        <w:t xml:space="preserve"> among other crit</w:t>
      </w:r>
      <w:r>
        <w:rPr>
          <w:rFonts w:ascii="Times New Roman" w:hAnsi="Times New Roman"/>
        </w:rPr>
        <w:t>e</w:t>
      </w:r>
      <w:r>
        <w:rPr>
          <w:rFonts w:ascii="Times New Roman" w:hAnsi="Times New Roman"/>
        </w:rPr>
        <w:t>ria</w:t>
      </w:r>
      <w:r w:rsidRPr="003D7ADF">
        <w:rPr>
          <w:rFonts w:ascii="Times New Roman" w:hAnsi="Times New Roman"/>
        </w:rPr>
        <w:t xml:space="preserve"> shows that the norms the EU is so keen on promoting are taken for granted and are not studied in depth and discussed within its institutions.</w:t>
      </w:r>
    </w:p>
    <w:p w:rsidR="00C20D50" w:rsidRPr="003D7ADF" w:rsidRDefault="00C20D50" w:rsidP="00C20D50">
      <w:pPr>
        <w:spacing w:line="360" w:lineRule="auto"/>
        <w:ind w:firstLine="720"/>
        <w:contextualSpacing/>
        <w:jc w:val="both"/>
        <w:rPr>
          <w:rFonts w:ascii="Times New Roman" w:hAnsi="Times New Roman"/>
          <w:b/>
        </w:rPr>
      </w:pPr>
      <w:r w:rsidRPr="003D7ADF">
        <w:rPr>
          <w:rFonts w:ascii="Times New Roman" w:hAnsi="Times New Roman"/>
        </w:rPr>
        <w:t xml:space="preserve"> Anyway, these values are to be promoted through attraction, persu</w:t>
      </w:r>
      <w:r w:rsidRPr="003D7ADF">
        <w:rPr>
          <w:rFonts w:ascii="Times New Roman" w:hAnsi="Times New Roman"/>
        </w:rPr>
        <w:t>a</w:t>
      </w:r>
      <w:r w:rsidRPr="003D7ADF">
        <w:rPr>
          <w:rFonts w:ascii="Times New Roman" w:hAnsi="Times New Roman"/>
        </w:rPr>
        <w:t>sion, activation of international norms, shaping the discourse (mainstream perceptions of what is 'normal') and setting an example for others to follow (</w:t>
      </w:r>
      <w:r>
        <w:rPr>
          <w:rFonts w:ascii="Times New Roman" w:hAnsi="Times New Roman"/>
        </w:rPr>
        <w:t>Forsberg, 2011: 1184</w:t>
      </w:r>
      <w:r w:rsidRPr="003D7ADF">
        <w:rPr>
          <w:rFonts w:ascii="Times New Roman" w:hAnsi="Times New Roman"/>
        </w:rPr>
        <w:t>). During the negotiations</w:t>
      </w:r>
      <w:r>
        <w:rPr>
          <w:rFonts w:ascii="Times New Roman" w:hAnsi="Times New Roman"/>
        </w:rPr>
        <w:t xml:space="preserve"> there are clear</w:t>
      </w:r>
      <w:r w:rsidRPr="003D7ADF">
        <w:rPr>
          <w:rFonts w:ascii="Times New Roman" w:hAnsi="Times New Roman"/>
        </w:rPr>
        <w:t xml:space="preserve"> asymmetries of power between the negotiating countries and the EU: through the policy of conditionality a number of conditions leading to institutional isomo</w:t>
      </w:r>
      <w:r w:rsidRPr="003D7ADF">
        <w:rPr>
          <w:rFonts w:ascii="Times New Roman" w:hAnsi="Times New Roman"/>
        </w:rPr>
        <w:t>r</w:t>
      </w:r>
      <w:r w:rsidRPr="003D7ADF">
        <w:rPr>
          <w:rFonts w:ascii="Times New Roman" w:hAnsi="Times New Roman"/>
        </w:rPr>
        <w:t>phism and convergence are to be adopted by the candidates. The most i</w:t>
      </w:r>
      <w:r w:rsidRPr="003D7ADF">
        <w:rPr>
          <w:rFonts w:ascii="Times New Roman" w:hAnsi="Times New Roman"/>
        </w:rPr>
        <w:t>m</w:t>
      </w:r>
      <w:r w:rsidRPr="003D7ADF">
        <w:rPr>
          <w:rFonts w:ascii="Times New Roman" w:hAnsi="Times New Roman"/>
        </w:rPr>
        <w:t>portant is the adoption of the acquis communautaire. This is a top-down a</w:t>
      </w:r>
      <w:r w:rsidRPr="003D7ADF">
        <w:rPr>
          <w:rFonts w:ascii="Times New Roman" w:hAnsi="Times New Roman"/>
        </w:rPr>
        <w:t>p</w:t>
      </w:r>
      <w:r w:rsidRPr="003D7ADF">
        <w:rPr>
          <w:rFonts w:ascii="Times New Roman" w:hAnsi="Times New Roman"/>
        </w:rPr>
        <w:t>proach towards reforms and based on the assumption of the logic of appropriateness, which in March and Olsen's words is "a perspective that sees human actions as driven by rules of appropriate or exemplary behavior, organized into institutions. Rules are followed because they are seen as natural, rightful, expe</w:t>
      </w:r>
      <w:r>
        <w:rPr>
          <w:rFonts w:ascii="Times New Roman" w:hAnsi="Times New Roman"/>
        </w:rPr>
        <w:t>cted, and legitimate" (2004: 2</w:t>
      </w:r>
      <w:r w:rsidRPr="003D7ADF">
        <w:rPr>
          <w:rFonts w:ascii="Times New Roman" w:hAnsi="Times New Roman"/>
        </w:rPr>
        <w:t>). More or less, the idea is to change institutions, norms and practices in the other countries, esp</w:t>
      </w:r>
      <w:r w:rsidRPr="003D7ADF">
        <w:rPr>
          <w:rFonts w:ascii="Times New Roman" w:hAnsi="Times New Roman"/>
        </w:rPr>
        <w:t>e</w:t>
      </w:r>
      <w:r w:rsidRPr="003D7ADF">
        <w:rPr>
          <w:rFonts w:ascii="Times New Roman" w:hAnsi="Times New Roman"/>
        </w:rPr>
        <w:t>cially in the future EU members through the creation of new political cu</w:t>
      </w:r>
      <w:r w:rsidRPr="003D7ADF">
        <w:rPr>
          <w:rFonts w:ascii="Times New Roman" w:hAnsi="Times New Roman"/>
        </w:rPr>
        <w:t>l</w:t>
      </w:r>
      <w:r w:rsidRPr="003D7ADF">
        <w:rPr>
          <w:rFonts w:ascii="Times New Roman" w:hAnsi="Times New Roman"/>
        </w:rPr>
        <w:t xml:space="preserve">ture and shaping a new  image of what is 'normal' in these countries. This became intensively the case after the fall of communism and the start of the Eastern enlargement, which with each stage was becoming more and more demanding towards the candidates. </w:t>
      </w:r>
    </w:p>
    <w:p w:rsidR="00C20D50" w:rsidRPr="000F19B1" w:rsidRDefault="00C20D50" w:rsidP="00C20D50">
      <w:pPr>
        <w:spacing w:line="360" w:lineRule="auto"/>
        <w:ind w:firstLine="720"/>
        <w:contextualSpacing/>
        <w:jc w:val="both"/>
        <w:rPr>
          <w:rFonts w:ascii="Times New Roman" w:hAnsi="Times New Roman"/>
        </w:rPr>
      </w:pPr>
      <w:r w:rsidRPr="000F19B1">
        <w:rPr>
          <w:rFonts w:ascii="Times New Roman" w:hAnsi="Times New Roman"/>
        </w:rPr>
        <w:t>The EU put conditions to the country unilaterally which if not fu</w:t>
      </w:r>
      <w:r w:rsidRPr="000F19B1">
        <w:rPr>
          <w:rFonts w:ascii="Times New Roman" w:hAnsi="Times New Roman"/>
        </w:rPr>
        <w:t>l</w:t>
      </w:r>
      <w:r w:rsidRPr="000F19B1">
        <w:rPr>
          <w:rFonts w:ascii="Times New Roman" w:hAnsi="Times New Roman"/>
        </w:rPr>
        <w:t>filled would have stopped the European integration. For the EU these cond</w:t>
      </w:r>
      <w:r w:rsidRPr="000F19B1">
        <w:rPr>
          <w:rFonts w:ascii="Times New Roman" w:hAnsi="Times New Roman"/>
        </w:rPr>
        <w:t>i</w:t>
      </w:r>
      <w:r w:rsidRPr="000F19B1">
        <w:rPr>
          <w:rFonts w:ascii="Times New Roman" w:hAnsi="Times New Roman"/>
        </w:rPr>
        <w:t>tions are an expression of their values promotion and are for “the good” of all. Thus, despite the differences of the political and economical enviro</w:t>
      </w:r>
      <w:r w:rsidRPr="000F19B1">
        <w:rPr>
          <w:rFonts w:ascii="Times New Roman" w:hAnsi="Times New Roman"/>
        </w:rPr>
        <w:t>n</w:t>
      </w:r>
      <w:r w:rsidRPr="000F19B1">
        <w:rPr>
          <w:rFonts w:ascii="Times New Roman" w:hAnsi="Times New Roman"/>
        </w:rPr>
        <w:t xml:space="preserve">ment of all countries, the EU did not bother too much with the particular contexts. As </w:t>
      </w:r>
      <w:r w:rsidRPr="00064F38">
        <w:rPr>
          <w:rFonts w:ascii="Times New Roman" w:hAnsi="Times New Roman"/>
        </w:rPr>
        <w:t xml:space="preserve">Ruggie </w:t>
      </w:r>
      <w:r w:rsidRPr="000F19B1">
        <w:rPr>
          <w:rFonts w:ascii="Times New Roman" w:hAnsi="Times New Roman"/>
        </w:rPr>
        <w:t xml:space="preserve">puts it, it is about “diffusion of identical cultural norms to developing countries, which differ radically among themselves in their specific circumstances but which come to express identical preferences for </w:t>
      </w:r>
      <w:r w:rsidRPr="000F19B1">
        <w:rPr>
          <w:rFonts w:ascii="Times New Roman" w:hAnsi="Times New Roman"/>
        </w:rPr>
        <w:lastRenderedPageBreak/>
        <w:t>policies and institutional arrangements. The norms diffused are those of r</w:t>
      </w:r>
      <w:r w:rsidRPr="000F19B1">
        <w:rPr>
          <w:rFonts w:ascii="Times New Roman" w:hAnsi="Times New Roman"/>
        </w:rPr>
        <w:t>a</w:t>
      </w:r>
      <w:r w:rsidRPr="000F19B1">
        <w:rPr>
          <w:rFonts w:ascii="Times New Roman" w:hAnsi="Times New Roman"/>
        </w:rPr>
        <w:t>tionalized bureaucratic structures and, more generally, standards of what it means to be a modern state” (</w:t>
      </w:r>
      <w:r w:rsidRPr="00064F38">
        <w:rPr>
          <w:rFonts w:ascii="Times New Roman" w:hAnsi="Times New Roman"/>
        </w:rPr>
        <w:t>1998: 864).</w:t>
      </w:r>
      <w:r>
        <w:rPr>
          <w:rFonts w:ascii="Times New Roman" w:hAnsi="Times New Roman"/>
        </w:rPr>
        <w:t xml:space="preserve"> </w:t>
      </w:r>
      <w:r w:rsidRPr="000F19B1">
        <w:rPr>
          <w:rFonts w:ascii="Times New Roman" w:hAnsi="Times New Roman"/>
        </w:rPr>
        <w:t>Thus, institutions had to be r</w:t>
      </w:r>
      <w:r w:rsidRPr="000F19B1">
        <w:rPr>
          <w:rFonts w:ascii="Times New Roman" w:hAnsi="Times New Roman"/>
        </w:rPr>
        <w:t>e</w:t>
      </w:r>
      <w:r w:rsidRPr="000F19B1">
        <w:rPr>
          <w:rFonts w:ascii="Times New Roman" w:hAnsi="Times New Roman"/>
        </w:rPr>
        <w:t xml:space="preserve">formed in all candidate members in a similar way, </w:t>
      </w:r>
      <w:r>
        <w:rPr>
          <w:rFonts w:ascii="Times New Roman" w:hAnsi="Times New Roman"/>
        </w:rPr>
        <w:t>with the aim to make them</w:t>
      </w:r>
      <w:r w:rsidRPr="000F19B1">
        <w:rPr>
          <w:rFonts w:ascii="Times New Roman" w:hAnsi="Times New Roman"/>
        </w:rPr>
        <w:t xml:space="preserve"> dem</w:t>
      </w:r>
      <w:r>
        <w:rPr>
          <w:rFonts w:ascii="Times New Roman" w:hAnsi="Times New Roman"/>
        </w:rPr>
        <w:t>ocratic and stable, which entails an aspiration for</w:t>
      </w:r>
      <w:r w:rsidRPr="000F19B1">
        <w:rPr>
          <w:rFonts w:ascii="Times New Roman" w:hAnsi="Times New Roman"/>
        </w:rPr>
        <w:t xml:space="preserve"> institutional isomorphism. The Europeanization process actually is a process of conve</w:t>
      </w:r>
      <w:r w:rsidRPr="000F19B1">
        <w:rPr>
          <w:rFonts w:ascii="Times New Roman" w:hAnsi="Times New Roman"/>
        </w:rPr>
        <w:t>r</w:t>
      </w:r>
      <w:r w:rsidRPr="000F19B1">
        <w:rPr>
          <w:rFonts w:ascii="Times New Roman" w:hAnsi="Times New Roman"/>
        </w:rPr>
        <w:t>gence towards homogeneous institutions, values and rules. The reward fo</w:t>
      </w:r>
      <w:r w:rsidRPr="000F19B1">
        <w:rPr>
          <w:rFonts w:ascii="Times New Roman" w:hAnsi="Times New Roman"/>
        </w:rPr>
        <w:t>l</w:t>
      </w:r>
      <w:r w:rsidRPr="000F19B1">
        <w:rPr>
          <w:rFonts w:ascii="Times New Roman" w:hAnsi="Times New Roman"/>
        </w:rPr>
        <w:t xml:space="preserve">lowing this homogenization is membership. </w:t>
      </w:r>
    </w:p>
    <w:p w:rsidR="00C20D50" w:rsidRDefault="00C20D50" w:rsidP="00C20D50">
      <w:pPr>
        <w:spacing w:line="360" w:lineRule="auto"/>
        <w:ind w:firstLine="720"/>
        <w:contextualSpacing/>
        <w:jc w:val="both"/>
        <w:rPr>
          <w:rFonts w:ascii="Times New Roman" w:hAnsi="Times New Roman"/>
        </w:rPr>
      </w:pPr>
      <w:r w:rsidRPr="007326BF">
        <w:rPr>
          <w:rFonts w:ascii="Times New Roman" w:hAnsi="Times New Roman"/>
        </w:rPr>
        <w:t>That top-down approach was what has been mostly criticized in the academic literature, but the EU has not questioned it despite its series of its critical reports on the new members' democracy, judicial system and ine</w:t>
      </w:r>
      <w:r w:rsidRPr="007326BF">
        <w:rPr>
          <w:rFonts w:ascii="Times New Roman" w:hAnsi="Times New Roman"/>
        </w:rPr>
        <w:t>f</w:t>
      </w:r>
      <w:r w:rsidRPr="007326BF">
        <w:rPr>
          <w:rFonts w:ascii="Times New Roman" w:hAnsi="Times New Roman"/>
        </w:rPr>
        <w:t xml:space="preserve">fective reforms. It seems that while </w:t>
      </w:r>
      <w:r>
        <w:rPr>
          <w:rFonts w:ascii="Times New Roman" w:hAnsi="Times New Roman"/>
        </w:rPr>
        <w:t>at first sight</w:t>
      </w:r>
      <w:r w:rsidRPr="007326BF">
        <w:rPr>
          <w:rFonts w:ascii="Times New Roman" w:hAnsi="Times New Roman"/>
        </w:rPr>
        <w:t xml:space="preserve"> European norms have been sedimentated and no one in the new members questions the choice of d</w:t>
      </w:r>
      <w:r w:rsidRPr="007326BF">
        <w:rPr>
          <w:rFonts w:ascii="Times New Roman" w:hAnsi="Times New Roman"/>
        </w:rPr>
        <w:t>e</w:t>
      </w:r>
      <w:r w:rsidRPr="007326BF">
        <w:rPr>
          <w:rFonts w:ascii="Times New Roman" w:hAnsi="Times New Roman"/>
        </w:rPr>
        <w:t xml:space="preserve">mocratic political regime, the institutions have remained resistant to reforms and political actors have not become so devoted to democratic norms in their actions. One possible research question could be then whether the EU has believed </w:t>
      </w:r>
      <w:r>
        <w:rPr>
          <w:rFonts w:ascii="Times New Roman" w:hAnsi="Times New Roman"/>
        </w:rPr>
        <w:t xml:space="preserve">so much </w:t>
      </w:r>
      <w:r w:rsidRPr="007326BF">
        <w:rPr>
          <w:rFonts w:ascii="Times New Roman" w:hAnsi="Times New Roman"/>
        </w:rPr>
        <w:t xml:space="preserve">in the strength of </w:t>
      </w:r>
      <w:r>
        <w:rPr>
          <w:rFonts w:ascii="Times New Roman" w:hAnsi="Times New Roman"/>
        </w:rPr>
        <w:t>its</w:t>
      </w:r>
      <w:r w:rsidRPr="007326BF">
        <w:rPr>
          <w:rFonts w:ascii="Times New Roman" w:hAnsi="Times New Roman"/>
        </w:rPr>
        <w:t xml:space="preserve"> normative means and values that it cannot see some other possibilities for reforms and approach towards its newest members and candidates. At a certain point it seems that the only solution seen as possible by EU officials in the combat with corruption and democratic deficit is further liberalization and convergence through norms and conditionality, issuing </w:t>
      </w:r>
      <w:r>
        <w:rPr>
          <w:rFonts w:ascii="Times New Roman" w:hAnsi="Times New Roman"/>
        </w:rPr>
        <w:t xml:space="preserve">the </w:t>
      </w:r>
      <w:r w:rsidRPr="007326BF">
        <w:rPr>
          <w:rFonts w:ascii="Times New Roman" w:hAnsi="Times New Roman"/>
        </w:rPr>
        <w:t xml:space="preserve">same recommendations to the problematic countries </w:t>
      </w:r>
      <w:r>
        <w:rPr>
          <w:rFonts w:ascii="Times New Roman" w:hAnsi="Times New Roman"/>
        </w:rPr>
        <w:t>repeatedly</w:t>
      </w:r>
      <w:r w:rsidRPr="007326BF">
        <w:rPr>
          <w:rFonts w:ascii="Times New Roman" w:hAnsi="Times New Roman"/>
        </w:rPr>
        <w:t xml:space="preserve">. However, there are other theoretical approaches </w:t>
      </w:r>
      <w:r>
        <w:rPr>
          <w:rFonts w:ascii="Times New Roman" w:hAnsi="Times New Roman"/>
        </w:rPr>
        <w:t>which</w:t>
      </w:r>
      <w:r w:rsidRPr="007326BF">
        <w:rPr>
          <w:rFonts w:ascii="Times New Roman" w:hAnsi="Times New Roman"/>
        </w:rPr>
        <w:t xml:space="preserve"> could answer</w:t>
      </w:r>
      <w:r>
        <w:rPr>
          <w:rFonts w:ascii="Times New Roman" w:hAnsi="Times New Roman"/>
        </w:rPr>
        <w:t xml:space="preserve"> better</w:t>
      </w:r>
      <w:r w:rsidRPr="007326BF">
        <w:rPr>
          <w:rFonts w:ascii="Times New Roman" w:hAnsi="Times New Roman"/>
        </w:rPr>
        <w:t xml:space="preserve"> why the democratization process in some countries </w:t>
      </w:r>
      <w:r>
        <w:rPr>
          <w:rFonts w:ascii="Times New Roman" w:hAnsi="Times New Roman"/>
        </w:rPr>
        <w:t>has been so slow and difficult and which dig deeper in the particular contexts.</w:t>
      </w:r>
    </w:p>
    <w:p w:rsidR="009425BD" w:rsidRPr="00163DB0" w:rsidRDefault="009425BD" w:rsidP="009425BD">
      <w:pPr>
        <w:pStyle w:val="Heading2"/>
        <w:rPr>
          <w:rFonts w:ascii="Times New Roman" w:hAnsi="Times New Roman"/>
        </w:rPr>
      </w:pPr>
      <w:bookmarkStart w:id="21" w:name="_Toc334483988"/>
      <w:r w:rsidRPr="00163DB0">
        <w:rPr>
          <w:rFonts w:ascii="Times New Roman" w:hAnsi="Times New Roman"/>
        </w:rPr>
        <w:t>2.3. Kitschelt and Historical Institutionalism</w:t>
      </w:r>
      <w:bookmarkEnd w:id="21"/>
      <w:r w:rsidRPr="00163DB0">
        <w:rPr>
          <w:rFonts w:ascii="Times New Roman" w:hAnsi="Times New Roman"/>
        </w:rPr>
        <w:t xml:space="preserve"> </w:t>
      </w:r>
    </w:p>
    <w:p w:rsidR="009425BD" w:rsidRPr="00163DB0" w:rsidRDefault="009425BD" w:rsidP="009425BD">
      <w:pPr>
        <w:pStyle w:val="Heading3"/>
        <w:rPr>
          <w:rFonts w:ascii="Times New Roman" w:hAnsi="Times New Roman"/>
        </w:rPr>
      </w:pPr>
      <w:bookmarkStart w:id="22" w:name="_Toc334483989"/>
      <w:r w:rsidRPr="00163DB0">
        <w:rPr>
          <w:rFonts w:ascii="Times New Roman" w:hAnsi="Times New Roman"/>
        </w:rPr>
        <w:t>2.3.1. Democratic Consolidation and Party Cleavages</w:t>
      </w:r>
      <w:bookmarkEnd w:id="22"/>
    </w:p>
    <w:p w:rsidR="009425BD" w:rsidRPr="00163DB0" w:rsidRDefault="009425BD" w:rsidP="00163DB0">
      <w:pPr>
        <w:spacing w:line="360" w:lineRule="auto"/>
        <w:ind w:firstLine="720"/>
        <w:contextualSpacing/>
        <w:jc w:val="both"/>
        <w:rPr>
          <w:rFonts w:ascii="Times New Roman" w:hAnsi="Times New Roman"/>
          <w:color w:val="FF0000"/>
        </w:rPr>
      </w:pPr>
      <w:r w:rsidRPr="00163DB0">
        <w:rPr>
          <w:rFonts w:ascii="Times New Roman" w:hAnsi="Times New Roman"/>
        </w:rPr>
        <w:t>Another approach to the analysis of democratic consolidation in Central and East Europe takes for a starting point the historical path and legacy. This is the logic of continuity and path-dependence, i.e. the legacy from the past influences the present development: “As we go back in time, the nature of the pre-democratic communist regime and the mode of trans</w:t>
      </w:r>
      <w:r w:rsidRPr="00163DB0">
        <w:rPr>
          <w:rFonts w:ascii="Times New Roman" w:hAnsi="Times New Roman"/>
        </w:rPr>
        <w:t>i</w:t>
      </w:r>
      <w:r w:rsidRPr="00163DB0">
        <w:rPr>
          <w:rFonts w:ascii="Times New Roman" w:hAnsi="Times New Roman"/>
        </w:rPr>
        <w:lastRenderedPageBreak/>
        <w:t>tion to democracy affect the choice of democratic rules and modes of party competition. Further in the past, previous democratic experiences and the nature of industrialization leave their mark on the conditions that shape co</w:t>
      </w:r>
      <w:r w:rsidRPr="00163DB0">
        <w:rPr>
          <w:rFonts w:ascii="Times New Roman" w:hAnsi="Times New Roman"/>
        </w:rPr>
        <w:t>n</w:t>
      </w:r>
      <w:r w:rsidRPr="00163DB0">
        <w:rPr>
          <w:rFonts w:ascii="Times New Roman" w:hAnsi="Times New Roman"/>
        </w:rPr>
        <w:t>temporary democracies”</w:t>
      </w:r>
      <w:r w:rsidR="00524443" w:rsidRPr="00163DB0">
        <w:rPr>
          <w:rFonts w:ascii="Times New Roman" w:hAnsi="Times New Roman"/>
        </w:rPr>
        <w:t xml:space="preserve"> </w:t>
      </w:r>
      <w:r w:rsidRPr="00163DB0">
        <w:rPr>
          <w:rFonts w:ascii="Times New Roman" w:hAnsi="Times New Roman"/>
        </w:rPr>
        <w:t>(Kitschelt, 1995: 452).</w:t>
      </w:r>
      <w:r w:rsidRPr="00163DB0">
        <w:rPr>
          <w:rFonts w:ascii="Times New Roman" w:hAnsi="Times New Roman"/>
          <w:color w:val="FF0000"/>
        </w:rPr>
        <w:t xml:space="preserve"> </w:t>
      </w:r>
      <w:r w:rsidRPr="00163DB0">
        <w:rPr>
          <w:rFonts w:ascii="Times New Roman" w:hAnsi="Times New Roman"/>
        </w:rPr>
        <w:t>Thus, this way of thinking is explanatory and searches the reasons for the development and the path of a given country in its history and context-determined conditions. In this a</w:t>
      </w:r>
      <w:r w:rsidRPr="00163DB0">
        <w:rPr>
          <w:rFonts w:ascii="Times New Roman" w:hAnsi="Times New Roman"/>
        </w:rPr>
        <w:t>p</w:t>
      </w:r>
      <w:r w:rsidRPr="00163DB0">
        <w:rPr>
          <w:rFonts w:ascii="Times New Roman" w:hAnsi="Times New Roman"/>
        </w:rPr>
        <w:t>proach studying the role of the EU for democratic consolidation will come at a second place and as a part of the many factors shaping the democratiz</w:t>
      </w:r>
      <w:r w:rsidRPr="00163DB0">
        <w:rPr>
          <w:rFonts w:ascii="Times New Roman" w:hAnsi="Times New Roman"/>
        </w:rPr>
        <w:t>a</w:t>
      </w:r>
      <w:r w:rsidRPr="00163DB0">
        <w:rPr>
          <w:rFonts w:ascii="Times New Roman" w:hAnsi="Times New Roman"/>
        </w:rPr>
        <w:t>tion process. European abstract norms and ideas will not be considered as important as the direct reforms in the institutions and the domestic context is considered the focal place for analysis.</w:t>
      </w:r>
    </w:p>
    <w:p w:rsidR="00524443" w:rsidRPr="00163DB0" w:rsidRDefault="009425BD" w:rsidP="00163DB0">
      <w:pPr>
        <w:spacing w:line="360" w:lineRule="auto"/>
        <w:rPr>
          <w:rFonts w:ascii="Times New Roman" w:hAnsi="Times New Roman"/>
        </w:rPr>
      </w:pPr>
      <w:r w:rsidRPr="00163DB0">
        <w:rPr>
          <w:rFonts w:ascii="Times New Roman" w:hAnsi="Times New Roman"/>
        </w:rPr>
        <w:t>Kitschelt et al. cite the Przeworski's and O'Donnell's  views on demo</w:t>
      </w:r>
      <w:r w:rsidRPr="00163DB0">
        <w:rPr>
          <w:rFonts w:ascii="Times New Roman" w:hAnsi="Times New Roman"/>
        </w:rPr>
        <w:t>c</w:t>
      </w:r>
      <w:r w:rsidRPr="00163DB0">
        <w:rPr>
          <w:rFonts w:ascii="Times New Roman" w:hAnsi="Times New Roman"/>
        </w:rPr>
        <w:t xml:space="preserve">ratic consolidation which should respond to three requirements: </w:t>
      </w:r>
    </w:p>
    <w:p w:rsidR="00524443" w:rsidRPr="00F30656" w:rsidRDefault="009425BD" w:rsidP="00163DB0">
      <w:pPr>
        <w:pStyle w:val="Quote"/>
        <w:spacing w:line="360" w:lineRule="auto"/>
        <w:jc w:val="both"/>
        <w:rPr>
          <w:rFonts w:ascii="Times New Roman" w:hAnsi="Times New Roman"/>
          <w:sz w:val="22"/>
        </w:rPr>
      </w:pPr>
      <w:r w:rsidRPr="00F30656">
        <w:rPr>
          <w:rFonts w:ascii="Times New Roman" w:hAnsi="Times New Roman"/>
          <w:sz w:val="22"/>
        </w:rPr>
        <w:t>(1) the compliance of most political actors with constitutional rules of political conduct and the emergence of a procedural consensus about the rules of the game, (2) the subordination of those who exercise the monopoly of coercion, the military and security apparatus, under democratic control, and (3) the va</w:t>
      </w:r>
      <w:r w:rsidRPr="00F30656">
        <w:rPr>
          <w:rFonts w:ascii="Times New Roman" w:hAnsi="Times New Roman"/>
          <w:sz w:val="22"/>
        </w:rPr>
        <w:t>n</w:t>
      </w:r>
      <w:r w:rsidRPr="00F30656">
        <w:rPr>
          <w:rFonts w:ascii="Times New Roman" w:hAnsi="Times New Roman"/>
          <w:sz w:val="22"/>
        </w:rPr>
        <w:t>ishing of popular beliefs that there are feasible and attractive alternatives to democ</w:t>
      </w:r>
      <w:r w:rsidR="00524443" w:rsidRPr="00F30656">
        <w:rPr>
          <w:rFonts w:ascii="Times New Roman" w:hAnsi="Times New Roman"/>
          <w:sz w:val="22"/>
        </w:rPr>
        <w:t>racy.</w:t>
      </w:r>
      <w:r w:rsidR="00524443" w:rsidRPr="00F30656">
        <w:rPr>
          <w:rStyle w:val="FootnoteReference"/>
          <w:rFonts w:ascii="Times New Roman" w:hAnsi="Times New Roman"/>
        </w:rPr>
        <w:footnoteReference w:id="4"/>
      </w:r>
      <w:r w:rsidRPr="00F30656">
        <w:rPr>
          <w:rFonts w:ascii="Times New Roman" w:hAnsi="Times New Roman"/>
          <w:sz w:val="22"/>
        </w:rPr>
        <w:t xml:space="preserve"> </w:t>
      </w:r>
    </w:p>
    <w:p w:rsidR="009425BD" w:rsidRPr="00163DB0" w:rsidRDefault="009425BD" w:rsidP="00163DB0">
      <w:pPr>
        <w:spacing w:line="360" w:lineRule="auto"/>
        <w:jc w:val="both"/>
        <w:rPr>
          <w:rFonts w:ascii="Times New Roman" w:hAnsi="Times New Roman"/>
        </w:rPr>
      </w:pPr>
      <w:r w:rsidRPr="00163DB0">
        <w:rPr>
          <w:rFonts w:ascii="Times New Roman" w:hAnsi="Times New Roman"/>
          <w:color w:val="000000" w:themeColor="text1"/>
        </w:rPr>
        <w:t>These requirements are accomplished only if there are built firm lin</w:t>
      </w:r>
      <w:r w:rsidRPr="00163DB0">
        <w:rPr>
          <w:rFonts w:ascii="Times New Roman" w:hAnsi="Times New Roman"/>
          <w:color w:val="000000" w:themeColor="text1"/>
        </w:rPr>
        <w:t>k</w:t>
      </w:r>
      <w:r w:rsidRPr="00163DB0">
        <w:rPr>
          <w:rFonts w:ascii="Times New Roman" w:hAnsi="Times New Roman"/>
          <w:color w:val="000000" w:themeColor="text1"/>
        </w:rPr>
        <w:t>ages between the political elite and the citizens, based on accountability on the part of the political parties and on political culture on the part of the cit</w:t>
      </w:r>
      <w:r w:rsidRPr="00163DB0">
        <w:rPr>
          <w:rFonts w:ascii="Times New Roman" w:hAnsi="Times New Roman"/>
          <w:color w:val="000000" w:themeColor="text1"/>
        </w:rPr>
        <w:t>i</w:t>
      </w:r>
      <w:r w:rsidRPr="00163DB0">
        <w:rPr>
          <w:rFonts w:ascii="Times New Roman" w:hAnsi="Times New Roman"/>
          <w:color w:val="000000" w:themeColor="text1"/>
        </w:rPr>
        <w:t xml:space="preserve">zens </w:t>
      </w:r>
      <w:r w:rsidRPr="00163DB0">
        <w:rPr>
          <w:rFonts w:ascii="Times New Roman" w:hAnsi="Times New Roman"/>
        </w:rPr>
        <w:t>(ibid).</w:t>
      </w:r>
      <w:r w:rsidRPr="00163DB0">
        <w:rPr>
          <w:rFonts w:ascii="Times New Roman" w:hAnsi="Times New Roman"/>
          <w:color w:val="000000" w:themeColor="text1"/>
        </w:rPr>
        <w:t xml:space="preserve"> This is the reason why Kitschelt concentrates on the analysis of party cleavages and structuring, as he takes them as indicative of the pre</w:t>
      </w:r>
      <w:r w:rsidRPr="00163DB0">
        <w:rPr>
          <w:rFonts w:ascii="Times New Roman" w:hAnsi="Times New Roman"/>
          <w:color w:val="000000" w:themeColor="text1"/>
        </w:rPr>
        <w:t>s</w:t>
      </w:r>
      <w:r w:rsidRPr="00163DB0">
        <w:rPr>
          <w:rFonts w:ascii="Times New Roman" w:hAnsi="Times New Roman"/>
          <w:color w:val="000000" w:themeColor="text1"/>
        </w:rPr>
        <w:t xml:space="preserve">ence of this condition. Of course, he points out that the creation of such firm linkages cannot be expected immediately and that they take time, but the analysis on democratic consolidation should be based on the observation of how they are being formed and at what stage of formation they are. One possible approach to study the linkages between parties and the electorate is the </w:t>
      </w:r>
      <w:r w:rsidRPr="00163DB0">
        <w:rPr>
          <w:rFonts w:ascii="Times New Roman" w:hAnsi="Times New Roman"/>
          <w:i/>
          <w:color w:val="000000" w:themeColor="text1"/>
        </w:rPr>
        <w:t>Tabula Rasa</w:t>
      </w:r>
      <w:r w:rsidRPr="00163DB0">
        <w:rPr>
          <w:rFonts w:ascii="Times New Roman" w:hAnsi="Times New Roman"/>
          <w:color w:val="000000" w:themeColor="text1"/>
        </w:rPr>
        <w:t xml:space="preserve"> hypothesis. It consists of four main assumptions: 1) there is a lack of political culture among the people after such a long period under </w:t>
      </w:r>
      <w:r w:rsidRPr="00163DB0">
        <w:rPr>
          <w:rFonts w:ascii="Times New Roman" w:hAnsi="Times New Roman"/>
          <w:color w:val="000000" w:themeColor="text1"/>
        </w:rPr>
        <w:lastRenderedPageBreak/>
        <w:t>authoritarian regime, 2) the quick changes in the economic and political structures lead to impossibility on the part of people to realize what their economic interests are and how to protect them, 3) the emergence of too many parties and political entrepreneurs with basically very similar pr</w:t>
      </w:r>
      <w:r w:rsidRPr="00163DB0">
        <w:rPr>
          <w:rFonts w:ascii="Times New Roman" w:hAnsi="Times New Roman"/>
          <w:color w:val="000000" w:themeColor="text1"/>
        </w:rPr>
        <w:t>o</w:t>
      </w:r>
      <w:r w:rsidRPr="00163DB0">
        <w:rPr>
          <w:rFonts w:ascii="Times New Roman" w:hAnsi="Times New Roman"/>
          <w:color w:val="000000" w:themeColor="text1"/>
        </w:rPr>
        <w:t xml:space="preserve">grams confuse the electorate, 4) the international economic conditionality and constraints limit the possibility of divergent economic programs and different parties cannot propose different alternatives to choose from (Kitschelt et al, 1995: 144; Kitschelt, 1995: 451). However, Kitschelt claims that he does not adhere to the </w:t>
      </w:r>
      <w:r w:rsidRPr="00163DB0">
        <w:rPr>
          <w:rFonts w:ascii="Times New Roman" w:hAnsi="Times New Roman"/>
          <w:i/>
          <w:color w:val="000000" w:themeColor="text1"/>
        </w:rPr>
        <w:t xml:space="preserve">tabula rasa </w:t>
      </w:r>
      <w:r w:rsidRPr="00163DB0">
        <w:rPr>
          <w:rFonts w:ascii="Times New Roman" w:hAnsi="Times New Roman"/>
          <w:color w:val="000000" w:themeColor="text1"/>
        </w:rPr>
        <w:t>arguments considering them too conservative and deterministic and argues that despite some unfavorable conditions voters and leaders of political parties can contribute to a better evolvement of program structuring and the whole democratization process</w:t>
      </w:r>
      <w:r w:rsidR="00F30656">
        <w:rPr>
          <w:rFonts w:ascii="Times New Roman" w:hAnsi="Times New Roman"/>
          <w:color w:val="000000" w:themeColor="text1"/>
        </w:rPr>
        <w:t xml:space="preserve"> </w:t>
      </w:r>
      <w:r w:rsidRPr="00163DB0">
        <w:rPr>
          <w:rFonts w:ascii="Times New Roman" w:hAnsi="Times New Roman"/>
          <w:color w:val="000000" w:themeColor="text1"/>
        </w:rPr>
        <w:t>(Kitschelt, 1995: 451).</w:t>
      </w:r>
      <w:r w:rsidRPr="00163DB0">
        <w:rPr>
          <w:rFonts w:ascii="Times New Roman" w:hAnsi="Times New Roman"/>
          <w:color w:val="7030A0"/>
        </w:rPr>
        <w:t xml:space="preserve"> </w:t>
      </w:r>
      <w:r w:rsidRPr="00163DB0">
        <w:rPr>
          <w:rFonts w:ascii="Times New Roman" w:hAnsi="Times New Roman"/>
        </w:rPr>
        <w:t>So despite that Kitschelt concentrates mainly on structural realities and path-dependence approach, he tries to escape dete</w:t>
      </w:r>
      <w:r w:rsidRPr="00163DB0">
        <w:rPr>
          <w:rFonts w:ascii="Times New Roman" w:hAnsi="Times New Roman"/>
        </w:rPr>
        <w:t>r</w:t>
      </w:r>
      <w:r w:rsidRPr="00163DB0">
        <w:rPr>
          <w:rFonts w:ascii="Times New Roman" w:hAnsi="Times New Roman"/>
        </w:rPr>
        <w:t>minism and problems with change explanation through pointing out that it is not possible for social sciences to predict outcomes or "fully explain partic</w:t>
      </w:r>
      <w:r w:rsidRPr="00163DB0">
        <w:rPr>
          <w:rFonts w:ascii="Times New Roman" w:hAnsi="Times New Roman"/>
        </w:rPr>
        <w:t>u</w:t>
      </w:r>
      <w:r w:rsidRPr="00163DB0">
        <w:rPr>
          <w:rFonts w:ascii="Times New Roman" w:hAnsi="Times New Roman"/>
        </w:rPr>
        <w:t>lar events. Law-like propositions, within given historical boundaries, raise a probabilistic claim, they try to identify necessary, not sufficient, conditions explaining certain historical processes in a probabilistic perspective" (1993: 424). Consequently, Kitschelt's approach does not aim to claim general a</w:t>
      </w:r>
      <w:r w:rsidRPr="00163DB0">
        <w:rPr>
          <w:rFonts w:ascii="Times New Roman" w:hAnsi="Times New Roman"/>
        </w:rPr>
        <w:t>p</w:t>
      </w:r>
      <w:r w:rsidRPr="00163DB0">
        <w:rPr>
          <w:rFonts w:ascii="Times New Roman" w:hAnsi="Times New Roman"/>
        </w:rPr>
        <w:t>plicability of its theoretical conclusions made on historical and context-specific analyses but simply seeks to explain and find out certain variables that can be more helpful than others for the democratization process (ibid.). However, despite his efforts to escape determinism, it is still very present in his researches and they remain often too descriptive, as in practice he does not refer to ideas or agency.</w:t>
      </w:r>
    </w:p>
    <w:p w:rsidR="009425BD" w:rsidRPr="00163DB0" w:rsidRDefault="009425BD" w:rsidP="00163DB0">
      <w:pPr>
        <w:spacing w:line="360" w:lineRule="auto"/>
        <w:ind w:firstLine="720"/>
        <w:contextualSpacing/>
        <w:jc w:val="both"/>
        <w:rPr>
          <w:rFonts w:ascii="Times New Roman" w:hAnsi="Times New Roman"/>
        </w:rPr>
      </w:pPr>
      <w:r w:rsidRPr="00163DB0">
        <w:rPr>
          <w:rFonts w:ascii="Times New Roman" w:hAnsi="Times New Roman"/>
        </w:rPr>
        <w:t>Kitschelt focuses on a number of structural conditions which infl</w:t>
      </w:r>
      <w:r w:rsidRPr="00163DB0">
        <w:rPr>
          <w:rFonts w:ascii="Times New Roman" w:hAnsi="Times New Roman"/>
        </w:rPr>
        <w:t>u</w:t>
      </w:r>
      <w:r w:rsidRPr="00163DB0">
        <w:rPr>
          <w:rFonts w:ascii="Times New Roman" w:hAnsi="Times New Roman"/>
        </w:rPr>
        <w:t>ence the processes after the end of the authoritarian regimes and the party cleavages in the post-communist countries. He looks back to historical d</w:t>
      </w:r>
      <w:r w:rsidRPr="00163DB0">
        <w:rPr>
          <w:rFonts w:ascii="Times New Roman" w:hAnsi="Times New Roman"/>
        </w:rPr>
        <w:t>e</w:t>
      </w:r>
      <w:r w:rsidRPr="00163DB0">
        <w:rPr>
          <w:rFonts w:ascii="Times New Roman" w:hAnsi="Times New Roman"/>
        </w:rPr>
        <w:t>velopments focusing on the process of program-building in the parties (whether they are influenced by past democratic traditions if there were such at all), the constitutional make-up and the forces behind it (both actors, pa</w:t>
      </w:r>
      <w:r w:rsidRPr="00163DB0">
        <w:rPr>
          <w:rFonts w:ascii="Times New Roman" w:hAnsi="Times New Roman"/>
        </w:rPr>
        <w:t>r</w:t>
      </w:r>
      <w:r w:rsidRPr="00163DB0">
        <w:rPr>
          <w:rFonts w:ascii="Times New Roman" w:hAnsi="Times New Roman"/>
        </w:rPr>
        <w:t xml:space="preserve">ties and institutions matter here), the political structure (parliamentarism is </w:t>
      </w:r>
      <w:r w:rsidRPr="00163DB0">
        <w:rPr>
          <w:rFonts w:ascii="Times New Roman" w:hAnsi="Times New Roman"/>
        </w:rPr>
        <w:lastRenderedPageBreak/>
        <w:t>judged more conducive to democratization while presidentialism is consi</w:t>
      </w:r>
      <w:r w:rsidRPr="00163DB0">
        <w:rPr>
          <w:rFonts w:ascii="Times New Roman" w:hAnsi="Times New Roman"/>
        </w:rPr>
        <w:t>d</w:t>
      </w:r>
      <w:r w:rsidRPr="00163DB0">
        <w:rPr>
          <w:rFonts w:ascii="Times New Roman" w:hAnsi="Times New Roman"/>
        </w:rPr>
        <w:t>ered more unfavorable), the structure of the authoritarian rule and the d</w:t>
      </w:r>
      <w:r w:rsidRPr="00163DB0">
        <w:rPr>
          <w:rFonts w:ascii="Times New Roman" w:hAnsi="Times New Roman"/>
        </w:rPr>
        <w:t>e</w:t>
      </w:r>
      <w:r w:rsidRPr="00163DB0">
        <w:rPr>
          <w:rFonts w:ascii="Times New Roman" w:hAnsi="Times New Roman"/>
        </w:rPr>
        <w:t>mocratic transition, reaching far back in time to the industrialization period and the political mobilization during and before the communist rule (Kitschelt, 1995: 452). All these factors are considered decisive for the e</w:t>
      </w:r>
      <w:r w:rsidRPr="00163DB0">
        <w:rPr>
          <w:rFonts w:ascii="Times New Roman" w:hAnsi="Times New Roman"/>
        </w:rPr>
        <w:t>x</w:t>
      </w:r>
      <w:r w:rsidRPr="00163DB0">
        <w:rPr>
          <w:rFonts w:ascii="Times New Roman" w:hAnsi="Times New Roman"/>
        </w:rPr>
        <w:t>planation of why things happened in a given country the way that they ha</w:t>
      </w:r>
      <w:r w:rsidRPr="00163DB0">
        <w:rPr>
          <w:rFonts w:ascii="Times New Roman" w:hAnsi="Times New Roman"/>
        </w:rPr>
        <w:t>p</w:t>
      </w:r>
      <w:r w:rsidRPr="00163DB0">
        <w:rPr>
          <w:rFonts w:ascii="Times New Roman" w:hAnsi="Times New Roman"/>
        </w:rPr>
        <w:t xml:space="preserve">pened. </w:t>
      </w:r>
    </w:p>
    <w:p w:rsidR="009425BD" w:rsidRPr="00163DB0" w:rsidRDefault="009425BD" w:rsidP="00163DB0">
      <w:pPr>
        <w:spacing w:line="360" w:lineRule="auto"/>
        <w:ind w:firstLine="720"/>
        <w:contextualSpacing/>
        <w:jc w:val="both"/>
        <w:rPr>
          <w:rFonts w:ascii="Times New Roman" w:hAnsi="Times New Roman"/>
        </w:rPr>
      </w:pPr>
      <w:r w:rsidRPr="00163DB0">
        <w:rPr>
          <w:rFonts w:ascii="Times New Roman" w:hAnsi="Times New Roman"/>
        </w:rPr>
        <w:t>Kitschelt classifies the communist regimes in Central and Eastern Europe into three main types: patrimonial, bureaucratic-authoritarian and national consensus. The patrimonial system is described as the most oppre</w:t>
      </w:r>
      <w:r w:rsidRPr="00163DB0">
        <w:rPr>
          <w:rFonts w:ascii="Times New Roman" w:hAnsi="Times New Roman"/>
        </w:rPr>
        <w:t>s</w:t>
      </w:r>
      <w:r w:rsidRPr="00163DB0">
        <w:rPr>
          <w:rFonts w:ascii="Times New Roman" w:hAnsi="Times New Roman"/>
        </w:rPr>
        <w:t>sive towards opposition, with strong clientelistic and patronage networks. The transition usually comes through “pre-emptive strikes launched by el</w:t>
      </w:r>
      <w:r w:rsidRPr="00163DB0">
        <w:rPr>
          <w:rFonts w:ascii="Times New Roman" w:hAnsi="Times New Roman"/>
        </w:rPr>
        <w:t>e</w:t>
      </w:r>
      <w:r w:rsidRPr="00163DB0">
        <w:rPr>
          <w:rFonts w:ascii="Times New Roman" w:hAnsi="Times New Roman"/>
        </w:rPr>
        <w:t>ments of the old elites who were able to impose their favorite constitutional design… on the emerging new regimes” (Kitschelt, 1995: 453). Bulgaria falls into that category, which means that it had the least favorable start t</w:t>
      </w:r>
      <w:r w:rsidRPr="00163DB0">
        <w:rPr>
          <w:rFonts w:ascii="Times New Roman" w:hAnsi="Times New Roman"/>
        </w:rPr>
        <w:t>o</w:t>
      </w:r>
      <w:r w:rsidRPr="00163DB0">
        <w:rPr>
          <w:rFonts w:ascii="Times New Roman" w:hAnsi="Times New Roman"/>
        </w:rPr>
        <w:t>wards democratization. Due to the strict regime there had not been dissident movements, the old nomenklatura elite succeeded in preserving its positions and the communist party won the first elections in 1990. Thus, the comm</w:t>
      </w:r>
      <w:r w:rsidRPr="00163DB0">
        <w:rPr>
          <w:rFonts w:ascii="Times New Roman" w:hAnsi="Times New Roman"/>
        </w:rPr>
        <w:t>u</w:t>
      </w:r>
      <w:r w:rsidRPr="00163DB0">
        <w:rPr>
          <w:rFonts w:ascii="Times New Roman" w:hAnsi="Times New Roman"/>
        </w:rPr>
        <w:t>nist elite capture of the political institutions made it much more difficult for democratization reforms to entrench in the political system. In that sense, a historical institutionalism researcher would suggest that changes in the inst</w:t>
      </w:r>
      <w:r w:rsidRPr="00163DB0">
        <w:rPr>
          <w:rFonts w:ascii="Times New Roman" w:hAnsi="Times New Roman"/>
        </w:rPr>
        <w:t>i</w:t>
      </w:r>
      <w:r w:rsidRPr="00163DB0">
        <w:rPr>
          <w:rFonts w:ascii="Times New Roman" w:hAnsi="Times New Roman"/>
        </w:rPr>
        <w:t>tutional design and practices would not be easy to happen simply by diff</w:t>
      </w:r>
      <w:r w:rsidRPr="00163DB0">
        <w:rPr>
          <w:rFonts w:ascii="Times New Roman" w:hAnsi="Times New Roman"/>
        </w:rPr>
        <w:t>u</w:t>
      </w:r>
      <w:r w:rsidRPr="00163DB0">
        <w:rPr>
          <w:rFonts w:ascii="Times New Roman" w:hAnsi="Times New Roman"/>
        </w:rPr>
        <w:t>sion of EU norms. Actually, this is one of the critiques to this approach: it explains continuity, but encounters difficulty to explain changes.</w:t>
      </w:r>
    </w:p>
    <w:p w:rsidR="009425BD" w:rsidRPr="00163DB0" w:rsidRDefault="009425BD" w:rsidP="009425BD">
      <w:pPr>
        <w:pStyle w:val="Heading3"/>
        <w:rPr>
          <w:rFonts w:ascii="Times New Roman" w:hAnsi="Times New Roman"/>
        </w:rPr>
      </w:pPr>
      <w:bookmarkStart w:id="23" w:name="_Toc334483990"/>
      <w:r w:rsidRPr="00163DB0">
        <w:rPr>
          <w:rFonts w:ascii="Times New Roman" w:hAnsi="Times New Roman"/>
        </w:rPr>
        <w:t>2.3.2. Gaps within Historical Institutionalism</w:t>
      </w:r>
      <w:bookmarkEnd w:id="23"/>
    </w:p>
    <w:p w:rsidR="009425BD" w:rsidRDefault="009425BD" w:rsidP="009425BD">
      <w:pPr>
        <w:spacing w:line="360" w:lineRule="auto"/>
        <w:ind w:firstLine="720"/>
        <w:contextualSpacing/>
        <w:jc w:val="both"/>
        <w:rPr>
          <w:rFonts w:ascii="Times New Roman" w:hAnsi="Times New Roman"/>
        </w:rPr>
      </w:pPr>
      <w:r w:rsidRPr="00227FB0">
        <w:rPr>
          <w:rFonts w:ascii="Times New Roman" w:hAnsi="Times New Roman"/>
        </w:rPr>
        <w:t xml:space="preserve">Briefly, this historical institutionalism approach is </w:t>
      </w:r>
      <w:r>
        <w:rPr>
          <w:rFonts w:ascii="Times New Roman" w:hAnsi="Times New Roman"/>
        </w:rPr>
        <w:t>quite opposite to</w:t>
      </w:r>
      <w:r w:rsidRPr="00227FB0">
        <w:rPr>
          <w:rFonts w:ascii="Times New Roman" w:hAnsi="Times New Roman"/>
        </w:rPr>
        <w:t xml:space="preserve"> the Normative Power one. While Normative Power overemphasized the role of EU norms and their diffusion for the reforms in institutions, assuming a top-bottom approach, the path-dependence perspective is based on the hi</w:t>
      </w:r>
      <w:r w:rsidRPr="00227FB0">
        <w:rPr>
          <w:rFonts w:ascii="Times New Roman" w:hAnsi="Times New Roman"/>
        </w:rPr>
        <w:t>s</w:t>
      </w:r>
      <w:r w:rsidRPr="00227FB0">
        <w:rPr>
          <w:rFonts w:ascii="Times New Roman" w:hAnsi="Times New Roman"/>
        </w:rPr>
        <w:t>torical contingencies</w:t>
      </w:r>
      <w:r>
        <w:rPr>
          <w:rFonts w:ascii="Times New Roman" w:hAnsi="Times New Roman"/>
        </w:rPr>
        <w:t>,</w:t>
      </w:r>
      <w:r w:rsidRPr="00227FB0">
        <w:rPr>
          <w:rFonts w:ascii="Times New Roman" w:hAnsi="Times New Roman"/>
        </w:rPr>
        <w:t xml:space="preserve"> the historical path and </w:t>
      </w:r>
      <w:r>
        <w:rPr>
          <w:rFonts w:ascii="Times New Roman" w:hAnsi="Times New Roman"/>
        </w:rPr>
        <w:t xml:space="preserve">the </w:t>
      </w:r>
      <w:r w:rsidRPr="00227FB0">
        <w:rPr>
          <w:rFonts w:ascii="Times New Roman" w:hAnsi="Times New Roman"/>
        </w:rPr>
        <w:t xml:space="preserve">inherited practices in the institutions which are </w:t>
      </w:r>
      <w:r>
        <w:rPr>
          <w:rFonts w:ascii="Times New Roman" w:hAnsi="Times New Roman"/>
        </w:rPr>
        <w:t>very difficult to change</w:t>
      </w:r>
      <w:r w:rsidRPr="00227FB0">
        <w:rPr>
          <w:rFonts w:ascii="Times New Roman" w:hAnsi="Times New Roman"/>
        </w:rPr>
        <w:t xml:space="preserve">. The </w:t>
      </w:r>
      <w:r>
        <w:rPr>
          <w:rFonts w:ascii="Times New Roman" w:hAnsi="Times New Roman"/>
        </w:rPr>
        <w:t>point</w:t>
      </w:r>
      <w:r w:rsidRPr="00227FB0">
        <w:rPr>
          <w:rFonts w:ascii="Times New Roman" w:hAnsi="Times New Roman"/>
        </w:rPr>
        <w:t xml:space="preserve"> is that there are </w:t>
      </w:r>
      <w:r>
        <w:rPr>
          <w:rFonts w:ascii="Times New Roman" w:hAnsi="Times New Roman"/>
        </w:rPr>
        <w:t xml:space="preserve">certain </w:t>
      </w:r>
      <w:r w:rsidRPr="00227FB0">
        <w:rPr>
          <w:rFonts w:ascii="Times New Roman" w:hAnsi="Times New Roman"/>
        </w:rPr>
        <w:t>preconditions to democracy, and that their absence makes a demo</w:t>
      </w:r>
      <w:r w:rsidRPr="00227FB0">
        <w:rPr>
          <w:rFonts w:ascii="Times New Roman" w:hAnsi="Times New Roman"/>
        </w:rPr>
        <w:t>c</w:t>
      </w:r>
      <w:r w:rsidRPr="00227FB0">
        <w:rPr>
          <w:rFonts w:ascii="Times New Roman" w:hAnsi="Times New Roman"/>
        </w:rPr>
        <w:t>ratic transition and consolidation more difficult and slow, though not impo</w:t>
      </w:r>
      <w:r w:rsidRPr="00227FB0">
        <w:rPr>
          <w:rFonts w:ascii="Times New Roman" w:hAnsi="Times New Roman"/>
        </w:rPr>
        <w:t>s</w:t>
      </w:r>
      <w:r w:rsidRPr="00227FB0">
        <w:rPr>
          <w:rFonts w:ascii="Times New Roman" w:hAnsi="Times New Roman"/>
        </w:rPr>
        <w:lastRenderedPageBreak/>
        <w:t xml:space="preserve">sible. This approach circles around contextual and material conditions, while the role of ideas and identities is much neglected. Institutions do not embody only interests and inherited practices from the past, but norms and values as well, and such are not taken into account. The logic of continuity is quite deterministic and descriptive and implies that change is not possible without a major crisis. </w:t>
      </w:r>
    </w:p>
    <w:p w:rsidR="009425BD" w:rsidRPr="00D51AE9" w:rsidRDefault="009425BD" w:rsidP="009425BD">
      <w:pPr>
        <w:spacing w:line="360" w:lineRule="auto"/>
        <w:ind w:firstLine="720"/>
        <w:contextualSpacing/>
        <w:jc w:val="both"/>
        <w:rPr>
          <w:rFonts w:ascii="Times New Roman" w:hAnsi="Times New Roman"/>
        </w:rPr>
      </w:pPr>
      <w:r>
        <w:rPr>
          <w:rFonts w:ascii="Times New Roman" w:hAnsi="Times New Roman"/>
        </w:rPr>
        <w:t>However, b</w:t>
      </w:r>
      <w:r w:rsidRPr="00D51AE9">
        <w:rPr>
          <w:rFonts w:ascii="Times New Roman" w:hAnsi="Times New Roman"/>
        </w:rPr>
        <w:t>oth Normative Power Europe and Historical Institutio</w:t>
      </w:r>
      <w:r w:rsidRPr="00D51AE9">
        <w:rPr>
          <w:rFonts w:ascii="Times New Roman" w:hAnsi="Times New Roman"/>
        </w:rPr>
        <w:t>n</w:t>
      </w:r>
      <w:r w:rsidRPr="00D51AE9">
        <w:rPr>
          <w:rFonts w:ascii="Times New Roman" w:hAnsi="Times New Roman"/>
        </w:rPr>
        <w:t>alism resemble each other in that they take the frameworks of the political, social and economic order for granted.</w:t>
      </w:r>
      <w:r>
        <w:rPr>
          <w:rFonts w:ascii="Times New Roman" w:hAnsi="Times New Roman"/>
        </w:rPr>
        <w:t xml:space="preserve"> For example, Kitschelt claims that in countries where communist elite succeeded to preserve their positions d</w:t>
      </w:r>
      <w:r>
        <w:rPr>
          <w:rFonts w:ascii="Times New Roman" w:hAnsi="Times New Roman"/>
        </w:rPr>
        <w:t>e</w:t>
      </w:r>
      <w:r>
        <w:rPr>
          <w:rFonts w:ascii="Times New Roman" w:hAnsi="Times New Roman"/>
        </w:rPr>
        <w:t>mocratization was slower, but he does not analyze how this elite succeeded to adjust in some countries.</w:t>
      </w:r>
      <w:r w:rsidRPr="00D51AE9">
        <w:rPr>
          <w:rFonts w:ascii="Times New Roman" w:hAnsi="Times New Roman"/>
        </w:rPr>
        <w:t xml:space="preserve"> By virtue of this, they are problem-solving the</w:t>
      </w:r>
      <w:r w:rsidRPr="00D51AE9">
        <w:rPr>
          <w:rFonts w:ascii="Times New Roman" w:hAnsi="Times New Roman"/>
        </w:rPr>
        <w:t>o</w:t>
      </w:r>
      <w:r w:rsidRPr="00D51AE9">
        <w:rPr>
          <w:rFonts w:ascii="Times New Roman" w:hAnsi="Times New Roman"/>
        </w:rPr>
        <w:t>ries, they take for a starting point of reference a certain framework and without questioning it, they seek for solutions to some of its issues inside its boundaries. These solutions are at best mechanism</w:t>
      </w:r>
      <w:r>
        <w:rPr>
          <w:rFonts w:ascii="Times New Roman" w:hAnsi="Times New Roman"/>
        </w:rPr>
        <w:t>s for a better functioning of the</w:t>
      </w:r>
      <w:r w:rsidRPr="00D51AE9">
        <w:rPr>
          <w:rFonts w:ascii="Times New Roman" w:hAnsi="Times New Roman"/>
        </w:rPr>
        <w:t xml:space="preserve"> system, which as Robert Cox comments, first is not a panacea, as this system is not fixed but ever-changing, and second</w:t>
      </w:r>
      <w:r>
        <w:rPr>
          <w:rFonts w:ascii="Times New Roman" w:hAnsi="Times New Roman"/>
        </w:rPr>
        <w:t>,</w:t>
      </w:r>
      <w:r w:rsidRPr="00D51AE9">
        <w:rPr>
          <w:rFonts w:ascii="Times New Roman" w:hAnsi="Times New Roman"/>
        </w:rPr>
        <w:t xml:space="preserve"> the problem-solving theories have an "ideological bias", as they serve "particular national, se</w:t>
      </w:r>
      <w:r w:rsidRPr="00D51AE9">
        <w:rPr>
          <w:rFonts w:ascii="Times New Roman" w:hAnsi="Times New Roman"/>
        </w:rPr>
        <w:t>c</w:t>
      </w:r>
      <w:r w:rsidRPr="00D51AE9">
        <w:rPr>
          <w:rFonts w:ascii="Times New Roman" w:hAnsi="Times New Roman"/>
        </w:rPr>
        <w:t>tional, or class interests... comfortable within the given order" (</w:t>
      </w:r>
      <w:r>
        <w:rPr>
          <w:rFonts w:ascii="Times New Roman" w:hAnsi="Times New Roman"/>
        </w:rPr>
        <w:t>1981: 129</w:t>
      </w:r>
      <w:r w:rsidRPr="00D51AE9">
        <w:rPr>
          <w:rFonts w:ascii="Times New Roman" w:hAnsi="Times New Roman"/>
        </w:rPr>
        <w:t>). The differences between Normative Power Europe and Historical Instit</w:t>
      </w:r>
      <w:r w:rsidRPr="00D51AE9">
        <w:rPr>
          <w:rFonts w:ascii="Times New Roman" w:hAnsi="Times New Roman"/>
        </w:rPr>
        <w:t>u</w:t>
      </w:r>
      <w:r w:rsidRPr="00D51AE9">
        <w:rPr>
          <w:rFonts w:ascii="Times New Roman" w:hAnsi="Times New Roman"/>
        </w:rPr>
        <w:t>tionalism are thus based on how they deal with the democratization process within the outlined framework</w:t>
      </w:r>
      <w:r>
        <w:rPr>
          <w:rFonts w:ascii="Times New Roman" w:hAnsi="Times New Roman"/>
        </w:rPr>
        <w:t>.</w:t>
      </w:r>
      <w:r w:rsidRPr="00D51AE9">
        <w:rPr>
          <w:rFonts w:ascii="Times New Roman" w:hAnsi="Times New Roman"/>
        </w:rPr>
        <w:t xml:space="preserve"> N</w:t>
      </w:r>
      <w:r>
        <w:rPr>
          <w:rFonts w:ascii="Times New Roman" w:hAnsi="Times New Roman"/>
        </w:rPr>
        <w:t xml:space="preserve">ormative </w:t>
      </w:r>
      <w:r w:rsidRPr="00D51AE9">
        <w:rPr>
          <w:rFonts w:ascii="Times New Roman" w:hAnsi="Times New Roman"/>
        </w:rPr>
        <w:t>P</w:t>
      </w:r>
      <w:r>
        <w:rPr>
          <w:rFonts w:ascii="Times New Roman" w:hAnsi="Times New Roman"/>
        </w:rPr>
        <w:t>ower Europe</w:t>
      </w:r>
      <w:r w:rsidRPr="00D51AE9">
        <w:rPr>
          <w:rFonts w:ascii="Times New Roman" w:hAnsi="Times New Roman"/>
        </w:rPr>
        <w:t xml:space="preserve"> assumes </w:t>
      </w:r>
      <w:r>
        <w:rPr>
          <w:rFonts w:ascii="Times New Roman" w:hAnsi="Times New Roman"/>
        </w:rPr>
        <w:t>a</w:t>
      </w:r>
      <w:r w:rsidRPr="00D51AE9">
        <w:rPr>
          <w:rFonts w:ascii="Times New Roman" w:hAnsi="Times New Roman"/>
        </w:rPr>
        <w:t xml:space="preserve"> top-bottom approach, and puts the a</w:t>
      </w:r>
      <w:r>
        <w:rPr>
          <w:rFonts w:ascii="Times New Roman" w:hAnsi="Times New Roman"/>
        </w:rPr>
        <w:t>ccent on EU norms trying to</w:t>
      </w:r>
      <w:r w:rsidRPr="00D51AE9">
        <w:rPr>
          <w:rFonts w:ascii="Times New Roman" w:hAnsi="Times New Roman"/>
        </w:rPr>
        <w:t xml:space="preserve"> change perce</w:t>
      </w:r>
      <w:r w:rsidRPr="00D51AE9">
        <w:rPr>
          <w:rFonts w:ascii="Times New Roman" w:hAnsi="Times New Roman"/>
        </w:rPr>
        <w:t>p</w:t>
      </w:r>
      <w:r w:rsidRPr="00D51AE9">
        <w:rPr>
          <w:rFonts w:ascii="Times New Roman" w:hAnsi="Times New Roman"/>
        </w:rPr>
        <w:t>tions</w:t>
      </w:r>
      <w:r>
        <w:rPr>
          <w:rFonts w:ascii="Times New Roman" w:hAnsi="Times New Roman"/>
        </w:rPr>
        <w:t xml:space="preserve"> of what is normal</w:t>
      </w:r>
      <w:r w:rsidRPr="00D51AE9">
        <w:rPr>
          <w:rFonts w:ascii="Times New Roman" w:hAnsi="Times New Roman"/>
        </w:rPr>
        <w:t xml:space="preserve"> </w:t>
      </w:r>
      <w:r>
        <w:rPr>
          <w:rFonts w:ascii="Times New Roman" w:hAnsi="Times New Roman"/>
        </w:rPr>
        <w:t xml:space="preserve">in candidate member states </w:t>
      </w:r>
      <w:r w:rsidRPr="00D51AE9">
        <w:rPr>
          <w:rFonts w:ascii="Times New Roman" w:hAnsi="Times New Roman"/>
        </w:rPr>
        <w:t>in line with the EU ones, while Kitschelt takes for a reference point the historical context and legacy of a given country/region and studies how the path-dependent structures evolve, trying to explain why in certain countries the process goes more smoothly and why in other it is more belated. None of these theories ever questions the democratization process itself, they simply deal with different definitions of democratic consolidation and transition and different methods of its explanation, neither of them complete. Actually, democratic consol</w:t>
      </w:r>
      <w:r w:rsidRPr="00D51AE9">
        <w:rPr>
          <w:rFonts w:ascii="Times New Roman" w:hAnsi="Times New Roman"/>
        </w:rPr>
        <w:t>i</w:t>
      </w:r>
      <w:r w:rsidRPr="00D51AE9">
        <w:rPr>
          <w:rFonts w:ascii="Times New Roman" w:hAnsi="Times New Roman"/>
        </w:rPr>
        <w:t xml:space="preserve">dation cannot be really understood without a broader look onto the system and the world order that shapes it as so attractive and as the ultimate goal </w:t>
      </w:r>
      <w:r w:rsidRPr="00D51AE9">
        <w:rPr>
          <w:rFonts w:ascii="Times New Roman" w:hAnsi="Times New Roman"/>
        </w:rPr>
        <w:lastRenderedPageBreak/>
        <w:t>and the only acceptable political regime. This means another type of thin</w:t>
      </w:r>
      <w:r w:rsidRPr="00D51AE9">
        <w:rPr>
          <w:rFonts w:ascii="Times New Roman" w:hAnsi="Times New Roman"/>
        </w:rPr>
        <w:t>k</w:t>
      </w:r>
      <w:r w:rsidRPr="00D51AE9">
        <w:rPr>
          <w:rFonts w:ascii="Times New Roman" w:hAnsi="Times New Roman"/>
        </w:rPr>
        <w:t xml:space="preserve">ing is needed, which is to be found in one of the critical theories. </w:t>
      </w:r>
    </w:p>
    <w:p w:rsidR="009425BD" w:rsidRPr="00163DB0" w:rsidRDefault="009425BD" w:rsidP="009425BD">
      <w:pPr>
        <w:pStyle w:val="Heading2"/>
        <w:rPr>
          <w:rFonts w:ascii="Times New Roman" w:hAnsi="Times New Roman"/>
        </w:rPr>
      </w:pPr>
      <w:bookmarkStart w:id="24" w:name="_Toc334483991"/>
      <w:r w:rsidRPr="00163DB0">
        <w:rPr>
          <w:rFonts w:ascii="Times New Roman" w:hAnsi="Times New Roman"/>
        </w:rPr>
        <w:t>2.4. Neo-Gramscian Approach</w:t>
      </w:r>
      <w:bookmarkEnd w:id="24"/>
    </w:p>
    <w:p w:rsidR="009425BD" w:rsidRPr="00163DB0" w:rsidRDefault="009425BD" w:rsidP="009425BD">
      <w:pPr>
        <w:pStyle w:val="Heading3"/>
        <w:rPr>
          <w:rFonts w:ascii="Times New Roman" w:hAnsi="Times New Roman"/>
        </w:rPr>
      </w:pPr>
      <w:bookmarkStart w:id="25" w:name="_Toc334483992"/>
      <w:r w:rsidRPr="00163DB0">
        <w:rPr>
          <w:rFonts w:ascii="Times New Roman" w:hAnsi="Times New Roman"/>
        </w:rPr>
        <w:t>2.4.1. Outline of the approach and basic concepts</w:t>
      </w:r>
      <w:bookmarkEnd w:id="25"/>
    </w:p>
    <w:p w:rsidR="009425BD" w:rsidRPr="008139B7" w:rsidRDefault="009425BD" w:rsidP="009425BD">
      <w:pPr>
        <w:spacing w:line="360" w:lineRule="auto"/>
        <w:ind w:firstLine="720"/>
        <w:contextualSpacing/>
        <w:jc w:val="both"/>
        <w:rPr>
          <w:rFonts w:ascii="Times New Roman" w:hAnsi="Times New Roman"/>
        </w:rPr>
      </w:pPr>
      <w:r w:rsidRPr="008139B7">
        <w:rPr>
          <w:rFonts w:ascii="Times New Roman" w:hAnsi="Times New Roman"/>
        </w:rPr>
        <w:t>According to Cox, a critical theory "is more reflective upon the process of theorising itself: to become clearly aware of the perspective which gives rise to theorising, and its relation to other perspectives" thus opening "the possibility of choosing a different valid perspective from which the problematic becomes one of creating an alternative world" (</w:t>
      </w:r>
      <w:r>
        <w:rPr>
          <w:rFonts w:ascii="Times New Roman" w:hAnsi="Times New Roman"/>
        </w:rPr>
        <w:t>1981: 128</w:t>
      </w:r>
      <w:r w:rsidRPr="008139B7">
        <w:rPr>
          <w:rFonts w:ascii="Times New Roman" w:hAnsi="Times New Roman"/>
        </w:rPr>
        <w:t>). The broader look onto the perspectives makes it impossible to study simply the question of democratic consolidation without paying a lot of a</w:t>
      </w:r>
      <w:r w:rsidRPr="008139B7">
        <w:rPr>
          <w:rFonts w:ascii="Times New Roman" w:hAnsi="Times New Roman"/>
        </w:rPr>
        <w:t>t</w:t>
      </w:r>
      <w:r w:rsidRPr="008139B7">
        <w:rPr>
          <w:rFonts w:ascii="Times New Roman" w:hAnsi="Times New Roman"/>
        </w:rPr>
        <w:t>tention to the whole paradigm in which these democratic values are embe</w:t>
      </w:r>
      <w:r w:rsidRPr="008139B7">
        <w:rPr>
          <w:rFonts w:ascii="Times New Roman" w:hAnsi="Times New Roman"/>
        </w:rPr>
        <w:t>d</w:t>
      </w:r>
      <w:r w:rsidRPr="008139B7">
        <w:rPr>
          <w:rFonts w:ascii="Times New Roman" w:hAnsi="Times New Roman"/>
        </w:rPr>
        <w:t xml:space="preserve">ded. Actually, critical theories allow the possibility of thinking about other, alternative orders, while the problem-solving theories do not go beyond the current world order and feel comfortable within its boundaries (Cox, </w:t>
      </w:r>
      <w:r>
        <w:rPr>
          <w:rFonts w:ascii="Times New Roman" w:hAnsi="Times New Roman"/>
        </w:rPr>
        <w:t>1981: 129</w:t>
      </w:r>
      <w:r w:rsidRPr="008139B7">
        <w:rPr>
          <w:rFonts w:ascii="Times New Roman" w:hAnsi="Times New Roman"/>
        </w:rPr>
        <w:t xml:space="preserve">). </w:t>
      </w:r>
    </w:p>
    <w:p w:rsidR="009425BD" w:rsidRDefault="009425BD" w:rsidP="009425BD">
      <w:pPr>
        <w:spacing w:line="360" w:lineRule="auto"/>
        <w:ind w:firstLine="720"/>
        <w:contextualSpacing/>
        <w:jc w:val="both"/>
        <w:rPr>
          <w:rFonts w:ascii="Times New Roman" w:hAnsi="Times New Roman"/>
        </w:rPr>
      </w:pPr>
      <w:r w:rsidRPr="008139B7">
        <w:rPr>
          <w:rFonts w:ascii="Times New Roman" w:hAnsi="Times New Roman"/>
        </w:rPr>
        <w:t xml:space="preserve">Neo-Gramscian perspective takes production process and the social forces that emerge out of it </w:t>
      </w:r>
      <w:r>
        <w:rPr>
          <w:rFonts w:ascii="Times New Roman" w:hAnsi="Times New Roman"/>
        </w:rPr>
        <w:t>as</w:t>
      </w:r>
      <w:r w:rsidRPr="008139B7">
        <w:rPr>
          <w:rFonts w:ascii="Times New Roman" w:hAnsi="Times New Roman"/>
        </w:rPr>
        <w:t xml:space="preserve"> a point of departure. This does not mean that ideas are neglected, actually "ideas have to be understood in relation to m</w:t>
      </w:r>
      <w:r w:rsidRPr="008139B7">
        <w:rPr>
          <w:rFonts w:ascii="Times New Roman" w:hAnsi="Times New Roman"/>
        </w:rPr>
        <w:t>a</w:t>
      </w:r>
      <w:r w:rsidRPr="008139B7">
        <w:rPr>
          <w:rFonts w:ascii="Times New Roman" w:hAnsi="Times New Roman"/>
        </w:rPr>
        <w:t>terial circumstances. Material circumstances include both the social rel</w:t>
      </w:r>
      <w:r w:rsidRPr="008139B7">
        <w:rPr>
          <w:rFonts w:ascii="Times New Roman" w:hAnsi="Times New Roman"/>
        </w:rPr>
        <w:t>a</w:t>
      </w:r>
      <w:r w:rsidRPr="008139B7">
        <w:rPr>
          <w:rFonts w:ascii="Times New Roman" w:hAnsi="Times New Roman"/>
        </w:rPr>
        <w:t>tions and the physical means of production</w:t>
      </w:r>
      <w:r>
        <w:rPr>
          <w:rFonts w:ascii="Times New Roman" w:hAnsi="Times New Roman"/>
        </w:rPr>
        <w:t xml:space="preserve">.... </w:t>
      </w:r>
      <w:r w:rsidRPr="008139B7">
        <w:rPr>
          <w:rFonts w:ascii="Times New Roman" w:hAnsi="Times New Roman"/>
        </w:rPr>
        <w:t>Superstructures of ideology and political organization shape the development of both aspects of produ</w:t>
      </w:r>
      <w:r w:rsidRPr="008139B7">
        <w:rPr>
          <w:rFonts w:ascii="Times New Roman" w:hAnsi="Times New Roman"/>
        </w:rPr>
        <w:t>c</w:t>
      </w:r>
      <w:r w:rsidRPr="008139B7">
        <w:rPr>
          <w:rFonts w:ascii="Times New Roman" w:hAnsi="Times New Roman"/>
        </w:rPr>
        <w:t xml:space="preserve">tion and are shaped by them" (Cox, </w:t>
      </w:r>
      <w:r>
        <w:rPr>
          <w:rFonts w:ascii="Times New Roman" w:hAnsi="Times New Roman"/>
        </w:rPr>
        <w:t>1983: 168</w:t>
      </w:r>
      <w:r w:rsidRPr="008139B7">
        <w:rPr>
          <w:rFonts w:ascii="Times New Roman" w:hAnsi="Times New Roman"/>
        </w:rPr>
        <w:t>). Structures and superstru</w:t>
      </w:r>
      <w:r w:rsidRPr="008139B7">
        <w:rPr>
          <w:rFonts w:ascii="Times New Roman" w:hAnsi="Times New Roman"/>
        </w:rPr>
        <w:t>c</w:t>
      </w:r>
      <w:r w:rsidRPr="008139B7">
        <w:rPr>
          <w:rFonts w:ascii="Times New Roman" w:hAnsi="Times New Roman"/>
        </w:rPr>
        <w:t>tures constitute a historic bloc and a historic bloc can emerge and be su</w:t>
      </w:r>
      <w:r w:rsidRPr="008139B7">
        <w:rPr>
          <w:rFonts w:ascii="Times New Roman" w:hAnsi="Times New Roman"/>
        </w:rPr>
        <w:t>s</w:t>
      </w:r>
      <w:r w:rsidRPr="008139B7">
        <w:rPr>
          <w:rFonts w:ascii="Times New Roman" w:hAnsi="Times New Roman"/>
        </w:rPr>
        <w:t>tained only through the existence of a hegemonic social cla</w:t>
      </w:r>
      <w:r>
        <w:rPr>
          <w:rFonts w:ascii="Times New Roman" w:hAnsi="Times New Roman"/>
        </w:rPr>
        <w:t>ss. A hegemony exists when the "</w:t>
      </w:r>
      <w:r w:rsidRPr="008139B7">
        <w:rPr>
          <w:rFonts w:ascii="Times New Roman" w:hAnsi="Times New Roman"/>
        </w:rPr>
        <w:t>interests of the leading class [are in] harmony with those of the subordinate classes and incorporates those other interests into an ideo</w:t>
      </w:r>
      <w:r w:rsidRPr="008139B7">
        <w:rPr>
          <w:rFonts w:ascii="Times New Roman" w:hAnsi="Times New Roman"/>
        </w:rPr>
        <w:t>l</w:t>
      </w:r>
      <w:r w:rsidRPr="008139B7">
        <w:rPr>
          <w:rFonts w:ascii="Times New Roman" w:hAnsi="Times New Roman"/>
        </w:rPr>
        <w:t>og</w:t>
      </w:r>
      <w:r>
        <w:rPr>
          <w:rFonts w:ascii="Times New Roman" w:hAnsi="Times New Roman"/>
        </w:rPr>
        <w:t>y expressed in universal terms"</w:t>
      </w:r>
      <w:r w:rsidRPr="008139B7">
        <w:rPr>
          <w:rFonts w:ascii="Times New Roman" w:hAnsi="Times New Roman"/>
        </w:rPr>
        <w:t>(</w:t>
      </w:r>
      <w:r>
        <w:rPr>
          <w:rFonts w:ascii="Times New Roman" w:hAnsi="Times New Roman"/>
        </w:rPr>
        <w:t>ibid.). Consequently,</w:t>
      </w:r>
      <w:r w:rsidRPr="008139B7">
        <w:rPr>
          <w:rFonts w:ascii="Times New Roman" w:hAnsi="Times New Roman"/>
        </w:rPr>
        <w:t xml:space="preserve"> hegemony is</w:t>
      </w:r>
      <w:r>
        <w:rPr>
          <w:rFonts w:ascii="Times New Roman" w:hAnsi="Times New Roman"/>
        </w:rPr>
        <w:t xml:space="preserve"> not about a forceful domination</w:t>
      </w:r>
      <w:r w:rsidRPr="008139B7">
        <w:rPr>
          <w:rFonts w:ascii="Times New Roman" w:hAnsi="Times New Roman"/>
        </w:rPr>
        <w:t xml:space="preserve"> </w:t>
      </w:r>
      <w:r>
        <w:rPr>
          <w:rFonts w:ascii="Times New Roman" w:hAnsi="Times New Roman"/>
        </w:rPr>
        <w:t xml:space="preserve">on the part of </w:t>
      </w:r>
      <w:r w:rsidRPr="008139B7">
        <w:rPr>
          <w:rFonts w:ascii="Times New Roman" w:hAnsi="Times New Roman"/>
        </w:rPr>
        <w:t>the strongest social group but i</w:t>
      </w:r>
      <w:r w:rsidRPr="008139B7">
        <w:rPr>
          <w:rFonts w:ascii="Times New Roman" w:hAnsi="Times New Roman"/>
        </w:rPr>
        <w:t>n</w:t>
      </w:r>
      <w:r w:rsidRPr="008139B7">
        <w:rPr>
          <w:rFonts w:ascii="Times New Roman" w:hAnsi="Times New Roman"/>
        </w:rPr>
        <w:t xml:space="preserve">cludes the consent of the </w:t>
      </w:r>
      <w:r>
        <w:rPr>
          <w:rFonts w:ascii="Times New Roman" w:hAnsi="Times New Roman"/>
        </w:rPr>
        <w:t>weaker groups</w:t>
      </w:r>
      <w:r w:rsidRPr="008139B7">
        <w:rPr>
          <w:rFonts w:ascii="Times New Roman" w:hAnsi="Times New Roman"/>
        </w:rPr>
        <w:t xml:space="preserve"> as well and this consent is usually ensured through makin</w:t>
      </w:r>
      <w:r>
        <w:rPr>
          <w:rFonts w:ascii="Times New Roman" w:hAnsi="Times New Roman"/>
        </w:rPr>
        <w:t>g some compromises to them</w:t>
      </w:r>
      <w:r w:rsidRPr="008139B7">
        <w:rPr>
          <w:rFonts w:ascii="Times New Roman" w:hAnsi="Times New Roman"/>
        </w:rPr>
        <w:t>. When a hege</w:t>
      </w:r>
      <w:r>
        <w:rPr>
          <w:rFonts w:ascii="Times New Roman" w:hAnsi="Times New Roman"/>
        </w:rPr>
        <w:t>mony is entrenched together with</w:t>
      </w:r>
      <w:r w:rsidRPr="008139B7">
        <w:rPr>
          <w:rFonts w:ascii="Times New Roman" w:hAnsi="Times New Roman"/>
        </w:rPr>
        <w:t xml:space="preserve"> its ideology elaborated by the organic intellectuals, </w:t>
      </w:r>
      <w:r w:rsidRPr="008139B7">
        <w:rPr>
          <w:rFonts w:ascii="Times New Roman" w:hAnsi="Times New Roman"/>
        </w:rPr>
        <w:lastRenderedPageBreak/>
        <w:t>this ideology and the institutions that embody it are claimed to be universal, and not simply i</w:t>
      </w:r>
      <w:r>
        <w:rPr>
          <w:rFonts w:ascii="Times New Roman" w:hAnsi="Times New Roman"/>
        </w:rPr>
        <w:t>n favor of a given class (ibid</w:t>
      </w:r>
      <w:r w:rsidRPr="008139B7">
        <w:rPr>
          <w:rFonts w:ascii="Times New Roman" w:hAnsi="Times New Roman"/>
        </w:rPr>
        <w:t xml:space="preserve">). Any changes in the world order will be a result of </w:t>
      </w:r>
      <w:r>
        <w:rPr>
          <w:rFonts w:ascii="Times New Roman" w:hAnsi="Times New Roman"/>
        </w:rPr>
        <w:t xml:space="preserve">a </w:t>
      </w:r>
      <w:r w:rsidRPr="008139B7">
        <w:rPr>
          <w:rFonts w:ascii="Times New Roman" w:hAnsi="Times New Roman"/>
        </w:rPr>
        <w:t>change on the level of production and social rel</w:t>
      </w:r>
      <w:r w:rsidRPr="008139B7">
        <w:rPr>
          <w:rFonts w:ascii="Times New Roman" w:hAnsi="Times New Roman"/>
        </w:rPr>
        <w:t>a</w:t>
      </w:r>
      <w:r w:rsidRPr="008139B7">
        <w:rPr>
          <w:rFonts w:ascii="Times New Roman" w:hAnsi="Times New Roman"/>
        </w:rPr>
        <w:t>tions associated with this production. Thus, the state-centered bias of rea</w:t>
      </w:r>
      <w:r w:rsidRPr="008139B7">
        <w:rPr>
          <w:rFonts w:ascii="Times New Roman" w:hAnsi="Times New Roman"/>
        </w:rPr>
        <w:t>l</w:t>
      </w:r>
      <w:r w:rsidRPr="008139B7">
        <w:rPr>
          <w:rFonts w:ascii="Times New Roman" w:hAnsi="Times New Roman"/>
        </w:rPr>
        <w:t xml:space="preserve">ism is overcome, as it is not simply a question of relations between states, but also </w:t>
      </w:r>
      <w:r>
        <w:rPr>
          <w:rFonts w:ascii="Times New Roman" w:hAnsi="Times New Roman"/>
        </w:rPr>
        <w:t>of relations between</w:t>
      </w:r>
      <w:r w:rsidRPr="008139B7">
        <w:rPr>
          <w:rFonts w:ascii="Times New Roman" w:hAnsi="Times New Roman"/>
        </w:rPr>
        <w:t xml:space="preserve"> the </w:t>
      </w:r>
      <w:r>
        <w:rPr>
          <w:rFonts w:ascii="Times New Roman" w:hAnsi="Times New Roman"/>
        </w:rPr>
        <w:t>transnational social forces</w:t>
      </w:r>
      <w:r w:rsidRPr="008139B7">
        <w:rPr>
          <w:rFonts w:ascii="Times New Roman" w:hAnsi="Times New Roman"/>
        </w:rPr>
        <w:t>. With the inte</w:t>
      </w:r>
      <w:r w:rsidRPr="008139B7">
        <w:rPr>
          <w:rFonts w:ascii="Times New Roman" w:hAnsi="Times New Roman"/>
        </w:rPr>
        <w:t>r</w:t>
      </w:r>
      <w:r w:rsidRPr="008139B7">
        <w:rPr>
          <w:rFonts w:ascii="Times New Roman" w:hAnsi="Times New Roman"/>
        </w:rPr>
        <w:t>nationalisation of the state and the increased volume of international pr</w:t>
      </w:r>
      <w:r w:rsidRPr="008139B7">
        <w:rPr>
          <w:rFonts w:ascii="Times New Roman" w:hAnsi="Times New Roman"/>
        </w:rPr>
        <w:t>o</w:t>
      </w:r>
      <w:r w:rsidRPr="008139B7">
        <w:rPr>
          <w:rFonts w:ascii="Times New Roman" w:hAnsi="Times New Roman"/>
        </w:rPr>
        <w:t>duction new social forces emerged on a global scale, mainly transnational capital and companies (</w:t>
      </w:r>
      <w:r>
        <w:rPr>
          <w:rFonts w:ascii="Times New Roman" w:hAnsi="Times New Roman"/>
        </w:rPr>
        <w:t xml:space="preserve">Bieler, 2005: </w:t>
      </w:r>
      <w:r w:rsidRPr="008139B7">
        <w:rPr>
          <w:rFonts w:ascii="Times New Roman" w:hAnsi="Times New Roman"/>
        </w:rPr>
        <w:t>7). This was combined with what Cox and Rupert talk about: "a turn from Keynesian to neo-liberal policies and their focus on deregulation, liberalisation and price stability... behind global restructuring" (</w:t>
      </w:r>
      <w:r>
        <w:rPr>
          <w:rFonts w:ascii="Times New Roman" w:hAnsi="Times New Roman"/>
        </w:rPr>
        <w:t xml:space="preserve">Bieler, 2005: </w:t>
      </w:r>
      <w:r w:rsidRPr="008139B7">
        <w:rPr>
          <w:rFonts w:ascii="Times New Roman" w:hAnsi="Times New Roman"/>
        </w:rPr>
        <w:t>8). However the social forces do not have all the freedom to do what they want</w:t>
      </w:r>
      <w:r>
        <w:rPr>
          <w:rFonts w:ascii="Times New Roman" w:hAnsi="Times New Roman"/>
        </w:rPr>
        <w:t xml:space="preserve">, but are situated in </w:t>
      </w:r>
      <w:r w:rsidRPr="008139B7">
        <w:rPr>
          <w:rFonts w:ascii="Times New Roman" w:hAnsi="Times New Roman"/>
        </w:rPr>
        <w:t>specific institutional realities. For the purpose of this paper I am going to look on the EU's stru</w:t>
      </w:r>
      <w:r w:rsidRPr="008139B7">
        <w:rPr>
          <w:rFonts w:ascii="Times New Roman" w:hAnsi="Times New Roman"/>
        </w:rPr>
        <w:t>c</w:t>
      </w:r>
      <w:r w:rsidRPr="008139B7">
        <w:rPr>
          <w:rFonts w:ascii="Times New Roman" w:hAnsi="Times New Roman"/>
        </w:rPr>
        <w:t>tures and norms (democratic consolidation as one of the main such) through the lenses of Neo-Gramscians.</w:t>
      </w:r>
    </w:p>
    <w:p w:rsidR="009425BD" w:rsidRPr="00163DB0" w:rsidRDefault="009425BD" w:rsidP="009425BD">
      <w:pPr>
        <w:pStyle w:val="Heading3"/>
        <w:rPr>
          <w:rFonts w:ascii="Times New Roman" w:hAnsi="Times New Roman"/>
        </w:rPr>
      </w:pPr>
      <w:bookmarkStart w:id="26" w:name="_Toc334483993"/>
      <w:r w:rsidRPr="00163DB0">
        <w:rPr>
          <w:rFonts w:ascii="Times New Roman" w:hAnsi="Times New Roman"/>
        </w:rPr>
        <w:t>2.4.2. European policy, enlargement and democracy promotion through Neo-Gramscian eyes</w:t>
      </w:r>
      <w:bookmarkEnd w:id="26"/>
    </w:p>
    <w:p w:rsidR="009425BD" w:rsidRPr="0045724A" w:rsidRDefault="009425BD" w:rsidP="009425BD">
      <w:pPr>
        <w:spacing w:line="360" w:lineRule="auto"/>
        <w:contextualSpacing/>
        <w:jc w:val="both"/>
        <w:rPr>
          <w:rFonts w:ascii="Times New Roman" w:hAnsi="Times New Roman"/>
        </w:rPr>
      </w:pPr>
      <w:r>
        <w:rPr>
          <w:rFonts w:ascii="Times New Roman" w:hAnsi="Times New Roman"/>
        </w:rPr>
        <w:tab/>
      </w:r>
      <w:r w:rsidRPr="00D51AE9">
        <w:rPr>
          <w:rFonts w:ascii="Times New Roman" w:hAnsi="Times New Roman"/>
        </w:rPr>
        <w:t xml:space="preserve">The European Union is not a state, but has a complex institutional structure and a characteristic discourse. Bohle argues that the EU policy has been shaped in a neoliberal form </w:t>
      </w:r>
      <w:r>
        <w:rPr>
          <w:rFonts w:ascii="Times New Roman" w:hAnsi="Times New Roman"/>
        </w:rPr>
        <w:t xml:space="preserve">in the 1990s </w:t>
      </w:r>
      <w:r w:rsidRPr="00D51AE9">
        <w:rPr>
          <w:rFonts w:ascii="Times New Roman" w:hAnsi="Times New Roman"/>
        </w:rPr>
        <w:t>due to transformations in the levels of "the dominant mode of production, that of social relations, and that of politico-ideological relations" (</w:t>
      </w:r>
      <w:r>
        <w:rPr>
          <w:rFonts w:ascii="Times New Roman" w:hAnsi="Times New Roman"/>
        </w:rPr>
        <w:t>2006: 64</w:t>
      </w:r>
      <w:r w:rsidRPr="00D51AE9">
        <w:rPr>
          <w:rFonts w:ascii="Times New Roman" w:hAnsi="Times New Roman"/>
        </w:rPr>
        <w:t>). These</w:t>
      </w:r>
      <w:r>
        <w:rPr>
          <w:rFonts w:ascii="Times New Roman" w:hAnsi="Times New Roman"/>
        </w:rPr>
        <w:t xml:space="preserve"> changes had a different impact on</w:t>
      </w:r>
      <w:r w:rsidRPr="00D51AE9">
        <w:rPr>
          <w:rFonts w:ascii="Times New Roman" w:hAnsi="Times New Roman"/>
        </w:rPr>
        <w:t xml:space="preserve"> the older EU members </w:t>
      </w:r>
      <w:r>
        <w:rPr>
          <w:rFonts w:ascii="Times New Roman" w:hAnsi="Times New Roman"/>
        </w:rPr>
        <w:t>in comparison to the new post-communist ones</w:t>
      </w:r>
      <w:r w:rsidRPr="00D51AE9">
        <w:rPr>
          <w:rFonts w:ascii="Times New Roman" w:hAnsi="Times New Roman"/>
        </w:rPr>
        <w:t xml:space="preserve"> as the former had built welfare states before the</w:t>
      </w:r>
      <w:r>
        <w:rPr>
          <w:rFonts w:ascii="Times New Roman" w:hAnsi="Times New Roman"/>
        </w:rPr>
        <w:t xml:space="preserve"> transformation of the</w:t>
      </w:r>
      <w:r w:rsidRPr="00D51AE9">
        <w:rPr>
          <w:rFonts w:ascii="Times New Roman" w:hAnsi="Times New Roman"/>
        </w:rPr>
        <w:t xml:space="preserve"> path and the latter had to adjust after emerging out of a completely different system and conditions. The transition and the process of democratization in post-communist </w:t>
      </w:r>
      <w:r>
        <w:rPr>
          <w:rFonts w:ascii="Times New Roman" w:hAnsi="Times New Roman"/>
        </w:rPr>
        <w:t>countries confirm</w:t>
      </w:r>
      <w:r w:rsidRPr="00D51AE9">
        <w:rPr>
          <w:rFonts w:ascii="Times New Roman" w:hAnsi="Times New Roman"/>
        </w:rPr>
        <w:t xml:space="preserve"> that "while peripheral countries may adapt some economic and cultural aspects of the hegemonic core, they are less well able to adopt its political models" (Cox</w:t>
      </w:r>
      <w:r>
        <w:rPr>
          <w:rFonts w:ascii="Times New Roman" w:hAnsi="Times New Roman"/>
        </w:rPr>
        <w:t>, 1983: 171</w:t>
      </w:r>
      <w:r w:rsidRPr="00D51AE9">
        <w:rPr>
          <w:rFonts w:ascii="Times New Roman" w:hAnsi="Times New Roman"/>
          <w:color w:val="7030A0"/>
        </w:rPr>
        <w:t xml:space="preserve">). </w:t>
      </w:r>
      <w:r w:rsidRPr="0045724A">
        <w:rPr>
          <w:rFonts w:ascii="Times New Roman" w:hAnsi="Times New Roman"/>
        </w:rPr>
        <w:t>Thus the EU practice to diffuse norms and rules from the top seems rather naive</w:t>
      </w:r>
      <w:r>
        <w:rPr>
          <w:rFonts w:ascii="Times New Roman" w:hAnsi="Times New Roman"/>
        </w:rPr>
        <w:t xml:space="preserve"> or hyp</w:t>
      </w:r>
      <w:r>
        <w:rPr>
          <w:rFonts w:ascii="Times New Roman" w:hAnsi="Times New Roman"/>
        </w:rPr>
        <w:t>o</w:t>
      </w:r>
      <w:r>
        <w:rPr>
          <w:rFonts w:ascii="Times New Roman" w:hAnsi="Times New Roman"/>
        </w:rPr>
        <w:t>cratic</w:t>
      </w:r>
      <w:r w:rsidRPr="0045724A">
        <w:rPr>
          <w:rFonts w:ascii="Times New Roman" w:hAnsi="Times New Roman"/>
        </w:rPr>
        <w:t xml:space="preserve">. Values such as democracy, rule of law, human and minority rights go hand in hand with the economic and social restructuring, but the point is that </w:t>
      </w:r>
      <w:r w:rsidRPr="0045724A">
        <w:rPr>
          <w:rFonts w:ascii="Times New Roman" w:hAnsi="Times New Roman"/>
        </w:rPr>
        <w:lastRenderedPageBreak/>
        <w:t>neither the political, nor the economic and social models of the Western countries in the EU can be completely imitated and adjusted to the post-communist countries. Furthermore, the core of the EU itself has encountered confusion in its own restructuring, as the discourse of social welfare of the past has been combined with the new discourse of fiscal austerity and stabi</w:t>
      </w:r>
      <w:r w:rsidRPr="0045724A">
        <w:rPr>
          <w:rFonts w:ascii="Times New Roman" w:hAnsi="Times New Roman"/>
        </w:rPr>
        <w:t>l</w:t>
      </w:r>
      <w:r w:rsidRPr="0045724A">
        <w:rPr>
          <w:rFonts w:ascii="Times New Roman" w:hAnsi="Times New Roman"/>
        </w:rPr>
        <w:t>ity, though their content and implications contradict each other: "it is not that eastern European countries weaken Social Europe... but more that the EU exports its ‘social deﬁcit’ (the weakness of the social dimension) and economic hegemony to Eastern European countries" (</w:t>
      </w:r>
      <w:r>
        <w:rPr>
          <w:rFonts w:ascii="Times New Roman" w:hAnsi="Times New Roman"/>
        </w:rPr>
        <w:t>Lendvai, 2008: 520</w:t>
      </w:r>
      <w:r w:rsidRPr="0045724A">
        <w:rPr>
          <w:rFonts w:ascii="Times New Roman" w:hAnsi="Times New Roman"/>
        </w:rPr>
        <w:t>). However, despite the obvious contradictions of EU policy and its contradi</w:t>
      </w:r>
      <w:r w:rsidRPr="0045724A">
        <w:rPr>
          <w:rFonts w:ascii="Times New Roman" w:hAnsi="Times New Roman"/>
        </w:rPr>
        <w:t>c</w:t>
      </w:r>
      <w:r w:rsidRPr="0045724A">
        <w:rPr>
          <w:rFonts w:ascii="Times New Roman" w:hAnsi="Times New Roman"/>
        </w:rPr>
        <w:t>tory consequences, the solution to the problems (financial, social and polit</w:t>
      </w:r>
      <w:r w:rsidRPr="0045724A">
        <w:rPr>
          <w:rFonts w:ascii="Times New Roman" w:hAnsi="Times New Roman"/>
        </w:rPr>
        <w:t>i</w:t>
      </w:r>
      <w:r w:rsidRPr="0045724A">
        <w:rPr>
          <w:rFonts w:ascii="Times New Roman" w:hAnsi="Times New Roman"/>
        </w:rPr>
        <w:t>cal) that EU advances has been further neo-liberalization (fiscal austerity and pursuit of stability through anti-inflationary measures neglecting the employment and social issues). In whose interest is this economic policy combined with discourse of liberal values, conceived as universal?</w:t>
      </w:r>
    </w:p>
    <w:p w:rsidR="009425BD" w:rsidRPr="001C75CA" w:rsidRDefault="009425BD" w:rsidP="009425BD">
      <w:pPr>
        <w:spacing w:line="360" w:lineRule="auto"/>
        <w:contextualSpacing/>
        <w:jc w:val="both"/>
        <w:rPr>
          <w:rFonts w:ascii="Times New Roman" w:hAnsi="Times New Roman"/>
        </w:rPr>
      </w:pPr>
      <w:r w:rsidRPr="00D51AE9">
        <w:rPr>
          <w:rFonts w:ascii="Times New Roman" w:hAnsi="Times New Roman"/>
          <w:color w:val="7030A0"/>
        </w:rPr>
        <w:tab/>
      </w:r>
      <w:r w:rsidRPr="001C75CA">
        <w:rPr>
          <w:rFonts w:ascii="Times New Roman" w:hAnsi="Times New Roman"/>
        </w:rPr>
        <w:t>Gill's conception of 'new constitutionalism' can help puzzle out this question. According to him what has been happening in the recent decades in the EU can be a result of the 'movement towards the attempt to consol</w:t>
      </w:r>
      <w:r w:rsidRPr="001C75CA">
        <w:rPr>
          <w:rFonts w:ascii="Times New Roman" w:hAnsi="Times New Roman"/>
        </w:rPr>
        <w:t>i</w:t>
      </w:r>
      <w:r w:rsidRPr="001C75CA">
        <w:rPr>
          <w:rFonts w:ascii="Times New Roman" w:hAnsi="Times New Roman"/>
        </w:rPr>
        <w:t>date a new form of hegemony within the core of the system, although one which has a quite different social basis to the one which preceded it, that is from 1945 to around 1970"</w:t>
      </w:r>
      <w:r>
        <w:rPr>
          <w:rFonts w:ascii="Times New Roman" w:hAnsi="Times New Roman"/>
        </w:rPr>
        <w:t xml:space="preserve"> (1992</w:t>
      </w:r>
      <w:r w:rsidRPr="001C75CA">
        <w:rPr>
          <w:rFonts w:ascii="Times New Roman" w:hAnsi="Times New Roman"/>
        </w:rPr>
        <w:t>:</w:t>
      </w:r>
      <w:r>
        <w:rPr>
          <w:rFonts w:ascii="Times New Roman" w:hAnsi="Times New Roman"/>
        </w:rPr>
        <w:t xml:space="preserve"> </w:t>
      </w:r>
      <w:r w:rsidRPr="001C75CA">
        <w:rPr>
          <w:rFonts w:ascii="Times New Roman" w:hAnsi="Times New Roman"/>
        </w:rPr>
        <w:t>1</w:t>
      </w:r>
      <w:r>
        <w:rPr>
          <w:rFonts w:ascii="Times New Roman" w:hAnsi="Times New Roman"/>
        </w:rPr>
        <w:t>57</w:t>
      </w:r>
      <w:r w:rsidRPr="001C75CA">
        <w:rPr>
          <w:rFonts w:ascii="Times New Roman" w:hAnsi="Times New Roman"/>
        </w:rPr>
        <w:t>). The production in the more a</w:t>
      </w:r>
      <w:r w:rsidRPr="001C75CA">
        <w:rPr>
          <w:rFonts w:ascii="Times New Roman" w:hAnsi="Times New Roman"/>
        </w:rPr>
        <w:t>d</w:t>
      </w:r>
      <w:r w:rsidRPr="001C75CA">
        <w:rPr>
          <w:rFonts w:ascii="Times New Roman" w:hAnsi="Times New Roman"/>
        </w:rPr>
        <w:t xml:space="preserve">vanced countries became more technology-oriented and thus more flexible, while the welfare and Keynesian policies were questioned, and the changes in Britain set the pattern for the rest of Europe </w:t>
      </w:r>
      <w:r>
        <w:rPr>
          <w:rFonts w:ascii="Times New Roman" w:hAnsi="Times New Roman"/>
        </w:rPr>
        <w:t xml:space="preserve"> (Gill, 1992: 160</w:t>
      </w:r>
      <w:r w:rsidRPr="001C75CA">
        <w:rPr>
          <w:rFonts w:ascii="Times New Roman" w:hAnsi="Times New Roman"/>
        </w:rPr>
        <w:t>). At the background of the ideological and political changes were the relations b</w:t>
      </w:r>
      <w:r w:rsidRPr="001C75CA">
        <w:rPr>
          <w:rFonts w:ascii="Times New Roman" w:hAnsi="Times New Roman"/>
        </w:rPr>
        <w:t>e</w:t>
      </w:r>
      <w:r w:rsidRPr="001C75CA">
        <w:rPr>
          <w:rFonts w:ascii="Times New Roman" w:hAnsi="Times New Roman"/>
        </w:rPr>
        <w:t>tween the transnational capital and the protectionist forces: there was a "substantial growth in the structural power of internationally mobile cap</w:t>
      </w:r>
      <w:r w:rsidRPr="001C75CA">
        <w:rPr>
          <w:rFonts w:ascii="Times New Roman" w:hAnsi="Times New Roman"/>
        </w:rPr>
        <w:t>i</w:t>
      </w:r>
      <w:r w:rsidRPr="001C75CA">
        <w:rPr>
          <w:rFonts w:ascii="Times New Roman" w:hAnsi="Times New Roman"/>
        </w:rPr>
        <w:t>tal.... Competition to attract such capital, by both governments and produ</w:t>
      </w:r>
      <w:r w:rsidRPr="001C75CA">
        <w:rPr>
          <w:rFonts w:ascii="Times New Roman" w:hAnsi="Times New Roman"/>
        </w:rPr>
        <w:t>c</w:t>
      </w:r>
      <w:r w:rsidRPr="001C75CA">
        <w:rPr>
          <w:rFonts w:ascii="Times New Roman" w:hAnsi="Times New Roman"/>
        </w:rPr>
        <w:t>ers intensified... [combined with] an apparent decline in the ability of most governments... to control economic activity within their own borders" (</w:t>
      </w:r>
      <w:r>
        <w:rPr>
          <w:rFonts w:ascii="Times New Roman" w:hAnsi="Times New Roman"/>
        </w:rPr>
        <w:t>Gill, 1992: 63</w:t>
      </w:r>
      <w:r w:rsidRPr="001C75CA">
        <w:rPr>
          <w:rFonts w:ascii="Times New Roman" w:hAnsi="Times New Roman"/>
        </w:rPr>
        <w:t xml:space="preserve">). Thus, gradually the idea </w:t>
      </w:r>
      <w:r>
        <w:rPr>
          <w:rFonts w:ascii="Times New Roman" w:hAnsi="Times New Roman"/>
        </w:rPr>
        <w:t>of</w:t>
      </w:r>
      <w:r w:rsidRPr="001C75CA">
        <w:rPr>
          <w:rFonts w:ascii="Times New Roman" w:hAnsi="Times New Roman"/>
        </w:rPr>
        <w:t xml:space="preserve"> increasing economic integration within the EU and the building up of institutions to work on it became dominant. As a result, the ECB was endowed with the administration of the </w:t>
      </w:r>
      <w:r w:rsidRPr="001C75CA">
        <w:rPr>
          <w:rFonts w:ascii="Times New Roman" w:hAnsi="Times New Roman"/>
        </w:rPr>
        <w:lastRenderedPageBreak/>
        <w:t>monetary policy of the Eurozone member states and the European Council takes the most important macroeconomic decisions. The focus of the policy of the EU technocrats revolves around containing inflation while "emplo</w:t>
      </w:r>
      <w:r w:rsidRPr="001C75CA">
        <w:rPr>
          <w:rFonts w:ascii="Times New Roman" w:hAnsi="Times New Roman"/>
        </w:rPr>
        <w:t>y</w:t>
      </w:r>
      <w:r w:rsidRPr="001C75CA">
        <w:rPr>
          <w:rFonts w:ascii="Times New Roman" w:hAnsi="Times New Roman"/>
        </w:rPr>
        <w:t>ment policy itself remains subordinated to the objective of price stability and... concentrates on supply-side measures such as life-long learning and labour market deregulation" (</w:t>
      </w:r>
      <w:r>
        <w:rPr>
          <w:rFonts w:ascii="Times New Roman" w:hAnsi="Times New Roman"/>
        </w:rPr>
        <w:t xml:space="preserve">Bieler, 2005: </w:t>
      </w:r>
      <w:r w:rsidRPr="001C75CA">
        <w:rPr>
          <w:rFonts w:ascii="Times New Roman" w:hAnsi="Times New Roman"/>
        </w:rPr>
        <w:t>12). In that way economic inst</w:t>
      </w:r>
      <w:r w:rsidRPr="001C75CA">
        <w:rPr>
          <w:rFonts w:ascii="Times New Roman" w:hAnsi="Times New Roman"/>
        </w:rPr>
        <w:t>i</w:t>
      </w:r>
      <w:r w:rsidRPr="001C75CA">
        <w:rPr>
          <w:rFonts w:ascii="Times New Roman" w:hAnsi="Times New Roman"/>
        </w:rPr>
        <w:t>tutions and decision-makers are not elected and are not subjected to demo</w:t>
      </w:r>
      <w:r w:rsidRPr="001C75CA">
        <w:rPr>
          <w:rFonts w:ascii="Times New Roman" w:hAnsi="Times New Roman"/>
        </w:rPr>
        <w:t>c</w:t>
      </w:r>
      <w:r w:rsidRPr="001C75CA">
        <w:rPr>
          <w:rFonts w:ascii="Times New Roman" w:hAnsi="Times New Roman"/>
        </w:rPr>
        <w:t>ratic accountability and popular scrutinity, which Gill calls the realization of the 'new constitutionalism'.</w:t>
      </w:r>
    </w:p>
    <w:p w:rsidR="009425BD" w:rsidRDefault="009425BD" w:rsidP="009425BD">
      <w:pPr>
        <w:spacing w:line="360" w:lineRule="auto"/>
        <w:contextualSpacing/>
        <w:jc w:val="both"/>
        <w:rPr>
          <w:rFonts w:ascii="Times New Roman" w:hAnsi="Times New Roman"/>
        </w:rPr>
      </w:pPr>
      <w:r>
        <w:rPr>
          <w:rFonts w:ascii="Times New Roman" w:hAnsi="Times New Roman"/>
        </w:rPr>
        <w:tab/>
        <w:t xml:space="preserve">Some </w:t>
      </w:r>
      <w:r w:rsidRPr="00D51AE9">
        <w:rPr>
          <w:rFonts w:ascii="Times New Roman" w:hAnsi="Times New Roman"/>
        </w:rPr>
        <w:t>authors warn that it is not simply that neoliberalism has come and conquered easily everything: " With the project of embedded neolibera</w:t>
      </w:r>
      <w:r w:rsidRPr="00D51AE9">
        <w:rPr>
          <w:rFonts w:ascii="Times New Roman" w:hAnsi="Times New Roman"/>
        </w:rPr>
        <w:t>l</w:t>
      </w:r>
      <w:r w:rsidRPr="00D51AE9">
        <w:rPr>
          <w:rFonts w:ascii="Times New Roman" w:hAnsi="Times New Roman"/>
        </w:rPr>
        <w:t>ism,  it is recognised that in order to maintain legitimacy the free market processes need to be embedded, thus maintaining corporatist structures and a certain role of the state in the provision of social services" (</w:t>
      </w:r>
      <w:r>
        <w:rPr>
          <w:rFonts w:ascii="Times New Roman" w:hAnsi="Times New Roman"/>
        </w:rPr>
        <w:t>Bradanini, 2009: 11</w:t>
      </w:r>
      <w:r w:rsidRPr="00D51AE9">
        <w:rPr>
          <w:rFonts w:ascii="Times New Roman" w:hAnsi="Times New Roman"/>
        </w:rPr>
        <w:t>). However, the social policies remain</w:t>
      </w:r>
      <w:r>
        <w:rPr>
          <w:rFonts w:ascii="Times New Roman" w:hAnsi="Times New Roman"/>
        </w:rPr>
        <w:t xml:space="preserve"> an</w:t>
      </w:r>
      <w:r w:rsidRPr="00D51AE9">
        <w:rPr>
          <w:rFonts w:ascii="Times New Roman" w:hAnsi="Times New Roman"/>
        </w:rPr>
        <w:t xml:space="preserve"> obligation </w:t>
      </w:r>
      <w:r>
        <w:rPr>
          <w:rFonts w:ascii="Times New Roman" w:hAnsi="Times New Roman"/>
        </w:rPr>
        <w:t>of</w:t>
      </w:r>
      <w:r w:rsidRPr="00D51AE9">
        <w:rPr>
          <w:rFonts w:ascii="Times New Roman" w:hAnsi="Times New Roman"/>
        </w:rPr>
        <w:t xml:space="preserve"> the member states, which also </w:t>
      </w:r>
      <w:r>
        <w:rPr>
          <w:rFonts w:ascii="Times New Roman" w:hAnsi="Times New Roman"/>
        </w:rPr>
        <w:t>should</w:t>
      </w:r>
      <w:r w:rsidRPr="00D51AE9">
        <w:rPr>
          <w:rFonts w:ascii="Times New Roman" w:hAnsi="Times New Roman"/>
        </w:rPr>
        <w:t xml:space="preserve"> pursue the strict financial policy postulated by the EU frameworks (ibid). This asymmetrical conflict leads to the change of the role of the state, it is supposed to attract investments and to become bus</w:t>
      </w:r>
      <w:r w:rsidRPr="00D51AE9">
        <w:rPr>
          <w:rFonts w:ascii="Times New Roman" w:hAnsi="Times New Roman"/>
        </w:rPr>
        <w:t>i</w:t>
      </w:r>
      <w:r w:rsidRPr="00D51AE9">
        <w:rPr>
          <w:rFonts w:ascii="Times New Roman" w:hAnsi="Times New Roman"/>
        </w:rPr>
        <w:t>ness-friendly, while the citizens should not rely on the solidarity system but on its own entrepreneural and adjusting skills (</w:t>
      </w:r>
      <w:r>
        <w:rPr>
          <w:rFonts w:ascii="Times New Roman" w:hAnsi="Times New Roman"/>
        </w:rPr>
        <w:t>Bradanini, 2009: 18</w:t>
      </w:r>
      <w:r w:rsidRPr="00D51AE9">
        <w:rPr>
          <w:rFonts w:ascii="Times New Roman" w:hAnsi="Times New Roman"/>
        </w:rPr>
        <w:t xml:space="preserve">). The circle </w:t>
      </w:r>
      <w:r>
        <w:rPr>
          <w:rFonts w:ascii="Times New Roman" w:hAnsi="Times New Roman"/>
        </w:rPr>
        <w:t>of</w:t>
      </w:r>
      <w:r w:rsidRPr="00D51AE9">
        <w:rPr>
          <w:rFonts w:ascii="Times New Roman" w:hAnsi="Times New Roman"/>
        </w:rPr>
        <w:t xml:space="preserve"> the European integration of new member states gets closed: they want to join in order to become like the other older EU countries, but on the other hand they are supposed to comply with a number of restrictions and reforms, which</w:t>
      </w:r>
      <w:r>
        <w:rPr>
          <w:rFonts w:ascii="Times New Roman" w:hAnsi="Times New Roman"/>
        </w:rPr>
        <w:t xml:space="preserve"> in the words of Bohle,Greskovits, Shields, Bieler, Morton, Cook et al.</w:t>
      </w:r>
      <w:r w:rsidRPr="00D51AE9">
        <w:rPr>
          <w:rFonts w:ascii="Times New Roman" w:hAnsi="Times New Roman"/>
        </w:rPr>
        <w:t xml:space="preserve"> leads to "</w:t>
      </w:r>
      <w:r w:rsidRPr="003321A7">
        <w:rPr>
          <w:rFonts w:ascii="Times New Roman" w:hAnsi="Times New Roman"/>
          <w:i/>
        </w:rPr>
        <w:t>structural imbalances</w:t>
      </w:r>
      <w:r w:rsidRPr="00D51AE9">
        <w:rPr>
          <w:rFonts w:ascii="Times New Roman" w:hAnsi="Times New Roman"/>
        </w:rPr>
        <w:t xml:space="preserve"> in the re</w:t>
      </w:r>
      <w:r>
        <w:rPr>
          <w:rFonts w:ascii="Times New Roman" w:hAnsi="Times New Roman"/>
        </w:rPr>
        <w:t>gion between labour and capital...</w:t>
      </w:r>
      <w:r w:rsidRPr="00D51AE9">
        <w:rPr>
          <w:rFonts w:ascii="Times New Roman" w:hAnsi="Times New Roman"/>
        </w:rPr>
        <w:t xml:space="preserve"> states and</w:t>
      </w:r>
      <w:r>
        <w:rPr>
          <w:rFonts w:ascii="Times New Roman" w:hAnsi="Times New Roman"/>
        </w:rPr>
        <w:t xml:space="preserve"> markets... </w:t>
      </w:r>
      <w:r w:rsidRPr="00D51AE9">
        <w:rPr>
          <w:rFonts w:ascii="Times New Roman" w:hAnsi="Times New Roman"/>
        </w:rPr>
        <w:t>tra</w:t>
      </w:r>
      <w:r>
        <w:rPr>
          <w:rFonts w:ascii="Times New Roman" w:hAnsi="Times New Roman"/>
        </w:rPr>
        <w:t xml:space="preserve">nsnational capital accumulation... </w:t>
      </w:r>
      <w:r w:rsidRPr="00D51AE9">
        <w:rPr>
          <w:rFonts w:ascii="Times New Roman" w:hAnsi="Times New Roman"/>
        </w:rPr>
        <w:t>and s</w:t>
      </w:r>
      <w:r w:rsidRPr="00D51AE9">
        <w:rPr>
          <w:rFonts w:ascii="Times New Roman" w:hAnsi="Times New Roman"/>
        </w:rPr>
        <w:t>o</w:t>
      </w:r>
      <w:r>
        <w:rPr>
          <w:rFonts w:ascii="Times New Roman" w:hAnsi="Times New Roman"/>
        </w:rPr>
        <w:t>cial agendas and party systems"</w:t>
      </w:r>
      <w:r w:rsidRPr="00D51AE9">
        <w:rPr>
          <w:rFonts w:ascii="Times New Roman" w:hAnsi="Times New Roman"/>
        </w:rPr>
        <w:t xml:space="preserve"> (</w:t>
      </w:r>
      <w:r>
        <w:rPr>
          <w:rFonts w:ascii="Times New Roman" w:hAnsi="Times New Roman"/>
        </w:rPr>
        <w:t>Lendvai, 2008</w:t>
      </w:r>
      <w:r w:rsidRPr="00D51AE9">
        <w:rPr>
          <w:rFonts w:ascii="Times New Roman" w:hAnsi="Times New Roman"/>
        </w:rPr>
        <w:t>:</w:t>
      </w:r>
      <w:r>
        <w:rPr>
          <w:rFonts w:ascii="Times New Roman" w:hAnsi="Times New Roman"/>
        </w:rPr>
        <w:t xml:space="preserve"> 509</w:t>
      </w:r>
      <w:r w:rsidRPr="00D51AE9">
        <w:rPr>
          <w:rFonts w:ascii="Times New Roman" w:hAnsi="Times New Roman"/>
        </w:rPr>
        <w:t xml:space="preserve">). At the same time, the new members </w:t>
      </w:r>
      <w:r>
        <w:rPr>
          <w:rFonts w:ascii="Times New Roman" w:hAnsi="Times New Roman"/>
        </w:rPr>
        <w:t>are</w:t>
      </w:r>
      <w:r w:rsidRPr="00D51AE9">
        <w:rPr>
          <w:rFonts w:ascii="Times New Roman" w:hAnsi="Times New Roman"/>
        </w:rPr>
        <w:t xml:space="preserve"> often scolded over their "unsatisfactory" advance in d</w:t>
      </w:r>
      <w:r w:rsidRPr="00D51AE9">
        <w:rPr>
          <w:rFonts w:ascii="Times New Roman" w:hAnsi="Times New Roman"/>
        </w:rPr>
        <w:t>e</w:t>
      </w:r>
      <w:r w:rsidRPr="00D51AE9">
        <w:rPr>
          <w:rFonts w:ascii="Times New Roman" w:hAnsi="Times New Roman"/>
        </w:rPr>
        <w:t xml:space="preserve">mocratization and economic performance. Many analysts and the EU itself repeat that the Eastern Europe countries are wrong to have high expectations from democracy in terms of immediate improvement of life standards (as democracy does not mean </w:t>
      </w:r>
      <w:r>
        <w:rPr>
          <w:rFonts w:ascii="Times New Roman" w:hAnsi="Times New Roman"/>
        </w:rPr>
        <w:t>this at all</w:t>
      </w:r>
      <w:r w:rsidRPr="00D51AE9">
        <w:rPr>
          <w:rFonts w:ascii="Times New Roman" w:hAnsi="Times New Roman"/>
        </w:rPr>
        <w:t>), but on the other hand the lack of i</w:t>
      </w:r>
      <w:r w:rsidRPr="00D51AE9">
        <w:rPr>
          <w:rFonts w:ascii="Times New Roman" w:hAnsi="Times New Roman"/>
        </w:rPr>
        <w:t>m</w:t>
      </w:r>
      <w:r w:rsidRPr="00D51AE9">
        <w:rPr>
          <w:rFonts w:ascii="Times New Roman" w:hAnsi="Times New Roman"/>
        </w:rPr>
        <w:t>provement of these life standards leaves to some events qualified as enda</w:t>
      </w:r>
      <w:r w:rsidRPr="00D51AE9">
        <w:rPr>
          <w:rFonts w:ascii="Times New Roman" w:hAnsi="Times New Roman"/>
        </w:rPr>
        <w:t>n</w:t>
      </w:r>
      <w:r w:rsidRPr="00D51AE9">
        <w:rPr>
          <w:rFonts w:ascii="Times New Roman" w:hAnsi="Times New Roman"/>
        </w:rPr>
        <w:lastRenderedPageBreak/>
        <w:t>gering democracy (recent developments in Romania, Hungary, also Bu</w:t>
      </w:r>
      <w:r w:rsidRPr="00D51AE9">
        <w:rPr>
          <w:rFonts w:ascii="Times New Roman" w:hAnsi="Times New Roman"/>
        </w:rPr>
        <w:t>l</w:t>
      </w:r>
      <w:r w:rsidRPr="00D51AE9">
        <w:rPr>
          <w:rFonts w:ascii="Times New Roman" w:hAnsi="Times New Roman"/>
        </w:rPr>
        <w:t xml:space="preserve">garia). </w:t>
      </w:r>
    </w:p>
    <w:p w:rsidR="009425BD" w:rsidRPr="00D51AE9" w:rsidRDefault="009425BD" w:rsidP="009425BD">
      <w:pPr>
        <w:spacing w:line="360" w:lineRule="auto"/>
        <w:contextualSpacing/>
        <w:jc w:val="both"/>
        <w:rPr>
          <w:rFonts w:ascii="Times New Roman" w:hAnsi="Times New Roman"/>
        </w:rPr>
      </w:pPr>
      <w:r>
        <w:rPr>
          <w:rFonts w:ascii="Times New Roman" w:hAnsi="Times New Roman"/>
        </w:rPr>
        <w:tab/>
      </w:r>
      <w:r w:rsidRPr="00D51AE9">
        <w:rPr>
          <w:rFonts w:ascii="Times New Roman" w:hAnsi="Times New Roman"/>
        </w:rPr>
        <w:t>In fact, due to the lack of good organization of labour, or other social forces, the only ones who resist the current path are the nationalist and xenophobic forces: "The strength of these discourses reflects the inability of the dominant forces to offer solutions to burning social problems: high u</w:t>
      </w:r>
      <w:r w:rsidRPr="00D51AE9">
        <w:rPr>
          <w:rFonts w:ascii="Times New Roman" w:hAnsi="Times New Roman"/>
        </w:rPr>
        <w:t>n</w:t>
      </w:r>
      <w:r w:rsidRPr="00D51AE9">
        <w:rPr>
          <w:rFonts w:ascii="Times New Roman" w:hAnsi="Times New Roman"/>
        </w:rPr>
        <w:t>employment, societal polarization and continuous restructuring requir</w:t>
      </w:r>
      <w:r w:rsidRPr="00D51AE9">
        <w:rPr>
          <w:rFonts w:ascii="Times New Roman" w:hAnsi="Times New Roman"/>
        </w:rPr>
        <w:t>e</w:t>
      </w:r>
      <w:r w:rsidRPr="00D51AE9">
        <w:rPr>
          <w:rFonts w:ascii="Times New Roman" w:hAnsi="Times New Roman"/>
        </w:rPr>
        <w:t>ments that threaten to widen the gap wi</w:t>
      </w:r>
      <w:r>
        <w:rPr>
          <w:rFonts w:ascii="Times New Roman" w:hAnsi="Times New Roman"/>
        </w:rPr>
        <w:t>thin societies further" (Bohle, 2006: 77</w:t>
      </w:r>
      <w:r w:rsidRPr="00D51AE9">
        <w:rPr>
          <w:rFonts w:ascii="Times New Roman" w:hAnsi="Times New Roman"/>
        </w:rPr>
        <w:t xml:space="preserve">). </w:t>
      </w:r>
      <w:r>
        <w:rPr>
          <w:rFonts w:ascii="Times New Roman" w:hAnsi="Times New Roman"/>
        </w:rPr>
        <w:t>Consequently, t</w:t>
      </w:r>
      <w:r w:rsidRPr="00D51AE9">
        <w:rPr>
          <w:rFonts w:ascii="Times New Roman" w:hAnsi="Times New Roman"/>
        </w:rPr>
        <w:t xml:space="preserve">he implications for democratic consolidation are neither bleak nor splendid. Despite </w:t>
      </w:r>
      <w:r>
        <w:rPr>
          <w:rFonts w:ascii="Times New Roman" w:hAnsi="Times New Roman"/>
        </w:rPr>
        <w:t>some</w:t>
      </w:r>
      <w:r w:rsidRPr="00D51AE9">
        <w:rPr>
          <w:rFonts w:ascii="Times New Roman" w:hAnsi="Times New Roman"/>
        </w:rPr>
        <w:t xml:space="preserve"> deficiencies in democracy in Eastern Europe, it will not be questioned as a political regime (as there are not social forces strong enough to do this), but neither will it become fully consol</w:t>
      </w:r>
      <w:r w:rsidRPr="00D51AE9">
        <w:rPr>
          <w:rFonts w:ascii="Times New Roman" w:hAnsi="Times New Roman"/>
        </w:rPr>
        <w:t>i</w:t>
      </w:r>
      <w:r w:rsidRPr="00D51AE9">
        <w:rPr>
          <w:rFonts w:ascii="Times New Roman" w:hAnsi="Times New Roman"/>
        </w:rPr>
        <w:t>dated and flawless. This goes in line with Bohle's suggestion that the situ</w:t>
      </w:r>
      <w:r w:rsidRPr="00D51AE9">
        <w:rPr>
          <w:rFonts w:ascii="Times New Roman" w:hAnsi="Times New Roman"/>
        </w:rPr>
        <w:t>a</w:t>
      </w:r>
      <w:r w:rsidRPr="00D51AE9">
        <w:rPr>
          <w:rFonts w:ascii="Times New Roman" w:hAnsi="Times New Roman"/>
        </w:rPr>
        <w:t>tion in the EU "res</w:t>
      </w:r>
      <w:r>
        <w:rPr>
          <w:rFonts w:ascii="Times New Roman" w:hAnsi="Times New Roman"/>
        </w:rPr>
        <w:t>embles... neo-liberal supremacy</w:t>
      </w:r>
      <w:r w:rsidRPr="00D51AE9">
        <w:rPr>
          <w:rFonts w:ascii="Times New Roman" w:hAnsi="Times New Roman"/>
        </w:rPr>
        <w:t xml:space="preserve"> in which the transn</w:t>
      </w:r>
      <w:r w:rsidRPr="00D51AE9">
        <w:rPr>
          <w:rFonts w:ascii="Times New Roman" w:hAnsi="Times New Roman"/>
        </w:rPr>
        <w:t>a</w:t>
      </w:r>
      <w:r w:rsidRPr="00D51AE9">
        <w:rPr>
          <w:rFonts w:ascii="Times New Roman" w:hAnsi="Times New Roman"/>
        </w:rPr>
        <w:t xml:space="preserve">tional bloc cannot organise consent but, nevertheless, rules </w:t>
      </w:r>
      <w:r>
        <w:rPr>
          <w:rFonts w:ascii="Times New Roman" w:hAnsi="Times New Roman"/>
        </w:rPr>
        <w:t>over a fragmented opposition" (2006: 79</w:t>
      </w:r>
      <w:r w:rsidRPr="00D51AE9">
        <w:rPr>
          <w:rFonts w:ascii="Times New Roman" w:hAnsi="Times New Roman"/>
        </w:rPr>
        <w:t>). However, much depend</w:t>
      </w:r>
      <w:r>
        <w:rPr>
          <w:rFonts w:ascii="Times New Roman" w:hAnsi="Times New Roman"/>
        </w:rPr>
        <w:t>s</w:t>
      </w:r>
      <w:r w:rsidRPr="00D51AE9">
        <w:rPr>
          <w:rFonts w:ascii="Times New Roman" w:hAnsi="Times New Roman"/>
        </w:rPr>
        <w:t xml:space="preserve"> on the ou</w:t>
      </w:r>
      <w:r w:rsidRPr="00D51AE9">
        <w:rPr>
          <w:rFonts w:ascii="Times New Roman" w:hAnsi="Times New Roman"/>
        </w:rPr>
        <w:t>t</w:t>
      </w:r>
      <w:r w:rsidRPr="00D51AE9">
        <w:rPr>
          <w:rFonts w:ascii="Times New Roman" w:hAnsi="Times New Roman"/>
        </w:rPr>
        <w:t>comes of the financial crisis in the EU and to what kind of restructuring of the transnational capital forces it will lead and whether it will provoke the emergence of other strong social forces</w:t>
      </w:r>
      <w:r>
        <w:rPr>
          <w:rFonts w:ascii="Times New Roman" w:hAnsi="Times New Roman"/>
        </w:rPr>
        <w:t xml:space="preserve"> (except for extreme right ones)</w:t>
      </w:r>
      <w:r w:rsidRPr="00D51AE9">
        <w:rPr>
          <w:rFonts w:ascii="Times New Roman" w:hAnsi="Times New Roman"/>
        </w:rPr>
        <w:t xml:space="preserve"> to propose some kind of an alternative.</w:t>
      </w:r>
      <w:r>
        <w:rPr>
          <w:rFonts w:ascii="Times New Roman" w:hAnsi="Times New Roman"/>
        </w:rPr>
        <w:t xml:space="preserve"> In case of the latter happens, there will be inevitably a stronger contestation of the economic and political regimes, with unpredictable consequences for democracy.</w:t>
      </w:r>
    </w:p>
    <w:p w:rsidR="009425BD" w:rsidRDefault="009425BD" w:rsidP="009425BD">
      <w:pPr>
        <w:spacing w:line="360" w:lineRule="auto"/>
        <w:contextualSpacing/>
        <w:jc w:val="both"/>
        <w:rPr>
          <w:rFonts w:ascii="Times New Roman" w:hAnsi="Times New Roman"/>
        </w:rPr>
      </w:pPr>
      <w:r w:rsidRPr="00D51AE9">
        <w:rPr>
          <w:rFonts w:ascii="Times New Roman" w:hAnsi="Times New Roman"/>
        </w:rPr>
        <w:tab/>
        <w:t>An analysis on the concrete case of Bulgaria will follow in next chapters.</w:t>
      </w:r>
    </w:p>
    <w:p w:rsidR="00163DB0" w:rsidRDefault="00163DB0" w:rsidP="009425BD">
      <w:pPr>
        <w:spacing w:line="360" w:lineRule="auto"/>
        <w:contextualSpacing/>
        <w:jc w:val="both"/>
        <w:rPr>
          <w:rFonts w:ascii="Times New Roman" w:hAnsi="Times New Roman"/>
        </w:rPr>
      </w:pPr>
    </w:p>
    <w:p w:rsidR="00163DB0" w:rsidRPr="00D51AE9" w:rsidRDefault="00163DB0" w:rsidP="009425BD">
      <w:pPr>
        <w:spacing w:line="360" w:lineRule="auto"/>
        <w:contextualSpacing/>
        <w:jc w:val="both"/>
        <w:rPr>
          <w:rFonts w:ascii="Times New Roman" w:hAnsi="Times New Roman"/>
          <w:color w:val="7030A0"/>
        </w:rPr>
      </w:pPr>
      <w:r>
        <w:rPr>
          <w:rFonts w:ascii="Times New Roman" w:hAnsi="Times New Roman"/>
        </w:rPr>
        <w:br w:type="page"/>
      </w:r>
    </w:p>
    <w:p w:rsidR="009400BC" w:rsidRDefault="009400BC" w:rsidP="009400BC">
      <w:pPr>
        <w:pStyle w:val="Heading1NOTchapter"/>
      </w:pPr>
      <w:bookmarkStart w:id="27" w:name="_Toc266283475"/>
      <w:bookmarkEnd w:id="15"/>
      <w:r>
        <w:t>References</w:t>
      </w:r>
      <w:bookmarkEnd w:id="27"/>
    </w:p>
    <w:p w:rsidR="004B6FEB" w:rsidRPr="000E5EF9" w:rsidRDefault="00CE123C" w:rsidP="004B6FEB">
      <w:pPr>
        <w:jc w:val="both"/>
        <w:divId w:val="124813279"/>
        <w:rPr>
          <w:rFonts w:ascii="Times New Roman" w:hAnsi="Times New Roman"/>
          <w:lang w:val="en-US"/>
        </w:rPr>
      </w:pPr>
      <w:r w:rsidRPr="00CE123C">
        <w:fldChar w:fldCharType="begin"/>
      </w:r>
      <w:r w:rsidR="0073129C">
        <w:instrText>ADDIN RW.BIB</w:instrText>
      </w:r>
      <w:r w:rsidRPr="00CE123C">
        <w:fldChar w:fldCharType="separate"/>
      </w:r>
      <w:r w:rsidR="004B6FEB" w:rsidRPr="004B6FEB">
        <w:rPr>
          <w:rFonts w:ascii="Times New Roman" w:hAnsi="Times New Roman"/>
          <w:lang w:val="en-US"/>
        </w:rPr>
        <w:t xml:space="preserve"> </w:t>
      </w:r>
      <w:r w:rsidR="004B6FEB" w:rsidRPr="000E5EF9">
        <w:rPr>
          <w:rFonts w:ascii="Times New Roman" w:hAnsi="Times New Roman"/>
          <w:lang w:val="en-US"/>
        </w:rPr>
        <w:t>Bieler, A. (2005) ‘European Integration and the Transnational Restru</w:t>
      </w:r>
      <w:r w:rsidR="004B6FEB" w:rsidRPr="000E5EF9">
        <w:rPr>
          <w:rFonts w:ascii="Times New Roman" w:hAnsi="Times New Roman"/>
          <w:lang w:val="en-US"/>
        </w:rPr>
        <w:t>c</w:t>
      </w:r>
      <w:r w:rsidR="004B6FEB" w:rsidRPr="000E5EF9">
        <w:rPr>
          <w:rFonts w:ascii="Times New Roman" w:hAnsi="Times New Roman"/>
          <w:lang w:val="en-US"/>
        </w:rPr>
        <w:t xml:space="preserve">turing of Social Relations: The Emergence of Labour as a Regional Actor?’, </w:t>
      </w:r>
      <w:r w:rsidR="004B6FEB" w:rsidRPr="000E5EF9">
        <w:rPr>
          <w:rFonts w:ascii="Times New Roman" w:hAnsi="Times New Roman"/>
          <w:i/>
          <w:lang w:val="en-US"/>
        </w:rPr>
        <w:t>Journal of Common Market Studies</w:t>
      </w:r>
      <w:r w:rsidR="004B6FEB" w:rsidRPr="000E5EF9">
        <w:rPr>
          <w:rFonts w:ascii="Times New Roman" w:hAnsi="Times New Roman"/>
          <w:lang w:val="en-US"/>
        </w:rPr>
        <w:t xml:space="preserve"> 43(3): 1–34. WILEY Online Library database. Accessed 1 September 2012 &lt;</w:t>
      </w:r>
      <w:r w:rsidR="004B6FEB" w:rsidRPr="000E5EF9">
        <w:rPr>
          <w:rFonts w:ascii="Times New Roman" w:hAnsi="Times New Roman"/>
        </w:rPr>
        <w:t>http://onlinelibrary.wiley.com/</w:t>
      </w:r>
      <w:r w:rsidR="00163DB0">
        <w:rPr>
          <w:rFonts w:ascii="Times New Roman" w:hAnsi="Times New Roman"/>
        </w:rPr>
        <w:t xml:space="preserve"> </w:t>
      </w:r>
      <w:r w:rsidR="004B6FEB" w:rsidRPr="000E5EF9">
        <w:rPr>
          <w:rFonts w:ascii="Times New Roman" w:hAnsi="Times New Roman"/>
        </w:rPr>
        <w:t>doi/10.1111/j.0021-9886.2005.00565.x/</w:t>
      </w:r>
      <w:r w:rsidR="004B6FEB">
        <w:rPr>
          <w:rFonts w:ascii="Times New Roman" w:hAnsi="Times New Roman"/>
        </w:rPr>
        <w:t xml:space="preserve"> </w:t>
      </w:r>
      <w:r w:rsidR="004B6FEB" w:rsidRPr="000E5EF9">
        <w:rPr>
          <w:rFonts w:ascii="Times New Roman" w:hAnsi="Times New Roman"/>
        </w:rPr>
        <w:t>abstract</w:t>
      </w:r>
      <w:r w:rsidR="004B6FEB" w:rsidRPr="000E5EF9">
        <w:rPr>
          <w:rFonts w:ascii="Times New Roman" w:hAnsi="Times New Roman"/>
          <w:lang w:val="en-US"/>
        </w:rPr>
        <w:t>&gt;.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 xml:space="preserve">Bohle, D. (2006) ‘Neoliberal Hegemony, Transnational Capital and the terms of EU’s Eastward Expansion’, </w:t>
      </w:r>
      <w:r w:rsidRPr="000E5EF9">
        <w:rPr>
          <w:rFonts w:ascii="Times New Roman" w:hAnsi="Times New Roman"/>
          <w:i/>
          <w:lang w:val="en-US"/>
        </w:rPr>
        <w:t>Capital &amp; Class</w:t>
      </w:r>
      <w:r w:rsidRPr="000E5EF9">
        <w:rPr>
          <w:rFonts w:ascii="Times New Roman" w:hAnsi="Times New Roman"/>
          <w:lang w:val="en-US"/>
        </w:rPr>
        <w:t xml:space="preserve"> 88: 57–86. ProQuest database. Accessed 1 September 2012 &lt;</w:t>
      </w:r>
      <w:r w:rsidRPr="000E5EF9">
        <w:rPr>
          <w:rFonts w:ascii="Times New Roman" w:hAnsi="Times New Roman"/>
        </w:rPr>
        <w:t>http://search.proquest.com/</w:t>
      </w:r>
      <w:r>
        <w:rPr>
          <w:rFonts w:ascii="Times New Roman" w:hAnsi="Times New Roman"/>
        </w:rPr>
        <w:t xml:space="preserve"> </w:t>
      </w:r>
      <w:r w:rsidRPr="000E5EF9">
        <w:rPr>
          <w:rFonts w:ascii="Times New Roman" w:hAnsi="Times New Roman"/>
        </w:rPr>
        <w:t>do</w:t>
      </w:r>
      <w:r w:rsidRPr="000E5EF9">
        <w:rPr>
          <w:rFonts w:ascii="Times New Roman" w:hAnsi="Times New Roman"/>
        </w:rPr>
        <w:t>c</w:t>
      </w:r>
      <w:r w:rsidRPr="000E5EF9">
        <w:rPr>
          <w:rFonts w:ascii="Times New Roman" w:hAnsi="Times New Roman"/>
        </w:rPr>
        <w:t>view/209697166/fulltextPDF?accountid=13598</w:t>
      </w:r>
      <w:r w:rsidRPr="000E5EF9">
        <w:rPr>
          <w:rFonts w:ascii="Times New Roman" w:hAnsi="Times New Roman"/>
          <w:lang w:val="en-US"/>
        </w:rPr>
        <w:t>&gt;.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 xml:space="preserve">Bradanini, D. (2009) ‘The Rise of the Competitiveness Discourse—A Neo-Gramscian Analysis’, </w:t>
      </w:r>
      <w:r w:rsidRPr="000E5EF9">
        <w:rPr>
          <w:rFonts w:ascii="Times New Roman" w:hAnsi="Times New Roman"/>
          <w:i/>
          <w:lang w:val="en-US"/>
        </w:rPr>
        <w:t>Bruges Political Research Paper No 10</w:t>
      </w:r>
      <w:r w:rsidRPr="000E5EF9">
        <w:rPr>
          <w:rFonts w:ascii="Times New Roman" w:hAnsi="Times New Roman"/>
          <w:lang w:val="en-US"/>
        </w:rPr>
        <w:t>. Archive of European Integration. Accessed 1 September 2012 &lt;</w:t>
      </w:r>
      <w:r w:rsidRPr="000E5EF9">
        <w:rPr>
          <w:rFonts w:ascii="Times New Roman" w:hAnsi="Times New Roman"/>
        </w:rPr>
        <w:t>http://aei.pitt.edu/</w:t>
      </w:r>
      <w:r>
        <w:rPr>
          <w:rFonts w:ascii="Times New Roman" w:hAnsi="Times New Roman"/>
        </w:rPr>
        <w:t xml:space="preserve"> </w:t>
      </w:r>
      <w:r w:rsidRPr="000E5EF9">
        <w:rPr>
          <w:rFonts w:ascii="Times New Roman" w:hAnsi="Times New Roman"/>
        </w:rPr>
        <w:t>12370/1/wp10_Bradanini-2.pdf</w:t>
      </w:r>
      <w:r w:rsidRPr="000E5EF9">
        <w:rPr>
          <w:rFonts w:ascii="Times New Roman" w:hAnsi="Times New Roman"/>
          <w:lang w:val="en-US"/>
        </w:rPr>
        <w:t>&gt;.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 xml:space="preserve">Cox, R. W. (1983) ‘Gramsci, Hegemony and International Relations: An Essay in Method’, </w:t>
      </w:r>
      <w:r w:rsidRPr="000E5EF9">
        <w:rPr>
          <w:rFonts w:ascii="Times New Roman" w:hAnsi="Times New Roman"/>
          <w:i/>
          <w:lang w:val="en-US"/>
        </w:rPr>
        <w:t>Millennium - Journal of International Studies</w:t>
      </w:r>
      <w:r w:rsidRPr="000E5EF9">
        <w:rPr>
          <w:rFonts w:ascii="Times New Roman" w:hAnsi="Times New Roman"/>
          <w:lang w:val="en-US"/>
        </w:rPr>
        <w:t xml:space="preserve"> 12(2): 162–175. SAGE Journals database. Accessed 19 August 2012 &lt;</w:t>
      </w:r>
      <w:hyperlink r:id="rId13" w:history="1">
        <w:r w:rsidRPr="000E5EF9">
          <w:rPr>
            <w:rFonts w:ascii="Times New Roman" w:hAnsi="Times New Roman"/>
          </w:rPr>
          <w:t>http://mil.sagepub.com/content/12/2/162</w:t>
        </w:r>
      </w:hyperlink>
      <w:r w:rsidRPr="000E5EF9">
        <w:rPr>
          <w:rFonts w:ascii="Times New Roman" w:hAnsi="Times New Roman"/>
          <w:lang w:val="en-US"/>
        </w:rPr>
        <w:t>&gt;.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Cox, R. W. (1981) ‘Social Forces, States and World Orders: Beyond I</w:t>
      </w:r>
      <w:r w:rsidRPr="000E5EF9">
        <w:rPr>
          <w:rFonts w:ascii="Times New Roman" w:hAnsi="Times New Roman"/>
          <w:lang w:val="en-US"/>
        </w:rPr>
        <w:t>n</w:t>
      </w:r>
      <w:r w:rsidRPr="000E5EF9">
        <w:rPr>
          <w:rFonts w:ascii="Times New Roman" w:hAnsi="Times New Roman"/>
          <w:lang w:val="en-US"/>
        </w:rPr>
        <w:t xml:space="preserve">ternational Relations Theory’, </w:t>
      </w:r>
      <w:r w:rsidRPr="000E5EF9">
        <w:rPr>
          <w:rFonts w:ascii="Times New Roman" w:hAnsi="Times New Roman"/>
          <w:i/>
          <w:lang w:val="en-US"/>
        </w:rPr>
        <w:t>Millennium: Journal of International Studies</w:t>
      </w:r>
      <w:r w:rsidRPr="000E5EF9">
        <w:rPr>
          <w:rFonts w:ascii="Times New Roman" w:hAnsi="Times New Roman"/>
          <w:lang w:val="en-US"/>
        </w:rPr>
        <w:t xml:space="preserve"> 10(2): 126–155. SAGE Journals database. Accessed 1 September 2012 &lt;</w:t>
      </w:r>
      <w:hyperlink r:id="rId14" w:history="1">
        <w:r w:rsidRPr="000E5EF9">
          <w:rPr>
            <w:rFonts w:ascii="Times New Roman" w:hAnsi="Times New Roman"/>
          </w:rPr>
          <w:t>http://mil.sagepub.com/content/10/2/126.full.pdf</w:t>
        </w:r>
      </w:hyperlink>
      <w:r w:rsidRPr="000E5EF9">
        <w:rPr>
          <w:rFonts w:ascii="Times New Roman" w:hAnsi="Times New Roman"/>
          <w:lang w:val="en-US"/>
        </w:rPr>
        <w:t>&gt;.</w:t>
      </w:r>
    </w:p>
    <w:p w:rsidR="004B6FEB" w:rsidRPr="000E5EF9" w:rsidRDefault="004B6FEB" w:rsidP="004B6FEB">
      <w:pPr>
        <w:spacing w:before="100" w:beforeAutospacing="1" w:afterAutospacing="1"/>
        <w:divId w:val="124813279"/>
        <w:rPr>
          <w:rFonts w:ascii="Times New Roman" w:hAnsi="Times New Roman"/>
          <w:lang w:val="en-US"/>
        </w:rPr>
      </w:pPr>
      <w:r w:rsidRPr="000E5EF9">
        <w:rPr>
          <w:rFonts w:ascii="Times New Roman" w:hAnsi="Times New Roman"/>
        </w:rPr>
        <w:t xml:space="preserve">Diamond, L., M. F. Plattner, Y. Chu and H. Tien (1997) </w:t>
      </w:r>
      <w:r w:rsidRPr="000E5EF9">
        <w:rPr>
          <w:rFonts w:ascii="Times New Roman" w:hAnsi="Times New Roman"/>
          <w:i/>
        </w:rPr>
        <w:t>Consolidating the Third Wave Democracies: Regional Challenges</w:t>
      </w:r>
      <w:r w:rsidRPr="000E5EF9">
        <w:rPr>
          <w:rFonts w:ascii="Times New Roman" w:hAnsi="Times New Roman"/>
        </w:rPr>
        <w:t xml:space="preserve">. Baltimore and London: the John Hopkins University Press. </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Diez, T. (2005) ‘Constructing the Self and Changing Others: Recons</w:t>
      </w:r>
      <w:r w:rsidRPr="000E5EF9">
        <w:rPr>
          <w:rFonts w:ascii="Times New Roman" w:hAnsi="Times New Roman"/>
          <w:lang w:val="en-US"/>
        </w:rPr>
        <w:t>i</w:t>
      </w:r>
      <w:r w:rsidRPr="000E5EF9">
        <w:rPr>
          <w:rFonts w:ascii="Times New Roman" w:hAnsi="Times New Roman"/>
          <w:lang w:val="en-US"/>
        </w:rPr>
        <w:t xml:space="preserve">dering ‘Normative Power Europe’’, </w:t>
      </w:r>
      <w:r w:rsidRPr="000E5EF9">
        <w:rPr>
          <w:rFonts w:ascii="Times New Roman" w:hAnsi="Times New Roman"/>
          <w:i/>
          <w:lang w:val="en-US"/>
        </w:rPr>
        <w:t>Millennium: Journal of International Studies</w:t>
      </w:r>
      <w:r w:rsidRPr="000E5EF9">
        <w:rPr>
          <w:rFonts w:ascii="Times New Roman" w:hAnsi="Times New Roman"/>
          <w:lang w:val="en-US"/>
        </w:rPr>
        <w:t xml:space="preserve"> 33(3): 613–636. SAGE Journals database. Accessed 1 September 2012 &lt;</w:t>
      </w:r>
      <w:hyperlink r:id="rId15" w:history="1">
        <w:r w:rsidRPr="000E5EF9">
          <w:rPr>
            <w:rFonts w:ascii="Times New Roman" w:hAnsi="Times New Roman"/>
          </w:rPr>
          <w:t>http://mil.sagepub.com/content/33/3/</w:t>
        </w:r>
        <w:r w:rsidRPr="000E5EF9">
          <w:rPr>
            <w:rFonts w:ascii="Times New Roman" w:hAnsi="Times New Roman"/>
            <w:lang w:val="en-US"/>
          </w:rPr>
          <w:t xml:space="preserve"> </w:t>
        </w:r>
        <w:r w:rsidRPr="000E5EF9">
          <w:rPr>
            <w:rFonts w:ascii="Times New Roman" w:hAnsi="Times New Roman"/>
          </w:rPr>
          <w:t>613.full.pdf+html</w:t>
        </w:r>
      </w:hyperlink>
      <w:r w:rsidRPr="000E5EF9">
        <w:rPr>
          <w:rFonts w:ascii="Times New Roman" w:hAnsi="Times New Roman"/>
          <w:lang w:val="en-US"/>
        </w:rPr>
        <w:t>&gt;.</w:t>
      </w:r>
    </w:p>
    <w:p w:rsidR="004B6FEB" w:rsidRPr="000E5EF9" w:rsidRDefault="004B6FEB" w:rsidP="004B6FEB">
      <w:pPr>
        <w:spacing w:before="100" w:beforeAutospacing="1" w:afterAutospacing="1"/>
        <w:divId w:val="124813279"/>
        <w:rPr>
          <w:rFonts w:ascii="Times New Roman" w:hAnsi="Times New Roman"/>
          <w:lang w:val="en-US"/>
        </w:rPr>
      </w:pPr>
      <w:r w:rsidRPr="000E5EF9">
        <w:rPr>
          <w:rFonts w:ascii="Times New Roman" w:hAnsi="Times New Roman"/>
          <w:lang w:val="bg-BG" w:eastAsia="bg-BG"/>
        </w:rPr>
        <w:t>European Commission, ‘Accession Criteria’ (2011)</w:t>
      </w:r>
      <w:r w:rsidRPr="000E5EF9">
        <w:rPr>
          <w:rFonts w:ascii="Times New Roman" w:hAnsi="Times New Roman"/>
          <w:lang w:val="en-US"/>
        </w:rPr>
        <w:t>.</w:t>
      </w:r>
      <w:r w:rsidRPr="000E5EF9">
        <w:rPr>
          <w:rFonts w:ascii="Times New Roman" w:hAnsi="Times New Roman"/>
          <w:lang w:val="bg-BG" w:eastAsia="bg-BG"/>
        </w:rPr>
        <w:t xml:space="preserve"> Accessed 9 </w:t>
      </w:r>
      <w:r w:rsidRPr="000E5EF9">
        <w:rPr>
          <w:rFonts w:ascii="Times New Roman" w:hAnsi="Times New Roman"/>
        </w:rPr>
        <w:t>June 2012</w:t>
      </w:r>
      <w:r w:rsidRPr="000E5EF9">
        <w:rPr>
          <w:rFonts w:ascii="Times New Roman" w:hAnsi="Times New Roman"/>
          <w:lang w:val="en-US"/>
        </w:rPr>
        <w:t xml:space="preserve"> &lt;</w:t>
      </w:r>
      <w:r w:rsidRPr="000E5EF9">
        <w:rPr>
          <w:rFonts w:ascii="Times New Roman" w:hAnsi="Times New Roman"/>
        </w:rPr>
        <w:t>http://ec.europa.eu/ enlargement/enlargement_process/</w:t>
      </w:r>
      <w:r w:rsidR="00163DB0">
        <w:rPr>
          <w:rFonts w:ascii="Times New Roman" w:hAnsi="Times New Roman"/>
        </w:rPr>
        <w:t xml:space="preserve"> </w:t>
      </w:r>
      <w:r w:rsidRPr="000E5EF9">
        <w:rPr>
          <w:rFonts w:ascii="Times New Roman" w:hAnsi="Times New Roman"/>
        </w:rPr>
        <w:t>acce</w:t>
      </w:r>
      <w:r w:rsidRPr="000E5EF9">
        <w:rPr>
          <w:rFonts w:ascii="Times New Roman" w:hAnsi="Times New Roman"/>
        </w:rPr>
        <w:t>s</w:t>
      </w:r>
      <w:r w:rsidRPr="000E5EF9">
        <w:rPr>
          <w:rFonts w:ascii="Times New Roman" w:hAnsi="Times New Roman"/>
        </w:rPr>
        <w:t>sion_process/criteria/index_en.htm</w:t>
      </w:r>
      <w:r w:rsidRPr="000E5EF9">
        <w:rPr>
          <w:rFonts w:ascii="Times New Roman" w:hAnsi="Times New Roman"/>
          <w:lang w:val="en-US"/>
        </w:rPr>
        <w:t>&gt;.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Forsberg, T. (2011) ‘Normative Power Europe, Once Again: A Conce</w:t>
      </w:r>
      <w:r w:rsidRPr="000E5EF9">
        <w:rPr>
          <w:rFonts w:ascii="Times New Roman" w:hAnsi="Times New Roman"/>
          <w:lang w:val="en-US"/>
        </w:rPr>
        <w:t>p</w:t>
      </w:r>
      <w:r w:rsidRPr="000E5EF9">
        <w:rPr>
          <w:rFonts w:ascii="Times New Roman" w:hAnsi="Times New Roman"/>
          <w:lang w:val="en-US"/>
        </w:rPr>
        <w:t xml:space="preserve">tual Analysis of an Ideal Type’, </w:t>
      </w:r>
      <w:r w:rsidRPr="000E5EF9">
        <w:rPr>
          <w:rFonts w:ascii="Times New Roman" w:hAnsi="Times New Roman"/>
          <w:i/>
          <w:lang w:val="en-US"/>
        </w:rPr>
        <w:t>Journal of Common Market Studies</w:t>
      </w:r>
      <w:r w:rsidRPr="000E5EF9">
        <w:rPr>
          <w:rFonts w:ascii="Times New Roman" w:hAnsi="Times New Roman"/>
          <w:lang w:val="en-US"/>
        </w:rPr>
        <w:t xml:space="preserve"> 49(6): 1183–1204. WILEY Online Library database. Accessed 1 September 2012 &lt;</w:t>
      </w:r>
      <w:r w:rsidRPr="000E5EF9">
        <w:rPr>
          <w:rFonts w:ascii="Times New Roman" w:hAnsi="Times New Roman"/>
        </w:rPr>
        <w:t>http://onlinelibrary.wiley.com/doi/10.1111/j.1468-5965.2011.02194.x/</w:t>
      </w:r>
      <w:r w:rsidR="00163DB0">
        <w:rPr>
          <w:rFonts w:ascii="Times New Roman" w:hAnsi="Times New Roman"/>
        </w:rPr>
        <w:t xml:space="preserve"> </w:t>
      </w:r>
      <w:r w:rsidRPr="000E5EF9">
        <w:rPr>
          <w:rFonts w:ascii="Times New Roman" w:hAnsi="Times New Roman"/>
        </w:rPr>
        <w:t>a</w:t>
      </w:r>
      <w:r w:rsidRPr="000E5EF9">
        <w:rPr>
          <w:rFonts w:ascii="Times New Roman" w:hAnsi="Times New Roman"/>
        </w:rPr>
        <w:t>b</w:t>
      </w:r>
      <w:r w:rsidRPr="000E5EF9">
        <w:rPr>
          <w:rFonts w:ascii="Times New Roman" w:hAnsi="Times New Roman"/>
        </w:rPr>
        <w:t>stract</w:t>
      </w:r>
      <w:r w:rsidRPr="000E5EF9">
        <w:rPr>
          <w:rFonts w:ascii="Times New Roman" w:hAnsi="Times New Roman"/>
          <w:lang w:val="en-US"/>
        </w:rPr>
        <w:t>&gt;.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 xml:space="preserve">Gill, S. (1992) ‘The Emerging World Order and European Change: The Political Economy of European Union’, </w:t>
      </w:r>
      <w:r w:rsidRPr="000E5EF9">
        <w:rPr>
          <w:rFonts w:ascii="Times New Roman" w:hAnsi="Times New Roman"/>
          <w:i/>
          <w:lang w:val="en-US"/>
        </w:rPr>
        <w:t>Socialist Register</w:t>
      </w:r>
      <w:r w:rsidRPr="000E5EF9">
        <w:rPr>
          <w:rFonts w:ascii="Times New Roman" w:hAnsi="Times New Roman"/>
          <w:lang w:val="en-US"/>
        </w:rPr>
        <w:t xml:space="preserve"> 28: 157–196. S</w:t>
      </w:r>
      <w:r w:rsidRPr="000E5EF9">
        <w:rPr>
          <w:rFonts w:ascii="Times New Roman" w:hAnsi="Times New Roman"/>
          <w:lang w:val="en-US"/>
        </w:rPr>
        <w:t>o</w:t>
      </w:r>
      <w:r w:rsidRPr="000E5EF9">
        <w:rPr>
          <w:rFonts w:ascii="Times New Roman" w:hAnsi="Times New Roman"/>
          <w:lang w:val="en-US"/>
        </w:rPr>
        <w:lastRenderedPageBreak/>
        <w:t>cialist register database. Accessed 1 September 2012 &lt;</w:t>
      </w:r>
      <w:hyperlink r:id="rId16" w:history="1">
        <w:r w:rsidRPr="000E5EF9">
          <w:rPr>
            <w:rFonts w:ascii="Times New Roman" w:hAnsi="Times New Roman"/>
          </w:rPr>
          <w:t>https://fiq.ischool.utoronto.ca/index.php/srv/article/view/5613</w:t>
        </w:r>
      </w:hyperlink>
      <w:r w:rsidRPr="000E5EF9">
        <w:rPr>
          <w:rFonts w:ascii="Times New Roman" w:hAnsi="Times New Roman"/>
          <w:lang w:val="en-US"/>
        </w:rPr>
        <w:t>&gt;.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 xml:space="preserve">Kitschelt, H. (1993) ‘Comparative historical research and rational choice theory: The  case  of transitions  to democracy’, </w:t>
      </w:r>
      <w:r w:rsidRPr="000E5EF9">
        <w:rPr>
          <w:rFonts w:ascii="Times New Roman" w:hAnsi="Times New Roman"/>
          <w:i/>
          <w:lang w:val="en-US"/>
        </w:rPr>
        <w:t>Theory and Society</w:t>
      </w:r>
      <w:r w:rsidRPr="000E5EF9">
        <w:rPr>
          <w:rFonts w:ascii="Times New Roman" w:hAnsi="Times New Roman"/>
          <w:lang w:val="en-US"/>
        </w:rPr>
        <w:t xml:space="preserve"> 22(3): 413–427. JSTOR database. Accessed 29 April 2012 &lt;http://www.jstor.org/stable/657740&gt;.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 xml:space="preserve">Kitschelt, H. (1995) ‘Formation of Party Cleavages in Post-Communist Democracies: Theoretical Propositions’, </w:t>
      </w:r>
      <w:r w:rsidRPr="000E5EF9">
        <w:rPr>
          <w:rFonts w:ascii="Times New Roman" w:hAnsi="Times New Roman"/>
          <w:i/>
          <w:lang w:val="en-US"/>
        </w:rPr>
        <w:t>Party Politics</w:t>
      </w:r>
      <w:r w:rsidRPr="000E5EF9">
        <w:rPr>
          <w:rFonts w:ascii="Times New Roman" w:hAnsi="Times New Roman"/>
          <w:lang w:val="en-US"/>
        </w:rPr>
        <w:t xml:space="preserve"> 1(4): 447–472. SAGE Journals database. Accessed 1 September 2012 &lt;</w:t>
      </w:r>
      <w:hyperlink r:id="rId17" w:history="1">
        <w:r w:rsidRPr="000E5EF9">
          <w:rPr>
            <w:rFonts w:ascii="Times New Roman" w:hAnsi="Times New Roman"/>
          </w:rPr>
          <w:t>http://ppq.sagepub.com/content/1/4/447.full.pdf</w:t>
        </w:r>
      </w:hyperlink>
      <w:r w:rsidRPr="000E5EF9">
        <w:rPr>
          <w:rFonts w:ascii="Times New Roman" w:hAnsi="Times New Roman"/>
          <w:lang w:val="en-US"/>
        </w:rPr>
        <w:t>&gt;.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 xml:space="preserve">Kitschelt, H., D. Dimitrov and A. Kanev (1995) ‘The structuring of  the vote  in post-communist part systems: The Bulgarian example’, </w:t>
      </w:r>
      <w:r w:rsidRPr="000E5EF9">
        <w:rPr>
          <w:rFonts w:ascii="Times New Roman" w:hAnsi="Times New Roman"/>
          <w:i/>
          <w:lang w:val="en-US"/>
        </w:rPr>
        <w:t>European Journal  of  Political Research</w:t>
      </w:r>
      <w:r w:rsidRPr="000E5EF9">
        <w:rPr>
          <w:rFonts w:ascii="Times New Roman" w:hAnsi="Times New Roman"/>
          <w:lang w:val="en-US"/>
        </w:rPr>
        <w:t xml:space="preserve">  27: 143–160. WILEY Online Library dat</w:t>
      </w:r>
      <w:r w:rsidRPr="000E5EF9">
        <w:rPr>
          <w:rFonts w:ascii="Times New Roman" w:hAnsi="Times New Roman"/>
          <w:lang w:val="en-US"/>
        </w:rPr>
        <w:t>a</w:t>
      </w:r>
      <w:r w:rsidRPr="000E5EF9">
        <w:rPr>
          <w:rFonts w:ascii="Times New Roman" w:hAnsi="Times New Roman"/>
          <w:lang w:val="en-US"/>
        </w:rPr>
        <w:t>base. Accessed 1 September 2012 &lt;</w:t>
      </w:r>
      <w:r w:rsidRPr="000E5EF9">
        <w:rPr>
          <w:rFonts w:ascii="Times New Roman" w:hAnsi="Times New Roman"/>
        </w:rPr>
        <w:t>http://onlinelibrary.wiley.com/</w:t>
      </w:r>
      <w:r w:rsidR="00163DB0">
        <w:rPr>
          <w:rFonts w:ascii="Times New Roman" w:hAnsi="Times New Roman"/>
        </w:rPr>
        <w:t xml:space="preserve"> </w:t>
      </w:r>
      <w:r w:rsidRPr="000E5EF9">
        <w:rPr>
          <w:rFonts w:ascii="Times New Roman" w:hAnsi="Times New Roman"/>
        </w:rPr>
        <w:t>doi/10.1111/j.1475-6765.1995.tb00633.x/</w:t>
      </w:r>
      <w:r w:rsidR="00163DB0">
        <w:rPr>
          <w:rFonts w:ascii="Times New Roman" w:hAnsi="Times New Roman"/>
        </w:rPr>
        <w:t xml:space="preserve"> </w:t>
      </w:r>
      <w:r w:rsidRPr="000E5EF9">
        <w:rPr>
          <w:rFonts w:ascii="Times New Roman" w:hAnsi="Times New Roman"/>
        </w:rPr>
        <w:t>abstract</w:t>
      </w:r>
      <w:r w:rsidRPr="000E5EF9">
        <w:rPr>
          <w:rFonts w:ascii="Times New Roman" w:hAnsi="Times New Roman"/>
          <w:lang w:val="en-US"/>
        </w:rPr>
        <w:t>&gt;.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Krastev, I. (n.d.) ‘European Union and the Balkans: enlargement or e</w:t>
      </w:r>
      <w:r w:rsidRPr="000E5EF9">
        <w:rPr>
          <w:rFonts w:ascii="Times New Roman" w:hAnsi="Times New Roman"/>
          <w:lang w:val="en-US"/>
        </w:rPr>
        <w:t>m</w:t>
      </w:r>
      <w:r w:rsidRPr="000E5EF9">
        <w:rPr>
          <w:rFonts w:ascii="Times New Roman" w:hAnsi="Times New Roman"/>
          <w:lang w:val="en-US"/>
        </w:rPr>
        <w:t>pire?’. The German Marshall Fund of the United States. Accessed 1 Se</w:t>
      </w:r>
      <w:r w:rsidRPr="000E5EF9">
        <w:rPr>
          <w:rFonts w:ascii="Times New Roman" w:hAnsi="Times New Roman"/>
          <w:lang w:val="en-US"/>
        </w:rPr>
        <w:t>p</w:t>
      </w:r>
      <w:r w:rsidRPr="000E5EF9">
        <w:rPr>
          <w:rFonts w:ascii="Times New Roman" w:hAnsi="Times New Roman"/>
          <w:lang w:val="en-US"/>
        </w:rPr>
        <w:t>tember 2012 &lt;</w:t>
      </w:r>
      <w:r w:rsidRPr="000E5EF9">
        <w:rPr>
          <w:rFonts w:ascii="Times New Roman" w:hAnsi="Times New Roman"/>
        </w:rPr>
        <w:t>http://www.gmfus.org/</w:t>
      </w:r>
      <w:r w:rsidRPr="000E5EF9">
        <w:rPr>
          <w:rFonts w:ascii="Times New Roman" w:hAnsi="Times New Roman"/>
          <w:lang w:val="en-US"/>
        </w:rPr>
        <w:t xml:space="preserve"> </w:t>
      </w:r>
      <w:r w:rsidRPr="000E5EF9">
        <w:rPr>
          <w:rFonts w:ascii="Times New Roman" w:hAnsi="Times New Roman"/>
        </w:rPr>
        <w:t>doc/Krastev%20Paper.pdf&gt;</w:t>
      </w:r>
      <w:r w:rsidRPr="000E5EF9">
        <w:rPr>
          <w:rFonts w:ascii="Times New Roman" w:hAnsi="Times New Roman"/>
          <w:lang w:val="en-US"/>
        </w:rPr>
        <w:t xml:space="preserve">. </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 xml:space="preserve">Lendvai, N. (2008) ‘EU Integration and the Transformation of Post-communist Welfare: Traversing a ‘Quantum Leap’?’, </w:t>
      </w:r>
      <w:r w:rsidRPr="000E5EF9">
        <w:rPr>
          <w:rFonts w:ascii="Times New Roman" w:hAnsi="Times New Roman"/>
          <w:i/>
          <w:lang w:val="en-US"/>
        </w:rPr>
        <w:t>Social Policy &amp; A</w:t>
      </w:r>
      <w:r w:rsidRPr="000E5EF9">
        <w:rPr>
          <w:rFonts w:ascii="Times New Roman" w:hAnsi="Times New Roman"/>
          <w:i/>
          <w:lang w:val="en-US"/>
        </w:rPr>
        <w:t>d</w:t>
      </w:r>
      <w:r w:rsidRPr="000E5EF9">
        <w:rPr>
          <w:rFonts w:ascii="Times New Roman" w:hAnsi="Times New Roman"/>
          <w:i/>
          <w:lang w:val="en-US"/>
        </w:rPr>
        <w:t>ministration</w:t>
      </w:r>
      <w:r w:rsidRPr="000E5EF9">
        <w:rPr>
          <w:rFonts w:ascii="Times New Roman" w:hAnsi="Times New Roman"/>
          <w:lang w:val="en-US"/>
        </w:rPr>
        <w:t xml:space="preserve"> 42(5): 504–523. WILEY Online Library database. Accessed 1 September 2012 &lt;</w:t>
      </w:r>
      <w:hyperlink r:id="rId18" w:history="1">
        <w:r w:rsidRPr="000E5EF9">
          <w:rPr>
            <w:rFonts w:ascii="Times New Roman" w:hAnsi="Times New Roman"/>
          </w:rPr>
          <w:t>http://onlinelibrary.wiley.com/doi/</w:t>
        </w:r>
        <w:r w:rsidRPr="000E5EF9">
          <w:rPr>
            <w:rFonts w:ascii="Times New Roman" w:hAnsi="Times New Roman"/>
            <w:lang w:val="en-US"/>
          </w:rPr>
          <w:t xml:space="preserve"> </w:t>
        </w:r>
        <w:r w:rsidRPr="000E5EF9">
          <w:rPr>
            <w:rFonts w:ascii="Times New Roman" w:hAnsi="Times New Roman"/>
          </w:rPr>
          <w:t>10.1111/j.1467-9515.2008.00616.x/pdf</w:t>
        </w:r>
      </w:hyperlink>
      <w:r w:rsidRPr="000E5EF9">
        <w:rPr>
          <w:rFonts w:ascii="Times New Roman" w:hAnsi="Times New Roman"/>
        </w:rPr>
        <w:t>&gt;.</w:t>
      </w:r>
    </w:p>
    <w:p w:rsidR="004B6FEB" w:rsidRPr="000E5EF9" w:rsidRDefault="004B6FEB" w:rsidP="004B6FEB">
      <w:pPr>
        <w:spacing w:before="100" w:beforeAutospacing="1" w:afterAutospacing="1"/>
        <w:divId w:val="124813279"/>
        <w:rPr>
          <w:rFonts w:ascii="Times New Roman" w:hAnsi="Times New Roman"/>
          <w:lang w:val="en-US"/>
        </w:rPr>
      </w:pPr>
      <w:r w:rsidRPr="000E5EF9">
        <w:rPr>
          <w:rFonts w:ascii="Times New Roman" w:hAnsi="Times New Roman"/>
          <w:lang w:val="bg-BG" w:eastAsia="bg-BG"/>
        </w:rPr>
        <w:t>Manners, I. (2006</w:t>
      </w:r>
      <w:r w:rsidRPr="000E5EF9">
        <w:rPr>
          <w:rFonts w:ascii="Times New Roman" w:hAnsi="Times New Roman"/>
          <w:lang w:val="en-US"/>
        </w:rPr>
        <w:t>a</w:t>
      </w:r>
      <w:r w:rsidRPr="000E5EF9">
        <w:rPr>
          <w:rFonts w:ascii="Times New Roman" w:hAnsi="Times New Roman"/>
          <w:lang w:val="bg-BG" w:eastAsia="bg-BG"/>
        </w:rPr>
        <w:t>) ‘Normative power Europe reconsidered: beyond the crossroads’</w:t>
      </w:r>
      <w:r w:rsidRPr="000E5EF9">
        <w:rPr>
          <w:rFonts w:ascii="Times New Roman" w:hAnsi="Times New Roman"/>
          <w:i/>
          <w:lang w:val="bg-BG" w:eastAsia="bg-BG"/>
        </w:rPr>
        <w:t>, Journal of European Public Policy</w:t>
      </w:r>
      <w:r w:rsidRPr="000E5EF9">
        <w:rPr>
          <w:rFonts w:ascii="Times New Roman" w:hAnsi="Times New Roman"/>
          <w:lang w:val="bg-BG" w:eastAsia="bg-BG"/>
        </w:rPr>
        <w:t xml:space="preserve"> 13(2): 182-199. Taylor &amp; Francis Online database. Accessed 11 June 2012 &lt; http://www.tandfonline.com/doi/abs/10.1080/13501760500451600&gt;</w:t>
      </w:r>
      <w:r w:rsidRPr="000E5EF9">
        <w:rPr>
          <w:rFonts w:ascii="Times New Roman" w:hAnsi="Times New Roman"/>
          <w:lang w:val="en-US"/>
        </w:rPr>
        <w: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 xml:space="preserve">Manners, I. (2006b) ‘The European Union as a Normative Power: A Response to Thomas Diez’, </w:t>
      </w:r>
      <w:r w:rsidRPr="000E5EF9">
        <w:rPr>
          <w:rFonts w:ascii="Times New Roman" w:hAnsi="Times New Roman"/>
          <w:i/>
          <w:lang w:val="en-US"/>
        </w:rPr>
        <w:t>Millennium: Journal of International Studies</w:t>
      </w:r>
      <w:r w:rsidRPr="000E5EF9">
        <w:rPr>
          <w:rFonts w:ascii="Times New Roman" w:hAnsi="Times New Roman"/>
          <w:lang w:val="en-US"/>
        </w:rPr>
        <w:t xml:space="preserve"> 35(1): 167–180. SAGE Journals database. Accessed 1 September 2012 &lt;</w:t>
      </w:r>
      <w:hyperlink r:id="rId19" w:history="1">
        <w:r w:rsidRPr="000E5EF9">
          <w:rPr>
            <w:rFonts w:ascii="Times New Roman" w:hAnsi="Times New Roman"/>
          </w:rPr>
          <w:t>http://mil.sagepub.com/content/35/1/167.full.pdf+html</w:t>
        </w:r>
      </w:hyperlink>
      <w:r w:rsidRPr="000E5EF9">
        <w:rPr>
          <w:rFonts w:ascii="Times New Roman" w:hAnsi="Times New Roman"/>
        </w:rPr>
        <w:t>&gt;.</w:t>
      </w:r>
    </w:p>
    <w:p w:rsidR="004B6FEB" w:rsidRPr="000E5EF9" w:rsidRDefault="004B6FEB" w:rsidP="004B6FEB">
      <w:pPr>
        <w:spacing w:before="100" w:beforeAutospacing="1" w:afterAutospacing="1"/>
        <w:divId w:val="124813279"/>
        <w:rPr>
          <w:rFonts w:ascii="Times New Roman" w:hAnsi="Times New Roman"/>
          <w:lang w:val="en-US"/>
        </w:rPr>
      </w:pPr>
      <w:r w:rsidRPr="000E5EF9">
        <w:rPr>
          <w:rFonts w:ascii="Times New Roman" w:hAnsi="Times New Roman"/>
          <w:lang w:val="bg-BG" w:eastAsia="bg-BG"/>
        </w:rPr>
        <w:t>Manners, I. (2008) ‘The normative ethics of the European Union’</w:t>
      </w:r>
      <w:r w:rsidRPr="000E5EF9">
        <w:rPr>
          <w:rFonts w:ascii="Times New Roman" w:hAnsi="Times New Roman"/>
          <w:i/>
          <w:lang w:val="bg-BG" w:eastAsia="bg-BG"/>
        </w:rPr>
        <w:t>, International Affairs</w:t>
      </w:r>
      <w:r w:rsidRPr="000E5EF9">
        <w:rPr>
          <w:rFonts w:ascii="Times New Roman" w:hAnsi="Times New Roman"/>
          <w:lang w:val="bg-BG" w:eastAsia="bg-BG"/>
        </w:rPr>
        <w:t xml:space="preserve"> 84(1): 45-60. Wiley Online Library database. Accessed 11 June 2012 &lt; http://onlinelibrary.wiley.com/doi/10.1111/j.1468-2346.2008.00688.x/abstract&gt;</w:t>
      </w:r>
      <w:r w:rsidRPr="000E5EF9">
        <w:rPr>
          <w:rFonts w:ascii="Times New Roman" w:hAnsi="Times New Roman"/>
          <w:lang w:val="en-US"/>
        </w:rPr>
        <w: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March, J. G. and J. P. Olsen (2004) ‘The logic of appropriateness’. ARENA Centre for European Studies, University of Oslo. Accessed 1 Se</w:t>
      </w:r>
      <w:r w:rsidRPr="000E5EF9">
        <w:rPr>
          <w:rFonts w:ascii="Times New Roman" w:hAnsi="Times New Roman"/>
          <w:lang w:val="en-US"/>
        </w:rPr>
        <w:t>p</w:t>
      </w:r>
      <w:r w:rsidRPr="000E5EF9">
        <w:rPr>
          <w:rFonts w:ascii="Times New Roman" w:hAnsi="Times New Roman"/>
          <w:lang w:val="en-US"/>
        </w:rPr>
        <w:t>tember 2012 &lt;</w:t>
      </w:r>
      <w:r w:rsidRPr="000E5EF9">
        <w:rPr>
          <w:rFonts w:ascii="Times New Roman" w:hAnsi="Times New Roman"/>
        </w:rPr>
        <w:t>http://www.sv.uio.no/</w:t>
      </w:r>
      <w:r w:rsidRPr="000E5EF9">
        <w:rPr>
          <w:rFonts w:ascii="Times New Roman" w:hAnsi="Times New Roman"/>
          <w:lang w:val="en-US"/>
        </w:rPr>
        <w:t xml:space="preserve"> </w:t>
      </w:r>
      <w:r w:rsidRPr="000E5EF9">
        <w:rPr>
          <w:rFonts w:ascii="Times New Roman" w:hAnsi="Times New Roman"/>
        </w:rPr>
        <w:t>arena/english/research/</w:t>
      </w:r>
      <w:r w:rsidR="00163DB0">
        <w:rPr>
          <w:rFonts w:ascii="Times New Roman" w:hAnsi="Times New Roman"/>
        </w:rPr>
        <w:t xml:space="preserve"> </w:t>
      </w:r>
      <w:r w:rsidRPr="000E5EF9">
        <w:rPr>
          <w:rFonts w:ascii="Times New Roman" w:hAnsi="Times New Roman"/>
        </w:rPr>
        <w:t>public</w:t>
      </w:r>
      <w:r w:rsidRPr="000E5EF9">
        <w:rPr>
          <w:rFonts w:ascii="Times New Roman" w:hAnsi="Times New Roman"/>
        </w:rPr>
        <w:t>a</w:t>
      </w:r>
      <w:r w:rsidRPr="000E5EF9">
        <w:rPr>
          <w:rFonts w:ascii="Times New Roman" w:hAnsi="Times New Roman"/>
        </w:rPr>
        <w:t>tions/arena-publications/workingpapers/working-papers2004/</w:t>
      </w:r>
      <w:r w:rsidRPr="000E5EF9">
        <w:rPr>
          <w:rFonts w:ascii="Times New Roman" w:hAnsi="Times New Roman"/>
          <w:lang w:val="en-US"/>
        </w:rPr>
        <w:t xml:space="preserve"> </w:t>
      </w:r>
      <w:r w:rsidRPr="000E5EF9">
        <w:rPr>
          <w:rFonts w:ascii="Times New Roman" w:hAnsi="Times New Roman"/>
        </w:rPr>
        <w:t>wp04_9.pdf</w:t>
      </w:r>
      <w:r w:rsidRPr="000E5EF9">
        <w:rPr>
          <w:rFonts w:ascii="Times New Roman" w:hAnsi="Times New Roman"/>
          <w:lang w:val="en-US"/>
        </w:rPr>
        <w:t>&gt;.</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 xml:space="preserve">Minkova, M., M. Stefanova, R. Kolarova and D. Dimitrov (2006) ‘Country Report – Bulgaria. Report on the State of Local Democracy in Bulgaria’, in G. Soós (ed.) </w:t>
      </w:r>
      <w:r w:rsidRPr="000E5EF9">
        <w:rPr>
          <w:rFonts w:ascii="Times New Roman" w:hAnsi="Times New Roman"/>
          <w:i/>
          <w:lang w:val="en-US"/>
        </w:rPr>
        <w:t>The State of Local Democracy in Central E</w:t>
      </w:r>
      <w:r w:rsidRPr="000E5EF9">
        <w:rPr>
          <w:rFonts w:ascii="Times New Roman" w:hAnsi="Times New Roman"/>
          <w:i/>
          <w:lang w:val="en-US"/>
        </w:rPr>
        <w:t>u</w:t>
      </w:r>
      <w:r w:rsidRPr="000E5EF9">
        <w:rPr>
          <w:rFonts w:ascii="Times New Roman" w:hAnsi="Times New Roman"/>
          <w:i/>
          <w:lang w:val="en-US"/>
        </w:rPr>
        <w:t>rope</w:t>
      </w:r>
      <w:r w:rsidRPr="000E5EF9">
        <w:rPr>
          <w:rFonts w:ascii="Times New Roman" w:hAnsi="Times New Roman"/>
          <w:lang w:val="en-US"/>
        </w:rPr>
        <w:t xml:space="preserve">, pp. 25–162. Budapest: Local Government and Public Service Reform Initiative, Open Society Institute. </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lastRenderedPageBreak/>
        <w:t xml:space="preserve">Pace, M. (2007) ‘The Construction of EU Normative Power’, </w:t>
      </w:r>
      <w:r w:rsidRPr="000E5EF9">
        <w:rPr>
          <w:rFonts w:ascii="Times New Roman" w:hAnsi="Times New Roman"/>
          <w:i/>
          <w:lang w:val="en-US"/>
        </w:rPr>
        <w:t>Journal of Common Market Studies</w:t>
      </w:r>
      <w:r w:rsidRPr="000E5EF9">
        <w:rPr>
          <w:rFonts w:ascii="Times New Roman" w:hAnsi="Times New Roman"/>
          <w:lang w:val="en-US"/>
        </w:rPr>
        <w:t xml:space="preserve"> 45(5): 1041–1064. WILEY Online Library d</w:t>
      </w:r>
      <w:r w:rsidRPr="000E5EF9">
        <w:rPr>
          <w:rFonts w:ascii="Times New Roman" w:hAnsi="Times New Roman"/>
          <w:lang w:val="en-US"/>
        </w:rPr>
        <w:t>a</w:t>
      </w:r>
      <w:r w:rsidRPr="000E5EF9">
        <w:rPr>
          <w:rFonts w:ascii="Times New Roman" w:hAnsi="Times New Roman"/>
          <w:lang w:val="en-US"/>
        </w:rPr>
        <w:t>tabase. Accessed 1 September 2012 &lt;</w:t>
      </w:r>
      <w:r w:rsidRPr="000E5EF9">
        <w:rPr>
          <w:rFonts w:ascii="Times New Roman" w:hAnsi="Times New Roman"/>
        </w:rPr>
        <w:t>http://onlinelibrary.wiley.com/</w:t>
      </w:r>
      <w:r w:rsidR="00163DB0">
        <w:rPr>
          <w:rFonts w:ascii="Times New Roman" w:hAnsi="Times New Roman"/>
        </w:rPr>
        <w:t xml:space="preserve"> </w:t>
      </w:r>
      <w:r w:rsidRPr="000E5EF9">
        <w:rPr>
          <w:rFonts w:ascii="Times New Roman" w:hAnsi="Times New Roman"/>
        </w:rPr>
        <w:t>doi/10.1111/j.1468-5965.2007.00759.x/abstract</w:t>
      </w:r>
      <w:r w:rsidRPr="000E5EF9">
        <w:rPr>
          <w:rFonts w:ascii="Times New Roman" w:hAnsi="Times New Roman"/>
          <w:lang w:val="en-US"/>
        </w:rPr>
        <w:t>&gt;.</w:t>
      </w:r>
    </w:p>
    <w:p w:rsidR="004B6FEB" w:rsidRPr="000E5EF9" w:rsidRDefault="004B6FEB" w:rsidP="004B6FEB">
      <w:pPr>
        <w:spacing w:before="100" w:beforeAutospacing="1" w:afterAutospacing="1"/>
        <w:divId w:val="124813279"/>
        <w:rPr>
          <w:rFonts w:ascii="Times New Roman" w:hAnsi="Times New Roman"/>
          <w:lang w:eastAsia="bg-BG"/>
        </w:rPr>
      </w:pPr>
      <w:r w:rsidRPr="000E5EF9">
        <w:rPr>
          <w:rFonts w:ascii="Times New Roman" w:hAnsi="Times New Roman"/>
          <w:lang w:eastAsia="bg-BG"/>
        </w:rPr>
        <w:t>Ruggie, J.G. (1998) 'What Makes the World Hang Together? Neo-Utilitarianism and the Social Constructivist Challenge'</w:t>
      </w:r>
      <w:r w:rsidRPr="000E5EF9">
        <w:rPr>
          <w:rFonts w:ascii="Times New Roman" w:hAnsi="Times New Roman"/>
          <w:i/>
          <w:iCs/>
          <w:lang w:eastAsia="bg-BG"/>
        </w:rPr>
        <w:t>, International O</w:t>
      </w:r>
      <w:r w:rsidRPr="000E5EF9">
        <w:rPr>
          <w:rFonts w:ascii="Times New Roman" w:hAnsi="Times New Roman"/>
          <w:i/>
          <w:iCs/>
          <w:lang w:eastAsia="bg-BG"/>
        </w:rPr>
        <w:t>r</w:t>
      </w:r>
      <w:r w:rsidRPr="000E5EF9">
        <w:rPr>
          <w:rFonts w:ascii="Times New Roman" w:hAnsi="Times New Roman"/>
          <w:i/>
          <w:iCs/>
          <w:lang w:eastAsia="bg-BG"/>
        </w:rPr>
        <w:t xml:space="preserve">ganization </w:t>
      </w:r>
      <w:r w:rsidRPr="000E5EF9">
        <w:rPr>
          <w:rFonts w:ascii="Times New Roman" w:hAnsi="Times New Roman"/>
          <w:lang w:eastAsia="bg-BG"/>
        </w:rPr>
        <w:t>52(4): 855-885.</w:t>
      </w:r>
    </w:p>
    <w:p w:rsidR="004B6FEB" w:rsidRPr="000E5EF9" w:rsidRDefault="004B6FEB" w:rsidP="004B6FEB">
      <w:pPr>
        <w:jc w:val="both"/>
        <w:divId w:val="124813279"/>
        <w:rPr>
          <w:rFonts w:ascii="Times New Roman" w:hAnsi="Times New Roman"/>
          <w:lang w:val="en-US"/>
        </w:rPr>
      </w:pPr>
      <w:r w:rsidRPr="000E5EF9">
        <w:rPr>
          <w:rFonts w:ascii="Times New Roman" w:hAnsi="Times New Roman"/>
          <w:lang w:val="en-US"/>
        </w:rPr>
        <w:t>Spendzharova, A. B. and M. A. Vachudova (2012) ‘Catching Up? Co</w:t>
      </w:r>
      <w:r w:rsidRPr="000E5EF9">
        <w:rPr>
          <w:rFonts w:ascii="Times New Roman" w:hAnsi="Times New Roman"/>
          <w:lang w:val="en-US"/>
        </w:rPr>
        <w:t>n</w:t>
      </w:r>
      <w:r w:rsidRPr="000E5EF9">
        <w:rPr>
          <w:rFonts w:ascii="Times New Roman" w:hAnsi="Times New Roman"/>
          <w:lang w:val="en-US"/>
        </w:rPr>
        <w:t>solidating Liberal Democracy in Bulgaria and Romania after EU Acce</w:t>
      </w:r>
      <w:r w:rsidRPr="000E5EF9">
        <w:rPr>
          <w:rFonts w:ascii="Times New Roman" w:hAnsi="Times New Roman"/>
          <w:lang w:val="en-US"/>
        </w:rPr>
        <w:t>s</w:t>
      </w:r>
      <w:r w:rsidRPr="000E5EF9">
        <w:rPr>
          <w:rFonts w:ascii="Times New Roman" w:hAnsi="Times New Roman"/>
          <w:lang w:val="en-US"/>
        </w:rPr>
        <w:t xml:space="preserve">sion’, </w:t>
      </w:r>
      <w:r w:rsidRPr="000E5EF9">
        <w:rPr>
          <w:rFonts w:ascii="Times New Roman" w:hAnsi="Times New Roman"/>
          <w:i/>
          <w:lang w:val="en-US"/>
        </w:rPr>
        <w:t>West European Politics</w:t>
      </w:r>
      <w:r w:rsidRPr="000E5EF9">
        <w:rPr>
          <w:rFonts w:ascii="Times New Roman" w:hAnsi="Times New Roman"/>
          <w:lang w:val="en-US"/>
        </w:rPr>
        <w:t xml:space="preserve"> 35(1): 39–58. Taylor &amp; Francis Online dat</w:t>
      </w:r>
      <w:r w:rsidRPr="000E5EF9">
        <w:rPr>
          <w:rFonts w:ascii="Times New Roman" w:hAnsi="Times New Roman"/>
          <w:lang w:val="en-US"/>
        </w:rPr>
        <w:t>a</w:t>
      </w:r>
      <w:r w:rsidRPr="000E5EF9">
        <w:rPr>
          <w:rFonts w:ascii="Times New Roman" w:hAnsi="Times New Roman"/>
          <w:lang w:val="en-US"/>
        </w:rPr>
        <w:t>base. Accessed 1 September 2012 &lt;</w:t>
      </w:r>
      <w:r w:rsidRPr="000E5EF9">
        <w:rPr>
          <w:rFonts w:ascii="Times New Roman" w:hAnsi="Times New Roman"/>
        </w:rPr>
        <w:t>http://www.tandfonline.com/doi/</w:t>
      </w:r>
      <w:r w:rsidR="00163DB0">
        <w:rPr>
          <w:rFonts w:ascii="Times New Roman" w:hAnsi="Times New Roman"/>
        </w:rPr>
        <w:t xml:space="preserve"> </w:t>
      </w:r>
      <w:r w:rsidRPr="000E5EF9">
        <w:rPr>
          <w:rFonts w:ascii="Times New Roman" w:hAnsi="Times New Roman"/>
        </w:rPr>
        <w:t>pdf/10.1080/01402382.2012.631312</w:t>
      </w:r>
      <w:r w:rsidRPr="000E5EF9">
        <w:rPr>
          <w:rFonts w:ascii="Times New Roman" w:hAnsi="Times New Roman"/>
          <w:lang w:val="en-US"/>
        </w:rPr>
        <w:t>&gt;.</w:t>
      </w:r>
    </w:p>
    <w:p w:rsidR="0073129C" w:rsidRDefault="0073129C" w:rsidP="004B6FEB">
      <w:pPr>
        <w:pStyle w:val="Reference"/>
        <w:divId w:val="124813279"/>
      </w:pPr>
      <w:r>
        <w:t xml:space="preserve"> </w:t>
      </w:r>
    </w:p>
    <w:p w:rsidR="009400BC" w:rsidRPr="00337996" w:rsidRDefault="00CE123C" w:rsidP="0073129C">
      <w:pPr>
        <w:pStyle w:val="Reference"/>
      </w:pPr>
      <w:r>
        <w:fldChar w:fldCharType="end"/>
      </w:r>
    </w:p>
    <w:sectPr w:rsidR="009400BC" w:rsidRPr="00337996" w:rsidSect="008E4247">
      <w:headerReference w:type="even" r:id="rId20"/>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016" w:rsidRPr="00FE124C" w:rsidRDefault="004B2016" w:rsidP="00FE124C">
      <w:pPr>
        <w:pStyle w:val="Footer"/>
        <w:rPr>
          <w:sz w:val="4"/>
          <w:szCs w:val="4"/>
        </w:rPr>
      </w:pPr>
    </w:p>
  </w:endnote>
  <w:endnote w:type="continuationSeparator" w:id="1">
    <w:p w:rsidR="004B2016" w:rsidRPr="00BE1BB7" w:rsidRDefault="004B2016" w:rsidP="00BE1BB7">
      <w:pPr>
        <w:pStyle w:val="Footer"/>
        <w:rPr>
          <w:sz w:val="4"/>
          <w:szCs w:val="4"/>
        </w:rPr>
      </w:pPr>
    </w:p>
    <w:p w:rsidR="004B2016" w:rsidRDefault="004B2016"/>
  </w:endnote>
  <w:endnote w:type="continuationNotice" w:id="2">
    <w:p w:rsidR="004B2016" w:rsidRPr="00BE1BB7" w:rsidRDefault="004B2016">
      <w:pPr>
        <w:rPr>
          <w:sz w:val="4"/>
          <w:szCs w:val="4"/>
        </w:rPr>
      </w:pPr>
    </w:p>
    <w:p w:rsidR="004B2016" w:rsidRDefault="004B201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FEB" w:rsidRPr="008B3247" w:rsidRDefault="00CE123C" w:rsidP="00E2172B">
    <w:pPr>
      <w:pStyle w:val="Footer"/>
      <w:framePr w:wrap="around" w:vAnchor="text" w:hAnchor="margin" w:xAlign="center" w:y="1"/>
      <w:rPr>
        <w:rStyle w:val="PageNumber"/>
      </w:rPr>
    </w:pPr>
    <w:r>
      <w:rPr>
        <w:rStyle w:val="PageNumber"/>
      </w:rPr>
      <w:fldChar w:fldCharType="begin"/>
    </w:r>
    <w:r w:rsidR="004B6FEB">
      <w:rPr>
        <w:rStyle w:val="PageNumber"/>
      </w:rPr>
      <w:instrText xml:space="preserve">PAGE  </w:instrText>
    </w:r>
    <w:r>
      <w:rPr>
        <w:rStyle w:val="PageNumber"/>
      </w:rPr>
      <w:fldChar w:fldCharType="end"/>
    </w:r>
  </w:p>
  <w:p w:rsidR="004B6FEB" w:rsidRPr="008B3247" w:rsidRDefault="004B6FEB" w:rsidP="007A0F8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FEB" w:rsidRDefault="00CE123C" w:rsidP="00E2172B">
    <w:pPr>
      <w:pStyle w:val="Footer"/>
      <w:framePr w:wrap="around" w:vAnchor="text" w:hAnchor="margin" w:xAlign="center" w:y="1"/>
      <w:spacing w:before="60" w:after="0"/>
      <w:ind w:firstLine="0"/>
      <w:jc w:val="center"/>
      <w:rPr>
        <w:rStyle w:val="PageNumber"/>
      </w:rPr>
    </w:pPr>
    <w:r>
      <w:rPr>
        <w:rStyle w:val="PageNumber"/>
      </w:rPr>
      <w:fldChar w:fldCharType="begin"/>
    </w:r>
    <w:r w:rsidR="004B6FEB">
      <w:rPr>
        <w:rStyle w:val="PageNumber"/>
      </w:rPr>
      <w:instrText xml:space="preserve">PAGE  </w:instrText>
    </w:r>
    <w:r>
      <w:rPr>
        <w:rStyle w:val="PageNumber"/>
      </w:rPr>
      <w:fldChar w:fldCharType="separate"/>
    </w:r>
    <w:r w:rsidR="00101FE5">
      <w:rPr>
        <w:rStyle w:val="PageNumber"/>
        <w:noProof/>
      </w:rPr>
      <w:t>4</w:t>
    </w:r>
    <w:r>
      <w:rPr>
        <w:rStyle w:val="PageNumber"/>
      </w:rPr>
      <w:fldChar w:fldCharType="end"/>
    </w:r>
  </w:p>
  <w:p w:rsidR="004B6FEB" w:rsidRPr="008B3247" w:rsidRDefault="004B6FEB" w:rsidP="000908A6">
    <w:pPr>
      <w:pStyle w:val="Footer"/>
      <w:spacing w:before="100"/>
      <w:ind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FEB" w:rsidRDefault="004B6FEB" w:rsidP="00397138">
    <w:pPr>
      <w:pStyle w:val="Footer"/>
      <w:framePr w:wrap="around" w:vAnchor="text" w:hAnchor="margin" w:xAlign="center" w:y="1"/>
      <w:rPr>
        <w:rStyle w:val="PageNumber"/>
      </w:rPr>
    </w:pPr>
  </w:p>
  <w:p w:rsidR="004B6FEB" w:rsidRDefault="004B6F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016" w:rsidRDefault="004B2016" w:rsidP="002F2282">
      <w:pPr>
        <w:spacing w:after="40"/>
        <w:ind w:firstLine="0"/>
      </w:pPr>
      <w:r>
        <w:separator/>
      </w:r>
    </w:p>
  </w:footnote>
  <w:footnote w:type="continuationSeparator" w:id="1">
    <w:p w:rsidR="004B2016" w:rsidRDefault="004B2016" w:rsidP="001F4E93">
      <w:pPr>
        <w:ind w:firstLine="0"/>
      </w:pPr>
      <w:r>
        <w:continuationSeparator/>
      </w:r>
    </w:p>
  </w:footnote>
  <w:footnote w:type="continuationNotice" w:id="2">
    <w:p w:rsidR="004B2016" w:rsidRPr="002F2282" w:rsidRDefault="004B2016" w:rsidP="002F2282">
      <w:pPr>
        <w:pStyle w:val="Footer"/>
        <w:ind w:firstLine="0"/>
        <w:rPr>
          <w:lang w:val="en-US"/>
        </w:rPr>
      </w:pPr>
    </w:p>
  </w:footnote>
  <w:footnote w:id="3">
    <w:p w:rsidR="00087D79" w:rsidRPr="00087D79" w:rsidRDefault="00087D79">
      <w:pPr>
        <w:pStyle w:val="FootnoteText"/>
        <w:rPr>
          <w:lang w:val="en-US"/>
        </w:rPr>
      </w:pPr>
      <w:r>
        <w:rPr>
          <w:rStyle w:val="FootnoteReference"/>
        </w:rPr>
        <w:footnoteRef/>
      </w:r>
      <w:r>
        <w:t xml:space="preserve"> </w:t>
      </w:r>
      <w:r w:rsidR="00101FE5">
        <w:t>T</w:t>
      </w:r>
      <w:r>
        <w:t>he following issues</w:t>
      </w:r>
      <w:r w:rsidRPr="00E74121">
        <w:t xml:space="preserve"> on normative power until the end of th</w:t>
      </w:r>
      <w:r>
        <w:t>e paragraph are taken from M. Pace (2007)</w:t>
      </w:r>
      <w:r w:rsidRPr="00E74121">
        <w:t xml:space="preserve"> unless specified otherwise.</w:t>
      </w:r>
    </w:p>
  </w:footnote>
  <w:footnote w:id="4">
    <w:p w:rsidR="004B6FEB" w:rsidRPr="00524443" w:rsidRDefault="004B6FEB">
      <w:pPr>
        <w:pStyle w:val="FootnoteText"/>
        <w:rPr>
          <w:lang w:val="en-US"/>
        </w:rPr>
      </w:pPr>
      <w:r>
        <w:rPr>
          <w:rStyle w:val="FootnoteReference"/>
        </w:rPr>
        <w:footnoteRef/>
      </w:r>
      <w:r>
        <w:t xml:space="preserve"> </w:t>
      </w:r>
      <w:r w:rsidRPr="00163DB0">
        <w:rPr>
          <w:rFonts w:ascii="Times New Roman" w:hAnsi="Times New Roman"/>
        </w:rPr>
        <w:t>See Kitschelt et al, 1995: 143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FEB" w:rsidRDefault="004B6FEB" w:rsidP="00816D21">
    <w:pPr>
      <w:ind w:firstLine="0"/>
      <w:jc w:val="center"/>
      <w:rPr>
        <w:rFonts w:ascii="Arial" w:hAnsi="Arial" w:cs="Arial"/>
        <w:spacing w:val="4"/>
        <w:w w:val="115"/>
        <w:position w:val="-18"/>
      </w:rPr>
    </w:pPr>
  </w:p>
  <w:p w:rsidR="004B6FEB" w:rsidRDefault="00CE123C" w:rsidP="00816D21">
    <w:pPr>
      <w:ind w:firstLine="0"/>
      <w:jc w:val="center"/>
      <w:rPr>
        <w:rFonts w:ascii="Arial" w:hAnsi="Arial" w:cs="Arial"/>
        <w:spacing w:val="4"/>
        <w:w w:val="115"/>
        <w:position w:val="-18"/>
      </w:rPr>
    </w:pPr>
    <w:r w:rsidRPr="00CE123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Description: a logo ISS-EUR" style="position:absolute;left:0;text-align:left;margin-left:20pt;margin-top:64.05pt;width:291pt;height:110.25pt;z-index:251659264;visibility:visible;mso-position-vertical-relative:page" o:allowoverlap="f">
          <v:imagedata r:id="rId1" o:title="a logo ISS-EUR"/>
          <w10:wrap type="topAndBottom" anchory="page"/>
        </v:shape>
      </w:pict>
    </w:r>
  </w:p>
  <w:p w:rsidR="004B6FEB" w:rsidRDefault="004B6FEB" w:rsidP="00816D21">
    <w:pPr>
      <w:ind w:firstLine="0"/>
      <w:jc w:val="center"/>
      <w:rPr>
        <w:rFonts w:ascii="Arial" w:hAnsi="Arial" w:cs="Arial"/>
        <w:spacing w:val="4"/>
        <w:w w:val="115"/>
        <w:position w:val="-18"/>
      </w:rPr>
    </w:pPr>
  </w:p>
  <w:p w:rsidR="004B6FEB" w:rsidRDefault="004B6FEB" w:rsidP="00816D21">
    <w:pPr>
      <w:ind w:firstLine="0"/>
      <w:jc w:val="center"/>
      <w:rPr>
        <w:rFonts w:ascii="Arial" w:hAnsi="Arial" w:cs="Arial"/>
        <w:spacing w:val="4"/>
        <w:w w:val="115"/>
        <w:position w:val="-18"/>
      </w:rPr>
    </w:pPr>
  </w:p>
  <w:p w:rsidR="004B6FEB" w:rsidRDefault="004B6FEB" w:rsidP="00816D21">
    <w:pPr>
      <w:ind w:firstLine="0"/>
      <w:jc w:val="center"/>
      <w:rPr>
        <w:rFonts w:ascii="Arial" w:hAnsi="Arial" w:cs="Arial"/>
        <w:spacing w:val="4"/>
        <w:w w:val="115"/>
        <w:position w:val="-18"/>
      </w:rPr>
    </w:pPr>
  </w:p>
  <w:p w:rsidR="004B6FEB" w:rsidRDefault="004B6FEB" w:rsidP="00816D21">
    <w:pPr>
      <w:ind w:firstLine="0"/>
      <w:jc w:val="center"/>
      <w:rPr>
        <w:rFonts w:ascii="Arial" w:hAnsi="Arial" w:cs="Arial"/>
        <w:spacing w:val="4"/>
        <w:w w:val="115"/>
        <w:position w:val="-18"/>
      </w:rPr>
    </w:pPr>
  </w:p>
  <w:p w:rsidR="004B6FEB" w:rsidRDefault="004B6FEB" w:rsidP="00816D21">
    <w:pPr>
      <w:ind w:firstLine="0"/>
      <w:jc w:val="center"/>
      <w:rPr>
        <w:rFonts w:ascii="Arial" w:hAnsi="Arial" w:cs="Arial"/>
        <w:spacing w:val="4"/>
        <w:w w:val="115"/>
        <w:position w:val="-18"/>
      </w:rPr>
    </w:pPr>
  </w:p>
  <w:p w:rsidR="004B6FEB" w:rsidRDefault="004B6FEB" w:rsidP="00816D21">
    <w:pPr>
      <w:ind w:firstLine="0"/>
      <w:jc w:val="center"/>
      <w:rPr>
        <w:rFonts w:ascii="Arial" w:hAnsi="Arial" w:cs="Arial"/>
        <w:spacing w:val="4"/>
        <w:w w:val="115"/>
        <w:position w:val="-18"/>
      </w:rPr>
    </w:pPr>
  </w:p>
  <w:p w:rsidR="004B6FEB" w:rsidRDefault="004B6FEB">
    <w:pPr>
      <w:pStyle w:val="Header"/>
    </w:pPr>
  </w:p>
  <w:p w:rsidR="004B6FEB" w:rsidRDefault="004B6F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FEB" w:rsidRDefault="004B6FE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661E96"/>
    <w:lvl w:ilvl="0">
      <w:start w:val="1"/>
      <w:numFmt w:val="decimal"/>
      <w:lvlText w:val="%1."/>
      <w:lvlJc w:val="left"/>
      <w:pPr>
        <w:tabs>
          <w:tab w:val="num" w:pos="1492"/>
        </w:tabs>
        <w:ind w:left="1492" w:hanging="360"/>
      </w:pPr>
    </w:lvl>
  </w:abstractNum>
  <w:abstractNum w:abstractNumId="1">
    <w:nsid w:val="FFFFFF7D"/>
    <w:multiLevelType w:val="singleLevel"/>
    <w:tmpl w:val="37505266"/>
    <w:lvl w:ilvl="0">
      <w:start w:val="1"/>
      <w:numFmt w:val="decimal"/>
      <w:lvlText w:val="%1."/>
      <w:lvlJc w:val="left"/>
      <w:pPr>
        <w:tabs>
          <w:tab w:val="num" w:pos="1209"/>
        </w:tabs>
        <w:ind w:left="1209" w:hanging="360"/>
      </w:pPr>
    </w:lvl>
  </w:abstractNum>
  <w:abstractNum w:abstractNumId="2">
    <w:nsid w:val="FFFFFF7E"/>
    <w:multiLevelType w:val="singleLevel"/>
    <w:tmpl w:val="59C2C8AE"/>
    <w:lvl w:ilvl="0">
      <w:start w:val="1"/>
      <w:numFmt w:val="decimal"/>
      <w:lvlText w:val="%1."/>
      <w:lvlJc w:val="left"/>
      <w:pPr>
        <w:tabs>
          <w:tab w:val="num" w:pos="926"/>
        </w:tabs>
        <w:ind w:left="926" w:hanging="360"/>
      </w:pPr>
    </w:lvl>
  </w:abstractNum>
  <w:abstractNum w:abstractNumId="3">
    <w:nsid w:val="FFFFFF7F"/>
    <w:multiLevelType w:val="singleLevel"/>
    <w:tmpl w:val="6ACEBBE4"/>
    <w:lvl w:ilvl="0">
      <w:start w:val="1"/>
      <w:numFmt w:val="decimal"/>
      <w:lvlText w:val="%1."/>
      <w:lvlJc w:val="left"/>
      <w:pPr>
        <w:tabs>
          <w:tab w:val="num" w:pos="643"/>
        </w:tabs>
        <w:ind w:left="643" w:hanging="360"/>
      </w:pPr>
    </w:lvl>
  </w:abstractNum>
  <w:abstractNum w:abstractNumId="4">
    <w:nsid w:val="FFFFFF80"/>
    <w:multiLevelType w:val="singleLevel"/>
    <w:tmpl w:val="F428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38CC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4663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AF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AEB64"/>
    <w:lvl w:ilvl="0">
      <w:start w:val="1"/>
      <w:numFmt w:val="decimal"/>
      <w:lvlText w:val="%1."/>
      <w:lvlJc w:val="left"/>
      <w:pPr>
        <w:tabs>
          <w:tab w:val="num" w:pos="360"/>
        </w:tabs>
        <w:ind w:left="360" w:hanging="360"/>
      </w:pPr>
    </w:lvl>
  </w:abstractNum>
  <w:abstractNum w:abstractNumId="9">
    <w:nsid w:val="FFFFFF89"/>
    <w:multiLevelType w:val="singleLevel"/>
    <w:tmpl w:val="6D82B518"/>
    <w:lvl w:ilvl="0">
      <w:start w:val="1"/>
      <w:numFmt w:val="bullet"/>
      <w:lvlText w:val=""/>
      <w:lvlJc w:val="left"/>
      <w:pPr>
        <w:tabs>
          <w:tab w:val="num" w:pos="360"/>
        </w:tabs>
        <w:ind w:left="0" w:firstLine="0"/>
      </w:pPr>
      <w:rPr>
        <w:rFonts w:ascii="Symbol" w:hAnsi="Symbol" w:hint="default"/>
        <w:sz w:val="16"/>
      </w:rPr>
    </w:lvl>
  </w:abstractNum>
  <w:abstractNum w:abstractNumId="10">
    <w:nsid w:val="FFFFFFFE"/>
    <w:multiLevelType w:val="singleLevel"/>
    <w:tmpl w:val="B8C4CA6A"/>
    <w:lvl w:ilvl="0">
      <w:numFmt w:val="bullet"/>
      <w:lvlText w:val="*"/>
      <w:lvlJc w:val="left"/>
    </w:lvl>
  </w:abstractNum>
  <w:abstractNum w:abstractNumId="11">
    <w:nsid w:val="016124AA"/>
    <w:multiLevelType w:val="multilevel"/>
    <w:tmpl w:val="42529E9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nsid w:val="04957948"/>
    <w:multiLevelType w:val="multilevel"/>
    <w:tmpl w:val="210054F2"/>
    <w:lvl w:ilvl="0">
      <w:start w:val="1"/>
      <w:numFmt w:val="decimal"/>
      <w:lvlText w:val="%1"/>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1.%3.%2"/>
      <w:lvlJc w:val="left"/>
      <w:pPr>
        <w:tabs>
          <w:tab w:val="num" w:pos="2160"/>
        </w:tabs>
        <w:ind w:left="1224" w:hanging="50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BB3C4C"/>
    <w:multiLevelType w:val="multilevel"/>
    <w:tmpl w:val="315AC07A"/>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nsid w:val="1576749B"/>
    <w:multiLevelType w:val="multilevel"/>
    <w:tmpl w:val="6016C480"/>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17250F75"/>
    <w:multiLevelType w:val="multilevel"/>
    <w:tmpl w:val="6A80274C"/>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nsid w:val="1BD452C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221C4A2E"/>
    <w:multiLevelType w:val="multilevel"/>
    <w:tmpl w:val="46FCA67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4702283"/>
    <w:multiLevelType w:val="hybridMultilevel"/>
    <w:tmpl w:val="EC702B1A"/>
    <w:lvl w:ilvl="0" w:tplc="DA98A982">
      <w:start w:val="1"/>
      <w:numFmt w:val="bullet"/>
      <w:lvlText w:val=""/>
      <w:lvlJc w:val="left"/>
      <w:pPr>
        <w:tabs>
          <w:tab w:val="num" w:pos="720"/>
        </w:tabs>
        <w:ind w:left="720" w:hanging="720"/>
      </w:pPr>
      <w:rPr>
        <w:rFonts w:ascii="Wingdings" w:hAnsi="Wingdings" w:hint="default"/>
      </w:rPr>
    </w:lvl>
    <w:lvl w:ilvl="1" w:tplc="DEEC8146">
      <w:start w:val="1"/>
      <w:numFmt w:val="bullet"/>
      <w:lvlText w:val=""/>
      <w:lvlJc w:val="left"/>
      <w:pPr>
        <w:tabs>
          <w:tab w:val="num" w:pos="360"/>
        </w:tabs>
        <w:ind w:left="360" w:hanging="360"/>
      </w:pPr>
      <w:rPr>
        <w:rFonts w:ascii="Wingdings" w:hAnsi="Wingdings"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57F328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2">
    <w:nsid w:val="29E45CD6"/>
    <w:multiLevelType w:val="multilevel"/>
    <w:tmpl w:val="C6986BD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794"/>
        </w:tabs>
        <w:ind w:left="792" w:hanging="792"/>
      </w:pPr>
      <w:rPr>
        <w:rFonts w:hint="default"/>
      </w:rPr>
    </w:lvl>
    <w:lvl w:ilvl="2">
      <w:start w:val="1"/>
      <w:numFmt w:val="decimal"/>
      <w:lvlText w:val="%1.%3.%2"/>
      <w:lvlJc w:val="left"/>
      <w:pPr>
        <w:tabs>
          <w:tab w:val="num" w:pos="794"/>
        </w:tabs>
        <w:ind w:left="794" w:hanging="79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nsid w:val="31902538"/>
    <w:multiLevelType w:val="multilevel"/>
    <w:tmpl w:val="733AE1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AA472A5"/>
    <w:multiLevelType w:val="multilevel"/>
    <w:tmpl w:val="32A2CFE0"/>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5">
    <w:nsid w:val="3AE5351B"/>
    <w:multiLevelType w:val="multilevel"/>
    <w:tmpl w:val="3C84165C"/>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6">
    <w:nsid w:val="3C0253CE"/>
    <w:multiLevelType w:val="hybridMultilevel"/>
    <w:tmpl w:val="D230178C"/>
    <w:lvl w:ilvl="0" w:tplc="FFFFFFFF">
      <w:numFmt w:val="bullet"/>
      <w:lvlText w:val="-"/>
      <w:lvlJc w:val="left"/>
      <w:pPr>
        <w:tabs>
          <w:tab w:val="num" w:pos="360"/>
        </w:tabs>
        <w:ind w:left="360" w:hanging="360"/>
      </w:pPr>
      <w:rPr>
        <w:rFonts w:ascii="Garamond" w:eastAsia="SimSun" w:hAnsi="Garamond" w:cs="Comic Sans M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53D25610"/>
    <w:multiLevelType w:val="multilevel"/>
    <w:tmpl w:val="C270F2D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8">
    <w:nsid w:val="54E759E0"/>
    <w:multiLevelType w:val="multilevel"/>
    <w:tmpl w:val="28A6D926"/>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6D37A35"/>
    <w:multiLevelType w:val="multilevel"/>
    <w:tmpl w:val="A572916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1">
    <w:nsid w:val="6DC55BB0"/>
    <w:multiLevelType w:val="multilevel"/>
    <w:tmpl w:val="7C30B044"/>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2">
    <w:nsid w:val="702E6A86"/>
    <w:multiLevelType w:val="multilevel"/>
    <w:tmpl w:val="AEC654D4"/>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9"/>
  </w:num>
  <w:num w:numId="2">
    <w:abstractNumId w:val="29"/>
  </w:num>
  <w:num w:numId="3">
    <w:abstractNumId w:val="2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2"/>
  </w:num>
  <w:num w:numId="16">
    <w:abstractNumId w:val="25"/>
  </w:num>
  <w:num w:numId="17">
    <w:abstractNumId w:val="24"/>
  </w:num>
  <w:num w:numId="18">
    <w:abstractNumId w:val="22"/>
  </w:num>
  <w:num w:numId="19">
    <w:abstractNumId w:val="32"/>
  </w:num>
  <w:num w:numId="20">
    <w:abstractNumId w:val="30"/>
  </w:num>
  <w:num w:numId="21">
    <w:abstractNumId w:val="14"/>
  </w:num>
  <w:num w:numId="22">
    <w:abstractNumId w:val="27"/>
  </w:num>
  <w:num w:numId="23">
    <w:abstractNumId w:val="17"/>
  </w:num>
  <w:num w:numId="24">
    <w:abstractNumId w:val="16"/>
  </w:num>
  <w:num w:numId="25">
    <w:abstractNumId w:val="11"/>
  </w:num>
  <w:num w:numId="26">
    <w:abstractNumId w:val="31"/>
  </w:num>
  <w:num w:numId="27">
    <w:abstractNumId w:val="19"/>
  </w:num>
  <w:num w:numId="28">
    <w:abstractNumId w:val="23"/>
  </w:num>
  <w:num w:numId="29">
    <w:abstractNumId w:val="18"/>
  </w:num>
  <w:num w:numId="30">
    <w:abstractNumId w:val="21"/>
  </w:num>
  <w:num w:numId="31">
    <w:abstractNumId w:val="10"/>
    <w:lvlOverride w:ilvl="0">
      <w:lvl w:ilvl="0">
        <w:numFmt w:val="bullet"/>
        <w:lvlText w:val="-"/>
        <w:legacy w:legacy="1" w:legacySpace="0" w:legacyIndent="0"/>
        <w:lvlJc w:val="left"/>
        <w:rPr>
          <w:rFonts w:ascii="Times New Roman" w:hAnsi="Times New Roman" w:cs="Times New Roman" w:hint="default"/>
          <w:sz w:val="24"/>
        </w:rPr>
      </w:lvl>
    </w:lvlOverride>
  </w:num>
  <w:num w:numId="32">
    <w:abstractNumId w:val="26"/>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ttachedTemplate r:id="rId1"/>
  <w:stylePaneFormatFilter w:val="3001"/>
  <w:doNotTrackMoves/>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14338"/>
    <o:shapelayout v:ext="edit">
      <o:idmap v:ext="edit" data="2"/>
    </o:shapelayout>
  </w:hdrShapeDefaults>
  <w:footnotePr>
    <w:footnote w:id="0"/>
    <w:footnote w:id="1"/>
    <w:footnote w:id="2"/>
  </w:footnotePr>
  <w:endnotePr>
    <w:pos w:val="sectEnd"/>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25BD"/>
    <w:rsid w:val="00005182"/>
    <w:rsid w:val="00007BFD"/>
    <w:rsid w:val="0001431E"/>
    <w:rsid w:val="00027476"/>
    <w:rsid w:val="00037DC4"/>
    <w:rsid w:val="00043460"/>
    <w:rsid w:val="00043966"/>
    <w:rsid w:val="0004709A"/>
    <w:rsid w:val="000609D2"/>
    <w:rsid w:val="00064F38"/>
    <w:rsid w:val="00065912"/>
    <w:rsid w:val="00086725"/>
    <w:rsid w:val="00087D79"/>
    <w:rsid w:val="000908A6"/>
    <w:rsid w:val="00094F84"/>
    <w:rsid w:val="000B4D31"/>
    <w:rsid w:val="000B5B24"/>
    <w:rsid w:val="000B6EA9"/>
    <w:rsid w:val="000D0496"/>
    <w:rsid w:val="000D41F1"/>
    <w:rsid w:val="000D6B85"/>
    <w:rsid w:val="000E032C"/>
    <w:rsid w:val="000E22B3"/>
    <w:rsid w:val="000E7B60"/>
    <w:rsid w:val="000F1169"/>
    <w:rsid w:val="000F41AC"/>
    <w:rsid w:val="000F5712"/>
    <w:rsid w:val="00101FE5"/>
    <w:rsid w:val="00102A74"/>
    <w:rsid w:val="0011458E"/>
    <w:rsid w:val="00122057"/>
    <w:rsid w:val="0012372C"/>
    <w:rsid w:val="0012674D"/>
    <w:rsid w:val="00143653"/>
    <w:rsid w:val="00146235"/>
    <w:rsid w:val="00147FEB"/>
    <w:rsid w:val="00153F3D"/>
    <w:rsid w:val="0015775E"/>
    <w:rsid w:val="00163DB0"/>
    <w:rsid w:val="00166C6C"/>
    <w:rsid w:val="00171E9C"/>
    <w:rsid w:val="001A44F6"/>
    <w:rsid w:val="001C067F"/>
    <w:rsid w:val="001D24EA"/>
    <w:rsid w:val="001D33B7"/>
    <w:rsid w:val="001E69F0"/>
    <w:rsid w:val="001E7C70"/>
    <w:rsid w:val="001F4E93"/>
    <w:rsid w:val="00200EF8"/>
    <w:rsid w:val="0020660A"/>
    <w:rsid w:val="00207ECA"/>
    <w:rsid w:val="002144D0"/>
    <w:rsid w:val="0023127A"/>
    <w:rsid w:val="00233B8B"/>
    <w:rsid w:val="00233EB3"/>
    <w:rsid w:val="0023495D"/>
    <w:rsid w:val="00265402"/>
    <w:rsid w:val="00270720"/>
    <w:rsid w:val="00271D8F"/>
    <w:rsid w:val="00283D5B"/>
    <w:rsid w:val="00286289"/>
    <w:rsid w:val="00292C08"/>
    <w:rsid w:val="00296AFD"/>
    <w:rsid w:val="00296DB4"/>
    <w:rsid w:val="002A086E"/>
    <w:rsid w:val="002B0EEB"/>
    <w:rsid w:val="002C16D6"/>
    <w:rsid w:val="002C567F"/>
    <w:rsid w:val="002D422F"/>
    <w:rsid w:val="002E7887"/>
    <w:rsid w:val="002F2282"/>
    <w:rsid w:val="00300A45"/>
    <w:rsid w:val="00306226"/>
    <w:rsid w:val="00310974"/>
    <w:rsid w:val="0031340A"/>
    <w:rsid w:val="00316EDA"/>
    <w:rsid w:val="00324D2C"/>
    <w:rsid w:val="003349F0"/>
    <w:rsid w:val="00337996"/>
    <w:rsid w:val="00342CCE"/>
    <w:rsid w:val="0034641C"/>
    <w:rsid w:val="00350809"/>
    <w:rsid w:val="00352EEA"/>
    <w:rsid w:val="003573A3"/>
    <w:rsid w:val="003612FB"/>
    <w:rsid w:val="00366D5C"/>
    <w:rsid w:val="00372562"/>
    <w:rsid w:val="003729D7"/>
    <w:rsid w:val="003779B9"/>
    <w:rsid w:val="003844D8"/>
    <w:rsid w:val="00384C8D"/>
    <w:rsid w:val="00397138"/>
    <w:rsid w:val="003A4AF0"/>
    <w:rsid w:val="003B088D"/>
    <w:rsid w:val="003B573C"/>
    <w:rsid w:val="003B7F31"/>
    <w:rsid w:val="003C5000"/>
    <w:rsid w:val="003D75BB"/>
    <w:rsid w:val="003E662C"/>
    <w:rsid w:val="0040337E"/>
    <w:rsid w:val="00405300"/>
    <w:rsid w:val="0042002B"/>
    <w:rsid w:val="00431E85"/>
    <w:rsid w:val="004361DD"/>
    <w:rsid w:val="004433AA"/>
    <w:rsid w:val="0045073E"/>
    <w:rsid w:val="004578DF"/>
    <w:rsid w:val="00462B7C"/>
    <w:rsid w:val="0046711B"/>
    <w:rsid w:val="004745AA"/>
    <w:rsid w:val="00483839"/>
    <w:rsid w:val="00485392"/>
    <w:rsid w:val="00492B00"/>
    <w:rsid w:val="004A1BFD"/>
    <w:rsid w:val="004A2687"/>
    <w:rsid w:val="004A71A0"/>
    <w:rsid w:val="004B2016"/>
    <w:rsid w:val="004B35BA"/>
    <w:rsid w:val="004B6FEB"/>
    <w:rsid w:val="004C6B1A"/>
    <w:rsid w:val="004D7517"/>
    <w:rsid w:val="004E256C"/>
    <w:rsid w:val="004E3DED"/>
    <w:rsid w:val="004E5403"/>
    <w:rsid w:val="00512EE2"/>
    <w:rsid w:val="005151A2"/>
    <w:rsid w:val="00524443"/>
    <w:rsid w:val="005262FF"/>
    <w:rsid w:val="00532F55"/>
    <w:rsid w:val="00534AF8"/>
    <w:rsid w:val="005551AB"/>
    <w:rsid w:val="00561A39"/>
    <w:rsid w:val="0056409F"/>
    <w:rsid w:val="00564170"/>
    <w:rsid w:val="00564CA8"/>
    <w:rsid w:val="00565659"/>
    <w:rsid w:val="00590B38"/>
    <w:rsid w:val="00592CCA"/>
    <w:rsid w:val="005B4B6F"/>
    <w:rsid w:val="005D5D74"/>
    <w:rsid w:val="005E0690"/>
    <w:rsid w:val="005E0EBD"/>
    <w:rsid w:val="005F09DD"/>
    <w:rsid w:val="005F70C7"/>
    <w:rsid w:val="00605CFD"/>
    <w:rsid w:val="00617676"/>
    <w:rsid w:val="00623844"/>
    <w:rsid w:val="00624AD1"/>
    <w:rsid w:val="00636BF7"/>
    <w:rsid w:val="0064711B"/>
    <w:rsid w:val="006641A2"/>
    <w:rsid w:val="006669A3"/>
    <w:rsid w:val="00672BA4"/>
    <w:rsid w:val="006756B3"/>
    <w:rsid w:val="00683498"/>
    <w:rsid w:val="00687605"/>
    <w:rsid w:val="00695E33"/>
    <w:rsid w:val="006A0580"/>
    <w:rsid w:val="006A38CA"/>
    <w:rsid w:val="006B0335"/>
    <w:rsid w:val="006C65AA"/>
    <w:rsid w:val="006E6E72"/>
    <w:rsid w:val="007046B3"/>
    <w:rsid w:val="007048C7"/>
    <w:rsid w:val="007124D0"/>
    <w:rsid w:val="007232F7"/>
    <w:rsid w:val="007233AB"/>
    <w:rsid w:val="007269A8"/>
    <w:rsid w:val="0073129C"/>
    <w:rsid w:val="007341B9"/>
    <w:rsid w:val="007364E6"/>
    <w:rsid w:val="00737946"/>
    <w:rsid w:val="00744F1D"/>
    <w:rsid w:val="00746BB7"/>
    <w:rsid w:val="0075048D"/>
    <w:rsid w:val="0076061A"/>
    <w:rsid w:val="007705FC"/>
    <w:rsid w:val="007809ED"/>
    <w:rsid w:val="00786825"/>
    <w:rsid w:val="00794093"/>
    <w:rsid w:val="007A0F82"/>
    <w:rsid w:val="007A48F7"/>
    <w:rsid w:val="007B0DDE"/>
    <w:rsid w:val="007B7540"/>
    <w:rsid w:val="007B7F3E"/>
    <w:rsid w:val="007D4AE3"/>
    <w:rsid w:val="007D4DD9"/>
    <w:rsid w:val="007E3B4D"/>
    <w:rsid w:val="007F5496"/>
    <w:rsid w:val="00801FB7"/>
    <w:rsid w:val="008028C1"/>
    <w:rsid w:val="00816D21"/>
    <w:rsid w:val="00817659"/>
    <w:rsid w:val="008276F0"/>
    <w:rsid w:val="00843396"/>
    <w:rsid w:val="00854B8C"/>
    <w:rsid w:val="00855D91"/>
    <w:rsid w:val="00860649"/>
    <w:rsid w:val="00862E3E"/>
    <w:rsid w:val="008644CA"/>
    <w:rsid w:val="00871543"/>
    <w:rsid w:val="008838D2"/>
    <w:rsid w:val="008A5637"/>
    <w:rsid w:val="008B3247"/>
    <w:rsid w:val="008B6697"/>
    <w:rsid w:val="008E050F"/>
    <w:rsid w:val="008E4247"/>
    <w:rsid w:val="008E57AA"/>
    <w:rsid w:val="008F0C91"/>
    <w:rsid w:val="008F5EE4"/>
    <w:rsid w:val="008F6159"/>
    <w:rsid w:val="008F723B"/>
    <w:rsid w:val="00904ACD"/>
    <w:rsid w:val="00922BB4"/>
    <w:rsid w:val="009400BC"/>
    <w:rsid w:val="009425BD"/>
    <w:rsid w:val="0095707F"/>
    <w:rsid w:val="009601FF"/>
    <w:rsid w:val="0097352B"/>
    <w:rsid w:val="00973906"/>
    <w:rsid w:val="00976BE6"/>
    <w:rsid w:val="00981142"/>
    <w:rsid w:val="0098125C"/>
    <w:rsid w:val="0098782E"/>
    <w:rsid w:val="00994D3F"/>
    <w:rsid w:val="009C03EA"/>
    <w:rsid w:val="009C2229"/>
    <w:rsid w:val="009C3D05"/>
    <w:rsid w:val="009D275D"/>
    <w:rsid w:val="009D434A"/>
    <w:rsid w:val="009E2D6A"/>
    <w:rsid w:val="009E7930"/>
    <w:rsid w:val="009F0B29"/>
    <w:rsid w:val="009F539B"/>
    <w:rsid w:val="009F69B7"/>
    <w:rsid w:val="009F7698"/>
    <w:rsid w:val="00A23697"/>
    <w:rsid w:val="00A37796"/>
    <w:rsid w:val="00A40C0C"/>
    <w:rsid w:val="00A41F75"/>
    <w:rsid w:val="00A50C0A"/>
    <w:rsid w:val="00A51003"/>
    <w:rsid w:val="00A567C6"/>
    <w:rsid w:val="00A67F7E"/>
    <w:rsid w:val="00A83549"/>
    <w:rsid w:val="00A84D5E"/>
    <w:rsid w:val="00A87416"/>
    <w:rsid w:val="00A95C18"/>
    <w:rsid w:val="00AA6E08"/>
    <w:rsid w:val="00AB3A30"/>
    <w:rsid w:val="00AC62B3"/>
    <w:rsid w:val="00AD73C6"/>
    <w:rsid w:val="00AE039E"/>
    <w:rsid w:val="00AE493C"/>
    <w:rsid w:val="00AF1CBD"/>
    <w:rsid w:val="00AF76F6"/>
    <w:rsid w:val="00B01844"/>
    <w:rsid w:val="00B04664"/>
    <w:rsid w:val="00B11F79"/>
    <w:rsid w:val="00B13341"/>
    <w:rsid w:val="00B20AE4"/>
    <w:rsid w:val="00B2181E"/>
    <w:rsid w:val="00B23ED0"/>
    <w:rsid w:val="00B4246B"/>
    <w:rsid w:val="00B42D37"/>
    <w:rsid w:val="00B6449E"/>
    <w:rsid w:val="00B64CDC"/>
    <w:rsid w:val="00B8146E"/>
    <w:rsid w:val="00B82B10"/>
    <w:rsid w:val="00BC7C7D"/>
    <w:rsid w:val="00BD7E07"/>
    <w:rsid w:val="00BE1BB7"/>
    <w:rsid w:val="00BF5C6C"/>
    <w:rsid w:val="00C03E05"/>
    <w:rsid w:val="00C114E5"/>
    <w:rsid w:val="00C20D50"/>
    <w:rsid w:val="00C520E4"/>
    <w:rsid w:val="00C91436"/>
    <w:rsid w:val="00CA0105"/>
    <w:rsid w:val="00CD1614"/>
    <w:rsid w:val="00CD2B87"/>
    <w:rsid w:val="00CE123C"/>
    <w:rsid w:val="00D04FDF"/>
    <w:rsid w:val="00D20B0C"/>
    <w:rsid w:val="00D212BE"/>
    <w:rsid w:val="00D22EA6"/>
    <w:rsid w:val="00D27CD8"/>
    <w:rsid w:val="00D34CE3"/>
    <w:rsid w:val="00D37B22"/>
    <w:rsid w:val="00D461B6"/>
    <w:rsid w:val="00D87576"/>
    <w:rsid w:val="00D92F12"/>
    <w:rsid w:val="00DA67AB"/>
    <w:rsid w:val="00DB77E8"/>
    <w:rsid w:val="00DC114A"/>
    <w:rsid w:val="00DC410A"/>
    <w:rsid w:val="00DC5B49"/>
    <w:rsid w:val="00DD0687"/>
    <w:rsid w:val="00DD42B2"/>
    <w:rsid w:val="00DE51EA"/>
    <w:rsid w:val="00DE6BDD"/>
    <w:rsid w:val="00DF3A75"/>
    <w:rsid w:val="00DF3D0E"/>
    <w:rsid w:val="00E039EB"/>
    <w:rsid w:val="00E050A5"/>
    <w:rsid w:val="00E12742"/>
    <w:rsid w:val="00E12CC0"/>
    <w:rsid w:val="00E2172B"/>
    <w:rsid w:val="00E22DF1"/>
    <w:rsid w:val="00E26879"/>
    <w:rsid w:val="00E346B7"/>
    <w:rsid w:val="00E5231B"/>
    <w:rsid w:val="00E54DBF"/>
    <w:rsid w:val="00E5510C"/>
    <w:rsid w:val="00E67758"/>
    <w:rsid w:val="00E70315"/>
    <w:rsid w:val="00E83518"/>
    <w:rsid w:val="00E84068"/>
    <w:rsid w:val="00E93357"/>
    <w:rsid w:val="00EA3A2D"/>
    <w:rsid w:val="00EA6350"/>
    <w:rsid w:val="00EB1441"/>
    <w:rsid w:val="00EB5ECC"/>
    <w:rsid w:val="00EC588C"/>
    <w:rsid w:val="00EE5AA0"/>
    <w:rsid w:val="00F072BC"/>
    <w:rsid w:val="00F22058"/>
    <w:rsid w:val="00F2746A"/>
    <w:rsid w:val="00F30656"/>
    <w:rsid w:val="00F37C89"/>
    <w:rsid w:val="00F42DAA"/>
    <w:rsid w:val="00F43604"/>
    <w:rsid w:val="00F4360E"/>
    <w:rsid w:val="00F51F05"/>
    <w:rsid w:val="00F54EF0"/>
    <w:rsid w:val="00F756EE"/>
    <w:rsid w:val="00F873FB"/>
    <w:rsid w:val="00F944B9"/>
    <w:rsid w:val="00F94DE6"/>
    <w:rsid w:val="00FA248F"/>
    <w:rsid w:val="00FA4460"/>
    <w:rsid w:val="00FB12AB"/>
    <w:rsid w:val="00FB1A15"/>
    <w:rsid w:val="00FB2E75"/>
    <w:rsid w:val="00FB3FC5"/>
    <w:rsid w:val="00FC3314"/>
    <w:rsid w:val="00FD3257"/>
    <w:rsid w:val="00FD5B62"/>
    <w:rsid w:val="00FE124C"/>
    <w:rsid w:val="00FE624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header" w:uiPriority="99"/>
    <w:lsdException w:name="table of figures"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rPr>
  </w:style>
  <w:style w:type="paragraph" w:styleId="Heading1">
    <w:name w:val="heading 1"/>
    <w:aliases w:val="Chapter title"/>
    <w:next w:val="Normalfirstparagraph"/>
    <w:link w:val="Heading1Char"/>
    <w:qFormat/>
    <w:rsid w:val="001F4E93"/>
    <w:pPr>
      <w:keepNext/>
      <w:pageBreakBefore/>
      <w:numPr>
        <w:numId w:val="3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numPr>
        <w:ilvl w:val="1"/>
        <w:numId w:val="33"/>
      </w:numPr>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233EB3"/>
    <w:pPr>
      <w:keepNext/>
      <w:numPr>
        <w:ilvl w:val="2"/>
        <w:numId w:val="3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3729D7"/>
    <w:pPr>
      <w:keepNext/>
      <w:numPr>
        <w:ilvl w:val="4"/>
        <w:numId w:val="33"/>
      </w:numPr>
      <w:outlineLvl w:val="4"/>
    </w:pPr>
  </w:style>
  <w:style w:type="paragraph" w:styleId="Heading6">
    <w:name w:val="heading 6"/>
    <w:basedOn w:val="Normal"/>
    <w:next w:val="Normal"/>
    <w:rsid w:val="00B4246B"/>
    <w:pPr>
      <w:keepNext/>
      <w:numPr>
        <w:ilvl w:val="5"/>
        <w:numId w:val="33"/>
      </w:numPr>
      <w:outlineLvl w:val="5"/>
    </w:pPr>
  </w:style>
  <w:style w:type="paragraph" w:styleId="Heading7">
    <w:name w:val="heading 7"/>
    <w:basedOn w:val="Normal"/>
    <w:next w:val="Normal"/>
    <w:rsid w:val="00B4246B"/>
    <w:pPr>
      <w:keepNext/>
      <w:numPr>
        <w:ilvl w:val="6"/>
        <w:numId w:val="33"/>
      </w:numPr>
      <w:outlineLvl w:val="6"/>
    </w:pPr>
  </w:style>
  <w:style w:type="paragraph" w:styleId="Heading8">
    <w:name w:val="heading 8"/>
    <w:basedOn w:val="Normal"/>
    <w:next w:val="Normal"/>
    <w:rsid w:val="00B4246B"/>
    <w:pPr>
      <w:keepNext/>
      <w:numPr>
        <w:ilvl w:val="7"/>
        <w:numId w:val="33"/>
      </w:numPr>
      <w:outlineLvl w:val="7"/>
    </w:pPr>
  </w:style>
  <w:style w:type="paragraph" w:styleId="Heading9">
    <w:name w:val="heading 9"/>
    <w:basedOn w:val="Normal"/>
    <w:next w:val="Normal"/>
    <w:rsid w:val="00B4246B"/>
    <w:pPr>
      <w:numPr>
        <w:ilvl w:val="8"/>
        <w:numId w:val="3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semiHidden/>
    <w:rsid w:val="00817659"/>
    <w:pPr>
      <w:spacing w:after="0"/>
      <w:ind w:firstLine="0"/>
    </w:pPr>
    <w:rPr>
      <w:sz w:val="22"/>
    </w:rPr>
  </w:style>
  <w:style w:type="character" w:styleId="FootnoteReference">
    <w:name w:val="footnote reference"/>
    <w:semiHidden/>
    <w:rsid w:val="006756B3"/>
    <w:rPr>
      <w:rFonts w:ascii="Garamond" w:hAnsi="Garamond"/>
      <w:sz w:val="22"/>
      <w:vertAlign w:val="superscript"/>
    </w:rPr>
  </w:style>
  <w:style w:type="paragraph" w:styleId="Footer">
    <w:name w:val="footer"/>
    <w:basedOn w:val="Normal"/>
    <w:semiHidden/>
    <w:rsid w:val="00DD0687"/>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rsid w:val="00DD0687"/>
    <w:pPr>
      <w:ind w:left="720"/>
    </w:pPr>
    <w:rPr>
      <w:sz w:val="20"/>
    </w:rPr>
  </w:style>
  <w:style w:type="paragraph" w:styleId="TOC6">
    <w:name w:val="toc 6"/>
    <w:basedOn w:val="Normal"/>
    <w:next w:val="Normal"/>
    <w:autoRedefine/>
    <w:semiHidden/>
    <w:rsid w:val="00DD0687"/>
    <w:pPr>
      <w:ind w:left="960"/>
    </w:pPr>
    <w:rPr>
      <w:sz w:val="20"/>
    </w:rPr>
  </w:style>
  <w:style w:type="paragraph" w:styleId="TOC7">
    <w:name w:val="toc 7"/>
    <w:basedOn w:val="Normal"/>
    <w:next w:val="Normal"/>
    <w:autoRedefine/>
    <w:semiHidden/>
    <w:rsid w:val="00DD0687"/>
    <w:pPr>
      <w:ind w:left="1200"/>
    </w:pPr>
    <w:rPr>
      <w:sz w:val="20"/>
    </w:rPr>
  </w:style>
  <w:style w:type="paragraph" w:styleId="TOC8">
    <w:name w:val="toc 8"/>
    <w:basedOn w:val="Normal"/>
    <w:next w:val="Normal"/>
    <w:autoRedefine/>
    <w:semiHidden/>
    <w:rsid w:val="00DD0687"/>
    <w:pPr>
      <w:ind w:left="1440"/>
    </w:pPr>
    <w:rPr>
      <w:sz w:val="20"/>
    </w:rPr>
  </w:style>
  <w:style w:type="paragraph" w:styleId="TOC9">
    <w:name w:val="toc 9"/>
    <w:basedOn w:val="Normal"/>
    <w:next w:val="Normal"/>
    <w:autoRedefine/>
    <w:semiHidden/>
    <w:rsid w:val="00DD0687"/>
    <w:pPr>
      <w:ind w:left="1680"/>
    </w:pPr>
    <w:rPr>
      <w:sz w:val="20"/>
    </w:rPr>
  </w:style>
  <w:style w:type="paragraph" w:styleId="Header">
    <w:name w:val="header"/>
    <w:basedOn w:val="Normal"/>
    <w:link w:val="HeaderChar"/>
    <w:uiPriority w:val="99"/>
    <w:rsid w:val="00DD0687"/>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sid w:val="00DD0687"/>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sid w:val="00DD0687"/>
    <w:rPr>
      <w:rFonts w:ascii="Tahoma" w:hAnsi="Tahoma" w:cs="Tahoma"/>
      <w:sz w:val="16"/>
      <w:szCs w:val="16"/>
    </w:rPr>
  </w:style>
  <w:style w:type="character" w:styleId="CommentReference">
    <w:name w:val="annotation reference"/>
    <w:semiHidden/>
    <w:rsid w:val="00DD0687"/>
    <w:rPr>
      <w:sz w:val="16"/>
    </w:rPr>
  </w:style>
  <w:style w:type="paragraph" w:styleId="CommentText">
    <w:name w:val="annotation text"/>
    <w:basedOn w:val="Normal"/>
    <w:semiHidden/>
    <w:rsid w:val="00DD0687"/>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1F4E93"/>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7364E6"/>
    <w:pPr>
      <w:spacing w:before="100" w:after="200"/>
      <w:ind w:left="425" w:firstLine="0"/>
    </w:pPr>
    <w:rPr>
      <w:sz w:val="23"/>
      <w:szCs w:val="22"/>
    </w:rPr>
  </w:style>
  <w:style w:type="character" w:customStyle="1" w:styleId="QuoteChar">
    <w:name w:val="Quote Char"/>
    <w:link w:val="Quote"/>
    <w:uiPriority w:val="29"/>
    <w:rsid w:val="007364E6"/>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s>
</file>

<file path=word/webSettings.xml><?xml version="1.0" encoding="utf-8"?>
<w:webSettings xmlns:r="http://schemas.openxmlformats.org/officeDocument/2006/relationships" xmlns:w="http://schemas.openxmlformats.org/wordprocessingml/2006/main">
  <w:divs>
    <w:div w:id="1248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il.sagepub.com/content/12/2/162" TargetMode="External"/><Relationship Id="rId18" Type="http://schemas.openxmlformats.org/officeDocument/2006/relationships/hyperlink" Target="http://onlinelibrary.wiley.com/doi/%2010.1111/j.1467-9515.2008.00616.x/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ppq.sagepub.com/content/1/4/447.full.pdf" TargetMode="External"/><Relationship Id="rId2" Type="http://schemas.openxmlformats.org/officeDocument/2006/relationships/numbering" Target="numbering.xml"/><Relationship Id="rId16" Type="http://schemas.openxmlformats.org/officeDocument/2006/relationships/hyperlink" Target="https://fiq.ischool.utoronto.ca/index.php/srv/article/view/561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il.sagepub.com/content/33/3/%20613.full.pdf+html" TargetMode="External"/><Relationship Id="rId10" Type="http://schemas.openxmlformats.org/officeDocument/2006/relationships/footer" Target="footer2.xml"/><Relationship Id="rId19" Type="http://schemas.openxmlformats.org/officeDocument/2006/relationships/hyperlink" Target="http://mil.sagepub.com/content/35/1/167.full.pdf+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il.sagepub.com/content/10/2/126.full.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yo\Desktop\vanchu%20courses\ISS_RP_template_February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72720-B059-4997-A3FA-A198DB9B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ISS_RP_template_February_2012.dotx</Template>
  <TotalTime>85</TotalTime>
  <Pages>24</Pages>
  <Words>7156</Words>
  <Characters>40795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47856</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Peyo</dc:creator>
  <cp:lastModifiedBy>Peyo</cp:lastModifiedBy>
  <cp:revision>15</cp:revision>
  <cp:lastPrinted>2012-01-11T13:52:00Z</cp:lastPrinted>
  <dcterms:created xsi:type="dcterms:W3CDTF">2012-09-03T20:11:00Z</dcterms:created>
  <dcterms:modified xsi:type="dcterms:W3CDTF">2012-09-03T22:08:00Z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