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E0" w:rsidRDefault="00AD525C" w:rsidP="004C1689">
      <w:pPr>
        <w:pStyle w:val="Title"/>
        <w:spacing w:line="360" w:lineRule="auto"/>
      </w:pPr>
      <w:r>
        <w:t>Trade Effects of Euro A</w:t>
      </w:r>
      <w:r w:rsidR="00DD7FE0">
        <w:t xml:space="preserve">doption in Central and </w:t>
      </w:r>
      <w:r>
        <w:t>Mediterranean</w:t>
      </w:r>
      <w:r w:rsidR="00DD7FE0">
        <w:t xml:space="preserve"> </w:t>
      </w:r>
      <w:r>
        <w:t>Euro</w:t>
      </w:r>
      <w:r w:rsidR="00DD7FE0">
        <w:t xml:space="preserve">pe: </w:t>
      </w:r>
      <w:r>
        <w:t>A</w:t>
      </w:r>
      <w:r w:rsidR="00DD7FE0">
        <w:t xml:space="preserve">n </w:t>
      </w:r>
      <w:r>
        <w:t>E</w:t>
      </w:r>
      <w:r w:rsidR="00DD7FE0">
        <w:t xml:space="preserve">arly </w:t>
      </w:r>
      <w:r>
        <w:t>E</w:t>
      </w:r>
      <w:r w:rsidR="00DD7FE0">
        <w:t>vidence</w:t>
      </w:r>
      <w:r w:rsidR="00246D95">
        <w:t xml:space="preserve"> </w:t>
      </w:r>
      <w:r>
        <w:t>A</w:t>
      </w:r>
      <w:r w:rsidR="00246D95">
        <w:t>nalysis</w:t>
      </w:r>
    </w:p>
    <w:p w:rsidR="00DD7FE0" w:rsidRDefault="00DD7FE0" w:rsidP="004C1689">
      <w:pPr>
        <w:spacing w:line="360" w:lineRule="auto"/>
      </w:pPr>
      <w:r>
        <w:t>Mattis Ooms</w:t>
      </w:r>
    </w:p>
    <w:p w:rsidR="00DD7FE0" w:rsidRDefault="00DD7FE0" w:rsidP="004C1689">
      <w:pPr>
        <w:spacing w:line="360" w:lineRule="auto"/>
      </w:pPr>
      <w:r>
        <w:t>305105</w:t>
      </w:r>
    </w:p>
    <w:p w:rsidR="00B22081" w:rsidRDefault="00B22081" w:rsidP="00B22081">
      <w:pPr>
        <w:spacing w:line="360" w:lineRule="auto"/>
      </w:pPr>
      <w:r>
        <w:t>Master’s Thesis in International Economics</w:t>
      </w:r>
    </w:p>
    <w:p w:rsidR="00DD7FE0" w:rsidRDefault="00DD7FE0" w:rsidP="004C1689">
      <w:pPr>
        <w:spacing w:line="360" w:lineRule="auto"/>
      </w:pPr>
      <w:r>
        <w:t xml:space="preserve">Supervisor: </w:t>
      </w:r>
      <w:r w:rsidR="004D531F">
        <w:t xml:space="preserve">Prof. </w:t>
      </w:r>
      <w:r>
        <w:t>J-M. Viaene</w:t>
      </w:r>
    </w:p>
    <w:p w:rsidR="00DD7FE0" w:rsidRDefault="00DD7FE0" w:rsidP="004C1689">
      <w:pPr>
        <w:spacing w:line="360" w:lineRule="auto"/>
      </w:pPr>
      <w:r>
        <w:t>Erasmus School of Economics</w:t>
      </w:r>
    </w:p>
    <w:p w:rsidR="00DD7FE0" w:rsidRDefault="00DD7FE0" w:rsidP="004C1689">
      <w:pPr>
        <w:spacing w:line="360" w:lineRule="auto"/>
      </w:pPr>
      <w:r>
        <w:t>Erasmus University Rotterdam</w:t>
      </w:r>
    </w:p>
    <w:p w:rsidR="00B65C43" w:rsidRDefault="00B644B5" w:rsidP="004C1689">
      <w:pPr>
        <w:spacing w:line="360" w:lineRule="auto"/>
      </w:pPr>
      <w:r>
        <w:t>2013</w:t>
      </w:r>
    </w:p>
    <w:p w:rsidR="00B65C43" w:rsidRDefault="00B65C43">
      <w:r>
        <w:br w:type="page"/>
      </w:r>
    </w:p>
    <w:p w:rsidR="00B65C43" w:rsidRDefault="00B65C43" w:rsidP="004C1689">
      <w:pPr>
        <w:spacing w:line="360" w:lineRule="auto"/>
      </w:pPr>
    </w:p>
    <w:p w:rsidR="00B65C43" w:rsidRPr="004368B2" w:rsidRDefault="0089481D" w:rsidP="0089481D">
      <w:pPr>
        <w:rPr>
          <w:rFonts w:asciiTheme="majorHAnsi" w:hAnsiTheme="majorHAnsi"/>
          <w:b/>
          <w:color w:val="365F91" w:themeColor="accent1" w:themeShade="BF"/>
          <w:sz w:val="28"/>
          <w:szCs w:val="28"/>
        </w:rPr>
      </w:pPr>
      <w:r w:rsidRPr="004368B2">
        <w:rPr>
          <w:rFonts w:asciiTheme="majorHAnsi" w:hAnsiTheme="majorHAnsi"/>
          <w:b/>
          <w:color w:val="365F91" w:themeColor="accent1" w:themeShade="BF"/>
          <w:sz w:val="28"/>
          <w:szCs w:val="28"/>
        </w:rPr>
        <w:t>Abstract</w:t>
      </w:r>
    </w:p>
    <w:p w:rsidR="00B65C43" w:rsidRDefault="00B65C43" w:rsidP="004C1689">
      <w:pPr>
        <w:spacing w:line="360" w:lineRule="auto"/>
      </w:pPr>
    </w:p>
    <w:p w:rsidR="00B24586" w:rsidRDefault="00B65C43" w:rsidP="0089481D">
      <w:pPr>
        <w:spacing w:line="360" w:lineRule="auto"/>
        <w:jc w:val="both"/>
      </w:pPr>
      <w:r>
        <w:t xml:space="preserve">This thesis investigates the trade effects of Euro adoption for Cyprus, Malta, the Slovak Republic and Slovenia. These countries are the first out of the ten 2004 EU entrants to give up their sovereign monetary policy in order to join EMU and commit themselves </w:t>
      </w:r>
      <w:r w:rsidR="004D531F">
        <w:t xml:space="preserve">fully to the European ideal. </w:t>
      </w:r>
      <w:r w:rsidR="00B24586">
        <w:t>In order to shed light on the theoretical debate on the benefits of a currency union versus the lost control over monetary policy, this thesis inquires into the trade effects brought about by Euro adoptio</w:t>
      </w:r>
      <w:r w:rsidR="003825EA">
        <w:t>n</w:t>
      </w:r>
      <w:r w:rsidR="00616944">
        <w:t xml:space="preserve"> by these new EMU members amidst the financial and European debt crisis. By using a panel of data comprising </w:t>
      </w:r>
      <w:r w:rsidR="0048393B">
        <w:t xml:space="preserve">export data of </w:t>
      </w:r>
      <w:r w:rsidR="00616944">
        <w:t>36 countries over 1</w:t>
      </w:r>
      <w:r w:rsidR="002664DB">
        <w:t>2</w:t>
      </w:r>
      <w:r w:rsidR="00616944">
        <w:t xml:space="preserve"> years (2000-2011) and using the gravity model with country-pair fixed effects with time fixed effects, two sets of hypotheses are tested. </w:t>
      </w:r>
      <w:r w:rsidR="002664DB">
        <w:t xml:space="preserve">The first set inquires into the trade effects per country compared to all other countries in the sample. The results show that all four countries except for Cyprus display an increase in total trade. Evidence of trade creation </w:t>
      </w:r>
      <w:r w:rsidR="0048393B">
        <w:t>is found for</w:t>
      </w:r>
      <w:r w:rsidR="002664DB">
        <w:t xml:space="preserve"> Slovenia and the Slovak Republic</w:t>
      </w:r>
      <w:r w:rsidR="0048393B">
        <w:t>,</w:t>
      </w:r>
      <w:r w:rsidR="002664DB">
        <w:t xml:space="preserve"> since both countries </w:t>
      </w:r>
      <w:r w:rsidR="0048393B">
        <w:t>showed an increase in trade</w:t>
      </w:r>
      <w:r w:rsidR="002664DB">
        <w:t xml:space="preserve"> with countries inside </w:t>
      </w:r>
      <w:r w:rsidR="002664DB" w:rsidRPr="0035355E">
        <w:rPr>
          <w:i/>
        </w:rPr>
        <w:t>and</w:t>
      </w:r>
      <w:r w:rsidR="002664DB">
        <w:t xml:space="preserve"> outside EMU since they adopted the Euro. </w:t>
      </w:r>
      <w:r w:rsidR="00524640">
        <w:t xml:space="preserve">Cyprus displayed a drop in total trade, which is explained by a severe drop in trade with countries outside EMU, hinting at trade diversion. In the second set of hypotheses the average trade effects of the new EMU members is compared to that of the average of the ten 2004 EU entrants. The results show that </w:t>
      </w:r>
      <w:r w:rsidR="006E20F7">
        <w:t xml:space="preserve">the average growth in </w:t>
      </w:r>
      <w:r w:rsidR="006C7E2A">
        <w:t xml:space="preserve">total </w:t>
      </w:r>
      <w:r w:rsidR="006E20F7">
        <w:t xml:space="preserve">trade of the new EMU members has been less than </w:t>
      </w:r>
      <w:r w:rsidR="0035355E">
        <w:t>that</w:t>
      </w:r>
      <w:r w:rsidR="006E20F7">
        <w:t xml:space="preserve"> of the 2004 EU entrant</w:t>
      </w:r>
      <w:r w:rsidR="00061D9C">
        <w:t>s</w:t>
      </w:r>
      <w:r w:rsidR="006E20F7">
        <w:t xml:space="preserve"> since 2007. </w:t>
      </w:r>
      <w:r w:rsidR="00061D9C">
        <w:t>When looking at trade with specific trading partners</w:t>
      </w:r>
      <w:r w:rsidR="0035355E">
        <w:t xml:space="preserve"> no evidence was found that</w:t>
      </w:r>
      <w:r w:rsidR="00061D9C">
        <w:t xml:space="preserve"> the new EMU members </w:t>
      </w:r>
      <w:r w:rsidR="0035355E">
        <w:t>traded</w:t>
      </w:r>
      <w:r w:rsidR="00061D9C">
        <w:t xml:space="preserve"> less with existing EMU members, but </w:t>
      </w:r>
      <w:r w:rsidR="0035355E">
        <w:t>there is evidence that they</w:t>
      </w:r>
      <w:r w:rsidR="00061D9C">
        <w:t xml:space="preserve"> trade</w:t>
      </w:r>
      <w:r w:rsidR="0035355E">
        <w:t>d</w:t>
      </w:r>
      <w:r w:rsidR="00061D9C">
        <w:t xml:space="preserve"> less with countries outside EMU, compared to the 2004 EU entrants</w:t>
      </w:r>
      <w:r w:rsidR="0048393B">
        <w:t>’</w:t>
      </w:r>
      <w:r w:rsidR="00061D9C">
        <w:t xml:space="preserve"> average. However, when Cyprus is excluded </w:t>
      </w:r>
      <w:r w:rsidR="00304826">
        <w:t xml:space="preserve">from both the new EMU members and the 2004 EU entrant group, the new EMU members no longer show a deviating trade pattern compared to the 2004 EU entrant group. This leads to the conclusion that the lost control over monetary policy is, for the given moment, a too costly trade-off given the lacking of any marginal increase in </w:t>
      </w:r>
      <w:r w:rsidR="00254129">
        <w:t>trade compared to the 2004 EU entrants.</w:t>
      </w:r>
    </w:p>
    <w:p w:rsidR="00B24586" w:rsidRDefault="00B24586">
      <w:r>
        <w:br w:type="page"/>
      </w:r>
    </w:p>
    <w:sdt>
      <w:sdtPr>
        <w:id w:val="64996657"/>
        <w:docPartObj>
          <w:docPartGallery w:val="Table of Contents"/>
          <w:docPartUnique/>
        </w:docPartObj>
      </w:sdtPr>
      <w:sdtContent>
        <w:p w:rsidR="00E37E8F" w:rsidRDefault="00E37E8F" w:rsidP="004C1689">
          <w:pPr>
            <w:spacing w:line="360" w:lineRule="auto"/>
          </w:pPr>
          <w:r w:rsidRPr="004368B2">
            <w:rPr>
              <w:rFonts w:asciiTheme="majorHAnsi" w:hAnsiTheme="majorHAnsi"/>
              <w:b/>
              <w:color w:val="365F91" w:themeColor="accent1" w:themeShade="BF"/>
              <w:sz w:val="28"/>
              <w:szCs w:val="28"/>
            </w:rPr>
            <w:t>Table of Contents</w:t>
          </w:r>
        </w:p>
        <w:p w:rsidR="002904AE" w:rsidRDefault="008A5472">
          <w:pPr>
            <w:pStyle w:val="TOC1"/>
            <w:tabs>
              <w:tab w:val="left" w:pos="440"/>
              <w:tab w:val="right" w:leader="dot" w:pos="9016"/>
            </w:tabs>
            <w:rPr>
              <w:rFonts w:eastAsiaTheme="minorEastAsia"/>
              <w:noProof/>
            </w:rPr>
          </w:pPr>
          <w:r>
            <w:fldChar w:fldCharType="begin"/>
          </w:r>
          <w:r w:rsidR="00E37E8F">
            <w:instrText xml:space="preserve"> TOC \o "1-3" \h \z \u </w:instrText>
          </w:r>
          <w:r>
            <w:fldChar w:fldCharType="separate"/>
          </w:r>
          <w:hyperlink w:anchor="_Toc353348772" w:history="1">
            <w:r w:rsidR="002904AE" w:rsidRPr="00A73C89">
              <w:rPr>
                <w:rStyle w:val="Hyperlink"/>
                <w:noProof/>
              </w:rPr>
              <w:t>1.</w:t>
            </w:r>
            <w:r w:rsidR="002904AE">
              <w:rPr>
                <w:rFonts w:eastAsiaTheme="minorEastAsia"/>
                <w:noProof/>
              </w:rPr>
              <w:tab/>
            </w:r>
            <w:r w:rsidR="002904AE" w:rsidRPr="00A73C89">
              <w:rPr>
                <w:rStyle w:val="Hyperlink"/>
                <w:noProof/>
              </w:rPr>
              <w:t>Introduction</w:t>
            </w:r>
            <w:r w:rsidR="002904AE">
              <w:rPr>
                <w:noProof/>
                <w:webHidden/>
              </w:rPr>
              <w:tab/>
            </w:r>
            <w:r>
              <w:rPr>
                <w:noProof/>
                <w:webHidden/>
              </w:rPr>
              <w:fldChar w:fldCharType="begin"/>
            </w:r>
            <w:r w:rsidR="002904AE">
              <w:rPr>
                <w:noProof/>
                <w:webHidden/>
              </w:rPr>
              <w:instrText xml:space="preserve"> PAGEREF _Toc353348772 \h </w:instrText>
            </w:r>
            <w:r>
              <w:rPr>
                <w:noProof/>
                <w:webHidden/>
              </w:rPr>
            </w:r>
            <w:r>
              <w:rPr>
                <w:noProof/>
                <w:webHidden/>
              </w:rPr>
              <w:fldChar w:fldCharType="separate"/>
            </w:r>
            <w:r w:rsidR="002904AE">
              <w:rPr>
                <w:noProof/>
                <w:webHidden/>
              </w:rPr>
              <w:t>5</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73" w:history="1">
            <w:r w:rsidR="002904AE" w:rsidRPr="00A73C89">
              <w:rPr>
                <w:rStyle w:val="Hyperlink"/>
                <w:noProof/>
              </w:rPr>
              <w:t>2.</w:t>
            </w:r>
            <w:r w:rsidR="002904AE">
              <w:rPr>
                <w:rFonts w:eastAsiaTheme="minorEastAsia"/>
                <w:noProof/>
              </w:rPr>
              <w:tab/>
            </w:r>
            <w:r w:rsidR="002904AE" w:rsidRPr="00A73C89">
              <w:rPr>
                <w:rStyle w:val="Hyperlink"/>
                <w:noProof/>
              </w:rPr>
              <w:t>Theoretical Background</w:t>
            </w:r>
            <w:r w:rsidR="002904AE">
              <w:rPr>
                <w:noProof/>
                <w:webHidden/>
              </w:rPr>
              <w:tab/>
            </w:r>
            <w:r>
              <w:rPr>
                <w:noProof/>
                <w:webHidden/>
              </w:rPr>
              <w:fldChar w:fldCharType="begin"/>
            </w:r>
            <w:r w:rsidR="002904AE">
              <w:rPr>
                <w:noProof/>
                <w:webHidden/>
              </w:rPr>
              <w:instrText xml:space="preserve"> PAGEREF _Toc353348773 \h </w:instrText>
            </w:r>
            <w:r>
              <w:rPr>
                <w:noProof/>
                <w:webHidden/>
              </w:rPr>
            </w:r>
            <w:r>
              <w:rPr>
                <w:noProof/>
                <w:webHidden/>
              </w:rPr>
              <w:fldChar w:fldCharType="separate"/>
            </w:r>
            <w:r w:rsidR="002904AE">
              <w:rPr>
                <w:noProof/>
                <w:webHidden/>
              </w:rPr>
              <w:t>8</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74" w:history="1">
            <w:r w:rsidR="002904AE" w:rsidRPr="00A73C89">
              <w:rPr>
                <w:rStyle w:val="Hyperlink"/>
                <w:noProof/>
              </w:rPr>
              <w:t>2.1</w:t>
            </w:r>
            <w:r w:rsidR="002904AE">
              <w:rPr>
                <w:rFonts w:eastAsiaTheme="minorEastAsia"/>
                <w:noProof/>
              </w:rPr>
              <w:tab/>
            </w:r>
            <w:r w:rsidR="002904AE" w:rsidRPr="00A73C89">
              <w:rPr>
                <w:rStyle w:val="Hyperlink"/>
                <w:noProof/>
              </w:rPr>
              <w:t>Economic Policy</w:t>
            </w:r>
            <w:r w:rsidR="002904AE">
              <w:rPr>
                <w:noProof/>
                <w:webHidden/>
              </w:rPr>
              <w:tab/>
            </w:r>
            <w:r>
              <w:rPr>
                <w:noProof/>
                <w:webHidden/>
              </w:rPr>
              <w:fldChar w:fldCharType="begin"/>
            </w:r>
            <w:r w:rsidR="002904AE">
              <w:rPr>
                <w:noProof/>
                <w:webHidden/>
              </w:rPr>
              <w:instrText xml:space="preserve"> PAGEREF _Toc353348774 \h </w:instrText>
            </w:r>
            <w:r>
              <w:rPr>
                <w:noProof/>
                <w:webHidden/>
              </w:rPr>
            </w:r>
            <w:r>
              <w:rPr>
                <w:noProof/>
                <w:webHidden/>
              </w:rPr>
              <w:fldChar w:fldCharType="separate"/>
            </w:r>
            <w:r w:rsidR="002904AE">
              <w:rPr>
                <w:noProof/>
                <w:webHidden/>
              </w:rPr>
              <w:t>8</w:t>
            </w:r>
            <w:r>
              <w:rPr>
                <w:noProof/>
                <w:webHidden/>
              </w:rPr>
              <w:fldChar w:fldCharType="end"/>
            </w:r>
          </w:hyperlink>
        </w:p>
        <w:p w:rsidR="002904AE" w:rsidRDefault="008A5472">
          <w:pPr>
            <w:pStyle w:val="TOC3"/>
            <w:tabs>
              <w:tab w:val="left" w:pos="1320"/>
              <w:tab w:val="right" w:leader="dot" w:pos="9016"/>
            </w:tabs>
            <w:rPr>
              <w:rFonts w:eastAsiaTheme="minorEastAsia"/>
              <w:noProof/>
            </w:rPr>
          </w:pPr>
          <w:hyperlink w:anchor="_Toc353348775" w:history="1">
            <w:r w:rsidR="002904AE" w:rsidRPr="00A73C89">
              <w:rPr>
                <w:rStyle w:val="Hyperlink"/>
                <w:noProof/>
              </w:rPr>
              <w:t>2.1.1</w:t>
            </w:r>
            <w:r w:rsidR="002904AE">
              <w:rPr>
                <w:rFonts w:eastAsiaTheme="minorEastAsia"/>
                <w:noProof/>
              </w:rPr>
              <w:tab/>
            </w:r>
            <w:r w:rsidR="002904AE" w:rsidRPr="00A73C89">
              <w:rPr>
                <w:rStyle w:val="Hyperlink"/>
                <w:noProof/>
              </w:rPr>
              <w:t>Type of Exchange Rate Regime</w:t>
            </w:r>
            <w:r w:rsidR="002904AE">
              <w:rPr>
                <w:noProof/>
                <w:webHidden/>
              </w:rPr>
              <w:tab/>
            </w:r>
            <w:r>
              <w:rPr>
                <w:noProof/>
                <w:webHidden/>
              </w:rPr>
              <w:fldChar w:fldCharType="begin"/>
            </w:r>
            <w:r w:rsidR="002904AE">
              <w:rPr>
                <w:noProof/>
                <w:webHidden/>
              </w:rPr>
              <w:instrText xml:space="preserve"> PAGEREF _Toc353348775 \h </w:instrText>
            </w:r>
            <w:r>
              <w:rPr>
                <w:noProof/>
                <w:webHidden/>
              </w:rPr>
            </w:r>
            <w:r>
              <w:rPr>
                <w:noProof/>
                <w:webHidden/>
              </w:rPr>
              <w:fldChar w:fldCharType="separate"/>
            </w:r>
            <w:r w:rsidR="002904AE">
              <w:rPr>
                <w:noProof/>
                <w:webHidden/>
              </w:rPr>
              <w:t>8</w:t>
            </w:r>
            <w:r>
              <w:rPr>
                <w:noProof/>
                <w:webHidden/>
              </w:rPr>
              <w:fldChar w:fldCharType="end"/>
            </w:r>
          </w:hyperlink>
        </w:p>
        <w:p w:rsidR="002904AE" w:rsidRDefault="008A5472">
          <w:pPr>
            <w:pStyle w:val="TOC3"/>
            <w:tabs>
              <w:tab w:val="left" w:pos="1320"/>
              <w:tab w:val="right" w:leader="dot" w:pos="9016"/>
            </w:tabs>
            <w:rPr>
              <w:rFonts w:eastAsiaTheme="minorEastAsia"/>
              <w:noProof/>
            </w:rPr>
          </w:pPr>
          <w:hyperlink w:anchor="_Toc353348776" w:history="1">
            <w:r w:rsidR="002904AE" w:rsidRPr="00A73C89">
              <w:rPr>
                <w:rStyle w:val="Hyperlink"/>
                <w:noProof/>
              </w:rPr>
              <w:t>2.1.2</w:t>
            </w:r>
            <w:r w:rsidR="002904AE">
              <w:rPr>
                <w:rFonts w:eastAsiaTheme="minorEastAsia"/>
                <w:noProof/>
              </w:rPr>
              <w:tab/>
            </w:r>
            <w:r w:rsidR="002904AE" w:rsidRPr="00A73C89">
              <w:rPr>
                <w:rStyle w:val="Hyperlink"/>
                <w:noProof/>
              </w:rPr>
              <w:t>Fiscal or Monetary Policy?</w:t>
            </w:r>
            <w:r w:rsidR="002904AE">
              <w:rPr>
                <w:noProof/>
                <w:webHidden/>
              </w:rPr>
              <w:tab/>
            </w:r>
            <w:r>
              <w:rPr>
                <w:noProof/>
                <w:webHidden/>
              </w:rPr>
              <w:fldChar w:fldCharType="begin"/>
            </w:r>
            <w:r w:rsidR="002904AE">
              <w:rPr>
                <w:noProof/>
                <w:webHidden/>
              </w:rPr>
              <w:instrText xml:space="preserve"> PAGEREF _Toc353348776 \h </w:instrText>
            </w:r>
            <w:r>
              <w:rPr>
                <w:noProof/>
                <w:webHidden/>
              </w:rPr>
            </w:r>
            <w:r>
              <w:rPr>
                <w:noProof/>
                <w:webHidden/>
              </w:rPr>
              <w:fldChar w:fldCharType="separate"/>
            </w:r>
            <w:r w:rsidR="002904AE">
              <w:rPr>
                <w:noProof/>
                <w:webHidden/>
              </w:rPr>
              <w:t>9</w:t>
            </w:r>
            <w:r>
              <w:rPr>
                <w:noProof/>
                <w:webHidden/>
              </w:rPr>
              <w:fldChar w:fldCharType="end"/>
            </w:r>
          </w:hyperlink>
        </w:p>
        <w:p w:rsidR="002904AE" w:rsidRDefault="008A5472">
          <w:pPr>
            <w:pStyle w:val="TOC3"/>
            <w:tabs>
              <w:tab w:val="left" w:pos="1320"/>
              <w:tab w:val="right" w:leader="dot" w:pos="9016"/>
            </w:tabs>
            <w:rPr>
              <w:rFonts w:eastAsiaTheme="minorEastAsia"/>
              <w:noProof/>
            </w:rPr>
          </w:pPr>
          <w:hyperlink w:anchor="_Toc353348777" w:history="1">
            <w:r w:rsidR="002904AE" w:rsidRPr="00A73C89">
              <w:rPr>
                <w:rStyle w:val="Hyperlink"/>
                <w:noProof/>
              </w:rPr>
              <w:t>2.1.3</w:t>
            </w:r>
            <w:r w:rsidR="002904AE">
              <w:rPr>
                <w:rFonts w:eastAsiaTheme="minorEastAsia"/>
                <w:noProof/>
              </w:rPr>
              <w:tab/>
            </w:r>
            <w:r w:rsidR="002904AE" w:rsidRPr="00A73C89">
              <w:rPr>
                <w:rStyle w:val="Hyperlink"/>
                <w:noProof/>
              </w:rPr>
              <w:t>The Long Run</w:t>
            </w:r>
            <w:r w:rsidR="002904AE">
              <w:rPr>
                <w:noProof/>
                <w:webHidden/>
              </w:rPr>
              <w:tab/>
            </w:r>
            <w:r>
              <w:rPr>
                <w:noProof/>
                <w:webHidden/>
              </w:rPr>
              <w:fldChar w:fldCharType="begin"/>
            </w:r>
            <w:r w:rsidR="002904AE">
              <w:rPr>
                <w:noProof/>
                <w:webHidden/>
              </w:rPr>
              <w:instrText xml:space="preserve"> PAGEREF _Toc353348777 \h </w:instrText>
            </w:r>
            <w:r>
              <w:rPr>
                <w:noProof/>
                <w:webHidden/>
              </w:rPr>
            </w:r>
            <w:r>
              <w:rPr>
                <w:noProof/>
                <w:webHidden/>
              </w:rPr>
              <w:fldChar w:fldCharType="separate"/>
            </w:r>
            <w:r w:rsidR="002904AE">
              <w:rPr>
                <w:noProof/>
                <w:webHidden/>
              </w:rPr>
              <w:t>11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78" w:history="1">
            <w:r w:rsidR="002904AE" w:rsidRPr="00A73C89">
              <w:rPr>
                <w:rStyle w:val="Hyperlink"/>
                <w:noProof/>
              </w:rPr>
              <w:t>2.2</w:t>
            </w:r>
            <w:r w:rsidR="002904AE">
              <w:rPr>
                <w:rFonts w:eastAsiaTheme="minorEastAsia"/>
                <w:noProof/>
              </w:rPr>
              <w:tab/>
            </w:r>
            <w:r w:rsidR="002904AE" w:rsidRPr="00A73C89">
              <w:rPr>
                <w:rStyle w:val="Hyperlink"/>
                <w:noProof/>
              </w:rPr>
              <w:t>Contemplations on Currency Union Membership</w:t>
            </w:r>
            <w:r w:rsidR="002904AE">
              <w:rPr>
                <w:noProof/>
                <w:webHidden/>
              </w:rPr>
              <w:tab/>
            </w:r>
            <w:r>
              <w:rPr>
                <w:noProof/>
                <w:webHidden/>
              </w:rPr>
              <w:fldChar w:fldCharType="begin"/>
            </w:r>
            <w:r w:rsidR="002904AE">
              <w:rPr>
                <w:noProof/>
                <w:webHidden/>
              </w:rPr>
              <w:instrText xml:space="preserve"> PAGEREF _Toc353348778 \h </w:instrText>
            </w:r>
            <w:r>
              <w:rPr>
                <w:noProof/>
                <w:webHidden/>
              </w:rPr>
            </w:r>
            <w:r>
              <w:rPr>
                <w:noProof/>
                <w:webHidden/>
              </w:rPr>
              <w:fldChar w:fldCharType="separate"/>
            </w:r>
            <w:r w:rsidR="002904AE">
              <w:rPr>
                <w:noProof/>
                <w:webHidden/>
              </w:rPr>
              <w:t>12</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79" w:history="1">
            <w:r w:rsidR="002904AE" w:rsidRPr="00A73C89">
              <w:rPr>
                <w:rStyle w:val="Hyperlink"/>
                <w:noProof/>
              </w:rPr>
              <w:t>2.3</w:t>
            </w:r>
            <w:r w:rsidR="002904AE">
              <w:rPr>
                <w:rFonts w:eastAsiaTheme="minorEastAsia"/>
                <w:noProof/>
              </w:rPr>
              <w:tab/>
            </w:r>
            <w:r w:rsidR="002904AE" w:rsidRPr="00A73C89">
              <w:rPr>
                <w:rStyle w:val="Hyperlink"/>
                <w:noProof/>
              </w:rPr>
              <w:t>Analyzing Policy Decisions</w:t>
            </w:r>
            <w:r w:rsidR="002904AE">
              <w:rPr>
                <w:noProof/>
                <w:webHidden/>
              </w:rPr>
              <w:tab/>
            </w:r>
            <w:r>
              <w:rPr>
                <w:noProof/>
                <w:webHidden/>
              </w:rPr>
              <w:fldChar w:fldCharType="begin"/>
            </w:r>
            <w:r w:rsidR="002904AE">
              <w:rPr>
                <w:noProof/>
                <w:webHidden/>
              </w:rPr>
              <w:instrText xml:space="preserve"> PAGEREF _Toc353348779 \h </w:instrText>
            </w:r>
            <w:r>
              <w:rPr>
                <w:noProof/>
                <w:webHidden/>
              </w:rPr>
            </w:r>
            <w:r>
              <w:rPr>
                <w:noProof/>
                <w:webHidden/>
              </w:rPr>
              <w:fldChar w:fldCharType="separate"/>
            </w:r>
            <w:r w:rsidR="002904AE">
              <w:rPr>
                <w:noProof/>
                <w:webHidden/>
              </w:rPr>
              <w:t>13</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80" w:history="1">
            <w:r w:rsidR="002904AE" w:rsidRPr="00A73C89">
              <w:rPr>
                <w:rStyle w:val="Hyperlink"/>
                <w:noProof/>
              </w:rPr>
              <w:t>3.</w:t>
            </w:r>
            <w:r w:rsidR="002904AE">
              <w:rPr>
                <w:rFonts w:eastAsiaTheme="minorEastAsia"/>
                <w:noProof/>
              </w:rPr>
              <w:tab/>
            </w:r>
            <w:r w:rsidR="002904AE" w:rsidRPr="00A73C89">
              <w:rPr>
                <w:rStyle w:val="Hyperlink"/>
                <w:noProof/>
              </w:rPr>
              <w:t>Empirical Literature Review</w:t>
            </w:r>
            <w:r w:rsidR="002904AE">
              <w:rPr>
                <w:noProof/>
                <w:webHidden/>
              </w:rPr>
              <w:tab/>
            </w:r>
            <w:r>
              <w:rPr>
                <w:noProof/>
                <w:webHidden/>
              </w:rPr>
              <w:fldChar w:fldCharType="begin"/>
            </w:r>
            <w:r w:rsidR="002904AE">
              <w:rPr>
                <w:noProof/>
                <w:webHidden/>
              </w:rPr>
              <w:instrText xml:space="preserve"> PAGEREF _Toc353348780 \h </w:instrText>
            </w:r>
            <w:r>
              <w:rPr>
                <w:noProof/>
                <w:webHidden/>
              </w:rPr>
            </w:r>
            <w:r>
              <w:rPr>
                <w:noProof/>
                <w:webHidden/>
              </w:rPr>
              <w:fldChar w:fldCharType="separate"/>
            </w:r>
            <w:r w:rsidR="002904AE">
              <w:rPr>
                <w:noProof/>
                <w:webHidden/>
              </w:rPr>
              <w:t>14</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1" w:history="1">
            <w:r w:rsidR="002904AE" w:rsidRPr="00A73C89">
              <w:rPr>
                <w:rStyle w:val="Hyperlink"/>
                <w:noProof/>
              </w:rPr>
              <w:t>3.1</w:t>
            </w:r>
            <w:r w:rsidR="002904AE">
              <w:rPr>
                <w:rFonts w:eastAsiaTheme="minorEastAsia"/>
                <w:noProof/>
              </w:rPr>
              <w:tab/>
            </w:r>
            <w:r w:rsidR="002904AE" w:rsidRPr="00A73C89">
              <w:rPr>
                <w:rStyle w:val="Hyperlink"/>
                <w:noProof/>
              </w:rPr>
              <w:t>The ‘Rose Effect’</w:t>
            </w:r>
            <w:r w:rsidR="002904AE">
              <w:rPr>
                <w:noProof/>
                <w:webHidden/>
              </w:rPr>
              <w:tab/>
            </w:r>
            <w:r>
              <w:rPr>
                <w:noProof/>
                <w:webHidden/>
              </w:rPr>
              <w:fldChar w:fldCharType="begin"/>
            </w:r>
            <w:r w:rsidR="002904AE">
              <w:rPr>
                <w:noProof/>
                <w:webHidden/>
              </w:rPr>
              <w:instrText xml:space="preserve"> PAGEREF _Toc353348781 \h </w:instrText>
            </w:r>
            <w:r>
              <w:rPr>
                <w:noProof/>
                <w:webHidden/>
              </w:rPr>
            </w:r>
            <w:r>
              <w:rPr>
                <w:noProof/>
                <w:webHidden/>
              </w:rPr>
              <w:fldChar w:fldCharType="separate"/>
            </w:r>
            <w:r w:rsidR="002904AE">
              <w:rPr>
                <w:noProof/>
                <w:webHidden/>
              </w:rPr>
              <w:t>14</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2" w:history="1">
            <w:r w:rsidR="002904AE" w:rsidRPr="00A73C89">
              <w:rPr>
                <w:rStyle w:val="Hyperlink"/>
                <w:noProof/>
              </w:rPr>
              <w:t>3.2</w:t>
            </w:r>
            <w:r w:rsidR="002904AE">
              <w:rPr>
                <w:rFonts w:eastAsiaTheme="minorEastAsia"/>
                <w:noProof/>
              </w:rPr>
              <w:tab/>
            </w:r>
            <w:r w:rsidR="002904AE" w:rsidRPr="00A73C89">
              <w:rPr>
                <w:rStyle w:val="Hyperlink"/>
                <w:noProof/>
              </w:rPr>
              <w:t>EMU Effect on International Trade</w:t>
            </w:r>
            <w:r w:rsidR="002904AE">
              <w:rPr>
                <w:noProof/>
                <w:webHidden/>
              </w:rPr>
              <w:tab/>
            </w:r>
            <w:r>
              <w:rPr>
                <w:noProof/>
                <w:webHidden/>
              </w:rPr>
              <w:fldChar w:fldCharType="begin"/>
            </w:r>
            <w:r w:rsidR="002904AE">
              <w:rPr>
                <w:noProof/>
                <w:webHidden/>
              </w:rPr>
              <w:instrText xml:space="preserve"> PAGEREF _Toc353348782 \h </w:instrText>
            </w:r>
            <w:r>
              <w:rPr>
                <w:noProof/>
                <w:webHidden/>
              </w:rPr>
            </w:r>
            <w:r>
              <w:rPr>
                <w:noProof/>
                <w:webHidden/>
              </w:rPr>
              <w:fldChar w:fldCharType="separate"/>
            </w:r>
            <w:r w:rsidR="002904AE">
              <w:rPr>
                <w:noProof/>
                <w:webHidden/>
              </w:rPr>
              <w:t>15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3" w:history="1">
            <w:r w:rsidR="002904AE" w:rsidRPr="00A73C89">
              <w:rPr>
                <w:rStyle w:val="Hyperlink"/>
                <w:noProof/>
              </w:rPr>
              <w:t>3.3</w:t>
            </w:r>
            <w:r w:rsidR="002904AE">
              <w:rPr>
                <w:rFonts w:eastAsiaTheme="minorEastAsia"/>
                <w:noProof/>
              </w:rPr>
              <w:tab/>
            </w:r>
            <w:r w:rsidR="002904AE" w:rsidRPr="00A73C89">
              <w:rPr>
                <w:rStyle w:val="Hyperlink"/>
                <w:noProof/>
              </w:rPr>
              <w:t>Predicted EMU Effect on Trade in Central and Mediterranean Europe</w:t>
            </w:r>
            <w:r w:rsidR="002904AE">
              <w:rPr>
                <w:noProof/>
                <w:webHidden/>
              </w:rPr>
              <w:tab/>
            </w:r>
            <w:r>
              <w:rPr>
                <w:noProof/>
                <w:webHidden/>
              </w:rPr>
              <w:fldChar w:fldCharType="begin"/>
            </w:r>
            <w:r w:rsidR="002904AE">
              <w:rPr>
                <w:noProof/>
                <w:webHidden/>
              </w:rPr>
              <w:instrText xml:space="preserve"> PAGEREF _Toc353348783 \h </w:instrText>
            </w:r>
            <w:r>
              <w:rPr>
                <w:noProof/>
                <w:webHidden/>
              </w:rPr>
            </w:r>
            <w:r>
              <w:rPr>
                <w:noProof/>
                <w:webHidden/>
              </w:rPr>
              <w:fldChar w:fldCharType="separate"/>
            </w:r>
            <w:r w:rsidR="002904AE">
              <w:rPr>
                <w:noProof/>
                <w:webHidden/>
              </w:rPr>
              <w:t>16</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84" w:history="1">
            <w:r w:rsidR="002904AE" w:rsidRPr="00A73C89">
              <w:rPr>
                <w:rStyle w:val="Hyperlink"/>
                <w:noProof/>
              </w:rPr>
              <w:t>4.</w:t>
            </w:r>
            <w:r w:rsidR="002904AE">
              <w:rPr>
                <w:rFonts w:eastAsiaTheme="minorEastAsia"/>
                <w:noProof/>
              </w:rPr>
              <w:tab/>
            </w:r>
            <w:r w:rsidR="002904AE" w:rsidRPr="00A73C89">
              <w:rPr>
                <w:rStyle w:val="Hyperlink"/>
                <w:noProof/>
              </w:rPr>
              <w:t>Hypotheses</w:t>
            </w:r>
            <w:r w:rsidR="002904AE">
              <w:rPr>
                <w:noProof/>
                <w:webHidden/>
              </w:rPr>
              <w:tab/>
            </w:r>
            <w:r>
              <w:rPr>
                <w:noProof/>
                <w:webHidden/>
              </w:rPr>
              <w:fldChar w:fldCharType="begin"/>
            </w:r>
            <w:r w:rsidR="002904AE">
              <w:rPr>
                <w:noProof/>
                <w:webHidden/>
              </w:rPr>
              <w:instrText xml:space="preserve"> PAGEREF _Toc353348784 \h </w:instrText>
            </w:r>
            <w:r>
              <w:rPr>
                <w:noProof/>
                <w:webHidden/>
              </w:rPr>
            </w:r>
            <w:r>
              <w:rPr>
                <w:noProof/>
                <w:webHidden/>
              </w:rPr>
              <w:fldChar w:fldCharType="separate"/>
            </w:r>
            <w:r w:rsidR="002904AE">
              <w:rPr>
                <w:noProof/>
                <w:webHidden/>
              </w:rPr>
              <w:t>19</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5" w:history="1">
            <w:r w:rsidR="002904AE" w:rsidRPr="00A73C89">
              <w:rPr>
                <w:rStyle w:val="Hyperlink"/>
                <w:noProof/>
              </w:rPr>
              <w:t>4.1</w:t>
            </w:r>
            <w:r w:rsidR="002904AE">
              <w:rPr>
                <w:rFonts w:eastAsiaTheme="minorEastAsia"/>
                <w:noProof/>
              </w:rPr>
              <w:tab/>
            </w:r>
            <w:r w:rsidR="002904AE" w:rsidRPr="00A73C89">
              <w:rPr>
                <w:rStyle w:val="Hyperlink"/>
                <w:noProof/>
              </w:rPr>
              <w:t>Points of Inquiry</w:t>
            </w:r>
            <w:r w:rsidR="002904AE">
              <w:rPr>
                <w:noProof/>
                <w:webHidden/>
              </w:rPr>
              <w:tab/>
            </w:r>
            <w:r>
              <w:rPr>
                <w:noProof/>
                <w:webHidden/>
              </w:rPr>
              <w:fldChar w:fldCharType="begin"/>
            </w:r>
            <w:r w:rsidR="002904AE">
              <w:rPr>
                <w:noProof/>
                <w:webHidden/>
              </w:rPr>
              <w:instrText xml:space="preserve"> PAGEREF _Toc353348785 \h </w:instrText>
            </w:r>
            <w:r>
              <w:rPr>
                <w:noProof/>
                <w:webHidden/>
              </w:rPr>
            </w:r>
            <w:r>
              <w:rPr>
                <w:noProof/>
                <w:webHidden/>
              </w:rPr>
              <w:fldChar w:fldCharType="separate"/>
            </w:r>
            <w:r w:rsidR="002904AE">
              <w:rPr>
                <w:noProof/>
                <w:webHidden/>
              </w:rPr>
              <w:t>19</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6" w:history="1">
            <w:r w:rsidR="002904AE" w:rsidRPr="00A73C89">
              <w:rPr>
                <w:rStyle w:val="Hyperlink"/>
                <w:noProof/>
              </w:rPr>
              <w:t>4.2</w:t>
            </w:r>
            <w:r w:rsidR="002904AE">
              <w:rPr>
                <w:rFonts w:eastAsiaTheme="minorEastAsia"/>
                <w:noProof/>
              </w:rPr>
              <w:tab/>
            </w:r>
            <w:r w:rsidR="002904AE" w:rsidRPr="00A73C89">
              <w:rPr>
                <w:rStyle w:val="Hyperlink"/>
                <w:noProof/>
              </w:rPr>
              <w:t>Benchmark Testing</w:t>
            </w:r>
            <w:r w:rsidR="002904AE">
              <w:rPr>
                <w:noProof/>
                <w:webHidden/>
              </w:rPr>
              <w:tab/>
            </w:r>
            <w:r>
              <w:rPr>
                <w:noProof/>
                <w:webHidden/>
              </w:rPr>
              <w:fldChar w:fldCharType="begin"/>
            </w:r>
            <w:r w:rsidR="002904AE">
              <w:rPr>
                <w:noProof/>
                <w:webHidden/>
              </w:rPr>
              <w:instrText xml:space="preserve"> PAGEREF _Toc353348786 \h </w:instrText>
            </w:r>
            <w:r>
              <w:rPr>
                <w:noProof/>
                <w:webHidden/>
              </w:rPr>
            </w:r>
            <w:r>
              <w:rPr>
                <w:noProof/>
                <w:webHidden/>
              </w:rPr>
              <w:fldChar w:fldCharType="separate"/>
            </w:r>
            <w:r w:rsidR="002904AE">
              <w:rPr>
                <w:noProof/>
                <w:webHidden/>
              </w:rPr>
              <w:t>20</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87" w:history="1">
            <w:r w:rsidR="002904AE" w:rsidRPr="00A73C89">
              <w:rPr>
                <w:rStyle w:val="Hyperlink"/>
                <w:noProof/>
              </w:rPr>
              <w:t>5.</w:t>
            </w:r>
            <w:r w:rsidR="002904AE">
              <w:rPr>
                <w:rFonts w:eastAsiaTheme="minorEastAsia"/>
                <w:noProof/>
              </w:rPr>
              <w:tab/>
            </w:r>
            <w:r w:rsidR="002904AE" w:rsidRPr="00A73C89">
              <w:rPr>
                <w:rStyle w:val="Hyperlink"/>
                <w:noProof/>
              </w:rPr>
              <w:t>Estimation Methodology</w:t>
            </w:r>
            <w:r w:rsidR="002904AE">
              <w:rPr>
                <w:noProof/>
                <w:webHidden/>
              </w:rPr>
              <w:tab/>
            </w:r>
            <w:r>
              <w:rPr>
                <w:noProof/>
                <w:webHidden/>
              </w:rPr>
              <w:fldChar w:fldCharType="begin"/>
            </w:r>
            <w:r w:rsidR="002904AE">
              <w:rPr>
                <w:noProof/>
                <w:webHidden/>
              </w:rPr>
              <w:instrText xml:space="preserve"> PAGEREF _Toc353348787 \h </w:instrText>
            </w:r>
            <w:r>
              <w:rPr>
                <w:noProof/>
                <w:webHidden/>
              </w:rPr>
            </w:r>
            <w:r>
              <w:rPr>
                <w:noProof/>
                <w:webHidden/>
              </w:rPr>
              <w:fldChar w:fldCharType="separate"/>
            </w:r>
            <w:r w:rsidR="002904AE">
              <w:rPr>
                <w:noProof/>
                <w:webHidden/>
              </w:rPr>
              <w:t>23</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8" w:history="1">
            <w:r w:rsidR="002904AE" w:rsidRPr="00A73C89">
              <w:rPr>
                <w:rStyle w:val="Hyperlink"/>
                <w:noProof/>
              </w:rPr>
              <w:t>5.1</w:t>
            </w:r>
            <w:r w:rsidR="002904AE">
              <w:rPr>
                <w:rFonts w:eastAsiaTheme="minorEastAsia"/>
                <w:noProof/>
              </w:rPr>
              <w:tab/>
            </w:r>
            <w:r w:rsidR="002904AE" w:rsidRPr="00A73C89">
              <w:rPr>
                <w:rStyle w:val="Hyperlink"/>
                <w:noProof/>
              </w:rPr>
              <w:t>Theoretical Underpinnings and Evolution of the Gravity Model</w:t>
            </w:r>
            <w:r w:rsidR="002904AE">
              <w:rPr>
                <w:noProof/>
                <w:webHidden/>
              </w:rPr>
              <w:tab/>
            </w:r>
            <w:r>
              <w:rPr>
                <w:noProof/>
                <w:webHidden/>
              </w:rPr>
              <w:fldChar w:fldCharType="begin"/>
            </w:r>
            <w:r w:rsidR="002904AE">
              <w:rPr>
                <w:noProof/>
                <w:webHidden/>
              </w:rPr>
              <w:instrText xml:space="preserve"> PAGEREF _Toc353348788 \h </w:instrText>
            </w:r>
            <w:r>
              <w:rPr>
                <w:noProof/>
                <w:webHidden/>
              </w:rPr>
            </w:r>
            <w:r>
              <w:rPr>
                <w:noProof/>
                <w:webHidden/>
              </w:rPr>
              <w:fldChar w:fldCharType="separate"/>
            </w:r>
            <w:r w:rsidR="002904AE">
              <w:rPr>
                <w:noProof/>
                <w:webHidden/>
              </w:rPr>
              <w:t>23</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89" w:history="1">
            <w:r w:rsidR="002904AE" w:rsidRPr="00A73C89">
              <w:rPr>
                <w:rStyle w:val="Hyperlink"/>
                <w:noProof/>
              </w:rPr>
              <w:t>5.2</w:t>
            </w:r>
            <w:r w:rsidR="002904AE">
              <w:rPr>
                <w:rFonts w:eastAsiaTheme="minorEastAsia"/>
                <w:noProof/>
              </w:rPr>
              <w:tab/>
            </w:r>
            <w:r w:rsidR="002904AE" w:rsidRPr="00A73C89">
              <w:rPr>
                <w:rStyle w:val="Hyperlink"/>
                <w:noProof/>
              </w:rPr>
              <w:t>Model Specification</w:t>
            </w:r>
            <w:r w:rsidR="002904AE">
              <w:rPr>
                <w:noProof/>
                <w:webHidden/>
              </w:rPr>
              <w:tab/>
            </w:r>
            <w:r>
              <w:rPr>
                <w:noProof/>
                <w:webHidden/>
              </w:rPr>
              <w:fldChar w:fldCharType="begin"/>
            </w:r>
            <w:r w:rsidR="002904AE">
              <w:rPr>
                <w:noProof/>
                <w:webHidden/>
              </w:rPr>
              <w:instrText xml:space="preserve"> PAGEREF _Toc353348789 \h </w:instrText>
            </w:r>
            <w:r>
              <w:rPr>
                <w:noProof/>
                <w:webHidden/>
              </w:rPr>
            </w:r>
            <w:r>
              <w:rPr>
                <w:noProof/>
                <w:webHidden/>
              </w:rPr>
              <w:fldChar w:fldCharType="separate"/>
            </w:r>
            <w:r w:rsidR="002904AE">
              <w:rPr>
                <w:noProof/>
                <w:webHidden/>
              </w:rPr>
              <w:t>25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0" w:history="1">
            <w:r w:rsidR="002904AE" w:rsidRPr="00A73C89">
              <w:rPr>
                <w:rStyle w:val="Hyperlink"/>
                <w:noProof/>
              </w:rPr>
              <w:t>5.3</w:t>
            </w:r>
            <w:r w:rsidR="002904AE">
              <w:rPr>
                <w:rFonts w:eastAsiaTheme="minorEastAsia"/>
                <w:noProof/>
              </w:rPr>
              <w:tab/>
            </w:r>
            <w:r w:rsidR="002904AE" w:rsidRPr="00A73C89">
              <w:rPr>
                <w:rStyle w:val="Hyperlink"/>
                <w:noProof/>
              </w:rPr>
              <w:t>Variables</w:t>
            </w:r>
            <w:r w:rsidR="002904AE">
              <w:rPr>
                <w:noProof/>
                <w:webHidden/>
              </w:rPr>
              <w:tab/>
            </w:r>
            <w:r>
              <w:rPr>
                <w:noProof/>
                <w:webHidden/>
              </w:rPr>
              <w:fldChar w:fldCharType="begin"/>
            </w:r>
            <w:r w:rsidR="002904AE">
              <w:rPr>
                <w:noProof/>
                <w:webHidden/>
              </w:rPr>
              <w:instrText xml:space="preserve"> PAGEREF _Toc353348790 \h </w:instrText>
            </w:r>
            <w:r>
              <w:rPr>
                <w:noProof/>
                <w:webHidden/>
              </w:rPr>
            </w:r>
            <w:r>
              <w:rPr>
                <w:noProof/>
                <w:webHidden/>
              </w:rPr>
              <w:fldChar w:fldCharType="separate"/>
            </w:r>
            <w:r w:rsidR="002904AE">
              <w:rPr>
                <w:noProof/>
                <w:webHidden/>
              </w:rPr>
              <w:t>26</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91" w:history="1">
            <w:r w:rsidR="002904AE" w:rsidRPr="00A73C89">
              <w:rPr>
                <w:rStyle w:val="Hyperlink"/>
                <w:noProof/>
              </w:rPr>
              <w:t>6.</w:t>
            </w:r>
            <w:r w:rsidR="002904AE">
              <w:rPr>
                <w:rFonts w:eastAsiaTheme="minorEastAsia"/>
                <w:noProof/>
              </w:rPr>
              <w:tab/>
            </w:r>
            <w:r w:rsidR="002904AE" w:rsidRPr="00A73C89">
              <w:rPr>
                <w:rStyle w:val="Hyperlink"/>
                <w:noProof/>
              </w:rPr>
              <w:t>Model Testing</w:t>
            </w:r>
            <w:r w:rsidR="002904AE">
              <w:rPr>
                <w:noProof/>
                <w:webHidden/>
              </w:rPr>
              <w:tab/>
            </w:r>
            <w:r>
              <w:rPr>
                <w:noProof/>
                <w:webHidden/>
              </w:rPr>
              <w:fldChar w:fldCharType="begin"/>
            </w:r>
            <w:r w:rsidR="002904AE">
              <w:rPr>
                <w:noProof/>
                <w:webHidden/>
              </w:rPr>
              <w:instrText xml:space="preserve"> PAGEREF _Toc353348791 \h </w:instrText>
            </w:r>
            <w:r>
              <w:rPr>
                <w:noProof/>
                <w:webHidden/>
              </w:rPr>
            </w:r>
            <w:r>
              <w:rPr>
                <w:noProof/>
                <w:webHidden/>
              </w:rPr>
              <w:fldChar w:fldCharType="separate"/>
            </w:r>
            <w:r w:rsidR="002904AE">
              <w:rPr>
                <w:noProof/>
                <w:webHidden/>
              </w:rPr>
              <w:t>31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2" w:history="1">
            <w:r w:rsidR="002904AE" w:rsidRPr="00A73C89">
              <w:rPr>
                <w:rStyle w:val="Hyperlink"/>
                <w:noProof/>
              </w:rPr>
              <w:t>6.1</w:t>
            </w:r>
            <w:r w:rsidR="002904AE">
              <w:rPr>
                <w:rFonts w:eastAsiaTheme="minorEastAsia"/>
                <w:noProof/>
              </w:rPr>
              <w:tab/>
            </w:r>
            <w:r w:rsidR="002904AE" w:rsidRPr="00A73C89">
              <w:rPr>
                <w:rStyle w:val="Hyperlink"/>
                <w:noProof/>
              </w:rPr>
              <w:t>Panel Least Squares Regression</w:t>
            </w:r>
            <w:r w:rsidR="002904AE">
              <w:rPr>
                <w:noProof/>
                <w:webHidden/>
              </w:rPr>
              <w:tab/>
            </w:r>
            <w:r>
              <w:rPr>
                <w:noProof/>
                <w:webHidden/>
              </w:rPr>
              <w:fldChar w:fldCharType="begin"/>
            </w:r>
            <w:r w:rsidR="002904AE">
              <w:rPr>
                <w:noProof/>
                <w:webHidden/>
              </w:rPr>
              <w:instrText xml:space="preserve"> PAGEREF _Toc353348792 \h </w:instrText>
            </w:r>
            <w:r>
              <w:rPr>
                <w:noProof/>
                <w:webHidden/>
              </w:rPr>
            </w:r>
            <w:r>
              <w:rPr>
                <w:noProof/>
                <w:webHidden/>
              </w:rPr>
              <w:fldChar w:fldCharType="separate"/>
            </w:r>
            <w:r w:rsidR="002904AE">
              <w:rPr>
                <w:noProof/>
                <w:webHidden/>
              </w:rPr>
              <w:t>31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3" w:history="1">
            <w:r w:rsidR="002904AE" w:rsidRPr="00A73C89">
              <w:rPr>
                <w:rStyle w:val="Hyperlink"/>
                <w:noProof/>
              </w:rPr>
              <w:t>6.2</w:t>
            </w:r>
            <w:r w:rsidR="002904AE">
              <w:rPr>
                <w:rFonts w:eastAsiaTheme="minorEastAsia"/>
                <w:noProof/>
              </w:rPr>
              <w:tab/>
            </w:r>
            <w:r w:rsidR="002904AE" w:rsidRPr="00A73C89">
              <w:rPr>
                <w:rStyle w:val="Hyperlink"/>
                <w:noProof/>
              </w:rPr>
              <w:t>Model Selection</w:t>
            </w:r>
            <w:r w:rsidR="002904AE">
              <w:rPr>
                <w:noProof/>
                <w:webHidden/>
              </w:rPr>
              <w:tab/>
            </w:r>
            <w:r>
              <w:rPr>
                <w:noProof/>
                <w:webHidden/>
              </w:rPr>
              <w:fldChar w:fldCharType="begin"/>
            </w:r>
            <w:r w:rsidR="002904AE">
              <w:rPr>
                <w:noProof/>
                <w:webHidden/>
              </w:rPr>
              <w:instrText xml:space="preserve"> PAGEREF _Toc353348793 \h </w:instrText>
            </w:r>
            <w:r>
              <w:rPr>
                <w:noProof/>
                <w:webHidden/>
              </w:rPr>
            </w:r>
            <w:r>
              <w:rPr>
                <w:noProof/>
                <w:webHidden/>
              </w:rPr>
              <w:fldChar w:fldCharType="separate"/>
            </w:r>
            <w:r w:rsidR="002904AE">
              <w:rPr>
                <w:noProof/>
                <w:webHidden/>
              </w:rPr>
              <w:t>33</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794" w:history="1">
            <w:r w:rsidR="002904AE" w:rsidRPr="00A73C89">
              <w:rPr>
                <w:rStyle w:val="Hyperlink"/>
                <w:noProof/>
              </w:rPr>
              <w:t>7.</w:t>
            </w:r>
            <w:r w:rsidR="002904AE">
              <w:rPr>
                <w:rFonts w:eastAsiaTheme="minorEastAsia"/>
                <w:noProof/>
              </w:rPr>
              <w:tab/>
            </w:r>
            <w:r w:rsidR="002904AE" w:rsidRPr="00A73C89">
              <w:rPr>
                <w:rStyle w:val="Hyperlink"/>
                <w:noProof/>
              </w:rPr>
              <w:t>Empirical Results</w:t>
            </w:r>
            <w:r w:rsidR="002904AE">
              <w:rPr>
                <w:noProof/>
                <w:webHidden/>
              </w:rPr>
              <w:tab/>
            </w:r>
            <w:r>
              <w:rPr>
                <w:noProof/>
                <w:webHidden/>
              </w:rPr>
              <w:fldChar w:fldCharType="begin"/>
            </w:r>
            <w:r w:rsidR="002904AE">
              <w:rPr>
                <w:noProof/>
                <w:webHidden/>
              </w:rPr>
              <w:instrText xml:space="preserve"> PAGEREF _Toc353348794 \h </w:instrText>
            </w:r>
            <w:r>
              <w:rPr>
                <w:noProof/>
                <w:webHidden/>
              </w:rPr>
            </w:r>
            <w:r>
              <w:rPr>
                <w:noProof/>
                <w:webHidden/>
              </w:rPr>
              <w:fldChar w:fldCharType="separate"/>
            </w:r>
            <w:r w:rsidR="002904AE">
              <w:rPr>
                <w:noProof/>
                <w:webHidden/>
              </w:rPr>
              <w:t>35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5" w:history="1">
            <w:r w:rsidR="002904AE" w:rsidRPr="00A73C89">
              <w:rPr>
                <w:rStyle w:val="Hyperlink"/>
                <w:noProof/>
              </w:rPr>
              <w:t>7.1</w:t>
            </w:r>
            <w:r w:rsidR="002904AE">
              <w:rPr>
                <w:rFonts w:eastAsiaTheme="minorEastAsia"/>
                <w:noProof/>
              </w:rPr>
              <w:tab/>
            </w:r>
            <w:r w:rsidR="002904AE" w:rsidRPr="00A73C89">
              <w:rPr>
                <w:rStyle w:val="Hyperlink"/>
                <w:noProof/>
              </w:rPr>
              <w:t>Part I – H.1</w:t>
            </w:r>
            <w:r w:rsidR="002904AE">
              <w:rPr>
                <w:noProof/>
                <w:webHidden/>
              </w:rPr>
              <w:tab/>
            </w:r>
            <w:r>
              <w:rPr>
                <w:noProof/>
                <w:webHidden/>
              </w:rPr>
              <w:fldChar w:fldCharType="begin"/>
            </w:r>
            <w:r w:rsidR="002904AE">
              <w:rPr>
                <w:noProof/>
                <w:webHidden/>
              </w:rPr>
              <w:instrText xml:space="preserve"> PAGEREF _Toc353348795 \h </w:instrText>
            </w:r>
            <w:r>
              <w:rPr>
                <w:noProof/>
                <w:webHidden/>
              </w:rPr>
            </w:r>
            <w:r>
              <w:rPr>
                <w:noProof/>
                <w:webHidden/>
              </w:rPr>
              <w:fldChar w:fldCharType="separate"/>
            </w:r>
            <w:r w:rsidR="002904AE">
              <w:rPr>
                <w:noProof/>
                <w:webHidden/>
              </w:rPr>
              <w:t>35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6" w:history="1">
            <w:r w:rsidR="002904AE" w:rsidRPr="00A73C89">
              <w:rPr>
                <w:rStyle w:val="Hyperlink"/>
                <w:noProof/>
              </w:rPr>
              <w:t>7.2</w:t>
            </w:r>
            <w:r w:rsidR="002904AE">
              <w:rPr>
                <w:rFonts w:eastAsiaTheme="minorEastAsia"/>
                <w:noProof/>
              </w:rPr>
              <w:tab/>
            </w:r>
            <w:r w:rsidR="002904AE" w:rsidRPr="00A73C89">
              <w:rPr>
                <w:rStyle w:val="Hyperlink"/>
                <w:noProof/>
              </w:rPr>
              <w:t>Part I – H.2 &amp; H.3</w:t>
            </w:r>
            <w:r w:rsidR="002904AE">
              <w:rPr>
                <w:noProof/>
                <w:webHidden/>
              </w:rPr>
              <w:tab/>
            </w:r>
            <w:r>
              <w:rPr>
                <w:noProof/>
                <w:webHidden/>
              </w:rPr>
              <w:fldChar w:fldCharType="begin"/>
            </w:r>
            <w:r w:rsidR="002904AE">
              <w:rPr>
                <w:noProof/>
                <w:webHidden/>
              </w:rPr>
              <w:instrText xml:space="preserve"> PAGEREF _Toc353348796 \h </w:instrText>
            </w:r>
            <w:r>
              <w:rPr>
                <w:noProof/>
                <w:webHidden/>
              </w:rPr>
            </w:r>
            <w:r>
              <w:rPr>
                <w:noProof/>
                <w:webHidden/>
              </w:rPr>
              <w:fldChar w:fldCharType="separate"/>
            </w:r>
            <w:r w:rsidR="002904AE">
              <w:rPr>
                <w:noProof/>
                <w:webHidden/>
              </w:rPr>
              <w:t>37</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7" w:history="1">
            <w:r w:rsidR="002904AE" w:rsidRPr="00A73C89">
              <w:rPr>
                <w:rStyle w:val="Hyperlink"/>
                <w:noProof/>
              </w:rPr>
              <w:t>7.3</w:t>
            </w:r>
            <w:r w:rsidR="002904AE">
              <w:rPr>
                <w:rFonts w:eastAsiaTheme="minorEastAsia"/>
                <w:noProof/>
              </w:rPr>
              <w:tab/>
            </w:r>
            <w:r w:rsidR="002904AE" w:rsidRPr="00A73C89">
              <w:rPr>
                <w:rStyle w:val="Hyperlink"/>
                <w:noProof/>
              </w:rPr>
              <w:t>Part II – H.4</w:t>
            </w:r>
            <w:r w:rsidR="002904AE">
              <w:rPr>
                <w:noProof/>
                <w:webHidden/>
              </w:rPr>
              <w:tab/>
            </w:r>
            <w:r>
              <w:rPr>
                <w:noProof/>
                <w:webHidden/>
              </w:rPr>
              <w:fldChar w:fldCharType="begin"/>
            </w:r>
            <w:r w:rsidR="002904AE">
              <w:rPr>
                <w:noProof/>
                <w:webHidden/>
              </w:rPr>
              <w:instrText xml:space="preserve"> PAGEREF _Toc353348797 \h </w:instrText>
            </w:r>
            <w:r>
              <w:rPr>
                <w:noProof/>
                <w:webHidden/>
              </w:rPr>
            </w:r>
            <w:r>
              <w:rPr>
                <w:noProof/>
                <w:webHidden/>
              </w:rPr>
              <w:fldChar w:fldCharType="separate"/>
            </w:r>
            <w:r w:rsidR="002904AE">
              <w:rPr>
                <w:noProof/>
                <w:webHidden/>
              </w:rPr>
              <w:t>39</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8" w:history="1">
            <w:r w:rsidR="002904AE" w:rsidRPr="00A73C89">
              <w:rPr>
                <w:rStyle w:val="Hyperlink"/>
                <w:noProof/>
              </w:rPr>
              <w:t>7.4</w:t>
            </w:r>
            <w:r w:rsidR="002904AE">
              <w:rPr>
                <w:rFonts w:eastAsiaTheme="minorEastAsia"/>
                <w:noProof/>
              </w:rPr>
              <w:tab/>
            </w:r>
            <w:r w:rsidR="002904AE" w:rsidRPr="00A73C89">
              <w:rPr>
                <w:rStyle w:val="Hyperlink"/>
                <w:noProof/>
              </w:rPr>
              <w:t>Part II – H.5 &amp; H.6</w:t>
            </w:r>
            <w:r w:rsidR="002904AE">
              <w:rPr>
                <w:noProof/>
                <w:webHidden/>
              </w:rPr>
              <w:tab/>
            </w:r>
            <w:r>
              <w:rPr>
                <w:noProof/>
                <w:webHidden/>
              </w:rPr>
              <w:fldChar w:fldCharType="begin"/>
            </w:r>
            <w:r w:rsidR="002904AE">
              <w:rPr>
                <w:noProof/>
                <w:webHidden/>
              </w:rPr>
              <w:instrText xml:space="preserve"> PAGEREF _Toc353348798 \h </w:instrText>
            </w:r>
            <w:r>
              <w:rPr>
                <w:noProof/>
                <w:webHidden/>
              </w:rPr>
            </w:r>
            <w:r>
              <w:rPr>
                <w:noProof/>
                <w:webHidden/>
              </w:rPr>
              <w:fldChar w:fldCharType="separate"/>
            </w:r>
            <w:r w:rsidR="002904AE">
              <w:rPr>
                <w:noProof/>
                <w:webHidden/>
              </w:rPr>
              <w:t>41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799" w:history="1">
            <w:r w:rsidR="002904AE" w:rsidRPr="00A73C89">
              <w:rPr>
                <w:rStyle w:val="Hyperlink"/>
                <w:noProof/>
              </w:rPr>
              <w:t>7.5</w:t>
            </w:r>
            <w:r w:rsidR="002904AE">
              <w:rPr>
                <w:rFonts w:eastAsiaTheme="minorEastAsia"/>
                <w:noProof/>
              </w:rPr>
              <w:tab/>
            </w:r>
            <w:r w:rsidR="002904AE" w:rsidRPr="00A73C89">
              <w:rPr>
                <w:rStyle w:val="Hyperlink"/>
                <w:noProof/>
              </w:rPr>
              <w:t>Preliminary Findings</w:t>
            </w:r>
            <w:r w:rsidR="002904AE">
              <w:rPr>
                <w:noProof/>
                <w:webHidden/>
              </w:rPr>
              <w:tab/>
            </w:r>
            <w:r>
              <w:rPr>
                <w:noProof/>
                <w:webHidden/>
              </w:rPr>
              <w:fldChar w:fldCharType="begin"/>
            </w:r>
            <w:r w:rsidR="002904AE">
              <w:rPr>
                <w:noProof/>
                <w:webHidden/>
              </w:rPr>
              <w:instrText xml:space="preserve"> PAGEREF _Toc353348799 \h </w:instrText>
            </w:r>
            <w:r>
              <w:rPr>
                <w:noProof/>
                <w:webHidden/>
              </w:rPr>
            </w:r>
            <w:r>
              <w:rPr>
                <w:noProof/>
                <w:webHidden/>
              </w:rPr>
              <w:fldChar w:fldCharType="separate"/>
            </w:r>
            <w:r w:rsidR="002904AE">
              <w:rPr>
                <w:noProof/>
                <w:webHidden/>
              </w:rPr>
              <w:t>43</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800" w:history="1">
            <w:r w:rsidR="002904AE" w:rsidRPr="00A73C89">
              <w:rPr>
                <w:rStyle w:val="Hyperlink"/>
                <w:noProof/>
              </w:rPr>
              <w:t>8.</w:t>
            </w:r>
            <w:r w:rsidR="002904AE">
              <w:rPr>
                <w:rFonts w:eastAsiaTheme="minorEastAsia"/>
                <w:noProof/>
              </w:rPr>
              <w:tab/>
            </w:r>
            <w:r w:rsidR="002904AE" w:rsidRPr="00A73C89">
              <w:rPr>
                <w:rStyle w:val="Hyperlink"/>
                <w:noProof/>
              </w:rPr>
              <w:t>Robustness Tests</w:t>
            </w:r>
            <w:r w:rsidR="002904AE">
              <w:rPr>
                <w:noProof/>
                <w:webHidden/>
              </w:rPr>
              <w:tab/>
            </w:r>
            <w:r>
              <w:rPr>
                <w:noProof/>
                <w:webHidden/>
              </w:rPr>
              <w:fldChar w:fldCharType="begin"/>
            </w:r>
            <w:r w:rsidR="002904AE">
              <w:rPr>
                <w:noProof/>
                <w:webHidden/>
              </w:rPr>
              <w:instrText xml:space="preserve"> PAGEREF _Toc353348800 \h </w:instrText>
            </w:r>
            <w:r>
              <w:rPr>
                <w:noProof/>
                <w:webHidden/>
              </w:rPr>
            </w:r>
            <w:r>
              <w:rPr>
                <w:noProof/>
                <w:webHidden/>
              </w:rPr>
              <w:fldChar w:fldCharType="separate"/>
            </w:r>
            <w:r w:rsidR="002904AE">
              <w:rPr>
                <w:noProof/>
                <w:webHidden/>
              </w:rPr>
              <w:t>44</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1" w:history="1">
            <w:r w:rsidR="002904AE" w:rsidRPr="00A73C89">
              <w:rPr>
                <w:rStyle w:val="Hyperlink"/>
                <w:noProof/>
              </w:rPr>
              <w:t>8.1</w:t>
            </w:r>
            <w:r w:rsidR="002904AE">
              <w:rPr>
                <w:rFonts w:eastAsiaTheme="minorEastAsia"/>
                <w:noProof/>
              </w:rPr>
              <w:tab/>
            </w:r>
            <w:r w:rsidR="002904AE" w:rsidRPr="00A73C89">
              <w:rPr>
                <w:rStyle w:val="Hyperlink"/>
                <w:noProof/>
              </w:rPr>
              <w:t>Causality Testing</w:t>
            </w:r>
            <w:r w:rsidR="002904AE">
              <w:rPr>
                <w:noProof/>
                <w:webHidden/>
              </w:rPr>
              <w:tab/>
            </w:r>
            <w:r>
              <w:rPr>
                <w:noProof/>
                <w:webHidden/>
              </w:rPr>
              <w:fldChar w:fldCharType="begin"/>
            </w:r>
            <w:r w:rsidR="002904AE">
              <w:rPr>
                <w:noProof/>
                <w:webHidden/>
              </w:rPr>
              <w:instrText xml:space="preserve"> PAGEREF _Toc353348801 \h </w:instrText>
            </w:r>
            <w:r>
              <w:rPr>
                <w:noProof/>
                <w:webHidden/>
              </w:rPr>
            </w:r>
            <w:r>
              <w:rPr>
                <w:noProof/>
                <w:webHidden/>
              </w:rPr>
              <w:fldChar w:fldCharType="separate"/>
            </w:r>
            <w:r w:rsidR="002904AE">
              <w:rPr>
                <w:noProof/>
                <w:webHidden/>
              </w:rPr>
              <w:t>44</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2" w:history="1">
            <w:r w:rsidR="002904AE" w:rsidRPr="00A73C89">
              <w:rPr>
                <w:rStyle w:val="Hyperlink"/>
                <w:noProof/>
              </w:rPr>
              <w:t>8.2</w:t>
            </w:r>
            <w:r w:rsidR="002904AE">
              <w:rPr>
                <w:rFonts w:eastAsiaTheme="minorEastAsia"/>
                <w:noProof/>
              </w:rPr>
              <w:tab/>
            </w:r>
            <w:r w:rsidR="002904AE" w:rsidRPr="00A73C89">
              <w:rPr>
                <w:rStyle w:val="Hyperlink"/>
                <w:noProof/>
              </w:rPr>
              <w:t>Excluding Cyprus</w:t>
            </w:r>
            <w:r w:rsidR="002904AE">
              <w:rPr>
                <w:noProof/>
                <w:webHidden/>
              </w:rPr>
              <w:tab/>
            </w:r>
            <w:r>
              <w:rPr>
                <w:noProof/>
                <w:webHidden/>
              </w:rPr>
              <w:fldChar w:fldCharType="begin"/>
            </w:r>
            <w:r w:rsidR="002904AE">
              <w:rPr>
                <w:noProof/>
                <w:webHidden/>
              </w:rPr>
              <w:instrText xml:space="preserve"> PAGEREF _Toc353348802 \h </w:instrText>
            </w:r>
            <w:r>
              <w:rPr>
                <w:noProof/>
                <w:webHidden/>
              </w:rPr>
            </w:r>
            <w:r>
              <w:rPr>
                <w:noProof/>
                <w:webHidden/>
              </w:rPr>
              <w:fldChar w:fldCharType="separate"/>
            </w:r>
            <w:r w:rsidR="002904AE">
              <w:rPr>
                <w:noProof/>
                <w:webHidden/>
              </w:rPr>
              <w:t>48</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3" w:history="1">
            <w:r w:rsidR="002904AE" w:rsidRPr="00A73C89">
              <w:rPr>
                <w:rStyle w:val="Hyperlink"/>
                <w:noProof/>
              </w:rPr>
              <w:t>8.3</w:t>
            </w:r>
            <w:r w:rsidR="002904AE">
              <w:rPr>
                <w:rFonts w:eastAsiaTheme="minorEastAsia"/>
                <w:noProof/>
              </w:rPr>
              <w:tab/>
            </w:r>
            <w:r w:rsidR="002904AE" w:rsidRPr="00A73C89">
              <w:rPr>
                <w:rStyle w:val="Hyperlink"/>
                <w:noProof/>
              </w:rPr>
              <w:t>Changing Years of Euro Adoption</w:t>
            </w:r>
            <w:r w:rsidR="002904AE">
              <w:rPr>
                <w:noProof/>
                <w:webHidden/>
              </w:rPr>
              <w:tab/>
            </w:r>
            <w:r>
              <w:rPr>
                <w:noProof/>
                <w:webHidden/>
              </w:rPr>
              <w:fldChar w:fldCharType="begin"/>
            </w:r>
            <w:r w:rsidR="002904AE">
              <w:rPr>
                <w:noProof/>
                <w:webHidden/>
              </w:rPr>
              <w:instrText xml:space="preserve"> PAGEREF _Toc353348803 \h </w:instrText>
            </w:r>
            <w:r>
              <w:rPr>
                <w:noProof/>
                <w:webHidden/>
              </w:rPr>
            </w:r>
            <w:r>
              <w:rPr>
                <w:noProof/>
                <w:webHidden/>
              </w:rPr>
              <w:fldChar w:fldCharType="separate"/>
            </w:r>
            <w:r w:rsidR="002904AE">
              <w:rPr>
                <w:noProof/>
                <w:webHidden/>
              </w:rPr>
              <w:t>51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4" w:history="1">
            <w:r w:rsidR="002904AE" w:rsidRPr="00A73C89">
              <w:rPr>
                <w:rStyle w:val="Hyperlink"/>
                <w:noProof/>
              </w:rPr>
              <w:t>8.4</w:t>
            </w:r>
            <w:r w:rsidR="002904AE">
              <w:rPr>
                <w:rFonts w:eastAsiaTheme="minorEastAsia"/>
                <w:noProof/>
              </w:rPr>
              <w:tab/>
            </w:r>
            <w:r w:rsidR="002904AE" w:rsidRPr="00A73C89">
              <w:rPr>
                <w:rStyle w:val="Hyperlink"/>
                <w:noProof/>
              </w:rPr>
              <w:t>Summary</w:t>
            </w:r>
            <w:r w:rsidR="002904AE">
              <w:rPr>
                <w:noProof/>
                <w:webHidden/>
              </w:rPr>
              <w:tab/>
            </w:r>
            <w:r>
              <w:rPr>
                <w:noProof/>
                <w:webHidden/>
              </w:rPr>
              <w:fldChar w:fldCharType="begin"/>
            </w:r>
            <w:r w:rsidR="002904AE">
              <w:rPr>
                <w:noProof/>
                <w:webHidden/>
              </w:rPr>
              <w:instrText xml:space="preserve"> PAGEREF _Toc353348804 \h </w:instrText>
            </w:r>
            <w:r>
              <w:rPr>
                <w:noProof/>
                <w:webHidden/>
              </w:rPr>
            </w:r>
            <w:r>
              <w:rPr>
                <w:noProof/>
                <w:webHidden/>
              </w:rPr>
              <w:fldChar w:fldCharType="separate"/>
            </w:r>
            <w:r w:rsidR="002904AE">
              <w:rPr>
                <w:noProof/>
                <w:webHidden/>
              </w:rPr>
              <w:t>54</w:t>
            </w:r>
            <w:r>
              <w:rPr>
                <w:noProof/>
                <w:webHidden/>
              </w:rPr>
              <w:fldChar w:fldCharType="end"/>
            </w:r>
          </w:hyperlink>
        </w:p>
        <w:p w:rsidR="002904AE" w:rsidRDefault="008A5472">
          <w:pPr>
            <w:pStyle w:val="TOC1"/>
            <w:tabs>
              <w:tab w:val="left" w:pos="440"/>
              <w:tab w:val="right" w:leader="dot" w:pos="9016"/>
            </w:tabs>
            <w:rPr>
              <w:rFonts w:eastAsiaTheme="minorEastAsia"/>
              <w:noProof/>
            </w:rPr>
          </w:pPr>
          <w:hyperlink w:anchor="_Toc353348805" w:history="1">
            <w:r w:rsidR="002904AE" w:rsidRPr="00A73C89">
              <w:rPr>
                <w:rStyle w:val="Hyperlink"/>
                <w:noProof/>
              </w:rPr>
              <w:t>9.</w:t>
            </w:r>
            <w:r w:rsidR="002904AE">
              <w:rPr>
                <w:rFonts w:eastAsiaTheme="minorEastAsia"/>
                <w:noProof/>
              </w:rPr>
              <w:tab/>
            </w:r>
            <w:r w:rsidR="002904AE" w:rsidRPr="00A73C89">
              <w:rPr>
                <w:rStyle w:val="Hyperlink"/>
                <w:noProof/>
              </w:rPr>
              <w:t>Extensions</w:t>
            </w:r>
            <w:r w:rsidR="002904AE">
              <w:rPr>
                <w:noProof/>
                <w:webHidden/>
              </w:rPr>
              <w:tab/>
            </w:r>
            <w:r>
              <w:rPr>
                <w:noProof/>
                <w:webHidden/>
              </w:rPr>
              <w:fldChar w:fldCharType="begin"/>
            </w:r>
            <w:r w:rsidR="002904AE">
              <w:rPr>
                <w:noProof/>
                <w:webHidden/>
              </w:rPr>
              <w:instrText xml:space="preserve"> PAGEREF _Toc353348805 \h </w:instrText>
            </w:r>
            <w:r>
              <w:rPr>
                <w:noProof/>
                <w:webHidden/>
              </w:rPr>
            </w:r>
            <w:r>
              <w:rPr>
                <w:noProof/>
                <w:webHidden/>
              </w:rPr>
              <w:fldChar w:fldCharType="separate"/>
            </w:r>
            <w:r w:rsidR="002904AE">
              <w:rPr>
                <w:noProof/>
                <w:webHidden/>
              </w:rPr>
              <w:t>55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6" w:history="1">
            <w:r w:rsidR="002904AE" w:rsidRPr="00A73C89">
              <w:rPr>
                <w:rStyle w:val="Hyperlink"/>
                <w:noProof/>
              </w:rPr>
              <w:t xml:space="preserve">9.1  </w:t>
            </w:r>
            <w:r w:rsidR="002904AE">
              <w:rPr>
                <w:rFonts w:eastAsiaTheme="minorEastAsia"/>
                <w:noProof/>
              </w:rPr>
              <w:tab/>
            </w:r>
            <w:r w:rsidR="002904AE" w:rsidRPr="00A73C89">
              <w:rPr>
                <w:rStyle w:val="Hyperlink"/>
                <w:noProof/>
              </w:rPr>
              <w:t>Export and Import Trade Effects of Euro Adoption</w:t>
            </w:r>
            <w:r w:rsidR="002904AE">
              <w:rPr>
                <w:noProof/>
                <w:webHidden/>
              </w:rPr>
              <w:tab/>
            </w:r>
            <w:r>
              <w:rPr>
                <w:noProof/>
                <w:webHidden/>
              </w:rPr>
              <w:fldChar w:fldCharType="begin"/>
            </w:r>
            <w:r w:rsidR="002904AE">
              <w:rPr>
                <w:noProof/>
                <w:webHidden/>
              </w:rPr>
              <w:instrText xml:space="preserve"> PAGEREF _Toc353348806 \h </w:instrText>
            </w:r>
            <w:r>
              <w:rPr>
                <w:noProof/>
                <w:webHidden/>
              </w:rPr>
            </w:r>
            <w:r>
              <w:rPr>
                <w:noProof/>
                <w:webHidden/>
              </w:rPr>
              <w:fldChar w:fldCharType="separate"/>
            </w:r>
            <w:r w:rsidR="002904AE">
              <w:rPr>
                <w:noProof/>
                <w:webHidden/>
              </w:rPr>
              <w:t>55</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7" w:history="1">
            <w:r w:rsidR="002904AE" w:rsidRPr="00A73C89">
              <w:rPr>
                <w:rStyle w:val="Hyperlink"/>
                <w:noProof/>
              </w:rPr>
              <w:t xml:space="preserve">9.2  </w:t>
            </w:r>
            <w:r w:rsidR="002904AE">
              <w:rPr>
                <w:rFonts w:eastAsiaTheme="minorEastAsia"/>
                <w:noProof/>
              </w:rPr>
              <w:tab/>
            </w:r>
            <w:r w:rsidR="002904AE" w:rsidRPr="00A73C89">
              <w:rPr>
                <w:rStyle w:val="Hyperlink"/>
                <w:noProof/>
              </w:rPr>
              <w:t>Openness to Trade</w:t>
            </w:r>
            <w:r w:rsidR="002904AE">
              <w:rPr>
                <w:noProof/>
                <w:webHidden/>
              </w:rPr>
              <w:tab/>
            </w:r>
            <w:r>
              <w:rPr>
                <w:noProof/>
                <w:webHidden/>
              </w:rPr>
              <w:fldChar w:fldCharType="begin"/>
            </w:r>
            <w:r w:rsidR="002904AE">
              <w:rPr>
                <w:noProof/>
                <w:webHidden/>
              </w:rPr>
              <w:instrText xml:space="preserve"> PAGEREF _Toc353348807 \h </w:instrText>
            </w:r>
            <w:r>
              <w:rPr>
                <w:noProof/>
                <w:webHidden/>
              </w:rPr>
            </w:r>
            <w:r>
              <w:rPr>
                <w:noProof/>
                <w:webHidden/>
              </w:rPr>
              <w:fldChar w:fldCharType="separate"/>
            </w:r>
            <w:r w:rsidR="002904AE">
              <w:rPr>
                <w:noProof/>
                <w:webHidden/>
              </w:rPr>
              <w:t>57</w:t>
            </w:r>
            <w:r>
              <w:rPr>
                <w:noProof/>
                <w:webHidden/>
              </w:rPr>
              <w:fldChar w:fldCharType="end"/>
            </w:r>
          </w:hyperlink>
        </w:p>
        <w:p w:rsidR="002904AE" w:rsidRDefault="008A5472">
          <w:pPr>
            <w:pStyle w:val="TOC1"/>
            <w:tabs>
              <w:tab w:val="left" w:pos="660"/>
              <w:tab w:val="right" w:leader="dot" w:pos="9016"/>
            </w:tabs>
            <w:rPr>
              <w:rFonts w:eastAsiaTheme="minorEastAsia"/>
              <w:noProof/>
            </w:rPr>
          </w:pPr>
          <w:hyperlink w:anchor="_Toc353348808" w:history="1">
            <w:r w:rsidR="002904AE" w:rsidRPr="00A73C89">
              <w:rPr>
                <w:rStyle w:val="Hyperlink"/>
                <w:noProof/>
              </w:rPr>
              <w:t>10.</w:t>
            </w:r>
            <w:r w:rsidR="002904AE">
              <w:rPr>
                <w:rFonts w:eastAsiaTheme="minorEastAsia"/>
                <w:noProof/>
              </w:rPr>
              <w:tab/>
            </w:r>
            <w:r w:rsidR="002904AE" w:rsidRPr="00A73C89">
              <w:rPr>
                <w:rStyle w:val="Hyperlink"/>
                <w:noProof/>
              </w:rPr>
              <w:t>Conclusion</w:t>
            </w:r>
            <w:r w:rsidR="002904AE">
              <w:rPr>
                <w:noProof/>
                <w:webHidden/>
              </w:rPr>
              <w:tab/>
            </w:r>
            <w:r>
              <w:rPr>
                <w:noProof/>
                <w:webHidden/>
              </w:rPr>
              <w:fldChar w:fldCharType="begin"/>
            </w:r>
            <w:r w:rsidR="002904AE">
              <w:rPr>
                <w:noProof/>
                <w:webHidden/>
              </w:rPr>
              <w:instrText xml:space="preserve"> PAGEREF _Toc353348808 \h </w:instrText>
            </w:r>
            <w:r>
              <w:rPr>
                <w:noProof/>
                <w:webHidden/>
              </w:rPr>
            </w:r>
            <w:r>
              <w:rPr>
                <w:noProof/>
                <w:webHidden/>
              </w:rPr>
              <w:fldChar w:fldCharType="separate"/>
            </w:r>
            <w:r w:rsidR="002904AE">
              <w:rPr>
                <w:noProof/>
                <w:webHidden/>
              </w:rPr>
              <w:t>60</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09" w:history="1">
            <w:r w:rsidR="002904AE" w:rsidRPr="00A73C89">
              <w:rPr>
                <w:rStyle w:val="Hyperlink"/>
                <w:noProof/>
              </w:rPr>
              <w:t>10.1</w:t>
            </w:r>
            <w:r w:rsidR="002904AE">
              <w:rPr>
                <w:rFonts w:eastAsiaTheme="minorEastAsia"/>
                <w:noProof/>
              </w:rPr>
              <w:tab/>
            </w:r>
            <w:r w:rsidR="002904AE" w:rsidRPr="00A73C89">
              <w:rPr>
                <w:rStyle w:val="Hyperlink"/>
                <w:noProof/>
              </w:rPr>
              <w:t>Policy Recommendations</w:t>
            </w:r>
            <w:r w:rsidR="002904AE">
              <w:rPr>
                <w:noProof/>
                <w:webHidden/>
              </w:rPr>
              <w:tab/>
            </w:r>
            <w:r>
              <w:rPr>
                <w:noProof/>
                <w:webHidden/>
              </w:rPr>
              <w:fldChar w:fldCharType="begin"/>
            </w:r>
            <w:r w:rsidR="002904AE">
              <w:rPr>
                <w:noProof/>
                <w:webHidden/>
              </w:rPr>
              <w:instrText xml:space="preserve"> PAGEREF _Toc353348809 \h </w:instrText>
            </w:r>
            <w:r>
              <w:rPr>
                <w:noProof/>
                <w:webHidden/>
              </w:rPr>
            </w:r>
            <w:r>
              <w:rPr>
                <w:noProof/>
                <w:webHidden/>
              </w:rPr>
              <w:fldChar w:fldCharType="separate"/>
            </w:r>
            <w:r w:rsidR="002904AE">
              <w:rPr>
                <w:noProof/>
                <w:webHidden/>
              </w:rPr>
              <w:t>61</w:t>
            </w:r>
            <w:r>
              <w:rPr>
                <w:noProof/>
                <w:webHidden/>
              </w:rPr>
              <w:fldChar w:fldCharType="end"/>
            </w:r>
          </w:hyperlink>
        </w:p>
        <w:p w:rsidR="002904AE" w:rsidRDefault="008A5472">
          <w:pPr>
            <w:pStyle w:val="TOC2"/>
            <w:tabs>
              <w:tab w:val="left" w:pos="880"/>
              <w:tab w:val="right" w:leader="dot" w:pos="9016"/>
            </w:tabs>
            <w:rPr>
              <w:rFonts w:eastAsiaTheme="minorEastAsia"/>
              <w:noProof/>
            </w:rPr>
          </w:pPr>
          <w:hyperlink w:anchor="_Toc353348810" w:history="1">
            <w:r w:rsidR="002904AE" w:rsidRPr="00A73C89">
              <w:rPr>
                <w:rStyle w:val="Hyperlink"/>
                <w:noProof/>
              </w:rPr>
              <w:t>10.2</w:t>
            </w:r>
            <w:r w:rsidR="002904AE">
              <w:rPr>
                <w:rFonts w:eastAsiaTheme="minorEastAsia"/>
                <w:noProof/>
              </w:rPr>
              <w:tab/>
            </w:r>
            <w:r w:rsidR="002904AE" w:rsidRPr="00A73C89">
              <w:rPr>
                <w:rStyle w:val="Hyperlink"/>
                <w:noProof/>
              </w:rPr>
              <w:t>Suggestions for Further Research</w:t>
            </w:r>
            <w:r w:rsidR="002904AE">
              <w:rPr>
                <w:noProof/>
                <w:webHidden/>
              </w:rPr>
              <w:tab/>
            </w:r>
            <w:r>
              <w:rPr>
                <w:noProof/>
                <w:webHidden/>
              </w:rPr>
              <w:fldChar w:fldCharType="begin"/>
            </w:r>
            <w:r w:rsidR="002904AE">
              <w:rPr>
                <w:noProof/>
                <w:webHidden/>
              </w:rPr>
              <w:instrText xml:space="preserve"> PAGEREF _Toc353348810 \h </w:instrText>
            </w:r>
            <w:r>
              <w:rPr>
                <w:noProof/>
                <w:webHidden/>
              </w:rPr>
            </w:r>
            <w:r>
              <w:rPr>
                <w:noProof/>
                <w:webHidden/>
              </w:rPr>
              <w:fldChar w:fldCharType="separate"/>
            </w:r>
            <w:r w:rsidR="002904AE">
              <w:rPr>
                <w:noProof/>
                <w:webHidden/>
              </w:rPr>
              <w:t>62</w:t>
            </w:r>
            <w:r>
              <w:rPr>
                <w:noProof/>
                <w:webHidden/>
              </w:rPr>
              <w:fldChar w:fldCharType="end"/>
            </w:r>
          </w:hyperlink>
        </w:p>
        <w:p w:rsidR="002904AE" w:rsidRDefault="008A5472">
          <w:pPr>
            <w:pStyle w:val="TOC1"/>
            <w:tabs>
              <w:tab w:val="right" w:leader="dot" w:pos="9016"/>
            </w:tabs>
            <w:rPr>
              <w:rFonts w:eastAsiaTheme="minorEastAsia"/>
              <w:noProof/>
            </w:rPr>
          </w:pPr>
          <w:hyperlink w:anchor="_Toc353348811" w:history="1">
            <w:r w:rsidR="002904AE" w:rsidRPr="00A73C89">
              <w:rPr>
                <w:rStyle w:val="Hyperlink"/>
                <w:noProof/>
              </w:rPr>
              <w:t>References</w:t>
            </w:r>
            <w:r w:rsidR="002904AE">
              <w:rPr>
                <w:noProof/>
                <w:webHidden/>
              </w:rPr>
              <w:tab/>
            </w:r>
            <w:r>
              <w:rPr>
                <w:noProof/>
                <w:webHidden/>
              </w:rPr>
              <w:fldChar w:fldCharType="begin"/>
            </w:r>
            <w:r w:rsidR="002904AE">
              <w:rPr>
                <w:noProof/>
                <w:webHidden/>
              </w:rPr>
              <w:instrText xml:space="preserve"> PAGEREF _Toc353348811 \h </w:instrText>
            </w:r>
            <w:r>
              <w:rPr>
                <w:noProof/>
                <w:webHidden/>
              </w:rPr>
            </w:r>
            <w:r>
              <w:rPr>
                <w:noProof/>
                <w:webHidden/>
              </w:rPr>
              <w:fldChar w:fldCharType="separate"/>
            </w:r>
            <w:r w:rsidR="002904AE">
              <w:rPr>
                <w:noProof/>
                <w:webHidden/>
              </w:rPr>
              <w:t>64</w:t>
            </w:r>
            <w:r>
              <w:rPr>
                <w:noProof/>
                <w:webHidden/>
              </w:rPr>
              <w:fldChar w:fldCharType="end"/>
            </w:r>
          </w:hyperlink>
        </w:p>
        <w:p w:rsidR="002904AE" w:rsidRDefault="008A5472">
          <w:pPr>
            <w:pStyle w:val="TOC1"/>
            <w:tabs>
              <w:tab w:val="right" w:leader="dot" w:pos="9016"/>
            </w:tabs>
            <w:rPr>
              <w:rFonts w:eastAsiaTheme="minorEastAsia"/>
              <w:noProof/>
            </w:rPr>
          </w:pPr>
          <w:hyperlink w:anchor="_Toc353348812" w:history="1">
            <w:r w:rsidR="002904AE" w:rsidRPr="00A73C89">
              <w:rPr>
                <w:rStyle w:val="Hyperlink"/>
                <w:noProof/>
              </w:rPr>
              <w:t>Appendix A – Sources &amp; Variables</w:t>
            </w:r>
            <w:r w:rsidR="002904AE">
              <w:rPr>
                <w:noProof/>
                <w:webHidden/>
              </w:rPr>
              <w:tab/>
            </w:r>
            <w:r>
              <w:rPr>
                <w:noProof/>
                <w:webHidden/>
              </w:rPr>
              <w:fldChar w:fldCharType="begin"/>
            </w:r>
            <w:r w:rsidR="002904AE">
              <w:rPr>
                <w:noProof/>
                <w:webHidden/>
              </w:rPr>
              <w:instrText xml:space="preserve"> PAGEREF _Toc353348812 \h </w:instrText>
            </w:r>
            <w:r>
              <w:rPr>
                <w:noProof/>
                <w:webHidden/>
              </w:rPr>
            </w:r>
            <w:r>
              <w:rPr>
                <w:noProof/>
                <w:webHidden/>
              </w:rPr>
              <w:fldChar w:fldCharType="separate"/>
            </w:r>
            <w:r w:rsidR="002904AE">
              <w:rPr>
                <w:noProof/>
                <w:webHidden/>
              </w:rPr>
              <w:t>67</w:t>
            </w:r>
            <w:r>
              <w:rPr>
                <w:noProof/>
                <w:webHidden/>
              </w:rPr>
              <w:fldChar w:fldCharType="end"/>
            </w:r>
          </w:hyperlink>
        </w:p>
        <w:p w:rsidR="002904AE" w:rsidRDefault="008A5472">
          <w:pPr>
            <w:pStyle w:val="TOC1"/>
            <w:tabs>
              <w:tab w:val="right" w:leader="dot" w:pos="9016"/>
            </w:tabs>
            <w:rPr>
              <w:rFonts w:eastAsiaTheme="minorEastAsia"/>
              <w:noProof/>
            </w:rPr>
          </w:pPr>
          <w:hyperlink w:anchor="_Toc353348813" w:history="1">
            <w:r w:rsidR="002904AE" w:rsidRPr="00A73C89">
              <w:rPr>
                <w:rStyle w:val="Hyperlink"/>
                <w:noProof/>
              </w:rPr>
              <w:t>Appendix B – Real Effects of Euro Adoption</w:t>
            </w:r>
            <w:r w:rsidR="002904AE">
              <w:rPr>
                <w:noProof/>
                <w:webHidden/>
              </w:rPr>
              <w:tab/>
            </w:r>
            <w:r>
              <w:rPr>
                <w:noProof/>
                <w:webHidden/>
              </w:rPr>
              <w:fldChar w:fldCharType="begin"/>
            </w:r>
            <w:r w:rsidR="002904AE">
              <w:rPr>
                <w:noProof/>
                <w:webHidden/>
              </w:rPr>
              <w:instrText xml:space="preserve"> PAGEREF _Toc353348813 \h </w:instrText>
            </w:r>
            <w:r>
              <w:rPr>
                <w:noProof/>
                <w:webHidden/>
              </w:rPr>
            </w:r>
            <w:r>
              <w:rPr>
                <w:noProof/>
                <w:webHidden/>
              </w:rPr>
              <w:fldChar w:fldCharType="separate"/>
            </w:r>
            <w:r w:rsidR="002904AE">
              <w:rPr>
                <w:noProof/>
                <w:webHidden/>
              </w:rPr>
              <w:t>68</w:t>
            </w:r>
            <w:r>
              <w:rPr>
                <w:noProof/>
                <w:webHidden/>
              </w:rPr>
              <w:fldChar w:fldCharType="end"/>
            </w:r>
          </w:hyperlink>
        </w:p>
        <w:p w:rsidR="002904AE" w:rsidRDefault="008A5472">
          <w:pPr>
            <w:pStyle w:val="TOC1"/>
            <w:tabs>
              <w:tab w:val="right" w:leader="dot" w:pos="9016"/>
            </w:tabs>
            <w:rPr>
              <w:rFonts w:eastAsiaTheme="minorEastAsia"/>
              <w:noProof/>
            </w:rPr>
          </w:pPr>
          <w:hyperlink w:anchor="_Toc353348814" w:history="1">
            <w:r w:rsidR="002904AE" w:rsidRPr="00A73C89">
              <w:rPr>
                <w:rStyle w:val="Hyperlink"/>
                <w:noProof/>
              </w:rPr>
              <w:t>Appendix C – Expected Trade Effects for Latvia and Lithuania</w:t>
            </w:r>
            <w:r w:rsidR="002904AE">
              <w:rPr>
                <w:noProof/>
                <w:webHidden/>
              </w:rPr>
              <w:tab/>
            </w:r>
            <w:r>
              <w:rPr>
                <w:noProof/>
                <w:webHidden/>
              </w:rPr>
              <w:fldChar w:fldCharType="begin"/>
            </w:r>
            <w:r w:rsidR="002904AE">
              <w:rPr>
                <w:noProof/>
                <w:webHidden/>
              </w:rPr>
              <w:instrText xml:space="preserve"> PAGEREF _Toc353348814 \h </w:instrText>
            </w:r>
            <w:r>
              <w:rPr>
                <w:noProof/>
                <w:webHidden/>
              </w:rPr>
            </w:r>
            <w:r>
              <w:rPr>
                <w:noProof/>
                <w:webHidden/>
              </w:rPr>
              <w:fldChar w:fldCharType="separate"/>
            </w:r>
            <w:r w:rsidR="002904AE">
              <w:rPr>
                <w:noProof/>
                <w:webHidden/>
              </w:rPr>
              <w:t>70</w:t>
            </w:r>
            <w:r>
              <w:rPr>
                <w:noProof/>
                <w:webHidden/>
              </w:rPr>
              <w:fldChar w:fldCharType="end"/>
            </w:r>
          </w:hyperlink>
        </w:p>
        <w:p w:rsidR="002904AE" w:rsidRDefault="008A5472">
          <w:pPr>
            <w:pStyle w:val="TOC1"/>
            <w:tabs>
              <w:tab w:val="right" w:leader="dot" w:pos="9016"/>
            </w:tabs>
            <w:rPr>
              <w:rFonts w:eastAsiaTheme="minorEastAsia"/>
              <w:noProof/>
            </w:rPr>
          </w:pPr>
          <w:hyperlink w:anchor="_Toc353348815" w:history="1">
            <w:r w:rsidR="002904AE" w:rsidRPr="00A73C89">
              <w:rPr>
                <w:rStyle w:val="Hyperlink"/>
                <w:noProof/>
              </w:rPr>
              <w:t>Appendix D – Export and Import Trade Effects of the newEMU Group</w:t>
            </w:r>
            <w:r w:rsidR="002904AE">
              <w:rPr>
                <w:noProof/>
                <w:webHidden/>
              </w:rPr>
              <w:tab/>
            </w:r>
            <w:r>
              <w:rPr>
                <w:noProof/>
                <w:webHidden/>
              </w:rPr>
              <w:fldChar w:fldCharType="begin"/>
            </w:r>
            <w:r w:rsidR="002904AE">
              <w:rPr>
                <w:noProof/>
                <w:webHidden/>
              </w:rPr>
              <w:instrText xml:space="preserve"> PAGEREF _Toc353348815 \h </w:instrText>
            </w:r>
            <w:r>
              <w:rPr>
                <w:noProof/>
                <w:webHidden/>
              </w:rPr>
            </w:r>
            <w:r>
              <w:rPr>
                <w:noProof/>
                <w:webHidden/>
              </w:rPr>
              <w:fldChar w:fldCharType="separate"/>
            </w:r>
            <w:r w:rsidR="002904AE">
              <w:rPr>
                <w:noProof/>
                <w:webHidden/>
              </w:rPr>
              <w:t>71</w:t>
            </w:r>
            <w:r>
              <w:rPr>
                <w:noProof/>
                <w:webHidden/>
              </w:rPr>
              <w:fldChar w:fldCharType="end"/>
            </w:r>
          </w:hyperlink>
        </w:p>
        <w:p w:rsidR="00E37E8F" w:rsidRDefault="008A5472" w:rsidP="004C1689">
          <w:pPr>
            <w:spacing w:line="360" w:lineRule="auto"/>
          </w:pPr>
          <w:r>
            <w:fldChar w:fldCharType="end"/>
          </w:r>
        </w:p>
      </w:sdtContent>
    </w:sdt>
    <w:p w:rsidR="003D5A63" w:rsidRDefault="003D5A63">
      <w:pPr>
        <w:rPr>
          <w:rFonts w:asciiTheme="majorHAnsi" w:eastAsiaTheme="majorEastAsia" w:hAnsiTheme="majorHAnsi" w:cstheme="majorBidi"/>
          <w:b/>
          <w:bCs/>
          <w:color w:val="365F91" w:themeColor="accent1" w:themeShade="BF"/>
          <w:sz w:val="28"/>
          <w:szCs w:val="28"/>
        </w:rPr>
      </w:pPr>
      <w:bookmarkStart w:id="0" w:name="_Toc353180784"/>
      <w:r>
        <w:br w:type="page"/>
      </w:r>
    </w:p>
    <w:p w:rsidR="00CB0631" w:rsidRDefault="00336782" w:rsidP="004C1689">
      <w:pPr>
        <w:pStyle w:val="Heading1"/>
        <w:numPr>
          <w:ilvl w:val="0"/>
          <w:numId w:val="1"/>
        </w:numPr>
        <w:spacing w:line="360" w:lineRule="auto"/>
      </w:pPr>
      <w:bookmarkStart w:id="1" w:name="_Toc353348772"/>
      <w:r>
        <w:lastRenderedPageBreak/>
        <w:t>Introduction</w:t>
      </w:r>
      <w:bookmarkEnd w:id="0"/>
      <w:bookmarkEnd w:id="1"/>
    </w:p>
    <w:p w:rsidR="00B16DE4" w:rsidRPr="00B16DE4" w:rsidRDefault="00B16DE4" w:rsidP="004C1689">
      <w:pPr>
        <w:spacing w:line="360" w:lineRule="auto"/>
      </w:pPr>
    </w:p>
    <w:p w:rsidR="00CA3967" w:rsidRDefault="00F71CFB" w:rsidP="004C1689">
      <w:pPr>
        <w:spacing w:line="360" w:lineRule="auto"/>
        <w:jc w:val="both"/>
      </w:pPr>
      <w:r>
        <w:t xml:space="preserve">The </w:t>
      </w:r>
      <w:r w:rsidR="001D1BCD">
        <w:t>effects of joining a common currency area are</w:t>
      </w:r>
      <w:r>
        <w:t xml:space="preserve"> a widely discussed topic in international economics. </w:t>
      </w:r>
      <w:r w:rsidR="009A37E1">
        <w:t>The question</w:t>
      </w:r>
      <w:r w:rsidR="002D0F43">
        <w:t xml:space="preserve"> of</w:t>
      </w:r>
      <w:r w:rsidR="009A37E1">
        <w:t xml:space="preserve"> whether the benefits brought about by reduced barriers to trade outweigh the loss in macroeconomic flexibility remains debated, with this discussion gaining </w:t>
      </w:r>
      <w:r w:rsidR="00284699">
        <w:t>intensity</w:t>
      </w:r>
      <w:r w:rsidR="009A37E1">
        <w:t xml:space="preserve"> during</w:t>
      </w:r>
      <w:r w:rsidR="000267A6">
        <w:t xml:space="preserve"> periods of economic downfall. </w:t>
      </w:r>
      <w:r w:rsidR="009A37E1">
        <w:t xml:space="preserve">The most recent and famous creation of a common currency </w:t>
      </w:r>
      <w:r w:rsidR="001D1BCD">
        <w:t xml:space="preserve">area </w:t>
      </w:r>
      <w:r w:rsidR="009A37E1">
        <w:t xml:space="preserve">is the </w:t>
      </w:r>
      <w:r w:rsidR="00AD525C">
        <w:t>Euro</w:t>
      </w:r>
      <w:r w:rsidR="001D1BCD">
        <w:t xml:space="preserve"> zone</w:t>
      </w:r>
      <w:r w:rsidR="009A37E1">
        <w:t xml:space="preserve">. </w:t>
      </w:r>
      <w:r w:rsidR="00CA3967">
        <w:t xml:space="preserve">The </w:t>
      </w:r>
      <w:r w:rsidR="001D1BCD">
        <w:t>ever-increasing</w:t>
      </w:r>
      <w:r w:rsidR="00343FF6">
        <w:t xml:space="preserve"> economic cooperation of the </w:t>
      </w:r>
      <w:r w:rsidR="00CA3967">
        <w:t xml:space="preserve">members of the </w:t>
      </w:r>
      <w:r w:rsidR="00AD525C">
        <w:t>Euro</w:t>
      </w:r>
      <w:r w:rsidR="00CA3967">
        <w:t xml:space="preserve">pean Union had </w:t>
      </w:r>
      <w:r w:rsidR="00343FF6">
        <w:t>resulted in</w:t>
      </w:r>
      <w:r w:rsidR="00CA3967">
        <w:t xml:space="preserve"> decades of economic stability and prosperity. </w:t>
      </w:r>
      <w:r w:rsidR="00C0254B">
        <w:t>With these highly integrated economies</w:t>
      </w:r>
      <w:r w:rsidR="001D1BCD">
        <w:t>,</w:t>
      </w:r>
      <w:r w:rsidR="00C0254B">
        <w:t xml:space="preserve"> the next step </w:t>
      </w:r>
      <w:r w:rsidR="00B31A8B">
        <w:t xml:space="preserve">forward </w:t>
      </w:r>
      <w:r w:rsidR="00C0254B">
        <w:t xml:space="preserve">in reducing barriers to trade was the </w:t>
      </w:r>
      <w:r w:rsidR="00CA3967">
        <w:t>creat</w:t>
      </w:r>
      <w:r w:rsidR="00C0254B">
        <w:t xml:space="preserve">ion of </w:t>
      </w:r>
      <w:r w:rsidR="00CA3967">
        <w:t xml:space="preserve">the </w:t>
      </w:r>
      <w:r w:rsidR="00AD525C">
        <w:t>Euro</w:t>
      </w:r>
      <w:r w:rsidR="00CA3967">
        <w:t xml:space="preserve">pean </w:t>
      </w:r>
      <w:r w:rsidR="007F213E">
        <w:t xml:space="preserve">Economic and </w:t>
      </w:r>
      <w:r w:rsidR="00CA3967">
        <w:t xml:space="preserve">Monetary Union </w:t>
      </w:r>
      <w:r w:rsidR="007F213E">
        <w:t xml:space="preserve">(EMU) </w:t>
      </w:r>
      <w:r w:rsidR="00CA3967">
        <w:t xml:space="preserve">and </w:t>
      </w:r>
      <w:r w:rsidR="00C0254B">
        <w:t xml:space="preserve">the </w:t>
      </w:r>
      <w:r w:rsidR="00CA3967">
        <w:t>adopt</w:t>
      </w:r>
      <w:r w:rsidR="00C0254B">
        <w:t>ion of</w:t>
      </w:r>
      <w:r w:rsidR="00CA3967">
        <w:t xml:space="preserve"> the</w:t>
      </w:r>
      <w:r w:rsidR="00D803A7">
        <w:t xml:space="preserve"> </w:t>
      </w:r>
      <w:r w:rsidR="00AD525C">
        <w:t>Euro</w:t>
      </w:r>
      <w:r w:rsidR="00D803A7">
        <w:t xml:space="preserve"> as their common currency.</w:t>
      </w:r>
    </w:p>
    <w:p w:rsidR="007C10A4" w:rsidRDefault="00D803A7" w:rsidP="004C1689">
      <w:pPr>
        <w:spacing w:line="360" w:lineRule="auto"/>
        <w:jc w:val="both"/>
      </w:pPr>
      <w:r>
        <w:t xml:space="preserve">The economic success of the EU as well as the recent successful adoption of the </w:t>
      </w:r>
      <w:r w:rsidR="00AD525C">
        <w:t>Euro</w:t>
      </w:r>
      <w:r>
        <w:t xml:space="preserve"> was not exclusively meant for Western </w:t>
      </w:r>
      <w:r w:rsidR="00AD525C">
        <w:t>Euro</w:t>
      </w:r>
      <w:r>
        <w:t>pean states</w:t>
      </w:r>
      <w:r w:rsidR="00DA68A0">
        <w:t>,</w:t>
      </w:r>
      <w:r>
        <w:t xml:space="preserve"> and so </w:t>
      </w:r>
      <w:r w:rsidR="00291C7E">
        <w:t>in 2004 and 2007 a total of twelve countries in central, Eastern and Mediterranean Europe joined the EU</w:t>
      </w:r>
      <w:r w:rsidR="00A07CC7">
        <w:t>.</w:t>
      </w:r>
      <w:r w:rsidR="00A07CC7">
        <w:rPr>
          <w:rStyle w:val="FootnoteReference"/>
        </w:rPr>
        <w:footnoteReference w:id="1"/>
      </w:r>
      <w:r w:rsidR="00917877">
        <w:t xml:space="preserve"> Along with their EU accessions the</w:t>
      </w:r>
      <w:r w:rsidR="00D03698">
        <w:t>se</w:t>
      </w:r>
      <w:r w:rsidR="00343FF6">
        <w:t xml:space="preserve"> new entrants had to </w:t>
      </w:r>
      <w:r w:rsidR="00B22E04">
        <w:t xml:space="preserve">adopt an EMU convergence path that would lead the way to </w:t>
      </w:r>
      <w:r w:rsidR="00E94883">
        <w:t>swift</w:t>
      </w:r>
      <w:r w:rsidR="00B22E04">
        <w:t xml:space="preserve"> </w:t>
      </w:r>
      <w:r w:rsidR="00AD525C">
        <w:t>Euro</w:t>
      </w:r>
      <w:r w:rsidR="00B22E04">
        <w:t xml:space="preserve"> adoption. </w:t>
      </w:r>
      <w:r w:rsidR="00586BEE">
        <w:t>It remains a question however whether joining EMU through this</w:t>
      </w:r>
      <w:r w:rsidR="00321DAF">
        <w:t xml:space="preserve"> one-size-fits-all approach </w:t>
      </w:r>
      <w:r w:rsidR="00586BEE">
        <w:t>is in the best interest of the new EU entrants</w:t>
      </w:r>
      <w:r w:rsidR="00321DAF">
        <w:t xml:space="preserve">. </w:t>
      </w:r>
      <w:r w:rsidR="00343FF6">
        <w:t xml:space="preserve">Not all </w:t>
      </w:r>
      <w:r w:rsidR="00444E68">
        <w:t>countries</w:t>
      </w:r>
      <w:r w:rsidR="00343FF6">
        <w:t xml:space="preserve"> benefit to the same extent of reduced barriers to trade, nor are all </w:t>
      </w:r>
      <w:r w:rsidR="00444E68">
        <w:t>countries</w:t>
      </w:r>
      <w:r w:rsidR="00343FF6">
        <w:t xml:space="preserve"> capable </w:t>
      </w:r>
      <w:r w:rsidR="00BA3840">
        <w:t>of handling</w:t>
      </w:r>
      <w:r w:rsidR="00343FF6">
        <w:t xml:space="preserve"> the loss in macroeconomic flexibility.</w:t>
      </w:r>
      <w:r w:rsidR="00EF60B4">
        <w:t xml:space="preserve"> </w:t>
      </w:r>
      <w:r w:rsidR="00343FF6">
        <w:t>First of all,</w:t>
      </w:r>
      <w:r w:rsidR="00AF5E25">
        <w:t xml:space="preserve"> although</w:t>
      </w:r>
      <w:r w:rsidR="00EF60B4">
        <w:t xml:space="preserve"> the </w:t>
      </w:r>
      <w:r w:rsidR="00444E68">
        <w:t>countries</w:t>
      </w:r>
      <w:r w:rsidR="00EF60B4">
        <w:t xml:space="preserve"> in </w:t>
      </w:r>
      <w:r w:rsidR="00B57CB9">
        <w:t>central and Eastern Europe</w:t>
      </w:r>
      <w:r w:rsidR="00EF60B4">
        <w:t xml:space="preserve"> have in recent years increasingly fo</w:t>
      </w:r>
      <w:r w:rsidR="007C10A4">
        <w:t xml:space="preserve">cused their trade relations </w:t>
      </w:r>
      <w:r w:rsidR="00343FF6">
        <w:t>to</w:t>
      </w:r>
      <w:r w:rsidR="00EF60B4">
        <w:t xml:space="preserve"> Western </w:t>
      </w:r>
      <w:r w:rsidR="00AD525C">
        <w:t>Euro</w:t>
      </w:r>
      <w:r w:rsidR="00EF60B4">
        <w:t>pe, the EU accession had only occurred a few years ago</w:t>
      </w:r>
      <w:r w:rsidR="00BA3840">
        <w:t>.</w:t>
      </w:r>
      <w:r w:rsidR="00EF60B4">
        <w:t xml:space="preserve"> </w:t>
      </w:r>
      <w:r w:rsidR="00BA3840">
        <w:t>T</w:t>
      </w:r>
      <w:r w:rsidR="00EF60B4">
        <w:t>herefore trade integration might not have reached</w:t>
      </w:r>
      <w:r w:rsidR="00AF5E25">
        <w:t xml:space="preserve"> similar levels as </w:t>
      </w:r>
      <w:r w:rsidR="00BA3840">
        <w:t xml:space="preserve">the </w:t>
      </w:r>
      <w:r w:rsidR="00AF5E25">
        <w:t xml:space="preserve">Western </w:t>
      </w:r>
      <w:r w:rsidR="00AD525C">
        <w:t>Euro</w:t>
      </w:r>
      <w:r w:rsidR="00AF5E25">
        <w:t xml:space="preserve">pean </w:t>
      </w:r>
      <w:r w:rsidR="00E465A1">
        <w:t>countries</w:t>
      </w:r>
      <w:r w:rsidR="00AF5E25">
        <w:t>, let alone</w:t>
      </w:r>
      <w:r w:rsidR="00EF60B4">
        <w:t xml:space="preserve"> optimal levels for the adoption of</w:t>
      </w:r>
      <w:r w:rsidR="007C10A4">
        <w:t xml:space="preserve"> a common currency. </w:t>
      </w:r>
      <w:r w:rsidR="00AF5E25">
        <w:t>Secondly</w:t>
      </w:r>
      <w:r w:rsidR="007C10A4">
        <w:t xml:space="preserve">, given the unstable, </w:t>
      </w:r>
      <w:r w:rsidR="00BA3840">
        <w:t xml:space="preserve">often </w:t>
      </w:r>
      <w:r w:rsidR="007C10A4">
        <w:t xml:space="preserve">credit-financed, growth witnessed in most of the </w:t>
      </w:r>
      <w:r w:rsidR="00B57CB9">
        <w:t>central and Eastern European</w:t>
      </w:r>
      <w:r w:rsidR="007C10A4">
        <w:t xml:space="preserve"> states, an independent monetary policy </w:t>
      </w:r>
      <w:r w:rsidR="00AF5E25">
        <w:t xml:space="preserve">is a very important </w:t>
      </w:r>
      <w:r w:rsidR="00444E68">
        <w:t xml:space="preserve">macroeconomic </w:t>
      </w:r>
      <w:r w:rsidR="00AF5E25">
        <w:t>tool</w:t>
      </w:r>
      <w:r w:rsidR="007C10A4">
        <w:t xml:space="preserve"> </w:t>
      </w:r>
      <w:r w:rsidR="00AF5E25">
        <w:t>to deal with</w:t>
      </w:r>
      <w:r w:rsidR="007C10A4">
        <w:t xml:space="preserve"> unanticipated shock</w:t>
      </w:r>
      <w:r w:rsidR="00AF5E25">
        <w:t>s in capital flows</w:t>
      </w:r>
      <w:r w:rsidR="007C10A4">
        <w:t>.</w:t>
      </w:r>
      <w:r w:rsidR="005D2488">
        <w:t xml:space="preserve"> </w:t>
      </w:r>
      <w:r w:rsidR="00AF5E25">
        <w:t>The</w:t>
      </w:r>
      <w:r w:rsidR="00B13B7B">
        <w:t xml:space="preserve"> question</w:t>
      </w:r>
      <w:r w:rsidR="00E52D3F">
        <w:t xml:space="preserve"> </w:t>
      </w:r>
      <w:r w:rsidR="005D2488">
        <w:t>therefore</w:t>
      </w:r>
      <w:r w:rsidR="00B13B7B">
        <w:t xml:space="preserve"> remains</w:t>
      </w:r>
      <w:r w:rsidR="005D2488">
        <w:t xml:space="preserve"> whether the benefits of reduced barriers to trade </w:t>
      </w:r>
      <w:r w:rsidR="00444E68">
        <w:t>in</w:t>
      </w:r>
      <w:r w:rsidR="00AF5E25">
        <w:t xml:space="preserve"> </w:t>
      </w:r>
      <w:r w:rsidR="005D2488">
        <w:t xml:space="preserve">a currency union would outweigh the loss in macroeconomic flexibility. </w:t>
      </w:r>
      <w:r w:rsidR="00AD65E7">
        <w:t>T</w:t>
      </w:r>
      <w:r w:rsidR="00424B5F">
        <w:t>his</w:t>
      </w:r>
      <w:r w:rsidR="003A7DC2">
        <w:t xml:space="preserve"> thesis </w:t>
      </w:r>
      <w:r w:rsidR="00AD65E7">
        <w:t>will deal with</w:t>
      </w:r>
      <w:r w:rsidR="003A7DC2">
        <w:t xml:space="preserve"> the former part of this question by </w:t>
      </w:r>
      <w:r w:rsidR="00AD65E7">
        <w:t>shedding light on the</w:t>
      </w:r>
      <w:r w:rsidR="003A7DC2">
        <w:t xml:space="preserve"> trade effects of Euro adoption </w:t>
      </w:r>
      <w:r w:rsidR="00AD65E7">
        <w:t>for</w:t>
      </w:r>
      <w:r w:rsidR="003A7DC2">
        <w:t xml:space="preserve"> the new EMU members.</w:t>
      </w:r>
      <w:r w:rsidR="00CD766B">
        <w:t xml:space="preserve"> </w:t>
      </w:r>
    </w:p>
    <w:p w:rsidR="00336782" w:rsidRDefault="00917877" w:rsidP="004C1689">
      <w:pPr>
        <w:spacing w:line="360" w:lineRule="auto"/>
        <w:jc w:val="both"/>
      </w:pPr>
      <w:r>
        <w:t>O</w:t>
      </w:r>
      <w:r w:rsidR="005D2488">
        <w:t>ut o</w:t>
      </w:r>
      <w:r>
        <w:t xml:space="preserve">f the group of </w:t>
      </w:r>
      <w:r w:rsidR="00444E68">
        <w:t>countries</w:t>
      </w:r>
      <w:r>
        <w:t xml:space="preserve"> that entered the EU in 200</w:t>
      </w:r>
      <w:r w:rsidR="005D2488">
        <w:t xml:space="preserve">4 five states have </w:t>
      </w:r>
      <w:r w:rsidR="00972E0E">
        <w:t xml:space="preserve">recently </w:t>
      </w:r>
      <w:r w:rsidR="005D2488">
        <w:t xml:space="preserve">adopted the </w:t>
      </w:r>
      <w:r w:rsidR="00AD525C">
        <w:t>Euro</w:t>
      </w:r>
      <w:r>
        <w:t xml:space="preserve">. These </w:t>
      </w:r>
      <w:r w:rsidR="005D2488">
        <w:t>newest EMU members</w:t>
      </w:r>
      <w:r>
        <w:t xml:space="preserve"> are Slovenia (2007), Malta and Cyprus (2008), </w:t>
      </w:r>
      <w:r w:rsidR="00E07EFF">
        <w:t xml:space="preserve">the </w:t>
      </w:r>
      <w:r>
        <w:t>Slovak Republic (2009) and</w:t>
      </w:r>
      <w:r w:rsidR="00E07EFF">
        <w:t>,</w:t>
      </w:r>
      <w:r>
        <w:t xml:space="preserve"> most recent</w:t>
      </w:r>
      <w:r w:rsidR="00444E68">
        <w:t>ly</w:t>
      </w:r>
      <w:r w:rsidR="00E07EFF">
        <w:t>,</w:t>
      </w:r>
      <w:r>
        <w:t xml:space="preserve"> Estonia (2011).</w:t>
      </w:r>
      <w:r w:rsidR="00AF5E25">
        <w:t xml:space="preserve"> Although</w:t>
      </w:r>
      <w:r>
        <w:t xml:space="preserve"> </w:t>
      </w:r>
      <w:r w:rsidR="00AF5E25">
        <w:t>t</w:t>
      </w:r>
      <w:r w:rsidR="00B13B7B">
        <w:t xml:space="preserve">he effects of </w:t>
      </w:r>
      <w:r w:rsidR="00AD525C">
        <w:t>Euro</w:t>
      </w:r>
      <w:r w:rsidR="00B13B7B">
        <w:t xml:space="preserve"> adoption for</w:t>
      </w:r>
      <w:r w:rsidR="00750A3E">
        <w:t xml:space="preserve"> the </w:t>
      </w:r>
      <w:r w:rsidR="00750A3E">
        <w:lastRenderedPageBreak/>
        <w:t xml:space="preserve">initial EMU </w:t>
      </w:r>
      <w:r w:rsidR="00444E68">
        <w:t>countries</w:t>
      </w:r>
      <w:r w:rsidR="00750A3E">
        <w:t xml:space="preserve"> have been subject to </w:t>
      </w:r>
      <w:r w:rsidR="00AF5E25">
        <w:t xml:space="preserve">extensive </w:t>
      </w:r>
      <w:r w:rsidR="00750A3E">
        <w:t xml:space="preserve">analysis, </w:t>
      </w:r>
      <w:r w:rsidR="007E4CFC">
        <w:t>on average resulting in positive trade effects, no such analysis has yet been done for the newest EMU member</w:t>
      </w:r>
      <w:r w:rsidR="00144741">
        <w:t>s</w:t>
      </w:r>
      <w:r w:rsidR="007E4CFC">
        <w:t xml:space="preserve">. Multiple predictions on the potential trade effects of </w:t>
      </w:r>
      <w:r w:rsidR="00AD525C">
        <w:t>Euro</w:t>
      </w:r>
      <w:r w:rsidR="007E4CFC">
        <w:t xml:space="preserve"> adoption </w:t>
      </w:r>
      <w:r w:rsidR="00CD766B">
        <w:t>by</w:t>
      </w:r>
      <w:r w:rsidR="007E4CFC">
        <w:t xml:space="preserve"> the new EU </w:t>
      </w:r>
      <w:r w:rsidR="00586BEE">
        <w:t>members</w:t>
      </w:r>
      <w:r w:rsidR="007E4CFC">
        <w:t xml:space="preserve"> </w:t>
      </w:r>
      <w:r w:rsidR="00AD65E7">
        <w:t xml:space="preserve">however </w:t>
      </w:r>
      <w:r w:rsidR="007E4CFC">
        <w:t>have been made</w:t>
      </w:r>
      <w:r w:rsidR="00586BEE">
        <w:t>,</w:t>
      </w:r>
      <w:r w:rsidR="007E4CFC">
        <w:t xml:space="preserve"> </w:t>
      </w:r>
      <w:r w:rsidR="00AD65E7">
        <w:t>but these resulted</w:t>
      </w:r>
      <w:r w:rsidR="007E4CFC">
        <w:t xml:space="preserve"> in diverging outcomes dependent on the use of data and model specification.</w:t>
      </w:r>
      <w:r w:rsidR="00993495">
        <w:t xml:space="preserve"> N</w:t>
      </w:r>
      <w:r w:rsidR="007E4CFC">
        <w:t xml:space="preserve">ow that </w:t>
      </w:r>
      <w:r w:rsidR="00444E68">
        <w:t>enough</w:t>
      </w:r>
      <w:r w:rsidR="007E4CFC">
        <w:t xml:space="preserve"> years have passed</w:t>
      </w:r>
      <w:r w:rsidR="00417FA8">
        <w:t>,</w:t>
      </w:r>
      <w:r w:rsidR="007E4CFC">
        <w:t xml:space="preserve"> sufficient trade data has been accumulated to do a</w:t>
      </w:r>
      <w:r w:rsidR="00CD766B">
        <w:t xml:space="preserve"> proper</w:t>
      </w:r>
      <w:r w:rsidR="007E4CFC">
        <w:t xml:space="preserve"> analysis o</w:t>
      </w:r>
      <w:r w:rsidR="00CD766B">
        <w:t>f</w:t>
      </w:r>
      <w:r w:rsidR="007E4CFC">
        <w:t xml:space="preserve"> the early evidence </w:t>
      </w:r>
      <w:r w:rsidR="00417FA8">
        <w:t>o</w:t>
      </w:r>
      <w:r w:rsidR="00CD766B">
        <w:t>n</w:t>
      </w:r>
      <w:r w:rsidR="00417FA8">
        <w:t xml:space="preserve"> the trade effects of </w:t>
      </w:r>
      <w:r w:rsidR="00AD525C">
        <w:t>Euro</w:t>
      </w:r>
      <w:r w:rsidR="00417FA8">
        <w:t xml:space="preserve"> adoption. This </w:t>
      </w:r>
      <w:r w:rsidR="000A3AEA">
        <w:t>is done with the aim of providing</w:t>
      </w:r>
      <w:r w:rsidR="00417FA8">
        <w:t xml:space="preserve"> insight into</w:t>
      </w:r>
      <w:r w:rsidR="000A3AEA">
        <w:t>,</w:t>
      </w:r>
      <w:r w:rsidR="00417FA8">
        <w:t xml:space="preserve"> </w:t>
      </w:r>
      <w:r w:rsidR="00985D67">
        <w:t xml:space="preserve">at least </w:t>
      </w:r>
      <w:r w:rsidR="00E07EFF">
        <w:t xml:space="preserve">on </w:t>
      </w:r>
      <w:r w:rsidR="00985D67">
        <w:t>the short-term</w:t>
      </w:r>
      <w:r w:rsidR="000A3AEA">
        <w:t>,</w:t>
      </w:r>
      <w:r w:rsidR="00985D67">
        <w:t xml:space="preserve"> trade effects of joining EMU</w:t>
      </w:r>
      <w:r w:rsidR="00D804F9">
        <w:t xml:space="preserve">. This aim is converted </w:t>
      </w:r>
      <w:r w:rsidR="000A3AEA">
        <w:t>into</w:t>
      </w:r>
      <w:r w:rsidR="006609CB">
        <w:t xml:space="preserve"> </w:t>
      </w:r>
      <w:r w:rsidR="00D804F9">
        <w:t>the following research question:</w:t>
      </w:r>
    </w:p>
    <w:p w:rsidR="006609CB" w:rsidRPr="00274BC1" w:rsidRDefault="006609CB" w:rsidP="004C1689">
      <w:pPr>
        <w:spacing w:line="360" w:lineRule="auto"/>
        <w:jc w:val="both"/>
        <w:rPr>
          <w:u w:val="single"/>
        </w:rPr>
      </w:pPr>
      <w:r>
        <w:tab/>
      </w:r>
      <w:r w:rsidRPr="00274BC1">
        <w:rPr>
          <w:u w:val="single"/>
        </w:rPr>
        <w:t xml:space="preserve">Did </w:t>
      </w:r>
      <w:r w:rsidR="00AD525C">
        <w:rPr>
          <w:u w:val="single"/>
        </w:rPr>
        <w:t>Euro</w:t>
      </w:r>
      <w:r w:rsidRPr="00274BC1">
        <w:rPr>
          <w:u w:val="single"/>
        </w:rPr>
        <w:t xml:space="preserve"> adoption in</w:t>
      </w:r>
      <w:r w:rsidR="00D90875">
        <w:rPr>
          <w:u w:val="single"/>
        </w:rPr>
        <w:t xml:space="preserve">crease trade for the newest EMU </w:t>
      </w:r>
      <w:r w:rsidRPr="00274BC1">
        <w:rPr>
          <w:u w:val="single"/>
        </w:rPr>
        <w:t>members?</w:t>
      </w:r>
    </w:p>
    <w:p w:rsidR="006609CB" w:rsidRDefault="000A3AEA" w:rsidP="004C1689">
      <w:pPr>
        <w:spacing w:line="360" w:lineRule="auto"/>
        <w:jc w:val="both"/>
      </w:pPr>
      <w:r>
        <w:t xml:space="preserve">The analysis done to answer this question can provide insight into whether the decision of the respective </w:t>
      </w:r>
      <w:r w:rsidR="006952F2">
        <w:t>countries</w:t>
      </w:r>
      <w:r>
        <w:t xml:space="preserve"> to join </w:t>
      </w:r>
      <w:r w:rsidR="006952F2">
        <w:t>EMU</w:t>
      </w:r>
      <w:r>
        <w:t xml:space="preserve"> has been a correct one at that time. It can also function as an indicator for other states who are considering adopting the </w:t>
      </w:r>
      <w:r w:rsidR="00AD525C">
        <w:t>Euro</w:t>
      </w:r>
      <w:r>
        <w:t xml:space="preserve"> in the future. </w:t>
      </w:r>
    </w:p>
    <w:p w:rsidR="00173A68" w:rsidRDefault="00173A68" w:rsidP="004C1689">
      <w:pPr>
        <w:spacing w:line="360" w:lineRule="auto"/>
        <w:jc w:val="both"/>
      </w:pPr>
      <w:r>
        <w:t xml:space="preserve">The results of this research show that Malta, the Slovak Republic and Slovenia display an increase in total trade since Euro adoption. Continuing, </w:t>
      </w:r>
      <w:r w:rsidR="00DA1685">
        <w:t xml:space="preserve">even </w:t>
      </w:r>
      <w:r>
        <w:t>evidence of trade creation by Slovenia and the Slovak Republic is found since both countries traded more with countries inside and outside EMU since they adopted the Euro. Cyprus on other hand displayed a drop in total trade, which is explained by a severe drop in trade with countries outside EMU, hinting at trade diversion. However, when</w:t>
      </w:r>
      <w:r w:rsidR="00DA1685">
        <w:t xml:space="preserve"> excluding Cyprus and</w:t>
      </w:r>
      <w:r>
        <w:t xml:space="preserve"> comparing the trade effects of Euro adoption of the new EMU members as a group to the average growth in trade by the ten 2004 EU entrants over the same period, no significant deviating patterns arise. </w:t>
      </w:r>
      <w:r w:rsidR="00DA1685">
        <w:t xml:space="preserve">This leads to the conclusion that, given the time span of the few number of years in EMU, the new EMU members did not realize a larger increase in trade (1) in total, (2) with existing EMU countries and (3) with countries outside EMU, compared to the average of the 2004 EU entrants. </w:t>
      </w:r>
      <w:r w:rsidR="006A7787">
        <w:t>Given this lacking of any marginal increase in trade by the new EMU members compared to the 2004 EU entrants, the</w:t>
      </w:r>
      <w:r w:rsidR="00DA1685">
        <w:t xml:space="preserve"> lost control over sovereign monetary policy </w:t>
      </w:r>
      <w:r w:rsidR="006A7787">
        <w:t>is, for now, regarded as a too costly trade-off for Euro adoption</w:t>
      </w:r>
      <w:r w:rsidR="00DA1685">
        <w:t xml:space="preserve">. </w:t>
      </w:r>
    </w:p>
    <w:p w:rsidR="007966AB" w:rsidRDefault="006819DE" w:rsidP="004C1689">
      <w:pPr>
        <w:spacing w:line="360" w:lineRule="auto"/>
        <w:jc w:val="both"/>
      </w:pPr>
      <w:r>
        <w:t xml:space="preserve">This thesis is constructed as follows. Chapter 2 will provide a short review </w:t>
      </w:r>
      <w:r w:rsidR="00AD65E7">
        <w:t>o</w:t>
      </w:r>
      <w:r w:rsidR="00115BD4">
        <w:t>f</w:t>
      </w:r>
      <w:r w:rsidR="00AD65E7">
        <w:t xml:space="preserve"> </w:t>
      </w:r>
      <w:r>
        <w:t>the general theoretical debate on the creation or adoption of a common currency. Chapter 3 will then review</w:t>
      </w:r>
      <w:r w:rsidR="00AD65E7">
        <w:t xml:space="preserve"> </w:t>
      </w:r>
      <w:r w:rsidR="007966AB">
        <w:t xml:space="preserve">some of the empirical literature on the currency union trade effect, with a specific focus on EMU and the predicted trade effects for the 2004 EU entrants. Chapter 4 will present the hypotheses that are tested </w:t>
      </w:r>
      <w:r w:rsidR="007E0C4B">
        <w:t xml:space="preserve">at a later stage </w:t>
      </w:r>
      <w:r w:rsidR="007966AB">
        <w:t>in order to answer the research question</w:t>
      </w:r>
      <w:r w:rsidR="007E0C4B">
        <w:t xml:space="preserve">. Chapter 5 will discuss the theory and evolution of the gravity model, as well as present the different specifications of the model, which will be used to test the hypotheses. Chapter 6 will test whether the theoretical model actually </w:t>
      </w:r>
      <w:r w:rsidR="007E0C4B">
        <w:lastRenderedPageBreak/>
        <w:t xml:space="preserve">fits with the panel of data at hand, and will select the most appropriate specification for hypotheses testing. </w:t>
      </w:r>
      <w:r w:rsidR="00115BD4">
        <w:t xml:space="preserve">In chapter 7 the hypotheses are tested and the empirical results presented. Chapter 8 conducts causality tests on the results found in the previous chapter, as well as tests for robustness in these results by making changes in the data. Chapter 9 </w:t>
      </w:r>
      <w:r w:rsidR="00971D7D">
        <w:t>discusses</w:t>
      </w:r>
      <w:r w:rsidR="00115BD4">
        <w:t xml:space="preserve"> some extensions of the results found in chapter </w:t>
      </w:r>
      <w:r w:rsidR="00971D7D">
        <w:t xml:space="preserve">7 and presents an answer to a disagreement amongst authors on </w:t>
      </w:r>
      <w:r w:rsidR="009F1E90">
        <w:t xml:space="preserve">who gains most by joining a currency union. Finally, chapter 10 will conclude the outcome of the thesis, as well as present some policy recommendations and suggestions for further research. </w:t>
      </w:r>
    </w:p>
    <w:p w:rsidR="005F3CF5" w:rsidRDefault="005F3CF5" w:rsidP="004C1689">
      <w:pPr>
        <w:spacing w:line="360" w:lineRule="auto"/>
        <w:rPr>
          <w:rFonts w:asciiTheme="majorHAnsi" w:eastAsiaTheme="majorEastAsia" w:hAnsiTheme="majorHAnsi" w:cstheme="majorBidi"/>
          <w:b/>
          <w:bCs/>
          <w:color w:val="365F91" w:themeColor="accent1" w:themeShade="BF"/>
          <w:sz w:val="28"/>
          <w:szCs w:val="28"/>
        </w:rPr>
      </w:pPr>
      <w:r>
        <w:br w:type="page"/>
      </w:r>
    </w:p>
    <w:p w:rsidR="00D565AA" w:rsidRDefault="005F3CF5" w:rsidP="004C1689">
      <w:pPr>
        <w:pStyle w:val="Heading1"/>
        <w:numPr>
          <w:ilvl w:val="0"/>
          <w:numId w:val="1"/>
        </w:numPr>
        <w:spacing w:line="360" w:lineRule="auto"/>
      </w:pPr>
      <w:bookmarkStart w:id="2" w:name="_Toc353180785"/>
      <w:bookmarkStart w:id="3" w:name="_Toc353348773"/>
      <w:r>
        <w:lastRenderedPageBreak/>
        <w:t>Theoretical Background</w:t>
      </w:r>
      <w:bookmarkEnd w:id="2"/>
      <w:bookmarkEnd w:id="3"/>
    </w:p>
    <w:p w:rsidR="003A382E" w:rsidRPr="003A382E" w:rsidRDefault="003A382E" w:rsidP="004C1689">
      <w:pPr>
        <w:spacing w:line="360" w:lineRule="auto"/>
      </w:pPr>
    </w:p>
    <w:p w:rsidR="005F3CF5" w:rsidRDefault="005F3CF5" w:rsidP="004C1689">
      <w:pPr>
        <w:spacing w:line="360" w:lineRule="auto"/>
        <w:jc w:val="both"/>
      </w:pPr>
      <w:r>
        <w:t xml:space="preserve">This chapter will shortly cover multiple economic theories that are relevant for a thesis on trade effects of a currency union. It will start off with the </w:t>
      </w:r>
      <w:proofErr w:type="spellStart"/>
      <w:r>
        <w:t>Mundell</w:t>
      </w:r>
      <w:proofErr w:type="spellEnd"/>
      <w:r>
        <w:t xml:space="preserve">-Fleming model and the effectiveness of economic policy instruments a sovereign state has at its disposal. After this an elaboration </w:t>
      </w:r>
      <w:r w:rsidR="00A355ED">
        <w:t xml:space="preserve">of the </w:t>
      </w:r>
      <w:r w:rsidR="00224188">
        <w:t>pros</w:t>
      </w:r>
      <w:r w:rsidR="00A355ED">
        <w:t xml:space="preserve"> and </w:t>
      </w:r>
      <w:r w:rsidR="00224188">
        <w:t>cons</w:t>
      </w:r>
      <w:r w:rsidR="00A355ED">
        <w:t xml:space="preserve"> of a currency union will be discussed</w:t>
      </w:r>
      <w:r>
        <w:t xml:space="preserve">, followed by a discussion on the theoretical trade effects of a currency union. </w:t>
      </w:r>
    </w:p>
    <w:p w:rsidR="005F3CF5" w:rsidRPr="00A448E9" w:rsidRDefault="007F1BEA" w:rsidP="004C1689">
      <w:pPr>
        <w:pStyle w:val="Heading2"/>
        <w:numPr>
          <w:ilvl w:val="1"/>
          <w:numId w:val="1"/>
        </w:numPr>
        <w:spacing w:line="360" w:lineRule="auto"/>
      </w:pPr>
      <w:r>
        <w:t xml:space="preserve"> </w:t>
      </w:r>
      <w:r>
        <w:tab/>
      </w:r>
      <w:bookmarkStart w:id="4" w:name="_Toc353348774"/>
      <w:r w:rsidR="005F3CF5">
        <w:t>Economic Policy</w:t>
      </w:r>
      <w:bookmarkEnd w:id="4"/>
    </w:p>
    <w:p w:rsidR="005F3CF5" w:rsidRDefault="008A5472" w:rsidP="004C1689">
      <w:pPr>
        <w:spacing w:line="360" w:lineRule="auto"/>
        <w:jc w:val="both"/>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02.7pt;margin-top:40.45pt;width:244.3pt;height:15pt;z-index:251655680;visibility:visible;mso-height-relative:margin" wrapcoords="-66 0 -66 20520 21600 20520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" stroked="f">
            <v:path arrowok="t"/>
            <v:textbox style="mso-next-textbox:#Text Box 1" inset="0,0,0,0">
              <w:txbxContent>
                <w:p w:rsidR="003B1B98" w:rsidRPr="00406C1D" w:rsidRDefault="003B1B98" w:rsidP="00406C1D">
                  <w:pPr>
                    <w:pStyle w:val="Caption"/>
                    <w:rPr>
                      <w:noProof/>
                      <w:color w:val="auto"/>
                      <w:sz w:val="24"/>
                      <w:szCs w:val="24"/>
                    </w:rPr>
                  </w:pPr>
                  <w:bookmarkStart w:id="5" w:name="_Toc353180924"/>
                  <w:r w:rsidRPr="00406C1D">
                    <w:rPr>
                      <w:color w:val="auto"/>
                      <w:sz w:val="24"/>
                      <w:szCs w:val="24"/>
                    </w:rPr>
                    <w:t xml:space="preserve">Box </w:t>
                  </w:r>
                  <w:r>
                    <w:rPr>
                      <w:color w:val="auto"/>
                      <w:sz w:val="24"/>
                      <w:szCs w:val="24"/>
                    </w:rPr>
                    <w:t>2-1</w:t>
                  </w:r>
                  <w:r w:rsidRPr="00406C1D">
                    <w:rPr>
                      <w:color w:val="auto"/>
                      <w:sz w:val="24"/>
                      <w:szCs w:val="24"/>
                    </w:rPr>
                    <w:t xml:space="preserve"> - Capital Controls</w:t>
                  </w:r>
                  <w:bookmarkEnd w:id="5"/>
                </w:p>
              </w:txbxContent>
            </v:textbox>
            <w10:wrap type="tight"/>
          </v:shape>
        </w:pict>
      </w:r>
      <w:r>
        <w:rPr>
          <w:noProof/>
        </w:rPr>
        <w:pict>
          <v:rect id="Rectangle 396" o:spid="_x0000_s1027" style="position:absolute;left:0;text-align:left;margin-left:201pt;margin-top:249.75pt;width:243.35pt;height:278.25pt;flip:x;z-index:-251657728;visibility:visible;mso-wrap-distance-left:7.2pt;mso-wrap-distance-top:7.2pt;mso-wrap-distance-right:7.2pt;mso-wrap-distance-bottom:7.2pt;mso-position-horizontal-relative:margin;mso-position-vertical-relative:margin;mso-width-relative:margin;v-text-anchor:middle" wrapcoords="21667 -58 21667 21600 -133 21600 -133 -58 21667 -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" o:allowincell="f" fillcolor="white [3212]" strokecolor="gray [1629]" strokeweight="1.5pt">
            <v:shadow on="t" type="perspective" color="black" opacity="26214f" origin="-.5,-.5" offset=".74836mm,.74836mm" matrix="65864f,,,65864f"/>
            <v:textbox style="mso-next-textbox:#Rectangle 396" inset="21.6pt,21.6pt,21.6pt,21.6pt">
              <w:txbxContent>
                <w:p w:rsidR="003B1B98" w:rsidRPr="00FE24C6" w:rsidRDefault="003B1B98" w:rsidP="005F3CF5">
                  <w:pPr>
                    <w:jc w:val="both"/>
                    <w:rPr>
                      <w:color w:val="4F81BD" w:themeColor="accent1"/>
                      <w:sz w:val="18"/>
                      <w:szCs w:val="18"/>
                    </w:rPr>
                  </w:pPr>
                  <w:r w:rsidRPr="00FE24C6">
                    <w:rPr>
                      <w:sz w:val="18"/>
                      <w:szCs w:val="18"/>
                    </w:rPr>
                    <w:t>States can choose whether to apply capital controls or not. Capital controls can be used to control for the flow of capital into and out of a country. Applying capital controls can make a state less vulnerable to speculative attacks by foreign investors, while it can also help control price bubbles. The Washington Consensus in the 1980s and 1990s however has always dictated free flow of capital in the Western world as well as for states in need of IMF or World Bank funding. A free flow of capital gives way for optimal allocation of capital which, when not restricted by capital controls, in theory will find its way to the most efficient investments available. Although this is a valued theory which has led to extremely efficient money markets in some parts of the world, the combination of fixed exchange rates and t</w:t>
                  </w:r>
                  <w:r>
                    <w:rPr>
                      <w:sz w:val="18"/>
                      <w:szCs w:val="18"/>
                    </w:rPr>
                    <w:t>he free flow of capital also lie</w:t>
                  </w:r>
                  <w:r w:rsidRPr="00FE24C6">
                    <w:rPr>
                      <w:sz w:val="18"/>
                      <w:szCs w:val="18"/>
                    </w:rPr>
                    <w:t xml:space="preserve"> at the heart of the cause of the Asian financial crisis in 1998-1999.</w:t>
                  </w:r>
                </w:p>
              </w:txbxContent>
            </v:textbox>
            <w10:wrap type="tight" anchorx="margin" anchory="margin"/>
          </v:rect>
        </w:pict>
      </w:r>
      <w:r w:rsidR="005F3CF5">
        <w:t xml:space="preserve">In economic policy a sovereign state can choose different types of policy instruments to steer an economy. These policy options are the type of exchange rate regime and the use of fiscal and/or monetary policy. One could add the possible application of capital controls, which is shortly discussed in Box 1, but this is otherwise left out of the analysis. Not all combinations of type of exchange rate regime and monetary or fiscal policy lead to efficient use of the chosen policy instrument, and not all combinations have the same effect in the long and short run. At the basis of this lies the </w:t>
      </w:r>
      <w:proofErr w:type="spellStart"/>
      <w:r w:rsidR="005F3CF5">
        <w:t>Mundell</w:t>
      </w:r>
      <w:proofErr w:type="spellEnd"/>
      <w:r w:rsidR="005F3CF5">
        <w:t>-Fleming model. This model, focusing on short run economic policy analysis, states that economic growth can be achieved by either fiscal or monetary policy, but only with the correct corresponding exchange rate regime.</w:t>
      </w:r>
      <w:r w:rsidR="005F3CF5">
        <w:rPr>
          <w:rStyle w:val="FootnoteReference"/>
        </w:rPr>
        <w:footnoteReference w:id="2"/>
      </w:r>
      <w:r w:rsidR="005F3CF5">
        <w:t xml:space="preserve"> </w:t>
      </w:r>
    </w:p>
    <w:p w:rsidR="005F3CF5" w:rsidRDefault="005F3CF5" w:rsidP="004C1689">
      <w:pPr>
        <w:pStyle w:val="Heading3"/>
        <w:numPr>
          <w:ilvl w:val="2"/>
          <w:numId w:val="1"/>
        </w:numPr>
        <w:spacing w:line="360" w:lineRule="auto"/>
      </w:pPr>
      <w:bookmarkStart w:id="6" w:name="_Toc353348775"/>
      <w:r>
        <w:t>Type of Exchange Rate Regime</w:t>
      </w:r>
      <w:bookmarkEnd w:id="6"/>
    </w:p>
    <w:p w:rsidR="005F3CF5" w:rsidRDefault="005F3CF5" w:rsidP="004C1689">
      <w:pPr>
        <w:spacing w:line="360" w:lineRule="auto"/>
        <w:jc w:val="both"/>
      </w:pPr>
      <w:r>
        <w:t>An exchange rate is the relative price of one currency expressed as another currency. Exchange rates are necessary for cross border transactions when goods, services or any form of capital are bought</w:t>
      </w:r>
      <w:r w:rsidR="0001122B" w:rsidRPr="0001122B">
        <w:t xml:space="preserve"> </w:t>
      </w:r>
      <w:r w:rsidR="0001122B">
        <w:t xml:space="preserve">from </w:t>
      </w:r>
      <w:r w:rsidR="00BA4877">
        <w:t>countries</w:t>
      </w:r>
      <w:r w:rsidR="0001122B">
        <w:t xml:space="preserve"> with a different currency</w:t>
      </w:r>
      <w:r>
        <w:t xml:space="preserve">. Since international trade and capital flows </w:t>
      </w:r>
      <w:r w:rsidR="00BA4877">
        <w:t xml:space="preserve">grew significantly </w:t>
      </w:r>
      <w:r>
        <w:t xml:space="preserve">in the previous century, so </w:t>
      </w:r>
      <w:r w:rsidR="0001122B">
        <w:t>did</w:t>
      </w:r>
      <w:r>
        <w:t xml:space="preserve"> the need </w:t>
      </w:r>
      <w:r w:rsidR="00993495">
        <w:t>for</w:t>
      </w:r>
      <w:r>
        <w:t xml:space="preserve"> expressing foreign prices in domestic prices, </w:t>
      </w:r>
      <w:r>
        <w:lastRenderedPageBreak/>
        <w:t xml:space="preserve">and vice versa. When domestic and foreign prices can be compared by expressing them in the same currency, this will create transparency in the market, helping agents find the </w:t>
      </w:r>
      <w:r w:rsidR="0001122B">
        <w:t>best</w:t>
      </w:r>
      <w:r>
        <w:t xml:space="preserve"> available option. </w:t>
      </w:r>
      <w:r w:rsidR="0001122B">
        <w:t>Forces of d</w:t>
      </w:r>
      <w:r>
        <w:t xml:space="preserve">emand and supply will equalize prices over different </w:t>
      </w:r>
      <w:r w:rsidR="00BA4877">
        <w:t>countries</w:t>
      </w:r>
      <w:r>
        <w:t>, leading to the Law of One Price (LOP). The theoretical reasoning behind the LOP is that identical goods should have identical prices everywhere in the world.</w:t>
      </w:r>
      <w:r>
        <w:rPr>
          <w:rStyle w:val="FootnoteReference"/>
        </w:rPr>
        <w:footnoteReference w:id="3"/>
      </w:r>
      <w:r>
        <w:t xml:space="preserve"> Several types of exchange rate regimes exist</w:t>
      </w:r>
      <w:r w:rsidR="0001122B">
        <w:t xml:space="preserve"> that should accommodate the LOP</w:t>
      </w:r>
      <w:r>
        <w:t>, of which the classical ones are the fixed and the floating exchange rate regime</w:t>
      </w:r>
      <w:r w:rsidR="00BA4877">
        <w:t xml:space="preserve"> (Van </w:t>
      </w:r>
      <w:proofErr w:type="spellStart"/>
      <w:r w:rsidR="00BA4877">
        <w:t>Marrewijk</w:t>
      </w:r>
      <w:proofErr w:type="spellEnd"/>
      <w:r w:rsidR="00BA4877">
        <w:t>, 2007)</w:t>
      </w:r>
      <w:r>
        <w:t>. More hybrid versions of exchange rate regimes exist, such as a freely floating exchange rate within bands, or a currency pegged to a basket of other currencies. For briefness sake, however, only the classical ones will shortly be discussed.</w:t>
      </w:r>
    </w:p>
    <w:p w:rsidR="00391B3B" w:rsidRDefault="005F3CF5" w:rsidP="004C1689">
      <w:pPr>
        <w:spacing w:line="360" w:lineRule="auto"/>
        <w:jc w:val="both"/>
      </w:pPr>
      <w:r>
        <w:t xml:space="preserve">If a </w:t>
      </w:r>
      <w:r w:rsidR="00D132C5">
        <w:t>country</w:t>
      </w:r>
      <w:r>
        <w:t xml:space="preserve"> has a fixed exchange rate this means that if the LOP is to hold, then prices should be fully flexible in order to adapt, given the fixed exchange rate, to the foreign price levels. When domestic prices are lower than foreign prices this </w:t>
      </w:r>
      <w:r w:rsidR="0001122B">
        <w:t xml:space="preserve">will </w:t>
      </w:r>
      <w:r>
        <w:t xml:space="preserve">increase demand for </w:t>
      </w:r>
      <w:r w:rsidR="0001122B">
        <w:t xml:space="preserve">domestic goods and thus the demand for </w:t>
      </w:r>
      <w:r>
        <w:t xml:space="preserve">the domestic currency. This demand has to be met by the central bank in order to uphold the fixed exchange rate, which </w:t>
      </w:r>
      <w:r w:rsidR="0001122B">
        <w:t>is</w:t>
      </w:r>
      <w:r>
        <w:t xml:space="preserve"> done through selling domestic currency and buying foreign currency. This will increase in </w:t>
      </w:r>
      <w:r w:rsidR="0001122B">
        <w:t xml:space="preserve">the </w:t>
      </w:r>
      <w:r>
        <w:t>domestic money stock</w:t>
      </w:r>
      <w:r w:rsidR="0001122B">
        <w:t xml:space="preserve"> so that the increased demand for domestic goods will pressure prices upwards until they are equal to foreign prices</w:t>
      </w:r>
      <w:r w:rsidR="00C93542">
        <w:rPr>
          <w:rFonts w:hint="eastAsia"/>
          <w:lang w:eastAsia="zh-TW"/>
        </w:rPr>
        <w:t xml:space="preserve"> </w:t>
      </w:r>
      <w:r w:rsidR="007F1D45">
        <w:t xml:space="preserve">(Van </w:t>
      </w:r>
      <w:proofErr w:type="spellStart"/>
      <w:r w:rsidR="007F1D45">
        <w:t>Marrewijk</w:t>
      </w:r>
      <w:proofErr w:type="spellEnd"/>
      <w:r w:rsidR="007F1D45">
        <w:t>, 2007)</w:t>
      </w:r>
      <w:r>
        <w:t xml:space="preserve">. </w:t>
      </w:r>
    </w:p>
    <w:p w:rsidR="005F3CF5" w:rsidRDefault="005F3CF5" w:rsidP="004C1689">
      <w:pPr>
        <w:spacing w:line="360" w:lineRule="auto"/>
        <w:jc w:val="both"/>
      </w:pPr>
      <w:r>
        <w:t xml:space="preserve">In the situation where a </w:t>
      </w:r>
      <w:r w:rsidR="00D132C5">
        <w:t>country</w:t>
      </w:r>
      <w:r>
        <w:t xml:space="preserve"> has a floating exchange rate this mechanism will automatically adjust relative prices so that the market is in equilibrium. When price levels do not fulfill the LOP condition, the floating exchange rate mechanism, through market forces of supply and demand of both currencies, changes the relative prices so that equilibrium is (re-)established</w:t>
      </w:r>
      <w:r w:rsidR="00C93542">
        <w:rPr>
          <w:rFonts w:hint="eastAsia"/>
          <w:lang w:eastAsia="zh-TW"/>
        </w:rPr>
        <w:t xml:space="preserve"> </w:t>
      </w:r>
      <w:r w:rsidR="00C93542">
        <w:t xml:space="preserve">(Van </w:t>
      </w:r>
      <w:proofErr w:type="spellStart"/>
      <w:r w:rsidR="00C93542">
        <w:t>Marrewijk</w:t>
      </w:r>
      <w:proofErr w:type="spellEnd"/>
      <w:r w:rsidR="00C93542">
        <w:t>, 2007)</w:t>
      </w:r>
      <w:r>
        <w:t xml:space="preserve">. The same occurs when there is a change in the interest rates in either of the </w:t>
      </w:r>
      <w:r w:rsidR="00D132C5">
        <w:t>countries</w:t>
      </w:r>
      <w:r>
        <w:t xml:space="preserve">. For example, when a higher interest can be earned abroad, this increases the demand for the foreign currency. This increased demand causes a change in the exchange rate and thus a change in the relative price of the currencies involved, till the LOP condition is again fulfilled. </w:t>
      </w:r>
    </w:p>
    <w:p w:rsidR="005F3CF5" w:rsidRDefault="005F3CF5" w:rsidP="004C1689">
      <w:pPr>
        <w:spacing w:line="360" w:lineRule="auto"/>
        <w:jc w:val="both"/>
      </w:pPr>
      <w:r>
        <w:t>So dependent on the type of exchange rate regi</w:t>
      </w:r>
      <w:r w:rsidR="00391B3B">
        <w:t>me used either the price level</w:t>
      </w:r>
      <w:r>
        <w:t xml:space="preserve"> or the </w:t>
      </w:r>
      <w:r w:rsidR="00391B3B">
        <w:t>exchange rate has to change.</w:t>
      </w:r>
    </w:p>
    <w:p w:rsidR="005F3CF5" w:rsidRDefault="005F3CF5" w:rsidP="004C1689">
      <w:pPr>
        <w:pStyle w:val="Heading3"/>
        <w:numPr>
          <w:ilvl w:val="2"/>
          <w:numId w:val="1"/>
        </w:numPr>
        <w:spacing w:line="360" w:lineRule="auto"/>
      </w:pPr>
      <w:bookmarkStart w:id="7" w:name="_Toc353348776"/>
      <w:r>
        <w:t>Fiscal or Monetary Policy?</w:t>
      </w:r>
      <w:bookmarkEnd w:id="7"/>
    </w:p>
    <w:p w:rsidR="005F3CF5" w:rsidRDefault="005F3CF5" w:rsidP="004C1689">
      <w:pPr>
        <w:spacing w:line="360" w:lineRule="auto"/>
        <w:jc w:val="both"/>
      </w:pPr>
      <w:r>
        <w:t xml:space="preserve">When a </w:t>
      </w:r>
      <w:r w:rsidR="00D132C5">
        <w:t>country</w:t>
      </w:r>
      <w:r>
        <w:t xml:space="preserve"> has chosen its type of exchange rate regime, it subsequently chooses the appropriate type of policy to stimulate its economy. A </w:t>
      </w:r>
      <w:r w:rsidR="00D132C5">
        <w:t>country</w:t>
      </w:r>
      <w:r>
        <w:t xml:space="preserve"> can choose to either apply monetary </w:t>
      </w:r>
      <w:r>
        <w:lastRenderedPageBreak/>
        <w:t>policy or fiscal policy</w:t>
      </w:r>
      <w:r w:rsidR="00D132C5">
        <w:t xml:space="preserve"> (Van </w:t>
      </w:r>
      <w:proofErr w:type="spellStart"/>
      <w:r w:rsidR="00D132C5">
        <w:t>Marrewijk</w:t>
      </w:r>
      <w:proofErr w:type="spellEnd"/>
      <w:r w:rsidR="00D132C5">
        <w:t>, 2007)</w:t>
      </w:r>
      <w:r>
        <w:t>. Both policy approaches aim at expanding the monetary base in order to stimulate investment so that an economy can grow. In the monetary policy approach this is done by expanding the credit base in an economy, for example</w:t>
      </w:r>
      <w:r w:rsidR="00391B3B">
        <w:t xml:space="preserve"> by</w:t>
      </w:r>
      <w:r>
        <w:t xml:space="preserve"> lowering interest rates which banks have to pay to the central bank, or by lowering the reserve requirement. The fiscal policy approach entails lowering taxes or </w:t>
      </w:r>
      <w:r w:rsidR="00993495">
        <w:t>granting subsidies</w:t>
      </w:r>
      <w:r>
        <w:t xml:space="preserve"> for investments. However, not each type of policy is effective under </w:t>
      </w:r>
      <w:r w:rsidR="00391B3B">
        <w:t>all</w:t>
      </w:r>
      <w:r>
        <w:t xml:space="preserve"> type</w:t>
      </w:r>
      <w:r w:rsidR="00391B3B">
        <w:t>s</w:t>
      </w:r>
      <w:r>
        <w:t xml:space="preserve"> of exchange rate regime, which will shortly be elaborated next. </w:t>
      </w:r>
    </w:p>
    <w:p w:rsidR="005F3CF5" w:rsidRDefault="005F3CF5" w:rsidP="004C1689">
      <w:pPr>
        <w:spacing w:line="360" w:lineRule="auto"/>
        <w:jc w:val="both"/>
      </w:pPr>
      <w:r>
        <w:t xml:space="preserve">If a </w:t>
      </w:r>
      <w:r w:rsidR="00D132C5">
        <w:t>country</w:t>
      </w:r>
      <w:r>
        <w:t xml:space="preserve"> has a particularly important trading partner it might fix its exchange rate to the currency of this major trading partner in order to eliminate exchange risk. Now if due to business cycle evolution an economy is in recession and there is a need to stimulate this economy, the choice can be made between either monetary or fiscal policy. If monetary policy is chosen, a way to expand the credit base is to lower the interest rate charged by the central bank to commercial banks, so that investment opportunities become more profitable than interest earned on savings. The result of</w:t>
      </w:r>
      <w:r w:rsidR="003A382E">
        <w:t xml:space="preserve"> this however is that </w:t>
      </w:r>
      <w:r>
        <w:t>a higher interest rate can be earned abroad. Under a fixed exchange rate regime this entails that the LOP does no longer hold. With a higher interest rate abroad the money that was supposed to stimulate</w:t>
      </w:r>
      <w:r w:rsidR="00D132C5">
        <w:t xml:space="preserve"> domestic</w:t>
      </w:r>
      <w:r>
        <w:t xml:space="preserve"> investment now flows out of the country, neutralizing the aimed investment boost</w:t>
      </w:r>
      <w:r w:rsidR="00782C6D">
        <w:rPr>
          <w:rFonts w:hint="eastAsia"/>
          <w:lang w:eastAsia="zh-TW"/>
        </w:rPr>
        <w:t xml:space="preserve"> </w:t>
      </w:r>
      <w:r w:rsidR="00782C6D">
        <w:t xml:space="preserve">(Van </w:t>
      </w:r>
      <w:proofErr w:type="spellStart"/>
      <w:r w:rsidR="00782C6D">
        <w:t>Marrewijk</w:t>
      </w:r>
      <w:proofErr w:type="spellEnd"/>
      <w:r w:rsidR="00782C6D">
        <w:t>, 2007)</w:t>
      </w:r>
      <w:r>
        <w:t xml:space="preserve">. If instead fiscal policy is used to stimulate the economy, </w:t>
      </w:r>
      <w:r w:rsidR="00391B3B">
        <w:t>domestic investments become more attractive</w:t>
      </w:r>
      <w:r w:rsidR="006F43ED">
        <w:t>,</w:t>
      </w:r>
      <w:r w:rsidR="00391B3B">
        <w:t xml:space="preserve"> which results in an increased</w:t>
      </w:r>
      <w:r>
        <w:t xml:space="preserve"> demand for </w:t>
      </w:r>
      <w:r w:rsidR="00391B3B">
        <w:t>domestic currency and thus</w:t>
      </w:r>
      <w:r w:rsidR="006F43ED">
        <w:t>, given fixed exchange rates,</w:t>
      </w:r>
      <w:r w:rsidR="00391B3B">
        <w:t xml:space="preserve"> an increase in </w:t>
      </w:r>
      <w:r>
        <w:t xml:space="preserve">its price, the interest rate. This leads to an inflow of money that continues until interest rates are equalized again. With the increased monetary base due to the inflow of foreign money, money will more easily find its way to new investments, </w:t>
      </w:r>
      <w:r w:rsidR="006F43ED">
        <w:t>stimulating</w:t>
      </w:r>
      <w:r>
        <w:t xml:space="preserve"> growth in the economy</w:t>
      </w:r>
      <w:r w:rsidR="00782C6D">
        <w:t xml:space="preserve"> (Van </w:t>
      </w:r>
      <w:proofErr w:type="spellStart"/>
      <w:r w:rsidR="00782C6D">
        <w:t>Marrewijk</w:t>
      </w:r>
      <w:proofErr w:type="spellEnd"/>
      <w:r w:rsidR="00782C6D">
        <w:t>, 2007)</w:t>
      </w:r>
      <w:r>
        <w:t>. Following this limited, but intuitive, reasoning, it can be stated that under a fixed exchange rate regime</w:t>
      </w:r>
      <w:r w:rsidR="00D132C5">
        <w:t>, monetary policy is ineffective</w:t>
      </w:r>
      <w:r>
        <w:t xml:space="preserve"> whereas fiscal policy </w:t>
      </w:r>
      <w:proofErr w:type="spellStart"/>
      <w:r>
        <w:rPr>
          <w:rFonts w:cstheme="minorHAnsi"/>
        </w:rPr>
        <w:t>í</w:t>
      </w:r>
      <w:r>
        <w:t>s</w:t>
      </w:r>
      <w:proofErr w:type="spellEnd"/>
      <w:r>
        <w:t xml:space="preserve"> effective, in stimulating an economy.  </w:t>
      </w:r>
    </w:p>
    <w:p w:rsidR="005F3CF5" w:rsidRDefault="005F3CF5" w:rsidP="004C1689">
      <w:pPr>
        <w:spacing w:line="360" w:lineRule="auto"/>
        <w:jc w:val="both"/>
      </w:pPr>
      <w:r>
        <w:t xml:space="preserve">In the case that a </w:t>
      </w:r>
      <w:r w:rsidR="00D132C5">
        <w:t>country</w:t>
      </w:r>
      <w:r>
        <w:t xml:space="preserve"> has chosen for a floating exchange rate regime, swift adjustments in the exchange rate will uphold the LOP condition. Now if there again is a need to stimulate the economy and for this monetary policy is used, the following will happen; central bank interest rates are again lowered, so that investment opportunities become more profitable than interest earned on savings. The result of this is an increased demand for foreign currency since interest rates are higher abroad. This directly causes a shift in the exchange rate so that the LOP condition for the price of money is again fulfilled. Given this swift adjustment of the exchange rate money does not flow out of the country. Continuing, since price levels are less flexible than interest rates, domestic goods are now comparatively cheaper than foreign goods, causing an increased demand for domestic goods and thus an inflow of money, leading to the aimed monetary expansion</w:t>
      </w:r>
      <w:r w:rsidR="00782C6D">
        <w:t xml:space="preserve"> (Van </w:t>
      </w:r>
      <w:proofErr w:type="spellStart"/>
      <w:r w:rsidR="00782C6D">
        <w:t>Marrewijk</w:t>
      </w:r>
      <w:proofErr w:type="spellEnd"/>
      <w:r w:rsidR="00782C6D">
        <w:t>, 2007)</w:t>
      </w:r>
      <w:r>
        <w:t xml:space="preserve">. When </w:t>
      </w:r>
      <w:r>
        <w:lastRenderedPageBreak/>
        <w:t>instead fiscal policy is used to stimulate an economy with a floating exchange rate regime</w:t>
      </w:r>
      <w:r w:rsidR="006F43ED">
        <w:t>,</w:t>
      </w:r>
      <w:r>
        <w:t xml:space="preserve"> this again entails a reduction in taxes. The lower taxes imply better investment opportunities in the home country, creating an increase in demand for the domestic currency and thus in increase in the price of the domestic currency, the interest rate. Since this distorts the LOP condition, the increased demand causes a shift in the exchange rate. Now the LOP conditions is fulfilled again for the price of money, so that interest rates in both states earn an equal yield. Again, given relatively stickier normal price levels, and due to the appreciation of the domestic currency, foreign goods are now comparatively cheaper than domestic goods. This causes an increased demand for foreign goods and thus an outflow of money, also known as the </w:t>
      </w:r>
      <w:r w:rsidRPr="00985F1C">
        <w:rPr>
          <w:i/>
        </w:rPr>
        <w:t>crowding out effect</w:t>
      </w:r>
      <w:r>
        <w:t>, which completely offsets the aim of the fiscal expansion policy</w:t>
      </w:r>
      <w:r w:rsidR="00782C6D">
        <w:rPr>
          <w:rFonts w:asciiTheme="minorEastAsia" w:eastAsiaTheme="minorEastAsia" w:hAnsiTheme="minorEastAsia" w:hint="eastAsia"/>
          <w:lang w:eastAsia="zh-TW"/>
        </w:rPr>
        <w:t xml:space="preserve"> </w:t>
      </w:r>
      <w:r w:rsidR="00782C6D">
        <w:t xml:space="preserve">(Van </w:t>
      </w:r>
      <w:proofErr w:type="spellStart"/>
      <w:r w:rsidR="00782C6D">
        <w:t>Marrewijk</w:t>
      </w:r>
      <w:proofErr w:type="spellEnd"/>
      <w:r w:rsidR="00782C6D">
        <w:t>, 2007)</w:t>
      </w:r>
      <w:r>
        <w:t>. Here, again following a limited, but intuitive, reasoning, it can be concluded that under a floating exchange rate regime monetary policy is effective, whereas fiscal policy is ineffective, in stimulating an economy.</w:t>
      </w:r>
    </w:p>
    <w:p w:rsidR="005F3CF5" w:rsidRDefault="005F3CF5" w:rsidP="004C1689">
      <w:pPr>
        <w:pStyle w:val="Heading3"/>
        <w:numPr>
          <w:ilvl w:val="2"/>
          <w:numId w:val="1"/>
        </w:numPr>
        <w:spacing w:line="360" w:lineRule="auto"/>
      </w:pPr>
      <w:bookmarkStart w:id="8" w:name="_Toc353348777"/>
      <w:r>
        <w:t>The Long Run</w:t>
      </w:r>
      <w:bookmarkEnd w:id="8"/>
    </w:p>
    <w:p w:rsidR="005F3CF5" w:rsidRDefault="005F3CF5" w:rsidP="004C1689">
      <w:pPr>
        <w:spacing w:line="360" w:lineRule="auto"/>
        <w:jc w:val="both"/>
      </w:pPr>
      <w:r>
        <w:t xml:space="preserve">Given the above discussed combinations of either a fixed exchange rate regime with fiscal policy, or a floating exchange rate regime with monetary policy, a sovereign </w:t>
      </w:r>
      <w:r w:rsidR="00D132C5">
        <w:t>country</w:t>
      </w:r>
      <w:r>
        <w:t xml:space="preserve"> can stimulate its economy as it pleases. Both policy instruments however can have negative effects in the long run, when applied in an uncontrolled fashion. The excessive use of fiscal policy negatively affects a government’s budget, potentially leading to an increase in public debt. If a government’s public debt becomes unsustainable due to excessive use of fiscal policy, public authorities can attempt to use monetary policy to expand the monetary base. In the case that this monetary expansion is not met by an outflow of money, </w:t>
      </w:r>
      <w:r w:rsidRPr="006F43ED">
        <w:rPr>
          <w:i/>
        </w:rPr>
        <w:t>which is contradictory to the theory</w:t>
      </w:r>
      <w:r>
        <w:t xml:space="preserve">, then the monetary expansion can in the long run cause inflation, something that positively affects the value of the public debt. If this does not work, authorities can consider devaluating their currency respective to the foreign currency in order to improve the economy’s competitive advantage. </w:t>
      </w:r>
    </w:p>
    <w:p w:rsidR="005F3CF5" w:rsidRDefault="005F3CF5" w:rsidP="004C1689">
      <w:pPr>
        <w:spacing w:line="360" w:lineRule="auto"/>
        <w:jc w:val="both"/>
      </w:pPr>
      <w:r>
        <w:t xml:space="preserve">In the case of excessive use of monetary policy, low interest rates can in the long run create inflationary pressures if the increased money stock is not met by increased demand in the market. Again here public authorities can attempt to offset inflation by fiscal policy retraction. If the fiscal retraction is not accompanied by a fall in demand for domestic currency, which again is opposed to what theory prescribes, then this could temper inflationary pressures.  </w:t>
      </w:r>
    </w:p>
    <w:p w:rsidR="003B1B98" w:rsidRDefault="003B1B98" w:rsidP="004C1689">
      <w:pPr>
        <w:spacing w:line="360" w:lineRule="auto"/>
        <w:jc w:val="both"/>
      </w:pPr>
    </w:p>
    <w:p w:rsidR="003B1B98" w:rsidRDefault="003B1B98" w:rsidP="004C1689">
      <w:pPr>
        <w:spacing w:line="360" w:lineRule="auto"/>
        <w:jc w:val="both"/>
      </w:pPr>
    </w:p>
    <w:p w:rsidR="005F3CF5" w:rsidRPr="00646DC3" w:rsidRDefault="007F1BEA" w:rsidP="004C1689">
      <w:pPr>
        <w:pStyle w:val="Heading2"/>
        <w:numPr>
          <w:ilvl w:val="1"/>
          <w:numId w:val="1"/>
        </w:numPr>
        <w:spacing w:line="360" w:lineRule="auto"/>
        <w:rPr>
          <w:color w:val="auto"/>
        </w:rPr>
      </w:pPr>
      <w:r>
        <w:lastRenderedPageBreak/>
        <w:t xml:space="preserve"> </w:t>
      </w:r>
      <w:r>
        <w:tab/>
      </w:r>
      <w:bookmarkStart w:id="9" w:name="_Toc353348778"/>
      <w:r w:rsidR="005F3CF5">
        <w:t>Contemplations on Currency Union Membership</w:t>
      </w:r>
      <w:bookmarkEnd w:id="9"/>
      <w:r w:rsidR="00D565AA">
        <w:t xml:space="preserve"> </w:t>
      </w:r>
    </w:p>
    <w:p w:rsidR="00D565AA" w:rsidRDefault="008A5472" w:rsidP="004C1689">
      <w:pPr>
        <w:spacing w:line="360" w:lineRule="auto"/>
        <w:jc w:val="both"/>
      </w:pPr>
      <w:r>
        <w:rPr>
          <w:noProof/>
        </w:rPr>
        <w:pict>
          <v:shape id="Text Box 12" o:spid="_x0000_s1028" type="#_x0000_t202" style="position:absolute;left:0;text-align:left;margin-left:236.7pt;margin-top:140.25pt;width:206.4pt;height:14.4pt;z-index:251665920;visibility:visible" wrapcoords="-79 0 -79 20800 21600 20800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" stroked="f">
            <v:textbox style="mso-next-textbox:#Text Box 12" inset="0,0,0,0">
              <w:txbxContent>
                <w:p w:rsidR="003B1B98" w:rsidRPr="00406C1D" w:rsidRDefault="003B1B98" w:rsidP="00406C1D">
                  <w:pPr>
                    <w:pStyle w:val="Caption"/>
                    <w:rPr>
                      <w:noProof/>
                      <w:color w:val="auto"/>
                      <w:sz w:val="24"/>
                      <w:szCs w:val="24"/>
                    </w:rPr>
                  </w:pPr>
                  <w:bookmarkStart w:id="10" w:name="_Toc353180925"/>
                  <w:r w:rsidRPr="00406C1D">
                    <w:rPr>
                      <w:color w:val="auto"/>
                      <w:sz w:val="24"/>
                      <w:szCs w:val="24"/>
                    </w:rPr>
                    <w:t xml:space="preserve">Box </w:t>
                  </w:r>
                  <w:r w:rsidR="008A5472" w:rsidRPr="00406C1D">
                    <w:rPr>
                      <w:color w:val="auto"/>
                      <w:sz w:val="24"/>
                      <w:szCs w:val="24"/>
                    </w:rPr>
                    <w:fldChar w:fldCharType="begin"/>
                  </w:r>
                  <w:r w:rsidRPr="00406C1D">
                    <w:rPr>
                      <w:color w:val="auto"/>
                      <w:sz w:val="24"/>
                      <w:szCs w:val="24"/>
                    </w:rPr>
                    <w:instrText xml:space="preserve"> SEQ Box \* ARABIC </w:instrText>
                  </w:r>
                  <w:r w:rsidR="008A5472" w:rsidRPr="00406C1D">
                    <w:rPr>
                      <w:color w:val="auto"/>
                      <w:sz w:val="24"/>
                      <w:szCs w:val="24"/>
                    </w:rPr>
                    <w:fldChar w:fldCharType="separate"/>
                  </w:r>
                  <w:r>
                    <w:rPr>
                      <w:noProof/>
                      <w:color w:val="auto"/>
                      <w:sz w:val="24"/>
                      <w:szCs w:val="24"/>
                    </w:rPr>
                    <w:t>2</w:t>
                  </w:r>
                  <w:r w:rsidR="008A5472" w:rsidRPr="00406C1D">
                    <w:rPr>
                      <w:color w:val="auto"/>
                      <w:sz w:val="24"/>
                      <w:szCs w:val="24"/>
                    </w:rPr>
                    <w:fldChar w:fldCharType="end"/>
                  </w:r>
                  <w:r>
                    <w:rPr>
                      <w:color w:val="auto"/>
                      <w:sz w:val="24"/>
                      <w:szCs w:val="24"/>
                    </w:rPr>
                    <w:t>-2</w:t>
                  </w:r>
                  <w:r w:rsidRPr="00406C1D">
                    <w:rPr>
                      <w:color w:val="auto"/>
                      <w:sz w:val="24"/>
                      <w:szCs w:val="24"/>
                    </w:rPr>
                    <w:t xml:space="preserve"> - Trade vs. Flexibility</w:t>
                  </w:r>
                  <w:bookmarkEnd w:id="10"/>
                </w:p>
              </w:txbxContent>
            </v:textbox>
            <w10:wrap type="tight"/>
          </v:shape>
        </w:pict>
      </w:r>
      <w:r>
        <w:rPr>
          <w:noProof/>
        </w:rPr>
        <w:pict>
          <v:rect id="_x0000_s1029" style="position:absolute;left:0;text-align:left;margin-left:233.25pt;margin-top:187.5pt;width:214.8pt;height:184.35pt;flip:x;z-index:-251652608;visibility:visible;mso-wrap-distance-left:7.2pt;mso-wrap-distance-top:7.2pt;mso-wrap-distance-right:7.2pt;mso-wrap-distance-bottom:7.2pt;mso-position-horizontal-relative:margin;mso-position-vertical-relative:margin;mso-width-relative:margin;v-text-anchor:middle" wrapcoords="21676 -88 21676 21600 -151 21600 -151 -88 21676 -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" o:allowincell="f" fillcolor="white [3212]" strokecolor="gray [1629]" strokeweight="1.5pt">
            <v:shadow on="t" type="perspective" color="black" opacity="26214f" origin="-.5,-.5" offset=".74836mm,.74836mm" matrix="65864f,,,65864f"/>
            <v:textbox style="mso-next-textbox:#_x0000_s1029" inset="21.6pt,21.6pt,21.6pt,21.6pt">
              <w:txbxContent>
                <w:p w:rsidR="003B1B98" w:rsidRPr="005500C2" w:rsidRDefault="003B1B98" w:rsidP="00D565AA">
                  <w:pPr>
                    <w:jc w:val="both"/>
                    <w:rPr>
                      <w:sz w:val="20"/>
                      <w:szCs w:val="20"/>
                    </w:rPr>
                  </w:pPr>
                  <w:r w:rsidRPr="005500C2">
                    <w:rPr>
                      <w:sz w:val="20"/>
                      <w:szCs w:val="20"/>
                    </w:rPr>
                    <w:t xml:space="preserve">The most famous </w:t>
                  </w:r>
                  <w:r>
                    <w:rPr>
                      <w:sz w:val="20"/>
                      <w:szCs w:val="20"/>
                    </w:rPr>
                    <w:t xml:space="preserve">and recent </w:t>
                  </w:r>
                  <w:r w:rsidRPr="005500C2">
                    <w:rPr>
                      <w:sz w:val="20"/>
                      <w:szCs w:val="20"/>
                    </w:rPr>
                    <w:t>example of a financially troubled state in a currency union is Greece. This state had given up its monetary policy instruments in exchange fo</w:t>
                  </w:r>
                  <w:r>
                    <w:rPr>
                      <w:sz w:val="20"/>
                      <w:szCs w:val="20"/>
                    </w:rPr>
                    <w:t>r EMU membership. The increased trade however was insufficient to offset weak fiscal policy that was causing gaps in Greek public finances. The result: a partial default on Greek sovereign debt.</w:t>
                  </w:r>
                </w:p>
              </w:txbxContent>
            </v:textbox>
            <w10:wrap type="tight" anchorx="margin" anchory="margin"/>
          </v:rect>
        </w:pict>
      </w:r>
      <w:r w:rsidR="00306117">
        <w:t>With</w:t>
      </w:r>
      <w:r w:rsidR="00D565AA">
        <w:t xml:space="preserve"> the above discussed policy instruments</w:t>
      </w:r>
      <w:r w:rsidR="00D132C5">
        <w:t xml:space="preserve"> a country</w:t>
      </w:r>
      <w:r w:rsidR="00D565AA">
        <w:t xml:space="preserve"> has room for maneuvering its economy. When joining a currency union however most of these instruments are given up for a shared common currency. The exchange rate mechanism with the other </w:t>
      </w:r>
      <w:r w:rsidR="00D132C5">
        <w:t>countries</w:t>
      </w:r>
      <w:r w:rsidR="00D565AA">
        <w:t xml:space="preserve"> in the union disappears, while the control over the exchange rate with states outside the union is transferred to a central supranational authority, for example an independent central bank. Monetary policy instruments such as control over the interest rate charged to commercial banks is </w:t>
      </w:r>
      <w:r w:rsidR="00306117">
        <w:t>also lost and transferred to this</w:t>
      </w:r>
      <w:r w:rsidR="00D565AA">
        <w:t xml:space="preserve"> supranational authority. Since the exchange rate of the common currency has to correct for price differentials in multiple countries, the LOP condition does no longer necessarily hold for </w:t>
      </w:r>
      <w:r w:rsidR="00306117">
        <w:t>individual</w:t>
      </w:r>
      <w:r w:rsidR="00D565AA">
        <w:t xml:space="preserve"> countries. The result is price differentials that can cause flows of money into or out of </w:t>
      </w:r>
      <w:r w:rsidR="00306117">
        <w:t>a</w:t>
      </w:r>
      <w:r w:rsidR="00D565AA">
        <w:t xml:space="preserve"> country, which can no longer be corrected by monetary policy. What is left for the national state is its sovereign control over its fiscal policy. Only through fiscal expansion can a state now</w:t>
      </w:r>
      <w:r w:rsidR="00306117">
        <w:t xml:space="preserve"> correct for business cycle fluctuations or</w:t>
      </w:r>
      <w:r w:rsidR="00D565AA">
        <w:t xml:space="preserve"> stimulate its economy. </w:t>
      </w:r>
    </w:p>
    <w:p w:rsidR="00D565AA" w:rsidRDefault="00D565AA" w:rsidP="004C1689">
      <w:pPr>
        <w:spacing w:line="360" w:lineRule="auto"/>
        <w:jc w:val="both"/>
      </w:pPr>
      <w:r>
        <w:t xml:space="preserve">On the other hand, a currency union also has its benefits. Sharing a currency with other </w:t>
      </w:r>
      <w:r w:rsidR="00D132C5">
        <w:t>countries</w:t>
      </w:r>
      <w:r>
        <w:t xml:space="preserve"> that are important trading partner takes away important barriers to trade. Prices expressed in the same currency lead to enhanced transparency in the common market, which increases competition and thus leads to an improv</w:t>
      </w:r>
      <w:r w:rsidR="00D132C5">
        <w:t>ed allocation of resources and</w:t>
      </w:r>
      <w:r>
        <w:t xml:space="preserve"> more efficient market</w:t>
      </w:r>
      <w:r w:rsidR="00D132C5">
        <w:t>s</w:t>
      </w:r>
      <w:r>
        <w:t xml:space="preserve">. Another benefit is the elimination of the exchange rate risk. Where importers and exporters in </w:t>
      </w:r>
      <w:r w:rsidR="00D132C5">
        <w:t>countries</w:t>
      </w:r>
      <w:r>
        <w:t xml:space="preserve"> with a floating exchange rate regime are subject to volatility in exchange rates, these are now eliminated for major trading partners.</w:t>
      </w:r>
      <w:r>
        <w:rPr>
          <w:rStyle w:val="FootnoteReference"/>
        </w:rPr>
        <w:footnoteReference w:id="4"/>
      </w:r>
      <w:r>
        <w:t xml:space="preserve"> Continuing, given the high volatility a small currency under a floating exchange rate regime can have, and the corresponding </w:t>
      </w:r>
      <w:r w:rsidR="008178C4">
        <w:t>foreign exchange</w:t>
      </w:r>
      <w:r>
        <w:t xml:space="preserve"> risk associated with this, a small country, by joining a currency union, can anchor into a larger and more stable currency. This reduces the exchange risk for trade with </w:t>
      </w:r>
      <w:r w:rsidR="00D132C5">
        <w:t>countries</w:t>
      </w:r>
      <w:r>
        <w:t xml:space="preserve"> outside the currency union. Finally, given that monetary policy is no longer under control of national authorities, this policy </w:t>
      </w:r>
      <w:r w:rsidR="008178C4">
        <w:t xml:space="preserve">often becomes </w:t>
      </w:r>
      <w:r>
        <w:t>more stable</w:t>
      </w:r>
      <w:r w:rsidR="008178C4">
        <w:t xml:space="preserve"> when it is a shared policy</w:t>
      </w:r>
      <w:r>
        <w:t xml:space="preserve">. The supranational authority now in charge of the monetary policy has to adhere to its objective and comply with its mandate, two aspects that are set and decided upon by all </w:t>
      </w:r>
      <w:r w:rsidR="008178C4">
        <w:t xml:space="preserve">the </w:t>
      </w:r>
      <w:r w:rsidR="008178C4">
        <w:lastRenderedPageBreak/>
        <w:t xml:space="preserve">members of the </w:t>
      </w:r>
      <w:r>
        <w:t xml:space="preserve">currency union. It can be approximated that this will lead to a more stable and balanced monetary policy than an individual </w:t>
      </w:r>
      <w:r w:rsidR="00B26DAC">
        <w:t>country</w:t>
      </w:r>
      <w:r>
        <w:t xml:space="preserve"> would pursue. </w:t>
      </w:r>
    </w:p>
    <w:p w:rsidR="008178C4" w:rsidRDefault="008A5472" w:rsidP="004C1689">
      <w:pPr>
        <w:pStyle w:val="Heading2"/>
        <w:numPr>
          <w:ilvl w:val="1"/>
          <w:numId w:val="1"/>
        </w:numPr>
        <w:spacing w:line="360" w:lineRule="auto"/>
      </w:pPr>
      <w:r>
        <w:rPr>
          <w:noProof/>
        </w:rPr>
        <w:pict>
          <v:shape id="Text Box 10" o:spid="_x0000_s1030" type="#_x0000_t202" style="position:absolute;left:0;text-align:left;margin-left:-3.6pt;margin-top:-67.2pt;width:454.05pt;height:20.9pt;z-index:251662848;visibility:visible" wrapcoords="-36 0 -36 20829 21600 20829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" stroked="f">
            <v:textbox style="mso-next-textbox:#Text Box 10" inset="0,0,0,0">
              <w:txbxContent>
                <w:p w:rsidR="003B1B98" w:rsidRPr="003B1B98" w:rsidRDefault="003B1B98" w:rsidP="00B26DAC">
                  <w:pPr>
                    <w:pStyle w:val="Caption"/>
                    <w:rPr>
                      <w:noProof/>
                      <w:color w:val="auto"/>
                      <w:sz w:val="24"/>
                      <w:szCs w:val="24"/>
                      <w:u w:val="single"/>
                    </w:rPr>
                  </w:pPr>
                  <w:r w:rsidRPr="003B1B98">
                    <w:rPr>
                      <w:color w:val="auto"/>
                      <w:sz w:val="24"/>
                      <w:szCs w:val="24"/>
                    </w:rPr>
                    <w:t xml:space="preserve">  </w:t>
                  </w:r>
                  <w:bookmarkStart w:id="11" w:name="_Toc353180926"/>
                  <w:r w:rsidRPr="003B1B98">
                    <w:rPr>
                      <w:color w:val="auto"/>
                      <w:sz w:val="24"/>
                      <w:szCs w:val="24"/>
                    </w:rPr>
                    <w:t>Box 2-3 - Pro's &amp; Con's of a Currency Union</w:t>
                  </w:r>
                  <w:bookmarkEnd w:id="11"/>
                </w:p>
              </w:txbxContent>
            </v:textbox>
            <w10:wrap type="tight"/>
          </v:shape>
        </w:pict>
      </w:r>
      <w:r w:rsidR="008178C4">
        <w:t xml:space="preserve"> </w:t>
      </w:r>
      <w:r w:rsidR="008178C4">
        <w:tab/>
      </w:r>
      <w:bookmarkStart w:id="12" w:name="_Toc353348779"/>
      <w:r w:rsidR="008178C4">
        <w:t>Analyzing Policy Decisions</w:t>
      </w:r>
      <w:bookmarkEnd w:id="12"/>
    </w:p>
    <w:p w:rsidR="00D565AA" w:rsidRDefault="008A5472" w:rsidP="004C1689">
      <w:pPr>
        <w:spacing w:line="360" w:lineRule="auto"/>
        <w:jc w:val="both"/>
      </w:pPr>
      <w:r>
        <w:rPr>
          <w:noProof/>
        </w:rPr>
        <w:pict>
          <v:rect id="_x0000_s1031" style="position:absolute;left:0;text-align:left;margin-left:-3.6pt;margin-top:11.15pt;width:223.8pt;height:180.3pt;flip:x;z-index:-251655680;visibility:visible;mso-wrap-distance-left:7.2pt;mso-wrap-distance-top:7.2pt;mso-wrap-distance-right:7.2pt;mso-wrap-distance-bottom:7.2pt;mso-position-horizontal-relative:margin;mso-position-vertical-relative:margin;mso-width-relative:margin;v-text-anchor:middle" wrapcoords="21672 -90 21672 21600 -145 21600 -145 -90 21672 -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" o:allowincell="f" fillcolor="white [3212]" strokecolor="gray [1629]" strokeweight="1.5pt">
            <v:shadow on="t" type="perspective" color="black" opacity="26214f" origin="-.5,-.5" offset=".74836mm,.74836mm" matrix="65864f,,,65864f"/>
            <v:textbox style="mso-next-textbox:#_x0000_s1031" inset="21.6pt,21.6pt,21.6pt,21.6pt">
              <w:txbxContent>
                <w:p w:rsidR="003B1B98" w:rsidRPr="003C6BAC" w:rsidRDefault="003B1B98" w:rsidP="00D565AA">
                  <w:pPr>
                    <w:rPr>
                      <w:b/>
                      <w:szCs w:val="18"/>
                      <w:u w:val="single"/>
                    </w:rPr>
                  </w:pPr>
                  <w:proofErr w:type="spellStart"/>
                  <w:r w:rsidRPr="003C6BAC">
                    <w:rPr>
                      <w:b/>
                      <w:szCs w:val="18"/>
                      <w:u w:val="single"/>
                    </w:rPr>
                    <w:t>Pro’s</w:t>
                  </w:r>
                  <w:proofErr w:type="spellEnd"/>
                  <w:r w:rsidRPr="003C6BAC">
                    <w:rPr>
                      <w:b/>
                      <w:szCs w:val="18"/>
                      <w:u w:val="single"/>
                    </w:rPr>
                    <w:t>:</w:t>
                  </w:r>
                </w:p>
                <w:p w:rsidR="003B1B98" w:rsidRDefault="003B1B98" w:rsidP="00D565AA">
                  <w:pPr>
                    <w:pStyle w:val="ListParagraph"/>
                    <w:numPr>
                      <w:ilvl w:val="0"/>
                      <w:numId w:val="2"/>
                    </w:numPr>
                    <w:rPr>
                      <w:szCs w:val="18"/>
                    </w:rPr>
                  </w:pPr>
                  <w:r>
                    <w:rPr>
                      <w:szCs w:val="18"/>
                    </w:rPr>
                    <w:t>Reduced barriers to trade</w:t>
                  </w:r>
                </w:p>
                <w:p w:rsidR="003B1B98" w:rsidRDefault="003B1B98" w:rsidP="00D565AA">
                  <w:pPr>
                    <w:pStyle w:val="ListParagraph"/>
                    <w:numPr>
                      <w:ilvl w:val="0"/>
                      <w:numId w:val="2"/>
                    </w:numPr>
                    <w:rPr>
                      <w:szCs w:val="18"/>
                    </w:rPr>
                  </w:pPr>
                  <w:r>
                    <w:rPr>
                      <w:szCs w:val="18"/>
                    </w:rPr>
                    <w:t>Price transparency</w:t>
                  </w:r>
                </w:p>
                <w:p w:rsidR="003B1B98" w:rsidRDefault="003B1B98" w:rsidP="00D565AA">
                  <w:pPr>
                    <w:pStyle w:val="ListParagraph"/>
                    <w:numPr>
                      <w:ilvl w:val="0"/>
                      <w:numId w:val="2"/>
                    </w:numPr>
                    <w:rPr>
                      <w:szCs w:val="18"/>
                    </w:rPr>
                  </w:pPr>
                  <w:r>
                    <w:rPr>
                      <w:szCs w:val="18"/>
                    </w:rPr>
                    <w:t>Increased market efficiency</w:t>
                  </w:r>
                </w:p>
                <w:p w:rsidR="003B1B98" w:rsidRDefault="003B1B98" w:rsidP="00D565AA">
                  <w:pPr>
                    <w:pStyle w:val="ListParagraph"/>
                    <w:numPr>
                      <w:ilvl w:val="0"/>
                      <w:numId w:val="2"/>
                    </w:numPr>
                    <w:rPr>
                      <w:szCs w:val="18"/>
                    </w:rPr>
                  </w:pPr>
                  <w:r>
                    <w:rPr>
                      <w:szCs w:val="18"/>
                    </w:rPr>
                    <w:t>Foreign exchange risk elimination</w:t>
                  </w:r>
                </w:p>
                <w:p w:rsidR="003B1B98" w:rsidRDefault="003B1B98" w:rsidP="00D565AA">
                  <w:pPr>
                    <w:pStyle w:val="ListParagraph"/>
                    <w:numPr>
                      <w:ilvl w:val="0"/>
                      <w:numId w:val="2"/>
                    </w:numPr>
                    <w:rPr>
                      <w:szCs w:val="18"/>
                    </w:rPr>
                  </w:pPr>
                  <w:r>
                    <w:rPr>
                      <w:szCs w:val="18"/>
                    </w:rPr>
                    <w:t>Less volatile exchange rates</w:t>
                  </w:r>
                </w:p>
                <w:p w:rsidR="003B1B98" w:rsidRPr="003C6BAC" w:rsidRDefault="003B1B98" w:rsidP="00D565AA">
                  <w:pPr>
                    <w:pStyle w:val="ListParagraph"/>
                    <w:numPr>
                      <w:ilvl w:val="0"/>
                      <w:numId w:val="2"/>
                    </w:numPr>
                    <w:rPr>
                      <w:szCs w:val="18"/>
                    </w:rPr>
                  </w:pPr>
                  <w:r>
                    <w:rPr>
                      <w:szCs w:val="18"/>
                    </w:rPr>
                    <w:t>Credible monetary policy</w:t>
                  </w:r>
                </w:p>
                <w:p w:rsidR="003B1B98" w:rsidRPr="003C6BAC" w:rsidRDefault="003B1B98" w:rsidP="00D565AA">
                  <w:pPr>
                    <w:rPr>
                      <w:szCs w:val="18"/>
                    </w:rPr>
                  </w:pPr>
                </w:p>
              </w:txbxContent>
            </v:textbox>
            <w10:wrap type="tight" anchorx="margin" anchory="margin"/>
          </v:rect>
        </w:pict>
      </w:r>
      <w:r w:rsidRPr="008A5472">
        <w:rPr>
          <w:b/>
          <w:noProof/>
          <w:u w:val="single"/>
        </w:rPr>
        <w:pict>
          <v:rect id="_x0000_s1032" style="position:absolute;left:0;text-align:left;margin-left:236.25pt;margin-top:11.25pt;width:214.8pt;height:180.3pt;flip:x;z-index:-251654656;visibility:visible;mso-wrap-distance-left:7.2pt;mso-wrap-distance-top:7.2pt;mso-wrap-distance-right:7.2pt;mso-wrap-distance-bottom:7.2pt;mso-position-horizontal-relative:margin;mso-position-vertical-relative:margin;mso-width-relative:margin;v-text-anchor:middle" wrapcoords="21676 -90 21676 21600 -151 21600 -151 -90 21676 -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" o:allowincell="f" fillcolor="white [3212]" strokecolor="gray [1629]" strokeweight="1.5pt">
            <v:shadow on="t" type="perspective" color="black" opacity="26214f" origin="-.5,-.5" offset=".74836mm,.74836mm" matrix="65864f,,,65864f"/>
            <v:textbox style="mso-next-textbox:#_x0000_s1032" inset="21.6pt,21.6pt,21.6pt,21.6pt">
              <w:txbxContent>
                <w:p w:rsidR="003B1B98" w:rsidRPr="003C6BAC" w:rsidRDefault="003B1B98" w:rsidP="00D565AA">
                  <w:pPr>
                    <w:rPr>
                      <w:b/>
                      <w:szCs w:val="18"/>
                      <w:u w:val="single"/>
                    </w:rPr>
                  </w:pPr>
                  <w:proofErr w:type="spellStart"/>
                  <w:r w:rsidRPr="003C6BAC">
                    <w:rPr>
                      <w:b/>
                      <w:szCs w:val="18"/>
                      <w:u w:val="single"/>
                    </w:rPr>
                    <w:t>Con’s</w:t>
                  </w:r>
                  <w:proofErr w:type="spellEnd"/>
                  <w:r w:rsidRPr="003C6BAC">
                    <w:rPr>
                      <w:b/>
                      <w:szCs w:val="18"/>
                      <w:u w:val="single"/>
                    </w:rPr>
                    <w:t>:</w:t>
                  </w:r>
                </w:p>
                <w:p w:rsidR="003B1B98" w:rsidRDefault="003B1B98" w:rsidP="00D565AA">
                  <w:pPr>
                    <w:pStyle w:val="ListParagraph"/>
                    <w:numPr>
                      <w:ilvl w:val="0"/>
                      <w:numId w:val="2"/>
                    </w:numPr>
                    <w:rPr>
                      <w:szCs w:val="18"/>
                    </w:rPr>
                  </w:pPr>
                  <w:r>
                    <w:rPr>
                      <w:szCs w:val="18"/>
                    </w:rPr>
                    <w:t>Lost control of exchange rate regime</w:t>
                  </w:r>
                </w:p>
                <w:p w:rsidR="003B1B98" w:rsidRDefault="003B1B98" w:rsidP="00D565AA">
                  <w:pPr>
                    <w:pStyle w:val="ListParagraph"/>
                    <w:numPr>
                      <w:ilvl w:val="0"/>
                      <w:numId w:val="2"/>
                    </w:numPr>
                    <w:rPr>
                      <w:szCs w:val="18"/>
                    </w:rPr>
                  </w:pPr>
                  <w:r>
                    <w:rPr>
                      <w:szCs w:val="18"/>
                    </w:rPr>
                    <w:t>Inefficient exchange rates</w:t>
                  </w:r>
                </w:p>
                <w:p w:rsidR="003B1B98" w:rsidRDefault="003B1B98" w:rsidP="00D565AA">
                  <w:pPr>
                    <w:pStyle w:val="ListParagraph"/>
                    <w:numPr>
                      <w:ilvl w:val="0"/>
                      <w:numId w:val="2"/>
                    </w:numPr>
                    <w:rPr>
                      <w:szCs w:val="18"/>
                    </w:rPr>
                  </w:pPr>
                  <w:r>
                    <w:rPr>
                      <w:szCs w:val="18"/>
                    </w:rPr>
                    <w:t>Lost control over inflation rates</w:t>
                  </w:r>
                </w:p>
                <w:p w:rsidR="003B1B98" w:rsidRDefault="003B1B98" w:rsidP="00D565AA">
                  <w:pPr>
                    <w:pStyle w:val="ListParagraph"/>
                    <w:numPr>
                      <w:ilvl w:val="0"/>
                      <w:numId w:val="2"/>
                    </w:numPr>
                    <w:rPr>
                      <w:szCs w:val="18"/>
                    </w:rPr>
                  </w:pPr>
                  <w:r>
                    <w:rPr>
                      <w:szCs w:val="18"/>
                    </w:rPr>
                    <w:t>Lost control over monetary policy</w:t>
                  </w:r>
                </w:p>
                <w:p w:rsidR="003B1B98" w:rsidRPr="003C6BAC" w:rsidRDefault="003B1B98" w:rsidP="00D565AA">
                  <w:pPr>
                    <w:pStyle w:val="ListParagraph"/>
                    <w:numPr>
                      <w:ilvl w:val="0"/>
                      <w:numId w:val="2"/>
                    </w:numPr>
                    <w:rPr>
                      <w:szCs w:val="18"/>
                    </w:rPr>
                  </w:pPr>
                  <w:r>
                    <w:rPr>
                      <w:szCs w:val="18"/>
                    </w:rPr>
                    <w:t>Only fiscal policy instruments at hand</w:t>
                  </w:r>
                </w:p>
                <w:p w:rsidR="003B1B98" w:rsidRPr="003C6BAC" w:rsidRDefault="003B1B98" w:rsidP="00D565AA">
                  <w:pPr>
                    <w:rPr>
                      <w:szCs w:val="18"/>
                    </w:rPr>
                  </w:pPr>
                </w:p>
              </w:txbxContent>
            </v:textbox>
            <w10:wrap type="tight" anchorx="margin" anchory="margin"/>
          </v:rect>
        </w:pict>
      </w:r>
      <w:r w:rsidR="00D565AA">
        <w:t xml:space="preserve">Given the above described arguments in favor and against the joining of a currency union (summarized in Box </w:t>
      </w:r>
      <w:r w:rsidR="00B26DAC">
        <w:t>2-</w:t>
      </w:r>
      <w:r w:rsidR="002C41EB">
        <w:t>3</w:t>
      </w:r>
      <w:r w:rsidR="00D565AA">
        <w:t xml:space="preserve">), a </w:t>
      </w:r>
      <w:r w:rsidR="00B26DAC">
        <w:t>country</w:t>
      </w:r>
      <w:r w:rsidR="00D565AA">
        <w:t xml:space="preserve"> has to carefully assess what the potential gains and losses are and come to a well founded decision. This decision will be based, amongst others, on </w:t>
      </w:r>
      <w:r w:rsidR="00D565AA" w:rsidRPr="00C92FA3">
        <w:rPr>
          <w:i/>
        </w:rPr>
        <w:t>ex ante</w:t>
      </w:r>
      <w:r w:rsidR="00D565AA">
        <w:t xml:space="preserve"> analysis of the predicted gains and losses. However, only </w:t>
      </w:r>
      <w:r w:rsidR="00D565AA" w:rsidRPr="00C92FA3">
        <w:rPr>
          <w:i/>
        </w:rPr>
        <w:t>ex post</w:t>
      </w:r>
      <w:r w:rsidR="00D565AA">
        <w:t xml:space="preserve"> analysis of figures and numbers can reveal whether the decision has been the correct one. Given that a </w:t>
      </w:r>
      <w:r w:rsidR="00B26DAC">
        <w:t>country</w:t>
      </w:r>
      <w:r w:rsidR="00D565AA">
        <w:t xml:space="preserve"> chooses </w:t>
      </w:r>
      <w:r w:rsidR="00D565AA" w:rsidRPr="00C92FA3">
        <w:rPr>
          <w:i/>
        </w:rPr>
        <w:t>not</w:t>
      </w:r>
      <w:r w:rsidR="00D565AA">
        <w:t xml:space="preserve"> to join a currency union, the counterfactual argument is difficult to measure and therefore the correctness of the decision is hard to verify. If a </w:t>
      </w:r>
      <w:r w:rsidR="00B26DAC">
        <w:t>country</w:t>
      </w:r>
      <w:r w:rsidR="00D565AA">
        <w:t xml:space="preserve"> however </w:t>
      </w:r>
      <w:r w:rsidR="00D565AA" w:rsidRPr="00615FCE">
        <w:rPr>
          <w:i/>
        </w:rPr>
        <w:t>does</w:t>
      </w:r>
      <w:r w:rsidR="00D565AA">
        <w:t xml:space="preserve"> choose to join a currency union, one could use the pre-currency-union-period as a baseline for comparing data and </w:t>
      </w:r>
      <w:r w:rsidR="005C118E">
        <w:t>so</w:t>
      </w:r>
      <w:r w:rsidR="00D565AA">
        <w:t xml:space="preserve"> verify whether or not the decision has been the correct one. </w:t>
      </w:r>
    </w:p>
    <w:p w:rsidR="005F3CF5" w:rsidRDefault="00D565AA" w:rsidP="004C1689">
      <w:pPr>
        <w:spacing w:line="360" w:lineRule="auto"/>
        <w:jc w:val="both"/>
      </w:pPr>
      <w:r>
        <w:t>The best data to use for this comparative research is trade data. This is because all the advantages of a currency union would lead to an increase in international trade. Reduced barriers to trade obviously increase trade; increased price transparency should increase trade; increased market efficiency is caused by more trade; the elimination of foreign exchange risk ought to increase trade; reduced volatility of exchange rates should lead to increased trade, and finally; more credible monetary policy also reduces risk in exchange markets and therefore should also stimulate international trade. The most appropriate model to use for this type of research is the gravity model, which will be elaborated and explained in chapter 5. The next chapter will review some of the famous and relevant empirical literature</w:t>
      </w:r>
      <w:r w:rsidR="00A355ED">
        <w:t>, using the gravity model,</w:t>
      </w:r>
      <w:r>
        <w:t xml:space="preserve"> on the trade effects of a currency union</w:t>
      </w:r>
      <w:r w:rsidR="00A355ED">
        <w:t>.</w:t>
      </w:r>
    </w:p>
    <w:p w:rsidR="00801312" w:rsidRDefault="00801312" w:rsidP="004C1689">
      <w:pPr>
        <w:pStyle w:val="Heading1"/>
        <w:numPr>
          <w:ilvl w:val="0"/>
          <w:numId w:val="1"/>
        </w:numPr>
        <w:spacing w:before="0" w:line="360" w:lineRule="auto"/>
      </w:pPr>
      <w:bookmarkStart w:id="13" w:name="_Toc353180786"/>
      <w:bookmarkStart w:id="14" w:name="_Toc353348780"/>
      <w:r>
        <w:lastRenderedPageBreak/>
        <w:t>Empirical Literature Review</w:t>
      </w:r>
      <w:bookmarkEnd w:id="13"/>
      <w:bookmarkEnd w:id="14"/>
    </w:p>
    <w:p w:rsidR="003A382E" w:rsidRPr="003A382E" w:rsidRDefault="003A382E" w:rsidP="004C1689">
      <w:pPr>
        <w:spacing w:line="360" w:lineRule="auto"/>
      </w:pPr>
    </w:p>
    <w:p w:rsidR="00801312" w:rsidRDefault="00801312" w:rsidP="004C1689">
      <w:pPr>
        <w:spacing w:line="360" w:lineRule="auto"/>
        <w:jc w:val="both"/>
      </w:pPr>
      <w:r>
        <w:t xml:space="preserve">In the previous chapter the theoretical concept of a currency union has been explained and elaborated. This chapter will review the empirical literature on trade effects of existing currency unions. It will start off with a review of a seminal paper by Rose (2000) on currency union trade effects and the main critiques it received. This will be followed by a review of the empirical literature on the trade effects caused by the creation of the </w:t>
      </w:r>
      <w:r w:rsidR="00AD525C">
        <w:t>Euro</w:t>
      </w:r>
      <w:r>
        <w:t xml:space="preserve">pean currency union, the EMU. </w:t>
      </w:r>
      <w:r w:rsidR="00B26DAC">
        <w:t>Finally</w:t>
      </w:r>
      <w:r>
        <w:t xml:space="preserve"> some articles on the predicted trade effects of EMU enlargement will be reviewed, whose’ results will be subject to comparison of the empirical analysis in chapter 6 of this thesis. </w:t>
      </w:r>
    </w:p>
    <w:p w:rsidR="00801312" w:rsidRDefault="007F1BEA" w:rsidP="004C1689">
      <w:pPr>
        <w:pStyle w:val="Heading2"/>
        <w:numPr>
          <w:ilvl w:val="1"/>
          <w:numId w:val="1"/>
        </w:numPr>
        <w:spacing w:line="360" w:lineRule="auto"/>
      </w:pPr>
      <w:r>
        <w:t xml:space="preserve"> </w:t>
      </w:r>
      <w:r>
        <w:tab/>
      </w:r>
      <w:bookmarkStart w:id="15" w:name="_Toc353348781"/>
      <w:r w:rsidR="00801312">
        <w:t>The ‘Rose Effect’</w:t>
      </w:r>
      <w:bookmarkEnd w:id="15"/>
    </w:p>
    <w:p w:rsidR="00801312" w:rsidRDefault="00801312" w:rsidP="004C1689">
      <w:pPr>
        <w:spacing w:line="360" w:lineRule="auto"/>
        <w:jc w:val="both"/>
      </w:pPr>
      <w:r>
        <w:t xml:space="preserve">Rose </w:t>
      </w:r>
      <w:r w:rsidR="001D149D">
        <w:t>(2000)</w:t>
      </w:r>
      <w:r>
        <w:t xml:space="preserve"> investigated</w:t>
      </w:r>
      <w:r w:rsidR="001D149D">
        <w:t xml:space="preserve"> in a famous paper </w:t>
      </w:r>
      <w:r>
        <w:t xml:space="preserve">the effects on trade of sharing a common currency. In his research he used a gravity model approach based on a sample of 186 countries, covering five years in the period of 1970 – 1990. The outcome of his analysis revealed that </w:t>
      </w:r>
      <w:r w:rsidR="00B26DAC">
        <w:t>countries</w:t>
      </w:r>
      <w:r>
        <w:t xml:space="preserve"> that share a common currency trade more than three times as much as </w:t>
      </w:r>
      <w:r w:rsidR="00B26DAC">
        <w:t>countries</w:t>
      </w:r>
      <w:r>
        <w:t xml:space="preserve"> that do not share a common currency, </w:t>
      </w:r>
      <w:r w:rsidR="00824045">
        <w:t>a figure that</w:t>
      </w:r>
      <w:r>
        <w:t xml:space="preserve"> quickly became known in the literature as the ‘Rose effect’. Due to the extremely large ‘currency union effect’ found in this article, a wave of responses was triggered. Soon many papers followed, either presenting alternative specifications to measure the currency union effect leading to lower and more realistic results, or discussing flaws in Rose’s specification.</w:t>
      </w:r>
      <w:r>
        <w:rPr>
          <w:rStyle w:val="FootnoteReference"/>
        </w:rPr>
        <w:footnoteReference w:id="5"/>
      </w:r>
      <w:r>
        <w:t xml:space="preserve"> These flaws can be summarizes as follows; first the question of </w:t>
      </w:r>
      <w:proofErr w:type="spellStart"/>
      <w:r>
        <w:t>endogeneity</w:t>
      </w:r>
      <w:proofErr w:type="spellEnd"/>
      <w:r>
        <w:t xml:space="preserve"> is not properly addressed. Rose pools all time series data and constructs one big cross sectional dataset that makes it impossible to investigate whether high levels of trade lead to the construction of a currency union, or that trade increases after the construction of a currency union. Secondly, Rose leaves out many variables that affect trade between two </w:t>
      </w:r>
      <w:r w:rsidR="00B26DAC">
        <w:t>countries</w:t>
      </w:r>
      <w:r>
        <w:t xml:space="preserve"> besides sharing a common currency. Control variables that account for historical ties such as former colonies or former members of large empires are omitted in his model. Thirdly, the inferences drawn by Rose are the result of the analysis of currency union that mainly exists for small, poor states that have taken on an internationally widely held currency, such as the US dollar. As the currency unions only exist in less than 1 percent of the country pairs in the sample, of which the majority comprises small and poor </w:t>
      </w:r>
      <w:r w:rsidR="00B26DAC">
        <w:t>countries</w:t>
      </w:r>
      <w:r>
        <w:t>, the results are unreliable to draw inferences from</w:t>
      </w:r>
      <w:r w:rsidR="00B26DAC">
        <w:t>,</w:t>
      </w:r>
      <w:r>
        <w:t xml:space="preserve"> for example </w:t>
      </w:r>
      <w:r w:rsidR="00B26DAC">
        <w:t xml:space="preserve">for </w:t>
      </w:r>
      <w:r>
        <w:t xml:space="preserve">the currency trade effects of the </w:t>
      </w:r>
      <w:r w:rsidR="00AD525C">
        <w:t>Euro</w:t>
      </w:r>
      <w:r>
        <w:t xml:space="preserve">. Finally the applied gravity model is not in line with the theoretical justification of the gravity model. </w:t>
      </w:r>
      <w:r>
        <w:lastRenderedPageBreak/>
        <w:t xml:space="preserve">This is best explained by Baldwin (2006) who critiques the lacking of a multilateral resistance term, or in his words the ‘relative-prices-matter term’ that captures price differences among </w:t>
      </w:r>
      <w:r w:rsidR="00B26DAC">
        <w:t>countries</w:t>
      </w:r>
      <w:r>
        <w:t xml:space="preserve">. </w:t>
      </w:r>
    </w:p>
    <w:p w:rsidR="00801312" w:rsidRPr="00822EE3" w:rsidRDefault="00801312" w:rsidP="004C1689">
      <w:pPr>
        <w:spacing w:line="360" w:lineRule="auto"/>
        <w:jc w:val="both"/>
      </w:pPr>
      <w:r>
        <w:t xml:space="preserve">The opening question in Rose’s article </w:t>
      </w:r>
      <w:r w:rsidRPr="00822EE3">
        <w:t xml:space="preserve">‘What is the effect of a common currency on international trade?’ </w:t>
      </w:r>
      <w:r>
        <w:t xml:space="preserve">(2000: p. 9) and the corresponding answer known as the ‘Rose effect’ lacks, as discussed, credibility as well as reliability. Although his research only inquires whether </w:t>
      </w:r>
      <w:r w:rsidR="00B26DAC">
        <w:t>countries</w:t>
      </w:r>
      <w:r>
        <w:t xml:space="preserve"> with a common currency trade more compared to </w:t>
      </w:r>
      <w:r w:rsidR="00D906F9">
        <w:t>countries</w:t>
      </w:r>
      <w:r>
        <w:t xml:space="preserve"> that not share a currency</w:t>
      </w:r>
      <w:r w:rsidR="00824045">
        <w:t xml:space="preserve"> while leaving out causality</w:t>
      </w:r>
      <w:r w:rsidR="00D906F9">
        <w:t xml:space="preserve"> (Glick </w:t>
      </w:r>
      <w:r w:rsidR="001D37FB">
        <w:t>and</w:t>
      </w:r>
      <w:r w:rsidR="00D906F9">
        <w:t xml:space="preserve"> Rose, 2001)</w:t>
      </w:r>
      <w:r>
        <w:t xml:space="preserve">, the paper nonetheless opened a discussion on a new way of research to investigate the effects of a common currency on international trade. </w:t>
      </w:r>
    </w:p>
    <w:p w:rsidR="00801312" w:rsidRDefault="007F1BEA" w:rsidP="004C1689">
      <w:pPr>
        <w:pStyle w:val="Heading2"/>
        <w:numPr>
          <w:ilvl w:val="1"/>
          <w:numId w:val="1"/>
        </w:numPr>
        <w:spacing w:line="360" w:lineRule="auto"/>
      </w:pPr>
      <w:r>
        <w:t xml:space="preserve"> </w:t>
      </w:r>
      <w:r>
        <w:tab/>
      </w:r>
      <w:bookmarkStart w:id="16" w:name="_Toc353348782"/>
      <w:r w:rsidR="00801312">
        <w:t>EMU Effect on International Trade</w:t>
      </w:r>
      <w:bookmarkEnd w:id="16"/>
    </w:p>
    <w:p w:rsidR="00801312" w:rsidRDefault="00801312" w:rsidP="004C1689">
      <w:pPr>
        <w:spacing w:line="360" w:lineRule="auto"/>
        <w:jc w:val="both"/>
      </w:pPr>
      <w:r>
        <w:t xml:space="preserve">Whereas Rose’s paper focused on currency unions in general, several other authors have conducted research on the trade effects specifically of the EMU. These authors measured the early trade effects of </w:t>
      </w:r>
      <w:r w:rsidR="00AD525C">
        <w:t>Euro</w:t>
      </w:r>
      <w:r>
        <w:t xml:space="preserve"> adoption in 1999 by the eleven initial EMU states. </w:t>
      </w:r>
    </w:p>
    <w:p w:rsidR="00801312" w:rsidRDefault="00801312" w:rsidP="004C1689">
      <w:pPr>
        <w:spacing w:line="360" w:lineRule="auto"/>
        <w:jc w:val="both"/>
      </w:pPr>
      <w:r>
        <w:t xml:space="preserve">Bun </w:t>
      </w:r>
      <w:r w:rsidR="007B7170">
        <w:t>and</w:t>
      </w:r>
      <w:r>
        <w:t xml:space="preserve"> </w:t>
      </w:r>
      <w:proofErr w:type="spellStart"/>
      <w:r>
        <w:t>Klaassen</w:t>
      </w:r>
      <w:proofErr w:type="spellEnd"/>
      <w:r>
        <w:t xml:space="preserve"> (2002) were among the first to measure the trade effects of </w:t>
      </w:r>
      <w:r w:rsidR="00AD525C">
        <w:t>Euro</w:t>
      </w:r>
      <w:r>
        <w:t xml:space="preserve"> adoption. They estimated the </w:t>
      </w:r>
      <w:r w:rsidR="00AD525C">
        <w:t>Euro</w:t>
      </w:r>
      <w:r>
        <w:t xml:space="preserve"> effect by looking at bilateral exports in the period 1965-2001 between the fifteen EU states plus the three remaining G7 countries outside </w:t>
      </w:r>
      <w:r w:rsidR="00AD525C">
        <w:t>Euro</w:t>
      </w:r>
      <w:r w:rsidR="001D37FB">
        <w:t>pe (Canada, Japan and</w:t>
      </w:r>
      <w:r>
        <w:t xml:space="preserve"> U.S.A.), thus covering three years of trade under the </w:t>
      </w:r>
      <w:r w:rsidR="00AD525C">
        <w:t>Euro</w:t>
      </w:r>
      <w:r>
        <w:t xml:space="preserve">. By applying a dynamic gravity model and controlling for foreign GDP, the real exchange rate between both states and its volatility, free trade agreements in North America and </w:t>
      </w:r>
      <w:r w:rsidR="00AD525C">
        <w:t>Euro</w:t>
      </w:r>
      <w:r>
        <w:t xml:space="preserve">pe and EU membership, they find that the EMU membership raises trade by 3.9% in 1999 to 9.6% in 2001, with a cumulative long-run increase of 37.8%. </w:t>
      </w:r>
    </w:p>
    <w:p w:rsidR="00801312" w:rsidRDefault="00801312" w:rsidP="004C1689">
      <w:pPr>
        <w:spacing w:line="360" w:lineRule="auto"/>
        <w:jc w:val="both"/>
      </w:pPr>
      <w:r>
        <w:t xml:space="preserve">Barr et al. (2003) investigate a similar effect but instead focus only on </w:t>
      </w:r>
      <w:r w:rsidR="00B26DAC">
        <w:t>countries</w:t>
      </w:r>
      <w:r>
        <w:t xml:space="preserve"> in the </w:t>
      </w:r>
      <w:r w:rsidR="00AD525C">
        <w:t>Euro</w:t>
      </w:r>
      <w:r>
        <w:t>pean Free Trade Agreement (15 EU states plus Switzerlan</w:t>
      </w:r>
      <w:r w:rsidR="001D37FB">
        <w:t>d and Iceland). Opposed to Bun and</w:t>
      </w:r>
      <w:r>
        <w:t xml:space="preserve"> </w:t>
      </w:r>
      <w:proofErr w:type="spellStart"/>
      <w:r>
        <w:t>Klaassen</w:t>
      </w:r>
      <w:proofErr w:type="spellEnd"/>
      <w:r>
        <w:t xml:space="preserve"> (2002) they apply the typical gravity model variables such as distance between </w:t>
      </w:r>
      <w:r w:rsidR="00B26DAC">
        <w:t>countries</w:t>
      </w:r>
      <w:r>
        <w:t>, border contiguity and common language va</w:t>
      </w:r>
      <w:r w:rsidR="00824045">
        <w:t>riables. They also account for the</w:t>
      </w:r>
      <w:r>
        <w:t xml:space="preserve"> </w:t>
      </w:r>
      <w:proofErr w:type="spellStart"/>
      <w:r>
        <w:t>endogeneity</w:t>
      </w:r>
      <w:proofErr w:type="spellEnd"/>
      <w:r>
        <w:t xml:space="preserve"> question arising </w:t>
      </w:r>
      <w:r w:rsidR="00824045">
        <w:t>in</w:t>
      </w:r>
      <w:r>
        <w:t xml:space="preserve"> deciding on joining a currency union, whether this is motivated by</w:t>
      </w:r>
      <w:r w:rsidR="00824045">
        <w:t xml:space="preserve"> </w:t>
      </w:r>
      <w:r w:rsidR="00354D5F">
        <w:t>existing</w:t>
      </w:r>
      <w:r>
        <w:t xml:space="preserve"> high levels of trade or by expected increase in trade. They do this by introducing output- and price co-movements as instrumental variables. As a result they estimate that </w:t>
      </w:r>
      <w:r w:rsidR="00AD525C">
        <w:t>Euro</w:t>
      </w:r>
      <w:r>
        <w:t xml:space="preserve"> adoption leads to 29% more trade. Furthermore, although a potential effect of the creation of a monetary union, Barr et al do not find any evidence for trade diversion, meaning that overall EU trade integration is not interrupted by the introduction of the </w:t>
      </w:r>
      <w:r w:rsidR="00AD525C">
        <w:t>Euro</w:t>
      </w:r>
      <w:r>
        <w:t>.</w:t>
      </w:r>
    </w:p>
    <w:p w:rsidR="00801312" w:rsidRPr="00763562" w:rsidRDefault="00801312" w:rsidP="004C1689">
      <w:pPr>
        <w:spacing w:line="360" w:lineRule="auto"/>
        <w:jc w:val="both"/>
      </w:pPr>
      <w:r>
        <w:t xml:space="preserve">In the same volume </w:t>
      </w:r>
      <w:proofErr w:type="spellStart"/>
      <w:r>
        <w:t>Micco</w:t>
      </w:r>
      <w:proofErr w:type="spellEnd"/>
      <w:r>
        <w:t xml:space="preserve"> et al. (2003) also investigate the </w:t>
      </w:r>
      <w:r w:rsidR="00AD525C">
        <w:t>Euro</w:t>
      </w:r>
      <w:r>
        <w:t xml:space="preserve"> effect but instead use a shorter time period in their panel data though using a larger set of developed </w:t>
      </w:r>
      <w:r w:rsidR="00B26DAC">
        <w:t>countries</w:t>
      </w:r>
      <w:r>
        <w:t xml:space="preserve"> (1992-2002 for 22 </w:t>
      </w:r>
      <w:r w:rsidR="00B26DAC">
        <w:t>countries</w:t>
      </w:r>
      <w:r>
        <w:t xml:space="preserve">). Besides the traditional gravity model variables they also include country pair dummies. </w:t>
      </w:r>
      <w:r>
        <w:lastRenderedPageBreak/>
        <w:t xml:space="preserve">By using these dummies the authors are better able to filter out the effects of </w:t>
      </w:r>
      <w:r w:rsidR="00AD525C">
        <w:t>Euro</w:t>
      </w:r>
      <w:r>
        <w:t xml:space="preserve"> adoption by controlling for pre-</w:t>
      </w:r>
      <w:r w:rsidR="00AD525C">
        <w:t>Euro</w:t>
      </w:r>
      <w:r>
        <w:t xml:space="preserve"> trade patterns. They find that the </w:t>
      </w:r>
      <w:r w:rsidR="00AD525C">
        <w:t>Euro</w:t>
      </w:r>
      <w:r>
        <w:t xml:space="preserve"> increased bilateral trade amongst EMU members by 4 – 10% compared to all other country pairs, and an increase of 8 – 16% compared to non-EMU country pairs. These authors also find no evidence for trade diversion, and even witness an increase in trade of EMU states with non-EMU states, signaling a positive effect of a currency union on trade with states outside the currency union. Furthermore do these authors conduct an analysis to identify when the </w:t>
      </w:r>
      <w:r w:rsidR="00AD525C">
        <w:t>Euro</w:t>
      </w:r>
      <w:r>
        <w:t xml:space="preserve"> effect hit in. This is a year before the actual adoption of the </w:t>
      </w:r>
      <w:r w:rsidR="00AD525C">
        <w:t>Euro</w:t>
      </w:r>
      <w:r>
        <w:t xml:space="preserve">, but around the time that the convergence rates were fixed. </w:t>
      </w:r>
    </w:p>
    <w:p w:rsidR="00801312" w:rsidRDefault="00801312" w:rsidP="004C1689">
      <w:pPr>
        <w:tabs>
          <w:tab w:val="left" w:pos="2385"/>
        </w:tabs>
        <w:spacing w:line="360" w:lineRule="auto"/>
        <w:jc w:val="both"/>
      </w:pPr>
      <w:r w:rsidRPr="001858C2">
        <w:t xml:space="preserve">Flam </w:t>
      </w:r>
      <w:r w:rsidR="007B7170">
        <w:t>and</w:t>
      </w:r>
      <w:r w:rsidRPr="001858C2">
        <w:t xml:space="preserve"> Nordstrom (2006) write an extension of the paper by </w:t>
      </w:r>
      <w:proofErr w:type="spellStart"/>
      <w:r w:rsidRPr="001858C2">
        <w:t>Micco</w:t>
      </w:r>
      <w:proofErr w:type="spellEnd"/>
      <w:r w:rsidRPr="001858C2">
        <w:t xml:space="preserve"> et al</w:t>
      </w:r>
      <w:r>
        <w:t>.</w:t>
      </w:r>
      <w:r w:rsidRPr="001858C2">
        <w:t xml:space="preserve"> (2003) but instead </w:t>
      </w:r>
      <w:r>
        <w:t xml:space="preserve">of analyzing bilateral trade they focus on unilateral trade in order to compared the effects of the </w:t>
      </w:r>
      <w:r w:rsidR="00AD525C">
        <w:t>Euro</w:t>
      </w:r>
      <w:r>
        <w:t xml:space="preserve"> on trade from EMU states to non-EMU states, and vice versa. Furthermore, as opposed to </w:t>
      </w:r>
      <w:proofErr w:type="spellStart"/>
      <w:r>
        <w:t>Micco</w:t>
      </w:r>
      <w:proofErr w:type="spellEnd"/>
      <w:r>
        <w:t xml:space="preserve"> et al. who use the real exchange rate of each state with the US, Flam and Nordstrom use a better application of the theoretical foundation of the gravity model by controlling for bilateral exchange rate between both states </w:t>
      </w:r>
      <w:r>
        <w:rPr>
          <w:i/>
        </w:rPr>
        <w:t>and</w:t>
      </w:r>
      <w:r>
        <w:t xml:space="preserve"> the average of the bilateral exchange rates with all remaining trading partners</w:t>
      </w:r>
      <w:r w:rsidR="00824045">
        <w:t xml:space="preserve"> (a part of the multilateral resistance term)</w:t>
      </w:r>
      <w:r>
        <w:t>. They apply two specifications; one to measure year by year whether trade within, from or to EMU states is larger than trade between non-EMU states. Here they</w:t>
      </w:r>
      <w:r w:rsidR="00B26DAC">
        <w:t xml:space="preserve"> find, similar to </w:t>
      </w:r>
      <w:proofErr w:type="spellStart"/>
      <w:r w:rsidR="00B26DAC">
        <w:t>Micco</w:t>
      </w:r>
      <w:proofErr w:type="spellEnd"/>
      <w:r w:rsidR="00B26DAC">
        <w:t xml:space="preserve"> et al., </w:t>
      </w:r>
      <w:r>
        <w:t xml:space="preserve">that the </w:t>
      </w:r>
      <w:r w:rsidR="00AD525C">
        <w:t>Euro</w:t>
      </w:r>
      <w:r>
        <w:t xml:space="preserve"> effects hit in </w:t>
      </w:r>
      <w:proofErr w:type="spellStart"/>
      <w:r>
        <w:t>in</w:t>
      </w:r>
      <w:proofErr w:type="spellEnd"/>
      <w:r>
        <w:t xml:space="preserve"> 1998. In their second specification they measure the level effect of the </w:t>
      </w:r>
      <w:r w:rsidR="00AD525C">
        <w:t>Euro</w:t>
      </w:r>
      <w:r>
        <w:t xml:space="preserve"> on exports between the period 1989-1997 and 1998-2002. For intra-EMU trade they estimate an average increase of 15%, while estimating ‘spill-over’ effects of the EMU of 8% increase in trade from EMU to non-EMU states, and a 7.5% increase between non-EMU to EMU states, displaying an increasing trend over time. </w:t>
      </w:r>
    </w:p>
    <w:p w:rsidR="00801312" w:rsidRPr="00956A80" w:rsidRDefault="00801312" w:rsidP="004C1689">
      <w:pPr>
        <w:tabs>
          <w:tab w:val="left" w:pos="2385"/>
        </w:tabs>
        <w:spacing w:line="360" w:lineRule="auto"/>
        <w:jc w:val="both"/>
      </w:pPr>
      <w:r>
        <w:t xml:space="preserve">All the above discussed papers use Rose’s (2000) paper as a basis for measuring the trade effects of the creation of the EMU. Although finding much smaller trade effects for the EMU compared to the country sample used by Rose, all papers </w:t>
      </w:r>
      <w:r w:rsidRPr="00824045">
        <w:rPr>
          <w:i/>
        </w:rPr>
        <w:t>do</w:t>
      </w:r>
      <w:r>
        <w:t xml:space="preserve"> report positive and significant effects of </w:t>
      </w:r>
      <w:r w:rsidR="00AD525C">
        <w:t>Euro</w:t>
      </w:r>
      <w:r>
        <w:t xml:space="preserve"> adoption on trade. </w:t>
      </w:r>
      <w:r w:rsidR="00B26DAC">
        <w:t>Finally, most</w:t>
      </w:r>
      <w:r>
        <w:t xml:space="preserve"> of the papers do not find any evidence </w:t>
      </w:r>
      <w:r w:rsidR="00B26DAC">
        <w:t>of</w:t>
      </w:r>
      <w:r>
        <w:t xml:space="preserve"> trade diversion and even find evidence signaling spill-over effects </w:t>
      </w:r>
      <w:r w:rsidR="00B26DAC">
        <w:t>for</w:t>
      </w:r>
      <w:r>
        <w:t xml:space="preserve"> trade with non-EMU states. </w:t>
      </w:r>
    </w:p>
    <w:p w:rsidR="00801312" w:rsidRDefault="007F1BEA" w:rsidP="004C1689">
      <w:pPr>
        <w:pStyle w:val="Heading2"/>
        <w:numPr>
          <w:ilvl w:val="1"/>
          <w:numId w:val="1"/>
        </w:numPr>
        <w:spacing w:line="360" w:lineRule="auto"/>
      </w:pPr>
      <w:r>
        <w:t xml:space="preserve"> </w:t>
      </w:r>
      <w:bookmarkStart w:id="17" w:name="_Toc353348783"/>
      <w:r w:rsidR="00801312">
        <w:t xml:space="preserve">Predicted EMU Effect on Trade in Central and </w:t>
      </w:r>
      <w:r w:rsidR="00486E3B">
        <w:t>Mediterranean</w:t>
      </w:r>
      <w:r w:rsidR="00801312">
        <w:t xml:space="preserve"> </w:t>
      </w:r>
      <w:r w:rsidR="00AD525C">
        <w:t>Euro</w:t>
      </w:r>
      <w:r w:rsidR="00801312">
        <w:t>pe</w:t>
      </w:r>
      <w:bookmarkEnd w:id="17"/>
    </w:p>
    <w:p w:rsidR="00801312" w:rsidRDefault="00801312" w:rsidP="004C1689">
      <w:pPr>
        <w:spacing w:line="360" w:lineRule="auto"/>
        <w:jc w:val="both"/>
      </w:pPr>
      <w:r>
        <w:t xml:space="preserve">Given the findings on the trade effect of </w:t>
      </w:r>
      <w:r w:rsidR="00AD525C">
        <w:t>Euro</w:t>
      </w:r>
      <w:r>
        <w:t xml:space="preserve"> adoption for the initial EMU members, this meant promising results for further EMU enlargement. With the 2004 and 2007 EU enlargements the single </w:t>
      </w:r>
      <w:r w:rsidR="00AD525C">
        <w:t>Euro</w:t>
      </w:r>
      <w:r>
        <w:t xml:space="preserve">pean market grew and the last trade </w:t>
      </w:r>
      <w:r w:rsidR="00486E3B">
        <w:t>restrictions</w:t>
      </w:r>
      <w:r>
        <w:t xml:space="preserve"> were removed. The only remaining barriers are the different currencies within this single market. Based on the positive trade effects witnessed by the </w:t>
      </w:r>
      <w:r w:rsidR="00AD525C">
        <w:t>Euro</w:t>
      </w:r>
      <w:r>
        <w:t xml:space="preserve"> introduction, the expectation was that </w:t>
      </w:r>
      <w:r w:rsidR="00AD525C">
        <w:t>Euro</w:t>
      </w:r>
      <w:r>
        <w:t xml:space="preserve"> adoption by the new EU member</w:t>
      </w:r>
      <w:r w:rsidR="00B57CB9">
        <w:t>s</w:t>
      </w:r>
      <w:r>
        <w:t xml:space="preserve"> would also </w:t>
      </w:r>
      <w:r>
        <w:lastRenderedPageBreak/>
        <w:t>have similar effects on trade. Following this reasoning, several authors have conducted research on the</w:t>
      </w:r>
      <w:r w:rsidR="006E3670">
        <w:t xml:space="preserve"> anticipated trade effects the </w:t>
      </w:r>
      <w:r w:rsidR="00AD525C">
        <w:t>Euro</w:t>
      </w:r>
      <w:r>
        <w:t xml:space="preserve"> would </w:t>
      </w:r>
      <w:r w:rsidR="006E3670">
        <w:t>cause</w:t>
      </w:r>
      <w:r>
        <w:t xml:space="preserve"> in </w:t>
      </w:r>
      <w:r w:rsidR="00B57CB9">
        <w:t>the new EU countries</w:t>
      </w:r>
      <w:r>
        <w:t xml:space="preserve">. </w:t>
      </w:r>
    </w:p>
    <w:p w:rsidR="00801312" w:rsidRDefault="00801312" w:rsidP="004C1689">
      <w:pPr>
        <w:spacing w:line="360" w:lineRule="auto"/>
        <w:jc w:val="both"/>
      </w:pPr>
      <w:proofErr w:type="spellStart"/>
      <w:r>
        <w:t>Maliszewka</w:t>
      </w:r>
      <w:proofErr w:type="spellEnd"/>
      <w:r>
        <w:t xml:space="preserve"> (2004) was among the first to make a prediction on the trade effect to be </w:t>
      </w:r>
      <w:r w:rsidR="006E3670">
        <w:t>gained by</w:t>
      </w:r>
      <w:r>
        <w:t xml:space="preserve"> CEE st</w:t>
      </w:r>
      <w:r w:rsidR="006E3670">
        <w:t xml:space="preserve">ates if they were to adopt the </w:t>
      </w:r>
      <w:r w:rsidR="00AD525C">
        <w:t>Euro</w:t>
      </w:r>
      <w:r>
        <w:t xml:space="preserve"> as their national currency. By applying the same basic gravity model as </w:t>
      </w:r>
      <w:proofErr w:type="spellStart"/>
      <w:r>
        <w:t>Micco</w:t>
      </w:r>
      <w:proofErr w:type="spellEnd"/>
      <w:r w:rsidRPr="00ED718B">
        <w:t xml:space="preserve"> </w:t>
      </w:r>
      <w:r>
        <w:t xml:space="preserve">et al. (2003) and by using similar </w:t>
      </w:r>
      <w:r w:rsidR="006E3670">
        <w:t xml:space="preserve">country </w:t>
      </w:r>
      <w:r>
        <w:t>data, she finds that a common currency increases trade between states between 6 – 26%. Using these coefficients she makes a prediction on potential gains in trade for the CEE states, for which she finds potential positive gains</w:t>
      </w:r>
      <w:r w:rsidR="006E3670">
        <w:t xml:space="preserve"> in trade</w:t>
      </w:r>
      <w:r>
        <w:t xml:space="preserve"> for Latvia, Lithuania, Poland and Slovenia. For Czech Republic, Estonia, Hungary and Slovak Republic her findings indicate that these economies are already well integrated with the existing EMU states and therefore have nothing to gain in terms of trade through </w:t>
      </w:r>
      <w:r w:rsidR="00AD525C">
        <w:t>Euro</w:t>
      </w:r>
      <w:r>
        <w:t xml:space="preserve"> adoption. </w:t>
      </w:r>
    </w:p>
    <w:p w:rsidR="00801312" w:rsidRDefault="00801312" w:rsidP="004C1689">
      <w:pPr>
        <w:spacing w:line="360" w:lineRule="auto"/>
        <w:jc w:val="both"/>
      </w:pPr>
      <w:proofErr w:type="spellStart"/>
      <w:r>
        <w:t>Brouwer</w:t>
      </w:r>
      <w:proofErr w:type="spellEnd"/>
      <w:r>
        <w:t xml:space="preserve"> et al. (2008) use more elaborate models and specifications to test whether which is most appropriate. Just as the papers discussed above, they use a sample of panel data (29 states, 1990 – 2004) to estimate coefficients for several dummy variables, with their ‘EMU2’ dummy of key interest. In their predictive model they set this dummy variable to 1 for the ten states that joined the EU in 2004 in order to predict</w:t>
      </w:r>
      <w:r w:rsidR="00BF4044">
        <w:t xml:space="preserve"> the trade effects of </w:t>
      </w:r>
      <w:r w:rsidR="00AD525C">
        <w:t>Euro</w:t>
      </w:r>
      <w:r>
        <w:t xml:space="preserve"> adoption. By keeping all other variables equal, they find that </w:t>
      </w:r>
      <w:r w:rsidR="00AD525C">
        <w:t>Euro</w:t>
      </w:r>
      <w:r>
        <w:t xml:space="preserve"> adoption in CEE would have a positive effect on trade for all states, ranging from </w:t>
      </w:r>
      <w:r w:rsidR="00BF4044">
        <w:t>1</w:t>
      </w:r>
      <w:r>
        <w:t xml:space="preserve">% for Lithuania to 13% for Malta. </w:t>
      </w:r>
    </w:p>
    <w:p w:rsidR="00801312" w:rsidRDefault="00801312" w:rsidP="004C1689">
      <w:pPr>
        <w:spacing w:line="360" w:lineRule="auto"/>
        <w:jc w:val="both"/>
      </w:pPr>
      <w:proofErr w:type="spellStart"/>
      <w:r>
        <w:t>Belke</w:t>
      </w:r>
      <w:proofErr w:type="spellEnd"/>
      <w:r>
        <w:t xml:space="preserve"> </w:t>
      </w:r>
      <w:r w:rsidR="007B7170">
        <w:t>and</w:t>
      </w:r>
      <w:r>
        <w:t xml:space="preserve"> Spies (2008) conduct a similar research as </w:t>
      </w:r>
      <w:proofErr w:type="spellStart"/>
      <w:r>
        <w:t>Brouwer</w:t>
      </w:r>
      <w:proofErr w:type="spellEnd"/>
      <w:r>
        <w:t xml:space="preserve"> et al. but use a larger variety in estimation methods and focus only on imports by the original 12 EMU members from CEE </w:t>
      </w:r>
      <w:r w:rsidR="00486E3B">
        <w:t>countries</w:t>
      </w:r>
      <w:r>
        <w:t>.</w:t>
      </w:r>
      <w:r>
        <w:rPr>
          <w:rStyle w:val="FootnoteReference"/>
        </w:rPr>
        <w:footnoteReference w:id="6"/>
      </w:r>
      <w:r>
        <w:t xml:space="preserve"> Besides the commonly used Fixed Effect model they also use the Fixed Effect Vector Decomposition estimator that controls for unobservable country specific effects and they apply </w:t>
      </w:r>
      <w:proofErr w:type="spellStart"/>
      <w:r>
        <w:t>Hausman</w:t>
      </w:r>
      <w:proofErr w:type="spellEnd"/>
      <w:r>
        <w:t xml:space="preserve">-Taylor instrumental variables that deal with any bias potentially resulting from the </w:t>
      </w:r>
      <w:proofErr w:type="spellStart"/>
      <w:r>
        <w:t>endogeneity</w:t>
      </w:r>
      <w:proofErr w:type="spellEnd"/>
      <w:r>
        <w:t xml:space="preserve"> issue. Their results show a 7 percent increase in trade for </w:t>
      </w:r>
      <w:r w:rsidR="00486E3B">
        <w:t>countries</w:t>
      </w:r>
      <w:r>
        <w:t xml:space="preserve"> sharing the </w:t>
      </w:r>
      <w:r w:rsidR="00AD525C">
        <w:t>Euro</w:t>
      </w:r>
      <w:r>
        <w:t xml:space="preserve"> as their common currency. When using this percentage in their predictive model to estimate the potential gain in trade when adopting the </w:t>
      </w:r>
      <w:r w:rsidR="00AD525C">
        <w:t>Euro</w:t>
      </w:r>
      <w:r>
        <w:t xml:space="preserve">, they find a positive trade effect for Czech Republic (with 1% the lowest gain), Estonia, Hungary and Slovenia (with 52% the highest gain), while reporting negative trade effects for Latvia, Lithuania, Poland and Slovak Republic, which is </w:t>
      </w:r>
      <w:r w:rsidR="00BF4044">
        <w:t>contradictory</w:t>
      </w:r>
      <w:r>
        <w:t xml:space="preserve"> </w:t>
      </w:r>
      <w:r w:rsidR="00BF4044">
        <w:t>to</w:t>
      </w:r>
      <w:r>
        <w:t xml:space="preserve"> </w:t>
      </w:r>
      <w:proofErr w:type="spellStart"/>
      <w:r>
        <w:t>Maliszewska</w:t>
      </w:r>
      <w:proofErr w:type="spellEnd"/>
      <w:r>
        <w:t xml:space="preserve"> (2004) findings. They find a positive relation between the openness to trade and the p</w:t>
      </w:r>
      <w:r w:rsidR="00BF4044">
        <w:t xml:space="preserve">otential gain in trade through </w:t>
      </w:r>
      <w:r w:rsidR="00AD525C">
        <w:t>Euro</w:t>
      </w:r>
      <w:r>
        <w:t xml:space="preserve"> adoption and therefore recommend the relatively more closed economies to integrate better with the rest of the EU before adopting the </w:t>
      </w:r>
      <w:r w:rsidR="00AD525C">
        <w:t>Euro</w:t>
      </w:r>
      <w:r>
        <w:t xml:space="preserve">. </w:t>
      </w:r>
    </w:p>
    <w:p w:rsidR="00801312" w:rsidRDefault="00801312" w:rsidP="004C1689">
      <w:pPr>
        <w:spacing w:line="360" w:lineRule="auto"/>
        <w:jc w:val="both"/>
      </w:pPr>
      <w:r>
        <w:lastRenderedPageBreak/>
        <w:t xml:space="preserve">The most recent paper on the predicted trade effects of </w:t>
      </w:r>
      <w:r w:rsidR="00AD525C">
        <w:t>Euro</w:t>
      </w:r>
      <w:r>
        <w:t xml:space="preserve"> adoption in CEE is from </w:t>
      </w:r>
      <w:proofErr w:type="spellStart"/>
      <w:r>
        <w:t>Cieslik</w:t>
      </w:r>
      <w:proofErr w:type="spellEnd"/>
      <w:r>
        <w:t>, et al. (2012).</w:t>
      </w:r>
      <w:r>
        <w:rPr>
          <w:rStyle w:val="FootnoteReference"/>
        </w:rPr>
        <w:footnoteReference w:id="7"/>
      </w:r>
      <w:r>
        <w:t xml:space="preserve"> They aim to resolve the controversies in the papers discussed above by assuming incomplete, as opposed to complete, specialization in production. Also do they aim to correct for increased institutional integration as well a higher number of trade policy changes for the CEE </w:t>
      </w:r>
      <w:r w:rsidR="00486E3B">
        <w:t>countries</w:t>
      </w:r>
      <w:r>
        <w:t xml:space="preserve">. Their results predict that for all </w:t>
      </w:r>
      <w:r w:rsidR="00486E3B">
        <w:t>countries</w:t>
      </w:r>
      <w:r>
        <w:t xml:space="preserve"> under investigation exports to EMU </w:t>
      </w:r>
      <w:r w:rsidR="00486E3B">
        <w:t>members</w:t>
      </w:r>
      <w:r>
        <w:t xml:space="preserve"> will increase by 11-13% in the first year and 2-3% in the second year, with no more increases afterwards. </w:t>
      </w:r>
      <w:r w:rsidRPr="00BF4044">
        <w:t>Total</w:t>
      </w:r>
      <w:r>
        <w:t xml:space="preserve"> exports</w:t>
      </w:r>
      <w:r w:rsidR="00BF4044">
        <w:t>, thus including exports to non-EMU states,</w:t>
      </w:r>
      <w:r>
        <w:t xml:space="preserve"> are expected to increase in the first 3 years in a diminishing trend, with no more gains afterwards. This paper, similar to that of </w:t>
      </w:r>
      <w:proofErr w:type="spellStart"/>
      <w:r>
        <w:t>Maliszewska</w:t>
      </w:r>
      <w:proofErr w:type="spellEnd"/>
      <w:r>
        <w:t xml:space="preserve">, also predicts a relatively larger gain in trade for the more closed </w:t>
      </w:r>
      <w:r w:rsidR="00486E3B">
        <w:t>economies</w:t>
      </w:r>
      <w:r>
        <w:t xml:space="preserve"> as opposed to more open </w:t>
      </w:r>
      <w:r w:rsidR="00486E3B">
        <w:t>economies, which is again contradictory to</w:t>
      </w:r>
      <w:r>
        <w:t xml:space="preserve"> the findings by </w:t>
      </w:r>
      <w:proofErr w:type="spellStart"/>
      <w:r>
        <w:t>Belke</w:t>
      </w:r>
      <w:proofErr w:type="spellEnd"/>
      <w:r>
        <w:t xml:space="preserve"> </w:t>
      </w:r>
      <w:r w:rsidR="007B7170">
        <w:t>and</w:t>
      </w:r>
      <w:r>
        <w:t xml:space="preserve"> Spies (2008). </w:t>
      </w:r>
    </w:p>
    <w:p w:rsidR="00801312" w:rsidRDefault="00801312" w:rsidP="004C1689">
      <w:pPr>
        <w:spacing w:line="360" w:lineRule="auto"/>
        <w:jc w:val="both"/>
      </w:pPr>
      <w:r>
        <w:t>Although not unanimously and not applying to all states,</w:t>
      </w:r>
      <w:r w:rsidR="00BF4044">
        <w:t xml:space="preserve"> the expected trade effects of </w:t>
      </w:r>
      <w:r w:rsidR="00AD525C">
        <w:t>Euro</w:t>
      </w:r>
      <w:r>
        <w:t xml:space="preserve"> adoption by CEE </w:t>
      </w:r>
      <w:r w:rsidR="00486E3B">
        <w:t>countries</w:t>
      </w:r>
      <w:r>
        <w:t xml:space="preserve"> on average tends to be positive. This thus a</w:t>
      </w:r>
      <w:r w:rsidR="00BF4044">
        <w:t xml:space="preserve">rgues in favor of adopting the </w:t>
      </w:r>
      <w:r w:rsidR="00AD525C">
        <w:t>Euro</w:t>
      </w:r>
      <w:r>
        <w:t xml:space="preserve"> in these </w:t>
      </w:r>
      <w:r w:rsidR="00486E3B">
        <w:t>new EU countries</w:t>
      </w:r>
      <w:r>
        <w:t xml:space="preserve">. Besides the estimated trade effects some other arguments have been formulated </w:t>
      </w:r>
      <w:r w:rsidR="00BF4044">
        <w:t xml:space="preserve">in favor of early </w:t>
      </w:r>
      <w:r w:rsidR="00AD525C">
        <w:t>Euro</w:t>
      </w:r>
      <w:r>
        <w:t xml:space="preserve"> adoption for the newest EU member states. De </w:t>
      </w:r>
      <w:proofErr w:type="spellStart"/>
      <w:r>
        <w:t>Buiter</w:t>
      </w:r>
      <w:proofErr w:type="spellEnd"/>
      <w:r>
        <w:t xml:space="preserve"> (2004) for example argues that fiscal sustainability should be the only and unique criteria for EMU accession. He sees the current ERM II convergence path as a path through </w:t>
      </w:r>
      <w:r w:rsidR="006A2F6E">
        <w:t>´</w:t>
      </w:r>
      <w:r>
        <w:t>monetary purgatory</w:t>
      </w:r>
      <w:r w:rsidR="006A2F6E">
        <w:t>´</w:t>
      </w:r>
      <w:r>
        <w:t xml:space="preserve">, in which the pursuit of an inflation target and a nominal interest rate target, in combination with a nominal exchange rate band, provides “the international financial markets free opportunities for shooting fish in a barrel” (2004; p. 183).  </w:t>
      </w:r>
      <w:proofErr w:type="spellStart"/>
      <w:r>
        <w:t>Breuss</w:t>
      </w:r>
      <w:proofErr w:type="spellEnd"/>
      <w:r>
        <w:t xml:space="preserve"> et al. (2004) second his reasoning and add to this that with the 2004 EU enlargement the GDP of the EU only expanded by 5%, claiming that the effect of a simultaneous EMU enlargement would only marginally effect th</w:t>
      </w:r>
      <w:r w:rsidR="00BF4044">
        <w:t xml:space="preserve">e value and credibility of the </w:t>
      </w:r>
      <w:r w:rsidR="00AD525C">
        <w:t>Euro</w:t>
      </w:r>
      <w:r w:rsidR="00BF4044">
        <w:t xml:space="preserve">. These negligible effects, in their opinion, should </w:t>
      </w:r>
      <w:r>
        <w:t>easily</w:t>
      </w:r>
      <w:r w:rsidR="00BF4044">
        <w:t xml:space="preserve"> be</w:t>
      </w:r>
      <w:r>
        <w:t xml:space="preserve"> outweighed by the reduction in administrative costs for the new EU entrants, as well as their increased EMU focus and commitment, if they would be able to quickly adopt the </w:t>
      </w:r>
      <w:r w:rsidR="00AD525C">
        <w:t>Euro</w:t>
      </w:r>
      <w:r>
        <w:t xml:space="preserve">. </w:t>
      </w:r>
    </w:p>
    <w:p w:rsidR="00801312" w:rsidRDefault="00363D41" w:rsidP="004C1689">
      <w:pPr>
        <w:spacing w:line="360" w:lineRule="auto"/>
        <w:jc w:val="both"/>
        <w:rPr>
          <w:rFonts w:asciiTheme="majorHAnsi" w:eastAsiaTheme="majorEastAsia" w:hAnsiTheme="majorHAnsi" w:cstheme="majorBidi"/>
          <w:b/>
          <w:bCs/>
          <w:color w:val="365F91" w:themeColor="accent1" w:themeShade="BF"/>
          <w:sz w:val="28"/>
          <w:szCs w:val="28"/>
        </w:rPr>
      </w:pPr>
      <w:r>
        <w:t xml:space="preserve">Given the diverging predicted outcomes of the trade effects </w:t>
      </w:r>
      <w:r w:rsidR="00486E3B">
        <w:t>of</w:t>
      </w:r>
      <w:r>
        <w:t xml:space="preserve"> </w:t>
      </w:r>
      <w:r w:rsidR="00AD525C">
        <w:t>Euro</w:t>
      </w:r>
      <w:r>
        <w:t xml:space="preserve"> adoption </w:t>
      </w:r>
      <w:r w:rsidR="00486E3B">
        <w:t>for</w:t>
      </w:r>
      <w:r>
        <w:t xml:space="preserve"> the </w:t>
      </w:r>
      <w:r w:rsidR="00486E3B">
        <w:t>new EU members</w:t>
      </w:r>
      <w:r w:rsidR="0041343D">
        <w:t>, and given the recent</w:t>
      </w:r>
      <w:r w:rsidR="00486E3B">
        <w:t>ly</w:t>
      </w:r>
      <w:r w:rsidR="0041343D">
        <w:t xml:space="preserve"> accumulated trade data of the newest EMU entrants, analysis of this trade data can provide insight into the actual resulted trade effects. These results can also function as a benchmark for recommendations for </w:t>
      </w:r>
      <w:r w:rsidR="00486E3B">
        <w:t xml:space="preserve">other </w:t>
      </w:r>
      <w:r w:rsidR="0041343D">
        <w:t xml:space="preserve">2004 EU entrants that have not yet joined the </w:t>
      </w:r>
      <w:r w:rsidR="00AD525C">
        <w:t>Euro</w:t>
      </w:r>
      <w:r w:rsidR="0041343D">
        <w:t xml:space="preserve">. The next chapter will provide the set up for such an analysis and formulate the relevant hypotheses. </w:t>
      </w:r>
      <w:r w:rsidR="00801312">
        <w:br w:type="page"/>
      </w:r>
    </w:p>
    <w:p w:rsidR="00801312" w:rsidRDefault="00801312" w:rsidP="004C1689">
      <w:pPr>
        <w:pStyle w:val="Heading1"/>
        <w:numPr>
          <w:ilvl w:val="0"/>
          <w:numId w:val="1"/>
        </w:numPr>
        <w:spacing w:line="360" w:lineRule="auto"/>
      </w:pPr>
      <w:bookmarkStart w:id="18" w:name="_Toc353180787"/>
      <w:bookmarkStart w:id="19" w:name="_Toc353348784"/>
      <w:r>
        <w:lastRenderedPageBreak/>
        <w:t>Hypotheses</w:t>
      </w:r>
      <w:bookmarkEnd w:id="18"/>
      <w:bookmarkEnd w:id="19"/>
    </w:p>
    <w:p w:rsidR="003A382E" w:rsidRPr="003A382E" w:rsidRDefault="003A382E" w:rsidP="004C1689">
      <w:pPr>
        <w:spacing w:line="360" w:lineRule="auto"/>
      </w:pPr>
    </w:p>
    <w:p w:rsidR="006A2F6E" w:rsidRDefault="00363D41" w:rsidP="004C1689">
      <w:pPr>
        <w:spacing w:line="360" w:lineRule="auto"/>
        <w:jc w:val="both"/>
      </w:pPr>
      <w:r>
        <w:t>This</w:t>
      </w:r>
      <w:r w:rsidR="006A2F6E">
        <w:t xml:space="preserve"> chapter will formulate the hypotheses that will be tested in order the answer the research question</w:t>
      </w:r>
      <w:r w:rsidR="00A6525D">
        <w:t>:</w:t>
      </w:r>
      <w:r w:rsidR="006A2F6E">
        <w:t xml:space="preserve"> </w:t>
      </w:r>
      <w:r w:rsidR="006A2F6E" w:rsidRPr="006A2F6E">
        <w:rPr>
          <w:i/>
        </w:rPr>
        <w:t xml:space="preserve">Did </w:t>
      </w:r>
      <w:r w:rsidR="00AD525C">
        <w:rPr>
          <w:i/>
        </w:rPr>
        <w:t>Euro</w:t>
      </w:r>
      <w:r w:rsidR="006A2F6E" w:rsidRPr="006A2F6E">
        <w:rPr>
          <w:i/>
        </w:rPr>
        <w:t xml:space="preserve"> adoption increased trade for the newest EMU members?</w:t>
      </w:r>
      <w:r w:rsidR="006A2F6E">
        <w:t xml:space="preserve"> The theory discussed in chapter 2 will form the basis of the hypotheses, which will be </w:t>
      </w:r>
      <w:r w:rsidR="004E1E41">
        <w:t>compared with</w:t>
      </w:r>
      <w:r w:rsidR="006A2F6E">
        <w:t xml:space="preserve"> the predicted outcomes of the trade effects in the previous chapter. </w:t>
      </w:r>
    </w:p>
    <w:p w:rsidR="0098020A" w:rsidRDefault="007F1BEA" w:rsidP="004C1689">
      <w:pPr>
        <w:pStyle w:val="Heading2"/>
        <w:numPr>
          <w:ilvl w:val="1"/>
          <w:numId w:val="1"/>
        </w:numPr>
        <w:spacing w:line="360" w:lineRule="auto"/>
      </w:pPr>
      <w:r>
        <w:t xml:space="preserve"> </w:t>
      </w:r>
      <w:r>
        <w:tab/>
      </w:r>
      <w:bookmarkStart w:id="20" w:name="_Toc353348785"/>
      <w:r w:rsidR="0098020A">
        <w:t>Points of Inquiry</w:t>
      </w:r>
      <w:bookmarkEnd w:id="20"/>
    </w:p>
    <w:p w:rsidR="006A2F6E" w:rsidRDefault="006A2F6E" w:rsidP="004C1689">
      <w:pPr>
        <w:spacing w:line="360" w:lineRule="auto"/>
        <w:jc w:val="both"/>
      </w:pPr>
      <w:r>
        <w:t>The main point of inquiry is whether</w:t>
      </w:r>
      <w:r w:rsidR="00AD525C">
        <w:t xml:space="preserve"> adoption of the Euro </w:t>
      </w:r>
      <w:r w:rsidR="00360D01">
        <w:t xml:space="preserve">has </w:t>
      </w:r>
      <w:r w:rsidR="00AD525C">
        <w:t>had a positive effect on trade for the newest EMU members</w:t>
      </w:r>
      <w:r>
        <w:t xml:space="preserve">. This is formulated in the first </w:t>
      </w:r>
      <w:r w:rsidR="0041343D">
        <w:t xml:space="preserve">basic </w:t>
      </w:r>
      <w:r>
        <w:t>hypothesis:</w:t>
      </w:r>
    </w:p>
    <w:p w:rsidR="006A2F6E" w:rsidRDefault="006A2F6E" w:rsidP="0048328A">
      <w:pPr>
        <w:spacing w:line="360" w:lineRule="auto"/>
        <w:ind w:left="720"/>
        <w:jc w:val="both"/>
        <w:rPr>
          <w:i/>
        </w:rPr>
      </w:pPr>
      <w:r>
        <w:rPr>
          <w:i/>
        </w:rPr>
        <w:t>H</w:t>
      </w:r>
      <w:r>
        <w:rPr>
          <w:i/>
          <w:vertAlign w:val="superscript"/>
        </w:rPr>
        <w:softHyphen/>
      </w:r>
      <w:r>
        <w:rPr>
          <w:i/>
          <w:vertAlign w:val="superscript"/>
        </w:rPr>
        <w:softHyphen/>
      </w:r>
      <w:r>
        <w:rPr>
          <w:i/>
        </w:rPr>
        <w:softHyphen/>
      </w:r>
      <w:r w:rsidR="00DC1C36">
        <w:rPr>
          <w:i/>
          <w:vertAlign w:val="subscript"/>
        </w:rPr>
        <w:t>1</w:t>
      </w:r>
      <w:r w:rsidR="001400CE">
        <w:rPr>
          <w:i/>
        </w:rPr>
        <w:t xml:space="preserve">: Adoption of the </w:t>
      </w:r>
      <w:r w:rsidR="00AD525C">
        <w:rPr>
          <w:i/>
        </w:rPr>
        <w:t>Euro</w:t>
      </w:r>
      <w:r w:rsidR="001400CE">
        <w:rPr>
          <w:i/>
        </w:rPr>
        <w:t xml:space="preserve"> has</w:t>
      </w:r>
      <w:r>
        <w:rPr>
          <w:i/>
        </w:rPr>
        <w:t xml:space="preserve"> led to an increase in </w:t>
      </w:r>
      <w:r w:rsidR="006705C0">
        <w:rPr>
          <w:i/>
        </w:rPr>
        <w:t xml:space="preserve">total </w:t>
      </w:r>
      <w:r w:rsidR="00AD525C">
        <w:rPr>
          <w:i/>
        </w:rPr>
        <w:t>trade for Slovenia, Cyprus, Malta and the Slovak Republic</w:t>
      </w:r>
    </w:p>
    <w:p w:rsidR="006A2F6E" w:rsidRDefault="00360D01" w:rsidP="004C1689">
      <w:pPr>
        <w:spacing w:line="360" w:lineRule="auto"/>
        <w:jc w:val="both"/>
      </w:pPr>
      <w:r>
        <w:t>If positive and significant coefficients are found in the regression</w:t>
      </w:r>
      <w:r w:rsidR="0012390A">
        <w:t xml:space="preserve"> analysis</w:t>
      </w:r>
      <w:r w:rsidR="00A7162D">
        <w:t>, conducted in chapter 8,</w:t>
      </w:r>
      <w:r>
        <w:t xml:space="preserve"> this would indicate that</w:t>
      </w:r>
      <w:r w:rsidR="00354D5F">
        <w:t xml:space="preserve"> on average a country has increased its trade with all the other countries in the sample </w:t>
      </w:r>
      <w:r w:rsidR="0012390A">
        <w:t>from</w:t>
      </w:r>
      <w:r w:rsidR="00354D5F">
        <w:t xml:space="preserve"> the moment it entered EMU. If such results are found, this would be a confirmation of the theory that currency unions lead to increased trade. </w:t>
      </w:r>
      <w:r w:rsidR="008660E9">
        <w:t xml:space="preserve">This can be tested by </w:t>
      </w:r>
      <w:r>
        <w:t xml:space="preserve">the use of a dummy variable that captures all trade with each of these four countries from the moment they entered EMU. </w:t>
      </w:r>
      <w:r w:rsidR="008660E9">
        <w:t xml:space="preserve">This will be elaborated in the next chapter. </w:t>
      </w:r>
    </w:p>
    <w:p w:rsidR="008660E9" w:rsidRDefault="008660E9" w:rsidP="004C1689">
      <w:pPr>
        <w:spacing w:line="360" w:lineRule="auto"/>
        <w:jc w:val="both"/>
      </w:pPr>
      <w:r>
        <w:t xml:space="preserve">Continuing, given </w:t>
      </w:r>
      <w:r w:rsidR="00354D5F">
        <w:t>a potential trade effect caused by Euro adoption, one could</w:t>
      </w:r>
      <w:r>
        <w:t xml:space="preserve"> gain a better </w:t>
      </w:r>
      <w:r w:rsidR="007A6933">
        <w:t>understanding of these trade effects by investigating trade volumes with specific trading partners.</w:t>
      </w:r>
      <w:r>
        <w:t xml:space="preserve"> </w:t>
      </w:r>
      <w:r w:rsidR="0097139D">
        <w:t xml:space="preserve">Therefore it is of interest to compare </w:t>
      </w:r>
      <w:r w:rsidR="00020938">
        <w:t>export figures between</w:t>
      </w:r>
      <w:r w:rsidR="0097139D">
        <w:t xml:space="preserve"> the new EMU members </w:t>
      </w:r>
      <w:r w:rsidR="00020938">
        <w:t>and</w:t>
      </w:r>
      <w:r w:rsidR="0097139D">
        <w:t xml:space="preserve"> on the one hand existing EMU members, and on the other hand</w:t>
      </w:r>
      <w:r w:rsidR="00020938">
        <w:t xml:space="preserve"> the rest of the world. </w:t>
      </w:r>
      <w:r w:rsidR="007A6933">
        <w:t>Since the anticipated effect of joining a currency union is</w:t>
      </w:r>
      <w:r w:rsidR="003F6128">
        <w:t xml:space="preserve"> </w:t>
      </w:r>
      <w:r>
        <w:t>reduced barriers to trade and in</w:t>
      </w:r>
      <w:r w:rsidR="007A6933">
        <w:t>creased price transparency</w:t>
      </w:r>
      <w:r w:rsidR="00020938">
        <w:t xml:space="preserve"> with other countries in the union</w:t>
      </w:r>
      <w:r w:rsidR="007A6933">
        <w:t xml:space="preserve">, </w:t>
      </w:r>
      <w:r>
        <w:t xml:space="preserve"> it </w:t>
      </w:r>
      <w:r w:rsidR="007A6933">
        <w:t>can</w:t>
      </w:r>
      <w:r>
        <w:t xml:space="preserve"> expected that trade with existing EMU </w:t>
      </w:r>
      <w:r w:rsidR="00A7162D">
        <w:t>countries</w:t>
      </w:r>
      <w:r>
        <w:t xml:space="preserve"> increases. </w:t>
      </w:r>
      <w:r w:rsidR="001400CE">
        <w:t>This</w:t>
      </w:r>
      <w:r>
        <w:t xml:space="preserve"> is </w:t>
      </w:r>
      <w:r w:rsidR="007A6933">
        <w:t xml:space="preserve">tested for </w:t>
      </w:r>
      <w:r>
        <w:t>in the second hypothesis</w:t>
      </w:r>
      <w:r w:rsidR="007A6933">
        <w:t>, which is formulated as follows</w:t>
      </w:r>
      <w:r>
        <w:t>:</w:t>
      </w:r>
    </w:p>
    <w:p w:rsidR="008660E9" w:rsidRPr="008660E9" w:rsidRDefault="008660E9" w:rsidP="0048328A">
      <w:pPr>
        <w:spacing w:line="360" w:lineRule="auto"/>
        <w:ind w:left="720"/>
        <w:jc w:val="both"/>
        <w:rPr>
          <w:i/>
        </w:rPr>
      </w:pPr>
      <w:r>
        <w:rPr>
          <w:i/>
        </w:rPr>
        <w:t>H</w:t>
      </w:r>
      <w:r w:rsidRPr="008660E9">
        <w:rPr>
          <w:i/>
          <w:vertAlign w:val="subscript"/>
        </w:rPr>
        <w:t>2</w:t>
      </w:r>
      <w:r w:rsidRPr="008660E9">
        <w:rPr>
          <w:i/>
        </w:rPr>
        <w:t xml:space="preserve">: Adoption of the </w:t>
      </w:r>
      <w:r w:rsidR="00AD525C">
        <w:rPr>
          <w:i/>
        </w:rPr>
        <w:t>Euro</w:t>
      </w:r>
      <w:r w:rsidRPr="008660E9">
        <w:rPr>
          <w:i/>
        </w:rPr>
        <w:t xml:space="preserve"> has led to an increase in trade </w:t>
      </w:r>
      <w:r w:rsidR="007A6933">
        <w:rPr>
          <w:i/>
        </w:rPr>
        <w:t>between Slovenia, Cyprus, Malta and the Slovak Republic and the existing</w:t>
      </w:r>
      <w:r w:rsidRPr="008660E9">
        <w:rPr>
          <w:i/>
        </w:rPr>
        <w:t xml:space="preserve"> EMU</w:t>
      </w:r>
      <w:r w:rsidR="007A6933">
        <w:rPr>
          <w:i/>
        </w:rPr>
        <w:t xml:space="preserve"> countries </w:t>
      </w:r>
    </w:p>
    <w:p w:rsidR="008660E9" w:rsidRDefault="005E4ABA" w:rsidP="004C1689">
      <w:pPr>
        <w:spacing w:line="360" w:lineRule="auto"/>
        <w:jc w:val="both"/>
      </w:pPr>
      <w:r>
        <w:t>If in this case positive and significant coefficients are found, this would imply increased levels of trade for each of the new EMU members with the existing EMU members. This would again confirm the theory behind currency unions</w:t>
      </w:r>
      <w:r w:rsidR="00020938">
        <w:t xml:space="preserve"> that sharing a common currency increases trade</w:t>
      </w:r>
      <w:r>
        <w:t>.</w:t>
      </w:r>
      <w:r w:rsidR="00020938">
        <w:t xml:space="preserve"> If this were the case, another question arises;</w:t>
      </w:r>
      <w:r>
        <w:t xml:space="preserve"> if</w:t>
      </w:r>
      <w:r w:rsidR="003428E2">
        <w:t xml:space="preserve"> trade increases with a certain group of countries, what is the effect on the trade with countries outside this group</w:t>
      </w:r>
      <w:r w:rsidR="0048328A">
        <w:t>?</w:t>
      </w:r>
      <w:r w:rsidR="003428E2">
        <w:t xml:space="preserve"> This is where </w:t>
      </w:r>
      <w:r w:rsidR="000A72CE">
        <w:t>the theoretical debate diverge</w:t>
      </w:r>
      <w:r w:rsidR="0048328A">
        <w:t>s</w:t>
      </w:r>
      <w:r w:rsidR="000A72CE">
        <w:t xml:space="preserve">. The </w:t>
      </w:r>
      <w:r w:rsidR="000A72CE">
        <w:lastRenderedPageBreak/>
        <w:t>classical argument entails trade divers</w:t>
      </w:r>
      <w:r w:rsidR="00A24611">
        <w:t>ion, claiming that trade diverges away from partners with high</w:t>
      </w:r>
      <w:r w:rsidR="003428E2">
        <w:t>er</w:t>
      </w:r>
      <w:r w:rsidR="00A24611">
        <w:t xml:space="preserve"> barriers to trade to partners with low</w:t>
      </w:r>
      <w:r w:rsidR="003428E2">
        <w:t>er</w:t>
      </w:r>
      <w:r w:rsidR="00A24611">
        <w:t xml:space="preserve"> barriers to trade. This would entail a reduction in the trade with partners outside EMU. On the other hand there is the argument that, g</w:t>
      </w:r>
      <w:r w:rsidR="001400CE">
        <w:t xml:space="preserve">iven that </w:t>
      </w:r>
      <w:r w:rsidR="003428E2">
        <w:t>countries</w:t>
      </w:r>
      <w:r w:rsidR="001400CE">
        <w:t xml:space="preserve"> in </w:t>
      </w:r>
      <w:r w:rsidR="003428E2">
        <w:t>EMU</w:t>
      </w:r>
      <w:r w:rsidR="001400CE">
        <w:t xml:space="preserve"> now have a more stable currency and a more credible monetary </w:t>
      </w:r>
      <w:r w:rsidR="00A24611">
        <w:t>policy, the foreign exchange risk is reduced by joining a currency union. This oppositely would mean an increase in trade with partners outside the EMU. In the empirical literature the existing EMU partners displayed increased levels of trade with all their partners, inside and outside EMU</w:t>
      </w:r>
      <w:r w:rsidR="0048328A">
        <w:t>, after Euro adoption</w:t>
      </w:r>
      <w:r w:rsidR="00A24611">
        <w:t xml:space="preserve">. </w:t>
      </w:r>
      <w:r w:rsidR="0048328A">
        <w:t>Using t</w:t>
      </w:r>
      <w:r w:rsidR="00A24611">
        <w:t>h</w:t>
      </w:r>
      <w:r w:rsidR="004E1E41">
        <w:t>e</w:t>
      </w:r>
      <w:r w:rsidR="00A24611">
        <w:t>s</w:t>
      </w:r>
      <w:r w:rsidR="004E1E41">
        <w:t xml:space="preserve">e results </w:t>
      </w:r>
      <w:r w:rsidR="00A24611">
        <w:t xml:space="preserve">to predict trade effects for the new EMU entrants, </w:t>
      </w:r>
      <w:r w:rsidR="0048328A">
        <w:t xml:space="preserve">the third </w:t>
      </w:r>
      <w:r w:rsidR="00A24611">
        <w:t>hypothesis</w:t>
      </w:r>
      <w:r w:rsidR="0048328A">
        <w:t xml:space="preserve"> is constructed</w:t>
      </w:r>
      <w:r w:rsidR="00A24611">
        <w:t>:</w:t>
      </w:r>
    </w:p>
    <w:p w:rsidR="00A24611" w:rsidRDefault="00A24611" w:rsidP="0048328A">
      <w:pPr>
        <w:spacing w:line="360" w:lineRule="auto"/>
        <w:ind w:left="720"/>
        <w:jc w:val="both"/>
        <w:rPr>
          <w:i/>
        </w:rPr>
      </w:pPr>
      <w:r>
        <w:rPr>
          <w:i/>
        </w:rPr>
        <w:t>H</w:t>
      </w:r>
      <w:r w:rsidR="0048328A">
        <w:rPr>
          <w:i/>
          <w:vertAlign w:val="subscript"/>
        </w:rPr>
        <w:t>3</w:t>
      </w:r>
      <w:r>
        <w:rPr>
          <w:i/>
        </w:rPr>
        <w:t xml:space="preserve">: Adoption of the </w:t>
      </w:r>
      <w:r w:rsidR="00AD525C">
        <w:rPr>
          <w:i/>
        </w:rPr>
        <w:t>Euro</w:t>
      </w:r>
      <w:r>
        <w:rPr>
          <w:i/>
        </w:rPr>
        <w:t xml:space="preserve"> has led to an increase in trade </w:t>
      </w:r>
      <w:r w:rsidR="0048328A">
        <w:rPr>
          <w:i/>
        </w:rPr>
        <w:t>between Slovenia, Cyprus, Malta   and the Slovak Republic and countries</w:t>
      </w:r>
      <w:r>
        <w:rPr>
          <w:i/>
        </w:rPr>
        <w:t xml:space="preserve"> outside EMU</w:t>
      </w:r>
    </w:p>
    <w:p w:rsidR="00012D7B" w:rsidRDefault="00012D7B" w:rsidP="004C1689">
      <w:pPr>
        <w:spacing w:line="360" w:lineRule="auto"/>
        <w:jc w:val="both"/>
      </w:pPr>
      <w:r>
        <w:t xml:space="preserve">If in this case positive and significant coefficients are found, </w:t>
      </w:r>
      <w:r w:rsidR="008E0686">
        <w:t>this would provide evidence of increase</w:t>
      </w:r>
      <w:r w:rsidR="00020938">
        <w:t>d</w:t>
      </w:r>
      <w:r w:rsidR="008E0686">
        <w:t xml:space="preserve"> trade between the new EMU countries and countries outside EMU. G</w:t>
      </w:r>
      <w:r>
        <w:t>iven that positive and significant coefficients where found for the previous hypothesis</w:t>
      </w:r>
      <w:r w:rsidR="008E0686">
        <w:t xml:space="preserve"> as well</w:t>
      </w:r>
      <w:r>
        <w:t xml:space="preserve">, this would </w:t>
      </w:r>
      <w:r w:rsidR="008E0686">
        <w:t xml:space="preserve">thus </w:t>
      </w:r>
      <w:r>
        <w:t>ar</w:t>
      </w:r>
      <w:r w:rsidR="008E0686">
        <w:t xml:space="preserve">gue in favor of trade creation. The second and third hypotheses are therefore combined in one </w:t>
      </w:r>
      <w:r w:rsidR="00020938">
        <w:t>analysis</w:t>
      </w:r>
      <w:r w:rsidR="008E0686">
        <w:t xml:space="preserve"> to easily identify and compare trade effects with countries inside and outside EMU. </w:t>
      </w:r>
    </w:p>
    <w:p w:rsidR="00A24611" w:rsidRPr="0098020A" w:rsidRDefault="00BD44BD" w:rsidP="004C1689">
      <w:pPr>
        <w:pStyle w:val="Heading2"/>
        <w:numPr>
          <w:ilvl w:val="1"/>
          <w:numId w:val="1"/>
        </w:numPr>
        <w:spacing w:line="360" w:lineRule="auto"/>
      </w:pPr>
      <w:r>
        <w:t xml:space="preserve"> </w:t>
      </w:r>
      <w:r>
        <w:tab/>
      </w:r>
      <w:bookmarkStart w:id="21" w:name="_Toc353348786"/>
      <w:r w:rsidR="00E2017D">
        <w:t>Benchmark Testing</w:t>
      </w:r>
      <w:bookmarkEnd w:id="21"/>
    </w:p>
    <w:p w:rsidR="006D3113" w:rsidRDefault="008A5472" w:rsidP="004C1689">
      <w:pPr>
        <w:spacing w:line="360" w:lineRule="auto"/>
        <w:jc w:val="both"/>
      </w:pPr>
      <w:r>
        <w:rPr>
          <w:noProof/>
        </w:rPr>
        <w:pict>
          <v:shape id="_x0000_s1039" type="#_x0000_t202" style="position:absolute;left:0;text-align:left;margin-left:191.25pt;margin-top:318.75pt;width:261.55pt;height:14.45pt;z-index:251675136" stroked="f">
            <v:textbox inset="0,0,0,0">
              <w:txbxContent>
                <w:p w:rsidR="003B1B98" w:rsidRPr="003B1B98" w:rsidRDefault="003B1B98" w:rsidP="003B1B98">
                  <w:pPr>
                    <w:pStyle w:val="Caption"/>
                    <w:rPr>
                      <w:noProof/>
                      <w:color w:val="auto"/>
                    </w:rPr>
                  </w:pPr>
                  <w:r w:rsidRPr="003B1B98">
                    <w:rPr>
                      <w:color w:val="auto"/>
                    </w:rPr>
                    <w:t>Source: IMF Direction of Trade Statistics</w:t>
                  </w:r>
                </w:p>
              </w:txbxContent>
            </v:textbox>
            <w10:wrap type="square"/>
          </v:shape>
        </w:pict>
      </w:r>
      <w:r>
        <w:rPr>
          <w:noProof/>
        </w:rPr>
        <w:pict>
          <v:rect id="Rectangle 11" o:spid="_x0000_s1033" style="position:absolute;left:0;text-align:left;margin-left:191.25pt;margin-top:630pt;width:261.3pt;height:17.05pt;z-index:-251648512;visibility:visible;mso-position-horizontal-relative:margin;mso-position-vertical-relative:margin" wrapcoords="-62 0 -62 20661 21600 20661 21600 0 -6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" stroked="f">
            <v:textbox style="mso-next-textbox:#Rectangle 11">
              <w:txbxContent>
                <w:p w:rsidR="003B1B98" w:rsidRPr="005F3DF9" w:rsidRDefault="003B1B98" w:rsidP="005F3DF9">
                  <w:pPr>
                    <w:pStyle w:val="Caption"/>
                    <w:rPr>
                      <w:noProof/>
                      <w:color w:val="auto"/>
                    </w:rPr>
                  </w:pPr>
                  <w:bookmarkStart w:id="22" w:name="_Toc353180927"/>
                  <w:r w:rsidRPr="005F3DF9">
                    <w:rPr>
                      <w:color w:val="auto"/>
                    </w:rPr>
                    <w:t>Source: OECD – Main Economic Indicators (MEI) database</w:t>
                  </w:r>
                  <w:bookmarkEnd w:id="22"/>
                </w:p>
                <w:p w:rsidR="003B1B98" w:rsidRDefault="003B1B98"/>
              </w:txbxContent>
            </v:textbox>
            <w10:wrap type="tight" anchorx="margin" anchory="margin"/>
          </v:rect>
        </w:pict>
      </w:r>
      <w:r>
        <w:rPr>
          <w:noProof/>
        </w:rPr>
        <w:pict>
          <v:shape id="Text Box 13" o:spid="_x0000_s1034" type="#_x0000_t202" style="position:absolute;left:0;text-align:left;margin-left:191.25pt;margin-top:124.8pt;width:261.55pt;height:17.5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" stroked="f">
            <v:textbox style="mso-next-textbox:#Text Box 13" inset="0,0,0,0">
              <w:txbxContent>
                <w:p w:rsidR="003B1B98" w:rsidRPr="00406C1D" w:rsidRDefault="003B1B98" w:rsidP="00406C1D">
                  <w:pPr>
                    <w:pStyle w:val="Caption"/>
                    <w:rPr>
                      <w:noProof/>
                      <w:color w:val="auto"/>
                      <w:sz w:val="28"/>
                      <w:szCs w:val="28"/>
                    </w:rPr>
                  </w:pPr>
                  <w:bookmarkStart w:id="23" w:name="_Toc353180928"/>
                  <w:r w:rsidRPr="00406C1D">
                    <w:rPr>
                      <w:color w:val="auto"/>
                      <w:sz w:val="28"/>
                      <w:szCs w:val="28"/>
                    </w:rPr>
                    <w:t>Fig</w:t>
                  </w:r>
                  <w:r>
                    <w:rPr>
                      <w:color w:val="auto"/>
                      <w:sz w:val="28"/>
                      <w:szCs w:val="28"/>
                    </w:rPr>
                    <w:t xml:space="preserve">ure </w:t>
                  </w:r>
                  <w:r w:rsidR="008A5472" w:rsidRPr="00406C1D">
                    <w:rPr>
                      <w:color w:val="auto"/>
                      <w:sz w:val="28"/>
                      <w:szCs w:val="28"/>
                    </w:rPr>
                    <w:fldChar w:fldCharType="begin"/>
                  </w:r>
                  <w:r w:rsidRPr="00406C1D">
                    <w:rPr>
                      <w:color w:val="auto"/>
                      <w:sz w:val="28"/>
                      <w:szCs w:val="28"/>
                    </w:rPr>
                    <w:instrText xml:space="preserve"> STYLEREF 1 \s </w:instrText>
                  </w:r>
                  <w:r w:rsidR="008A5472" w:rsidRPr="00406C1D">
                    <w:rPr>
                      <w:color w:val="auto"/>
                      <w:sz w:val="28"/>
                      <w:szCs w:val="28"/>
                    </w:rPr>
                    <w:fldChar w:fldCharType="separate"/>
                  </w:r>
                  <w:r>
                    <w:rPr>
                      <w:noProof/>
                      <w:color w:val="auto"/>
                      <w:sz w:val="28"/>
                      <w:szCs w:val="28"/>
                    </w:rPr>
                    <w:t>4</w:t>
                  </w:r>
                  <w:r w:rsidR="008A5472" w:rsidRPr="00406C1D">
                    <w:rPr>
                      <w:color w:val="auto"/>
                      <w:sz w:val="28"/>
                      <w:szCs w:val="28"/>
                    </w:rPr>
                    <w:fldChar w:fldCharType="end"/>
                  </w:r>
                  <w:r w:rsidRPr="00406C1D">
                    <w:rPr>
                      <w:color w:val="auto"/>
                      <w:sz w:val="28"/>
                      <w:szCs w:val="28"/>
                    </w:rPr>
                    <w:noBreakHyphen/>
                  </w:r>
                  <w:r w:rsidR="008A5472" w:rsidRPr="00406C1D">
                    <w:rPr>
                      <w:color w:val="auto"/>
                      <w:sz w:val="28"/>
                      <w:szCs w:val="28"/>
                    </w:rPr>
                    <w:fldChar w:fldCharType="begin"/>
                  </w:r>
                  <w:r w:rsidRPr="00406C1D">
                    <w:rPr>
                      <w:color w:val="auto"/>
                      <w:sz w:val="28"/>
                      <w:szCs w:val="28"/>
                    </w:rPr>
                    <w:instrText xml:space="preserve"> SEQ Fig. \* ARABIC \s 1 </w:instrText>
                  </w:r>
                  <w:r w:rsidR="008A5472" w:rsidRPr="00406C1D">
                    <w:rPr>
                      <w:color w:val="auto"/>
                      <w:sz w:val="28"/>
                      <w:szCs w:val="28"/>
                    </w:rPr>
                    <w:fldChar w:fldCharType="separate"/>
                  </w:r>
                  <w:r>
                    <w:rPr>
                      <w:noProof/>
                      <w:color w:val="auto"/>
                      <w:sz w:val="28"/>
                      <w:szCs w:val="28"/>
                    </w:rPr>
                    <w:t>1</w:t>
                  </w:r>
                  <w:r w:rsidR="008A5472" w:rsidRPr="00406C1D">
                    <w:rPr>
                      <w:color w:val="auto"/>
                      <w:sz w:val="28"/>
                      <w:szCs w:val="28"/>
                    </w:rPr>
                    <w:fldChar w:fldCharType="end"/>
                  </w:r>
                  <w:r w:rsidRPr="00406C1D">
                    <w:rPr>
                      <w:color w:val="auto"/>
                      <w:sz w:val="28"/>
                      <w:szCs w:val="28"/>
                    </w:rPr>
                    <w:t xml:space="preserve"> International Trade</w:t>
                  </w:r>
                  <w:bookmarkEnd w:id="23"/>
                </w:p>
              </w:txbxContent>
            </v:textbox>
            <w10:wrap type="square"/>
          </v:shape>
        </w:pict>
      </w:r>
      <w:r w:rsidR="00B2013F">
        <w:rPr>
          <w:noProof/>
        </w:rPr>
        <w:drawing>
          <wp:anchor distT="0" distB="0" distL="114300" distR="114300" simplePos="0" relativeHeight="251666944" behindDoc="0" locked="0" layoutInCell="1" allowOverlap="1">
            <wp:simplePos x="0" y="0"/>
            <wp:positionH relativeFrom="column">
              <wp:posOffset>2428875</wp:posOffset>
            </wp:positionH>
            <wp:positionV relativeFrom="paragraph">
              <wp:posOffset>1819275</wp:posOffset>
            </wp:positionV>
            <wp:extent cx="3321685" cy="2171700"/>
            <wp:effectExtent l="19050" t="0" r="12065" b="0"/>
            <wp:wrapSquare wrapText="bothSides"/>
            <wp:docPr id="1" name="Chart 1" descr="Source: OECD – Main Economic Indicators (MEI) datab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801312" w:rsidRPr="00B00C16">
        <w:t xml:space="preserve">Testing these hypotheses </w:t>
      </w:r>
      <w:r w:rsidR="00C65FA3" w:rsidRPr="00B00C16">
        <w:t xml:space="preserve">is </w:t>
      </w:r>
      <w:r w:rsidR="00B00C16" w:rsidRPr="00B00C16">
        <w:t>comparable to earlier research on the trade effects of the creation of the EMU. In this case however</w:t>
      </w:r>
      <w:r w:rsidR="00B00C16">
        <w:t xml:space="preserve"> new</w:t>
      </w:r>
      <w:r w:rsidR="00B00C16" w:rsidRPr="00B00C16">
        <w:t xml:space="preserve"> </w:t>
      </w:r>
      <w:r w:rsidR="00020938">
        <w:t>EMU member countries</w:t>
      </w:r>
      <w:r w:rsidR="00B00C16" w:rsidRPr="00B00C16">
        <w:t xml:space="preserve"> are </w:t>
      </w:r>
      <w:r w:rsidR="0041343D">
        <w:t xml:space="preserve">the </w:t>
      </w:r>
      <w:r w:rsidR="00B00C16" w:rsidRPr="00B00C16">
        <w:t>subject to analysis</w:t>
      </w:r>
      <w:r w:rsidR="0076468B">
        <w:t>, which are joining – not creating – EMU</w:t>
      </w:r>
      <w:r w:rsidR="0041343D">
        <w:t>, and</w:t>
      </w:r>
      <w:r w:rsidR="00B00C16" w:rsidRPr="00B00C16">
        <w:t xml:space="preserve"> </w:t>
      </w:r>
      <w:r w:rsidR="0076468B">
        <w:t>which</w:t>
      </w:r>
      <w:r w:rsidR="00B00C16" w:rsidRPr="00B00C16">
        <w:t xml:space="preserve"> did not all simultaneously join the </w:t>
      </w:r>
      <w:r w:rsidR="00AD525C">
        <w:t>Euro</w:t>
      </w:r>
      <w:r w:rsidR="00B00C16">
        <w:t xml:space="preserve">, </w:t>
      </w:r>
      <w:r w:rsidR="0076468B">
        <w:t>thus</w:t>
      </w:r>
      <w:r w:rsidR="00B00C16">
        <w:t xml:space="preserve"> requir</w:t>
      </w:r>
      <w:r w:rsidR="0076468B">
        <w:t>ing</w:t>
      </w:r>
      <w:r w:rsidR="00D4022F">
        <w:t xml:space="preserve"> separate analyses. Another significant difference compared to research</w:t>
      </w:r>
      <w:r w:rsidR="001273E8">
        <w:t xml:space="preserve"> on the trade effects of the Euro introduction is the state of the world economy. </w:t>
      </w:r>
      <w:r w:rsidR="00E2017D">
        <w:t xml:space="preserve">The effects that the recent financial crisis has had on international trade, as can be seen in Fig. 4.1, probably also </w:t>
      </w:r>
      <w:r w:rsidR="0098063C">
        <w:t>affected</w:t>
      </w:r>
      <w:r w:rsidR="00E2017D">
        <w:t xml:space="preserve"> trade </w:t>
      </w:r>
      <w:r w:rsidR="0098063C">
        <w:t xml:space="preserve">volumes of the new EMU members. Adding to this the European debt crisis, in which severe austerity measures led to decreasing GDP levels, </w:t>
      </w:r>
      <w:r w:rsidR="0076468B">
        <w:t>one can imagine that this also has had an adverse</w:t>
      </w:r>
      <w:r w:rsidR="0098063C">
        <w:t xml:space="preserve"> effect on </w:t>
      </w:r>
      <w:r w:rsidR="0076468B">
        <w:t xml:space="preserve">trade volumes. </w:t>
      </w:r>
      <w:r w:rsidR="003F1AAA">
        <w:t xml:space="preserve">It can therefore be the case that due to the state of the world economy and international trade at the moment of EMU entry by the individual </w:t>
      </w:r>
      <w:r w:rsidR="00020938">
        <w:t>countries</w:t>
      </w:r>
      <w:r w:rsidR="003F1AAA">
        <w:t xml:space="preserve">, </w:t>
      </w:r>
      <w:r w:rsidR="003F1AAA">
        <w:lastRenderedPageBreak/>
        <w:t xml:space="preserve">the expected trade effects of joining a currency union </w:t>
      </w:r>
      <w:r w:rsidR="00020938">
        <w:t>are</w:t>
      </w:r>
      <w:r w:rsidR="003F1AAA">
        <w:t xml:space="preserve"> distorted. </w:t>
      </w:r>
      <w:r w:rsidR="009313E3">
        <w:t xml:space="preserve">A result of this can be that analysis of the data displays insignificant evidence of increased trade or even significant negative trade effects. In order to </w:t>
      </w:r>
      <w:r w:rsidR="006D3113">
        <w:t xml:space="preserve">correct for this, the trade effects of Euro adoption by the new EMU members are compared to a control group of countries that did not join EMU. </w:t>
      </w:r>
      <w:r w:rsidR="00FD5572">
        <w:t xml:space="preserve">By constructing such a control group with countries in similar circumstances, </w:t>
      </w:r>
      <w:r w:rsidR="0064027C">
        <w:t xml:space="preserve">which </w:t>
      </w:r>
      <w:r w:rsidR="00FD5572">
        <w:t>includ</w:t>
      </w:r>
      <w:r w:rsidR="0064027C">
        <w:t>es</w:t>
      </w:r>
      <w:r w:rsidR="00FD5572">
        <w:t xml:space="preserve"> the new EMU </w:t>
      </w:r>
      <w:r w:rsidR="0064027C">
        <w:t>members</w:t>
      </w:r>
      <w:r w:rsidR="00FD5572">
        <w:t xml:space="preserve">, it is possible to, given the </w:t>
      </w:r>
      <w:r w:rsidR="0064027C">
        <w:t xml:space="preserve">abnormal </w:t>
      </w:r>
      <w:r w:rsidR="00FD5572">
        <w:t xml:space="preserve">circumstances, </w:t>
      </w:r>
      <w:r w:rsidR="0064027C">
        <w:t xml:space="preserve">identify the marginal effects of Euro adoption on trade. </w:t>
      </w:r>
      <w:r w:rsidR="006D3113">
        <w:t>Whereas in the first three hypotheses the trade effects of Euro adoption are compared to trade amongst all other countries in the sample</w:t>
      </w:r>
      <w:r w:rsidR="00FF3EC8">
        <w:t xml:space="preserve">, comparing trade </w:t>
      </w:r>
      <w:r w:rsidR="0064027C">
        <w:t>effect</w:t>
      </w:r>
      <w:r w:rsidR="00020938">
        <w:t>s</w:t>
      </w:r>
      <w:r w:rsidR="0064027C">
        <w:t xml:space="preserve"> while correcting for effects that are </w:t>
      </w:r>
      <w:r w:rsidR="007721D6">
        <w:t>specific</w:t>
      </w:r>
      <w:r w:rsidR="0064027C">
        <w:t xml:space="preserve"> to a smaller group of countries</w:t>
      </w:r>
      <w:r w:rsidR="00FF3EC8">
        <w:t xml:space="preserve"> gives a better grasp of the </w:t>
      </w:r>
      <w:r w:rsidR="00020938">
        <w:t>marginal</w:t>
      </w:r>
      <w:r w:rsidR="00FF3EC8">
        <w:t xml:space="preserve"> trade effects caused by Euro adoption. </w:t>
      </w:r>
    </w:p>
    <w:p w:rsidR="00477DA0" w:rsidRDefault="00E1499C" w:rsidP="004C1689">
      <w:pPr>
        <w:spacing w:line="360" w:lineRule="auto"/>
        <w:jc w:val="both"/>
      </w:pPr>
      <w:r>
        <w:t xml:space="preserve">The most suitable group of </w:t>
      </w:r>
      <w:r w:rsidR="0064027C">
        <w:t>countries</w:t>
      </w:r>
      <w:r>
        <w:t xml:space="preserve"> for </w:t>
      </w:r>
      <w:r w:rsidR="001739D2">
        <w:t xml:space="preserve">such a </w:t>
      </w:r>
      <w:r w:rsidR="0064027C">
        <w:t xml:space="preserve">control group </w:t>
      </w:r>
      <w:r>
        <w:t>are the</w:t>
      </w:r>
      <w:r w:rsidR="00F252D1">
        <w:t xml:space="preserve"> </w:t>
      </w:r>
      <w:r w:rsidR="0064027C">
        <w:t xml:space="preserve">ten </w:t>
      </w:r>
      <w:r w:rsidR="00F252D1">
        <w:t>2004 EU entrants</w:t>
      </w:r>
      <w:r w:rsidR="0064027C">
        <w:t xml:space="preserve">. </w:t>
      </w:r>
      <w:r w:rsidR="00817910">
        <w:t>These ten countries, of which the new EMU members are part of, are roughly speaking in a comparable economic situation</w:t>
      </w:r>
      <w:r w:rsidR="003B171F">
        <w:t>. They lie in the same geographical region, often have a recent history of transforming into market economies, are comparable in economic development, have roughly similar trading partners and obviously simultaneously joined the EU in 2004. Although individual countries differ in size of their economy</w:t>
      </w:r>
      <w:r w:rsidR="00D246E3">
        <w:t>,</w:t>
      </w:r>
      <w:r w:rsidR="003B171F">
        <w:t xml:space="preserve"> </w:t>
      </w:r>
      <w:r w:rsidR="00D246E3">
        <w:t>openness to</w:t>
      </w:r>
      <w:r w:rsidR="003B171F">
        <w:t xml:space="preserve"> trade</w:t>
      </w:r>
      <w:r w:rsidR="00D246E3">
        <w:t xml:space="preserve"> and other factors</w:t>
      </w:r>
      <w:r w:rsidR="003B171F">
        <w:t xml:space="preserve">, the assumption is made that these ten countries are </w:t>
      </w:r>
      <w:r w:rsidR="00817910">
        <w:t xml:space="preserve">comparably affected by recent events such as the financial </w:t>
      </w:r>
      <w:r w:rsidR="00D246E3">
        <w:t xml:space="preserve">crisis and the European debt crisis. </w:t>
      </w:r>
      <w:r w:rsidR="00E2630C">
        <w:t xml:space="preserve">With trade </w:t>
      </w:r>
      <w:r w:rsidR="0072605F">
        <w:t>data</w:t>
      </w:r>
      <w:r w:rsidR="00E2630C">
        <w:t xml:space="preserve"> of this ‘control group’, the above constructed hypotheses can be transformed into comparative hypotheses that </w:t>
      </w:r>
      <w:r w:rsidR="004B455B">
        <w:t>test for the marginal effect of</w:t>
      </w:r>
      <w:r w:rsidR="00E2630C">
        <w:t xml:space="preserve"> </w:t>
      </w:r>
      <w:r w:rsidR="004B455B">
        <w:t xml:space="preserve">Euro adoption on trade. </w:t>
      </w:r>
      <w:r w:rsidR="006705C0">
        <w:t>For this</w:t>
      </w:r>
      <w:r w:rsidR="00187295">
        <w:t xml:space="preserve"> groups have to be formed, and therefore</w:t>
      </w:r>
      <w:r w:rsidR="006705C0">
        <w:t xml:space="preserve"> </w:t>
      </w:r>
      <w:r w:rsidR="007C595C">
        <w:t xml:space="preserve">it is assumed that the ‘EMU effect’ kicks in simultaneously for all four </w:t>
      </w:r>
      <w:r w:rsidR="00020938">
        <w:t>countries</w:t>
      </w:r>
      <w:r w:rsidR="007C595C">
        <w:t xml:space="preserve"> </w:t>
      </w:r>
      <w:r w:rsidR="006705C0">
        <w:t>from the moment the first of the new EMU members adopted the Euro.</w:t>
      </w:r>
      <w:r w:rsidR="006705C0">
        <w:rPr>
          <w:rStyle w:val="FootnoteReference"/>
        </w:rPr>
        <w:footnoteReference w:id="8"/>
      </w:r>
      <w:r w:rsidR="0072605F">
        <w:t xml:space="preserve"> Again here </w:t>
      </w:r>
      <w:r w:rsidR="00187295">
        <w:t xml:space="preserve">the total trade effects are tested first, followed by tests on trade effects with specific trading partners. </w:t>
      </w:r>
      <w:r w:rsidR="0072605F">
        <w:t xml:space="preserve"> </w:t>
      </w:r>
    </w:p>
    <w:p w:rsidR="00801312" w:rsidRDefault="00801312" w:rsidP="00C9272F">
      <w:pPr>
        <w:spacing w:line="360" w:lineRule="auto"/>
        <w:ind w:left="720"/>
        <w:jc w:val="both"/>
        <w:rPr>
          <w:i/>
        </w:rPr>
      </w:pPr>
      <w:r w:rsidRPr="009D2F0F">
        <w:rPr>
          <w:i/>
        </w:rPr>
        <w:t>H</w:t>
      </w:r>
      <w:r w:rsidR="007721D6">
        <w:rPr>
          <w:i/>
          <w:vertAlign w:val="subscript"/>
        </w:rPr>
        <w:t>4</w:t>
      </w:r>
      <w:r w:rsidR="009D2F0F" w:rsidRPr="009D2F0F">
        <w:rPr>
          <w:i/>
        </w:rPr>
        <w:t xml:space="preserve">: </w:t>
      </w:r>
      <w:r w:rsidR="001738DE">
        <w:rPr>
          <w:i/>
        </w:rPr>
        <w:t>Since 2007 a</w:t>
      </w:r>
      <w:r w:rsidR="007721D6">
        <w:rPr>
          <w:i/>
        </w:rPr>
        <w:t>verage t</w:t>
      </w:r>
      <w:r w:rsidRPr="009D2F0F">
        <w:rPr>
          <w:i/>
        </w:rPr>
        <w:t>rade by the new EMU</w:t>
      </w:r>
      <w:r w:rsidR="001739D2">
        <w:rPr>
          <w:i/>
        </w:rPr>
        <w:t xml:space="preserve"> </w:t>
      </w:r>
      <w:r w:rsidR="007721D6">
        <w:rPr>
          <w:i/>
        </w:rPr>
        <w:t>members increased more than the averag</w:t>
      </w:r>
      <w:r w:rsidR="004B455B">
        <w:rPr>
          <w:i/>
        </w:rPr>
        <w:t>e trade of the 2004 EU entrant</w:t>
      </w:r>
      <w:r w:rsidR="001738DE">
        <w:rPr>
          <w:i/>
        </w:rPr>
        <w:t>s</w:t>
      </w:r>
      <w:r w:rsidR="004B455B">
        <w:rPr>
          <w:i/>
        </w:rPr>
        <w:t xml:space="preserve"> </w:t>
      </w:r>
    </w:p>
    <w:p w:rsidR="009D2F0F" w:rsidRDefault="009D2F0F" w:rsidP="004C1689">
      <w:pPr>
        <w:spacing w:line="360" w:lineRule="auto"/>
        <w:ind w:left="720"/>
        <w:jc w:val="both"/>
        <w:rPr>
          <w:i/>
        </w:rPr>
      </w:pPr>
      <w:r>
        <w:rPr>
          <w:i/>
        </w:rPr>
        <w:t>H</w:t>
      </w:r>
      <w:r w:rsidR="004B455B">
        <w:rPr>
          <w:i/>
          <w:vertAlign w:val="subscript"/>
        </w:rPr>
        <w:t>5</w:t>
      </w:r>
      <w:r w:rsidRPr="008660E9">
        <w:rPr>
          <w:i/>
        </w:rPr>
        <w:t xml:space="preserve">: </w:t>
      </w:r>
      <w:r w:rsidR="001738DE">
        <w:rPr>
          <w:i/>
        </w:rPr>
        <w:t>Since 2007 a</w:t>
      </w:r>
      <w:r w:rsidR="00C9272F">
        <w:rPr>
          <w:i/>
        </w:rPr>
        <w:t>verage t</w:t>
      </w:r>
      <w:r>
        <w:rPr>
          <w:i/>
        </w:rPr>
        <w:t xml:space="preserve">rade </w:t>
      </w:r>
      <w:r w:rsidR="001738DE">
        <w:rPr>
          <w:i/>
        </w:rPr>
        <w:t>between</w:t>
      </w:r>
      <w:r>
        <w:rPr>
          <w:i/>
        </w:rPr>
        <w:t xml:space="preserve"> existing EMU </w:t>
      </w:r>
      <w:r w:rsidR="001738DE">
        <w:rPr>
          <w:i/>
        </w:rPr>
        <w:t>members and the new EMU members</w:t>
      </w:r>
      <w:r w:rsidR="00C9272F">
        <w:rPr>
          <w:i/>
        </w:rPr>
        <w:t xml:space="preserve"> </w:t>
      </w:r>
      <w:r w:rsidR="009325BC">
        <w:rPr>
          <w:i/>
        </w:rPr>
        <w:t>increased</w:t>
      </w:r>
      <w:r w:rsidR="00C9272F">
        <w:rPr>
          <w:i/>
        </w:rPr>
        <w:t xml:space="preserve"> more</w:t>
      </w:r>
      <w:r>
        <w:rPr>
          <w:i/>
        </w:rPr>
        <w:t xml:space="preserve"> </w:t>
      </w:r>
      <w:r w:rsidR="001738DE">
        <w:rPr>
          <w:i/>
        </w:rPr>
        <w:t>compared to average trade between existing EMU members and</w:t>
      </w:r>
      <w:r>
        <w:rPr>
          <w:i/>
        </w:rPr>
        <w:t xml:space="preserve"> </w:t>
      </w:r>
      <w:r w:rsidR="00C9272F">
        <w:rPr>
          <w:i/>
        </w:rPr>
        <w:t xml:space="preserve">the </w:t>
      </w:r>
      <w:r>
        <w:rPr>
          <w:i/>
        </w:rPr>
        <w:t>2004 EU entrants</w:t>
      </w:r>
    </w:p>
    <w:p w:rsidR="009D2F0F" w:rsidRDefault="009D2F0F" w:rsidP="004C1689">
      <w:pPr>
        <w:spacing w:line="360" w:lineRule="auto"/>
        <w:ind w:left="720"/>
        <w:jc w:val="both"/>
        <w:rPr>
          <w:i/>
        </w:rPr>
      </w:pPr>
      <w:r>
        <w:rPr>
          <w:i/>
        </w:rPr>
        <w:t>H</w:t>
      </w:r>
      <w:r w:rsidR="004B455B">
        <w:rPr>
          <w:i/>
          <w:vertAlign w:val="subscript"/>
        </w:rPr>
        <w:t>6</w:t>
      </w:r>
      <w:r w:rsidRPr="008660E9">
        <w:rPr>
          <w:i/>
        </w:rPr>
        <w:t>:</w:t>
      </w:r>
      <w:r w:rsidR="009325BC">
        <w:rPr>
          <w:i/>
        </w:rPr>
        <w:t xml:space="preserve"> </w:t>
      </w:r>
      <w:r w:rsidR="001738DE">
        <w:rPr>
          <w:i/>
        </w:rPr>
        <w:t xml:space="preserve">Since 2007 average trade between non-EMU countries and the new EMU members increased more compared to average trade between </w:t>
      </w:r>
      <w:r w:rsidR="00627EEB">
        <w:rPr>
          <w:i/>
        </w:rPr>
        <w:t>non-EMU countries</w:t>
      </w:r>
      <w:r w:rsidR="001738DE">
        <w:rPr>
          <w:i/>
        </w:rPr>
        <w:t xml:space="preserve"> and the 2004 EU entrants</w:t>
      </w:r>
    </w:p>
    <w:p w:rsidR="00801312" w:rsidRDefault="00187295" w:rsidP="00187295">
      <w:pPr>
        <w:spacing w:before="240" w:line="360" w:lineRule="auto"/>
        <w:jc w:val="both"/>
      </w:pPr>
      <w:r>
        <w:lastRenderedPageBreak/>
        <w:t>With these hypotheses it is thus tested whether the new EMU members traded more than the 2004 EU entrants; in total (H</w:t>
      </w:r>
      <w:r>
        <w:rPr>
          <w:vertAlign w:val="subscript"/>
        </w:rPr>
        <w:t>4</w:t>
      </w:r>
      <w:r>
        <w:t>); with existing EMU members (H</w:t>
      </w:r>
      <w:r>
        <w:rPr>
          <w:vertAlign w:val="subscript"/>
        </w:rPr>
        <w:t>5</w:t>
      </w:r>
      <w:r>
        <w:t>) and; with non-EMU countries (H</w:t>
      </w:r>
      <w:r>
        <w:rPr>
          <w:vertAlign w:val="subscript"/>
        </w:rPr>
        <w:t>6</w:t>
      </w:r>
      <w:r>
        <w:t xml:space="preserve">). </w:t>
      </w:r>
    </w:p>
    <w:p w:rsidR="009B5CA6" w:rsidRDefault="009B5CA6" w:rsidP="00187295">
      <w:pPr>
        <w:spacing w:before="240" w:line="360" w:lineRule="auto"/>
        <w:jc w:val="both"/>
      </w:pPr>
      <w:r>
        <w:t xml:space="preserve">This chapter has constructed the hypotheses that are necessary to answer the research question of this thesis. The first hypothesis inquires into the total trade effects for the individual new EMU member, whereas the second and third hypotheses inquires into the trade effects of the new EMU members with on the one hand the existing EMU members and on the other </w:t>
      </w:r>
      <w:r w:rsidR="00AE52C7">
        <w:t>hand the rest of the world. For hypotheses 4 – 6 a benchmark group is constructed against which the marginal effect of Euro adoption by the new EMU members is tested. This is again done for total trade in hypothesis four, and f</w:t>
      </w:r>
      <w:r w:rsidR="00020938">
        <w:t>or trade with EMU members and th</w:t>
      </w:r>
      <w:r w:rsidR="00AE52C7">
        <w:t xml:space="preserve">e rest of the world in hypotheses five and six, respectively. </w:t>
      </w:r>
    </w:p>
    <w:p w:rsidR="00AE52C7" w:rsidRDefault="00AE52C7">
      <w:pPr>
        <w:rPr>
          <w:rFonts w:asciiTheme="majorHAnsi" w:eastAsiaTheme="majorEastAsia" w:hAnsiTheme="majorHAnsi" w:cstheme="majorBidi"/>
          <w:b/>
          <w:bCs/>
          <w:color w:val="365F91" w:themeColor="accent1" w:themeShade="BF"/>
          <w:sz w:val="28"/>
          <w:szCs w:val="28"/>
        </w:rPr>
      </w:pPr>
      <w:r>
        <w:br w:type="page"/>
      </w:r>
    </w:p>
    <w:p w:rsidR="00801312" w:rsidRDefault="007F1BEA" w:rsidP="004C1689">
      <w:pPr>
        <w:pStyle w:val="Heading1"/>
        <w:numPr>
          <w:ilvl w:val="0"/>
          <w:numId w:val="1"/>
        </w:numPr>
        <w:spacing w:line="360" w:lineRule="auto"/>
      </w:pPr>
      <w:bookmarkStart w:id="24" w:name="_Toc353180788"/>
      <w:bookmarkStart w:id="25" w:name="_Toc353348787"/>
      <w:r>
        <w:lastRenderedPageBreak/>
        <w:t>Estimation Methodology</w:t>
      </w:r>
      <w:bookmarkEnd w:id="24"/>
      <w:bookmarkEnd w:id="25"/>
    </w:p>
    <w:p w:rsidR="00576BF3" w:rsidRPr="00576BF3" w:rsidRDefault="00576BF3" w:rsidP="00576BF3"/>
    <w:p w:rsidR="00801312" w:rsidRPr="00C22BF4" w:rsidRDefault="00801312" w:rsidP="004C1689">
      <w:pPr>
        <w:spacing w:line="360" w:lineRule="auto"/>
        <w:jc w:val="both"/>
      </w:pPr>
      <w:r>
        <w:t xml:space="preserve">In order to test the hypotheses constructed in the previous chapter, and as such to answer this thesis’s research question, the gravity model is used. This chapter will </w:t>
      </w:r>
      <w:r w:rsidR="006558B4">
        <w:t>shortly</w:t>
      </w:r>
      <w:r>
        <w:t xml:space="preserve"> discuss the theoretical underpinnings of the gravity model</w:t>
      </w:r>
      <w:r w:rsidR="006558B4">
        <w:t xml:space="preserve"> and its evolution over time</w:t>
      </w:r>
      <w:r>
        <w:t xml:space="preserve">, after which the model’s appropriate specification for this research is constructed. The chapter ends with a description of the data used in the empirical analysis in chapter 6. </w:t>
      </w:r>
    </w:p>
    <w:p w:rsidR="00801312" w:rsidRDefault="00801312" w:rsidP="004C1689">
      <w:pPr>
        <w:pStyle w:val="Heading2"/>
        <w:numPr>
          <w:ilvl w:val="1"/>
          <w:numId w:val="1"/>
        </w:numPr>
        <w:spacing w:line="360" w:lineRule="auto"/>
      </w:pPr>
      <w:r>
        <w:t xml:space="preserve"> </w:t>
      </w:r>
      <w:r>
        <w:tab/>
      </w:r>
      <w:bookmarkStart w:id="26" w:name="_Toc353348788"/>
      <w:r w:rsidR="007607E5">
        <w:t>Theoretical U</w:t>
      </w:r>
      <w:r>
        <w:t>nderpinnings</w:t>
      </w:r>
      <w:r w:rsidR="007A5CC9">
        <w:t xml:space="preserve"> and Evolution</w:t>
      </w:r>
      <w:r>
        <w:t xml:space="preserve"> of the Gravity Model</w:t>
      </w:r>
      <w:bookmarkEnd w:id="26"/>
    </w:p>
    <w:p w:rsidR="004868DB" w:rsidRDefault="00D94C9F" w:rsidP="004C1689">
      <w:pPr>
        <w:spacing w:line="360" w:lineRule="auto"/>
        <w:jc w:val="both"/>
      </w:pPr>
      <w:r>
        <w:t xml:space="preserve">The gravity model in economics is derived from Newton’s law of universal gravitation </w:t>
      </w:r>
      <w:r w:rsidR="002B79AC">
        <w:t>which is as follows:</w:t>
      </w:r>
      <w:r>
        <w:t xml:space="preserve"> </w:t>
      </w:r>
    </w:p>
    <w:p w:rsidR="00D94C9F" w:rsidRDefault="00464D3B" w:rsidP="004C1689">
      <w:pPr>
        <w:spacing w:line="360" w:lineRule="auto"/>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m:rPr>
            <m:sty m:val="p"/>
          </m:rPr>
          <w:rPr>
            <w:rFonts w:ascii="Cambria Math" w:hAnsi="Cambria Math"/>
          </w:rPr>
          <m:t>F</m:t>
        </m:r>
        <m:r>
          <w:rPr>
            <w:rFonts w:ascii="Cambria Math" w:hAnsi="Cambria Math"/>
          </w:rPr>
          <m:t>=G</m:t>
        </m:r>
        <m:f>
          <m:fPr>
            <m:ctrlPr>
              <w:rPr>
                <w:rFonts w:ascii="Cambria Math" w:hAnsi="Cambria Math"/>
              </w:rPr>
            </m:ctrlPr>
          </m:fPr>
          <m:num>
            <m:r>
              <w:rPr>
                <w:rFonts w:ascii="Cambria Math" w:hAnsi="Cambria Math"/>
              </w:rPr>
              <m:t>M1 M2</m:t>
            </m:r>
          </m:num>
          <m:den>
            <m:r>
              <w:rPr>
                <w:rFonts w:ascii="Cambria Math" w:hAnsi="Cambria Math"/>
              </w:rPr>
              <m:t>D²</m:t>
            </m:r>
          </m:den>
        </m:f>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(5.1)</w:t>
      </w:r>
    </w:p>
    <w:p w:rsidR="00BF59A1" w:rsidRDefault="002B79AC" w:rsidP="004C1689">
      <w:pPr>
        <w:spacing w:line="360" w:lineRule="auto"/>
        <w:jc w:val="both"/>
      </w:pPr>
      <w:r>
        <w:t xml:space="preserve">Here </w:t>
      </w:r>
      <w:r>
        <w:rPr>
          <w:i/>
        </w:rPr>
        <w:t>F</w:t>
      </w:r>
      <w:r>
        <w:t xml:space="preserve"> stands for the gravitational force between the masses, </w:t>
      </w:r>
      <w:r>
        <w:rPr>
          <w:i/>
        </w:rPr>
        <w:t>G</w:t>
      </w:r>
      <w:r>
        <w:t xml:space="preserve"> is a gravitational constant, </w:t>
      </w:r>
      <w:r>
        <w:rPr>
          <w:i/>
        </w:rPr>
        <w:t>M</w:t>
      </w:r>
      <w:r w:rsidRPr="00411884">
        <w:rPr>
          <w:i/>
          <w:vertAlign w:val="subscript"/>
        </w:rPr>
        <w:t>1</w:t>
      </w:r>
      <w:r w:rsidRPr="00411884">
        <w:rPr>
          <w:vertAlign w:val="subscript"/>
        </w:rPr>
        <w:t xml:space="preserve"> </w:t>
      </w:r>
      <w:r>
        <w:t xml:space="preserve">is the mass of object 1 and </w:t>
      </w:r>
      <w:r>
        <w:rPr>
          <w:i/>
        </w:rPr>
        <w:t>M</w:t>
      </w:r>
      <w:r w:rsidRPr="00411884">
        <w:rPr>
          <w:i/>
          <w:vertAlign w:val="subscript"/>
        </w:rPr>
        <w:t>2</w:t>
      </w:r>
      <w:r>
        <w:t xml:space="preserve"> is the mass of object 2. </w:t>
      </w:r>
      <w:r>
        <w:rPr>
          <w:i/>
        </w:rPr>
        <w:t>D</w:t>
      </w:r>
      <w:r>
        <w:t xml:space="preserve"> stands for the distance between object 1 and object 2. </w:t>
      </w:r>
      <w:r w:rsidR="008170A9">
        <w:t xml:space="preserve">This thus means that larger objects create a stronger gravitational force, whereas the distance between the object reduces the gravitational force. </w:t>
      </w:r>
      <w:r w:rsidR="00411884">
        <w:t xml:space="preserve">Tinbergen (1962) was the first to find a similar relation in trade between </w:t>
      </w:r>
      <w:r w:rsidR="00464D3B">
        <w:t>countries</w:t>
      </w:r>
      <w:r w:rsidR="00411884">
        <w:t xml:space="preserve">, </w:t>
      </w:r>
      <w:r w:rsidR="00B64A98">
        <w:t xml:space="preserve">in which </w:t>
      </w:r>
      <w:r w:rsidR="00411884">
        <w:rPr>
          <w:i/>
        </w:rPr>
        <w:t>F</w:t>
      </w:r>
      <w:r w:rsidR="00411884">
        <w:t xml:space="preserve"> </w:t>
      </w:r>
      <w:r w:rsidR="00B64A98">
        <w:t>stand</w:t>
      </w:r>
      <w:r w:rsidR="00464D3B">
        <w:t>s</w:t>
      </w:r>
      <w:r w:rsidR="00B64A98">
        <w:t xml:space="preserve"> for</w:t>
      </w:r>
      <w:r w:rsidR="00411884">
        <w:t xml:space="preserve"> the trade between two </w:t>
      </w:r>
      <w:r w:rsidR="00464D3B">
        <w:t>countries</w:t>
      </w:r>
      <w:r w:rsidR="00411884">
        <w:t xml:space="preserve"> and </w:t>
      </w:r>
      <w:r w:rsidR="00411884">
        <w:rPr>
          <w:i/>
        </w:rPr>
        <w:t>M</w:t>
      </w:r>
      <w:r w:rsidR="00411884" w:rsidRPr="00411884">
        <w:rPr>
          <w:i/>
          <w:vertAlign w:val="subscript"/>
        </w:rPr>
        <w:t>1</w:t>
      </w:r>
      <w:r w:rsidR="00411884" w:rsidRPr="00411884">
        <w:rPr>
          <w:vertAlign w:val="subscript"/>
        </w:rPr>
        <w:t xml:space="preserve"> </w:t>
      </w:r>
      <w:r w:rsidR="00411884">
        <w:t xml:space="preserve">and </w:t>
      </w:r>
      <w:r w:rsidR="00411884">
        <w:rPr>
          <w:i/>
        </w:rPr>
        <w:t>M</w:t>
      </w:r>
      <w:r w:rsidR="00411884" w:rsidRPr="00411884">
        <w:rPr>
          <w:i/>
          <w:vertAlign w:val="subscript"/>
        </w:rPr>
        <w:t>2</w:t>
      </w:r>
      <w:r w:rsidR="00411884">
        <w:t xml:space="preserve"> is the size of the economy of </w:t>
      </w:r>
      <w:r w:rsidR="00464D3B">
        <w:t>country</w:t>
      </w:r>
      <w:r w:rsidR="00411884">
        <w:t xml:space="preserve"> 1 and 2, respectively. </w:t>
      </w:r>
      <w:r w:rsidR="006834B2">
        <w:t xml:space="preserve">This </w:t>
      </w:r>
      <w:r w:rsidR="00E33EB3">
        <w:t xml:space="preserve">gravity </w:t>
      </w:r>
      <w:r w:rsidR="006834B2">
        <w:t xml:space="preserve">equation was classified by Anderson (1979; p. 106) as ‘Probably the most successful empirical trade device of the last twenty-five </w:t>
      </w:r>
      <w:r w:rsidR="001F75E7">
        <w:t>years [</w:t>
      </w:r>
      <w:r w:rsidR="006834B2">
        <w:t>…].’ The high R</w:t>
      </w:r>
      <w:r w:rsidR="006834B2">
        <w:rPr>
          <w:rFonts w:cstheme="minorHAnsi"/>
        </w:rPr>
        <w:t>²</w:t>
      </w:r>
      <w:r w:rsidR="000B6144">
        <w:t xml:space="preserve"> found in this </w:t>
      </w:r>
      <w:r w:rsidR="00E33EB3">
        <w:t xml:space="preserve">empirical </w:t>
      </w:r>
      <w:r w:rsidR="000B6144">
        <w:t xml:space="preserve">model </w:t>
      </w:r>
      <w:r w:rsidR="00DC5602">
        <w:t>of</w:t>
      </w:r>
      <w:r w:rsidR="000B6144">
        <w:t xml:space="preserve"> explaining trade levels </w:t>
      </w:r>
      <w:r w:rsidR="00E33EB3">
        <w:t xml:space="preserve">however </w:t>
      </w:r>
      <w:r w:rsidR="000B6144">
        <w:t>was</w:t>
      </w:r>
      <w:r w:rsidR="00E33EB3">
        <w:t xml:space="preserve"> lacking any theoretical underpinnings. Due to its statistical strength there was</w:t>
      </w:r>
      <w:r w:rsidR="00B64A98">
        <w:t xml:space="preserve"> therefore</w:t>
      </w:r>
      <w:r w:rsidR="00E33EB3">
        <w:t xml:space="preserve"> a </w:t>
      </w:r>
      <w:r w:rsidR="007C5E23">
        <w:t>call</w:t>
      </w:r>
      <w:r w:rsidR="00E33EB3">
        <w:t xml:space="preserve"> for</w:t>
      </w:r>
      <w:r w:rsidR="000B6144">
        <w:t xml:space="preserve"> a theoretical foundation</w:t>
      </w:r>
      <w:r w:rsidR="003C118B">
        <w:t xml:space="preserve">, of which Anderson </w:t>
      </w:r>
      <w:r w:rsidR="001F75E7">
        <w:t xml:space="preserve">(1979) </w:t>
      </w:r>
      <w:r w:rsidR="003C118B">
        <w:t>was among the first to provide one.</w:t>
      </w:r>
      <w:r w:rsidR="008A49AB">
        <w:rPr>
          <w:rStyle w:val="FootnoteReference"/>
        </w:rPr>
        <w:footnoteReference w:id="9"/>
      </w:r>
      <w:r w:rsidR="003C118B">
        <w:t xml:space="preserve"> </w:t>
      </w:r>
      <w:r w:rsidR="000B6144">
        <w:t xml:space="preserve"> </w:t>
      </w:r>
      <w:r w:rsidR="00AE5884">
        <w:t xml:space="preserve">He uses the Trade-Share-Expenditure System Model in which trade is explained by the </w:t>
      </w:r>
      <w:r w:rsidR="001F75E7">
        <w:t xml:space="preserve">share of expenditure on tradable goods (dependent on a nation’s income and population) and a </w:t>
      </w:r>
      <w:r w:rsidR="00DC5602">
        <w:t>constant elasticity of substitution</w:t>
      </w:r>
      <w:r w:rsidR="001F75E7">
        <w:t xml:space="preserve"> </w:t>
      </w:r>
      <w:r w:rsidR="00DC5602">
        <w:t xml:space="preserve">(CES) </w:t>
      </w:r>
      <w:r w:rsidR="001F75E7">
        <w:t xml:space="preserve">utility function for these traded goods. </w:t>
      </w:r>
      <w:proofErr w:type="spellStart"/>
      <w:r w:rsidR="00896903">
        <w:t>Bergstrand</w:t>
      </w:r>
      <w:proofErr w:type="spellEnd"/>
      <w:r w:rsidR="00896903">
        <w:t xml:space="preserve"> (1985) </w:t>
      </w:r>
      <w:r w:rsidR="00B64A98">
        <w:t>thought of</w:t>
      </w:r>
      <w:r w:rsidR="00896903">
        <w:t xml:space="preserve"> another theoretical foundation of the gravity model</w:t>
      </w:r>
      <w:r w:rsidR="00B64A98">
        <w:t>,</w:t>
      </w:r>
      <w:r w:rsidR="00896903">
        <w:t xml:space="preserve"> which is derived from ‘a general equilibrium model of world trade’ (p. 480).</w:t>
      </w:r>
      <w:r w:rsidR="008A49AB">
        <w:rPr>
          <w:rStyle w:val="FootnoteReference"/>
        </w:rPr>
        <w:footnoteReference w:id="10"/>
      </w:r>
      <w:r w:rsidR="00896903">
        <w:t xml:space="preserve"> His model is comparable to Anderson’s model (1979) but includes price levels and exchange rates as variables affecting consumer utility. Also is the consumer’s utility function</w:t>
      </w:r>
      <w:r w:rsidR="00E33EB3">
        <w:t xml:space="preserve"> in his model</w:t>
      </w:r>
      <w:r w:rsidR="00896903">
        <w:t xml:space="preserve"> a function of CES of domestic and import goods</w:t>
      </w:r>
      <w:r w:rsidR="00E33EB3">
        <w:t>,</w:t>
      </w:r>
      <w:r w:rsidR="00896903">
        <w:t xml:space="preserve"> which </w:t>
      </w:r>
      <w:r w:rsidR="007C5E23">
        <w:t>in this set up</w:t>
      </w:r>
      <w:r w:rsidR="00896903">
        <w:t xml:space="preserve"> </w:t>
      </w:r>
      <w:r w:rsidR="00464D3B">
        <w:t xml:space="preserve">thus </w:t>
      </w:r>
      <w:r w:rsidR="00896903">
        <w:t>can differ</w:t>
      </w:r>
      <w:r w:rsidR="008A49AB">
        <w:t xml:space="preserve">. More recently did </w:t>
      </w:r>
      <w:proofErr w:type="spellStart"/>
      <w:r w:rsidR="008A49AB">
        <w:t>Deardorff</w:t>
      </w:r>
      <w:proofErr w:type="spellEnd"/>
      <w:r w:rsidR="008A49AB">
        <w:t xml:space="preserve"> (1997) found a way to derive the gravity </w:t>
      </w:r>
      <w:r w:rsidR="008A49AB">
        <w:lastRenderedPageBreak/>
        <w:t xml:space="preserve">equation from the </w:t>
      </w:r>
      <w:proofErr w:type="spellStart"/>
      <w:r w:rsidR="008A49AB">
        <w:t>Heckscher</w:t>
      </w:r>
      <w:proofErr w:type="spellEnd"/>
      <w:r w:rsidR="008A49AB">
        <w:t>-Ohlin model</w:t>
      </w:r>
      <w:r w:rsidR="00BF59A1">
        <w:t xml:space="preserve"> with perfect competition</w:t>
      </w:r>
      <w:r w:rsidR="008A49AB">
        <w:t>.</w:t>
      </w:r>
      <w:r w:rsidR="00BF59A1">
        <w:rPr>
          <w:rStyle w:val="FootnoteReference"/>
        </w:rPr>
        <w:footnoteReference w:id="11"/>
      </w:r>
      <w:r w:rsidR="008A49AB">
        <w:t xml:space="preserve"> As opposed to the assumption</w:t>
      </w:r>
      <w:r w:rsidR="000F7D60">
        <w:t xml:space="preserve"> </w:t>
      </w:r>
      <w:r w:rsidR="006F2963">
        <w:t xml:space="preserve">that </w:t>
      </w:r>
      <w:r w:rsidR="000F7D60">
        <w:t>traded goods are differentiated by country of origin</w:t>
      </w:r>
      <w:r w:rsidR="006F2963">
        <w:t xml:space="preserve"> </w:t>
      </w:r>
      <w:r w:rsidR="007C5E23">
        <w:t xml:space="preserve">as </w:t>
      </w:r>
      <w:r w:rsidR="006F2963">
        <w:t xml:space="preserve">used in earlier theoretical </w:t>
      </w:r>
      <w:r w:rsidR="00BF59A1">
        <w:t>foundations</w:t>
      </w:r>
      <w:r w:rsidR="006F2963">
        <w:t xml:space="preserve">, </w:t>
      </w:r>
      <w:proofErr w:type="spellStart"/>
      <w:r w:rsidR="006F2963">
        <w:t>Deardorff</w:t>
      </w:r>
      <w:proofErr w:type="spellEnd"/>
      <w:r w:rsidR="006F2963">
        <w:t xml:space="preserve"> assumes homogeneous goods. Nonetheless</w:t>
      </w:r>
      <w:r w:rsidR="00BF59A1">
        <w:t xml:space="preserve">, following an alternative reasoning, he also reaches (near) complete specialization of production due to the lacking of factor price equalization. </w:t>
      </w:r>
    </w:p>
    <w:p w:rsidR="00681115" w:rsidRDefault="00681115" w:rsidP="004C1689">
      <w:pPr>
        <w:spacing w:line="360" w:lineRule="auto"/>
        <w:jc w:val="both"/>
      </w:pPr>
      <w:r>
        <w:t xml:space="preserve">Seen that throughout the years the gravity equation has been derived from different economic trade models based on different assumption, </w:t>
      </w:r>
      <w:r w:rsidR="00464D3B">
        <w:t>which</w:t>
      </w:r>
      <w:r>
        <w:t xml:space="preserve"> again have led to either the ‘basic gravity model’ (variables: income, distance) </w:t>
      </w:r>
      <w:r w:rsidR="00CD5999">
        <w:t>or</w:t>
      </w:r>
      <w:r>
        <w:t xml:space="preserve"> the ‘full gravity model’ (variables: income, distance, common border, common language, per capita income) (</w:t>
      </w:r>
      <w:proofErr w:type="spellStart"/>
      <w:r>
        <w:t>Frankell</w:t>
      </w:r>
      <w:proofErr w:type="spellEnd"/>
      <w:r>
        <w:t>, 1997: p. 54)</w:t>
      </w:r>
      <w:r w:rsidR="00CD5999">
        <w:t>, ‘its use for empirical tests of any of them is suspect.</w:t>
      </w:r>
      <w:r w:rsidR="00561CAD">
        <w:t xml:space="preserve">’ </w:t>
      </w:r>
      <w:r w:rsidR="00CD5999">
        <w:t>(</w:t>
      </w:r>
      <w:proofErr w:type="spellStart"/>
      <w:r w:rsidR="00CD5999">
        <w:t>Deardorff</w:t>
      </w:r>
      <w:proofErr w:type="spellEnd"/>
      <w:r w:rsidR="00CD5999">
        <w:t>, 1997: p.</w:t>
      </w:r>
      <w:r w:rsidR="00277040">
        <w:t xml:space="preserve"> </w:t>
      </w:r>
      <w:r w:rsidR="00CD5999">
        <w:t>21)</w:t>
      </w:r>
      <w:r w:rsidR="00BF59A1">
        <w:t xml:space="preserve"> </w:t>
      </w:r>
      <w:r w:rsidR="00277040">
        <w:t>A</w:t>
      </w:r>
      <w:r w:rsidR="0095692C">
        <w:t xml:space="preserve"> famous</w:t>
      </w:r>
      <w:r w:rsidR="00277040">
        <w:t xml:space="preserve"> example of this is the </w:t>
      </w:r>
      <w:r w:rsidR="00EB2300">
        <w:t>outcome</w:t>
      </w:r>
      <w:r w:rsidR="00277040">
        <w:t xml:space="preserve"> of an article by McCallum (1995) who </w:t>
      </w:r>
      <w:r w:rsidR="00EB2300">
        <w:t>attributed the difference in trade between</w:t>
      </w:r>
      <w:r w:rsidR="00277040">
        <w:t xml:space="preserve"> </w:t>
      </w:r>
      <w:r w:rsidR="00464D3B">
        <w:t>provinces with</w:t>
      </w:r>
      <w:r w:rsidR="00277040">
        <w:t xml:space="preserve">in Canada </w:t>
      </w:r>
      <w:r w:rsidR="00EB2300">
        <w:t>and trade</w:t>
      </w:r>
      <w:r w:rsidR="00277040">
        <w:t xml:space="preserve"> </w:t>
      </w:r>
      <w:r w:rsidR="00631547">
        <w:t xml:space="preserve">between </w:t>
      </w:r>
      <w:r w:rsidR="00277040">
        <w:t>Canadian provinces</w:t>
      </w:r>
      <w:r w:rsidR="00EB2300">
        <w:t xml:space="preserve"> </w:t>
      </w:r>
      <w:r w:rsidR="00464D3B">
        <w:t xml:space="preserve">and US states </w:t>
      </w:r>
      <w:r w:rsidR="00EB2300">
        <w:t>(the former 22 times</w:t>
      </w:r>
      <w:r w:rsidR="00464D3B">
        <w:t xml:space="preserve"> </w:t>
      </w:r>
      <w:r w:rsidR="00B63F46">
        <w:t>larger than</w:t>
      </w:r>
      <w:r w:rsidR="00EB2300">
        <w:t xml:space="preserve"> the la</w:t>
      </w:r>
      <w:r w:rsidR="00631547">
        <w:t>t</w:t>
      </w:r>
      <w:r w:rsidR="00EB2300">
        <w:t>ter) to a US-Canada border dummy variable in his gravity model.</w:t>
      </w:r>
      <w:r w:rsidR="00631547">
        <w:t xml:space="preserve"> This outcome, among others, became one of </w:t>
      </w:r>
      <w:proofErr w:type="spellStart"/>
      <w:r w:rsidR="00631547">
        <w:t>Obstfeld</w:t>
      </w:r>
      <w:proofErr w:type="spellEnd"/>
      <w:r w:rsidR="00631547">
        <w:t xml:space="preserve"> and </w:t>
      </w:r>
      <w:proofErr w:type="spellStart"/>
      <w:r w:rsidR="00631547">
        <w:t>Rogoff’s</w:t>
      </w:r>
      <w:proofErr w:type="spellEnd"/>
      <w:r w:rsidR="00631547">
        <w:t xml:space="preserve"> (2000) major puzzles in international macroeconomics; th</w:t>
      </w:r>
      <w:r w:rsidR="009911EF">
        <w:t xml:space="preserve">e puzzle of home bias in trade. </w:t>
      </w:r>
      <w:r w:rsidR="00B63F46">
        <w:t xml:space="preserve">A solution to this was proposed by </w:t>
      </w:r>
      <w:r w:rsidR="009911EF">
        <w:t xml:space="preserve">Anderson and Van </w:t>
      </w:r>
      <w:proofErr w:type="spellStart"/>
      <w:r w:rsidR="009911EF">
        <w:t>Wincoop</w:t>
      </w:r>
      <w:proofErr w:type="spellEnd"/>
      <w:r w:rsidR="009911EF">
        <w:t xml:space="preserve"> (2001)</w:t>
      </w:r>
      <w:r w:rsidR="00B63F46">
        <w:t>, who</w:t>
      </w:r>
      <w:r w:rsidR="009911EF">
        <w:t xml:space="preserve"> significantly reduced McCallum’s </w:t>
      </w:r>
      <w:r w:rsidR="003410EF">
        <w:t xml:space="preserve">border coefficient by applying the gravity model ‘seriously’, through the use of a multilateral resistance term. </w:t>
      </w:r>
      <w:r w:rsidR="00136E3F">
        <w:t>E</w:t>
      </w:r>
      <w:r w:rsidR="003410EF">
        <w:t>arlier research, including McCallum</w:t>
      </w:r>
      <w:r w:rsidR="00295E8D">
        <w:t>’s</w:t>
      </w:r>
      <w:r w:rsidR="003410EF">
        <w:t>, focused solely on the bilateral resistance term</w:t>
      </w:r>
      <w:r w:rsidR="00295E8D">
        <w:t xml:space="preserve"> (trade barriers) such as distance, but also tariffs and quotas, or whether </w:t>
      </w:r>
      <w:r w:rsidR="00B63F46">
        <w:t>countries</w:t>
      </w:r>
      <w:r w:rsidR="00295E8D">
        <w:t xml:space="preserve"> share a common border or a common language</w:t>
      </w:r>
      <w:r w:rsidR="00136E3F">
        <w:t xml:space="preserve">. By using a multilateral resistance term Anderson and Van </w:t>
      </w:r>
      <w:proofErr w:type="spellStart"/>
      <w:r w:rsidR="00136E3F">
        <w:t>Wincoop</w:t>
      </w:r>
      <w:proofErr w:type="spellEnd"/>
      <w:r w:rsidR="00136E3F">
        <w:t xml:space="preserve"> focus on the trade barriers of a pair of </w:t>
      </w:r>
      <w:r w:rsidR="007325FB">
        <w:t>states/provinces/countries</w:t>
      </w:r>
      <w:r w:rsidR="00136E3F">
        <w:t xml:space="preserve"> relative to trade barriers with all other </w:t>
      </w:r>
      <w:r w:rsidR="00821862">
        <w:t>entities</w:t>
      </w:r>
      <w:r w:rsidR="00136E3F">
        <w:t xml:space="preserve"> in the sample. </w:t>
      </w:r>
    </w:p>
    <w:p w:rsidR="00D35A02" w:rsidRDefault="00136E3F" w:rsidP="004C1689">
      <w:pPr>
        <w:spacing w:line="360" w:lineRule="auto"/>
        <w:jc w:val="both"/>
      </w:pPr>
      <w:r>
        <w:t>As can be seen in McCallum’s ‘border effect’ and Rose’s earlier discussed ‘currency union</w:t>
      </w:r>
      <w:r w:rsidR="00D24AF7">
        <w:t xml:space="preserve"> trade</w:t>
      </w:r>
      <w:r>
        <w:t xml:space="preserve"> effect’, the gravity model is still evolving. </w:t>
      </w:r>
      <w:r w:rsidR="0039555E">
        <w:t>Theoretical i</w:t>
      </w:r>
      <w:r>
        <w:t>mprovements are constructed in order to</w:t>
      </w:r>
      <w:r w:rsidR="00442EC6">
        <w:t xml:space="preserve"> better identify the effects of specific </w:t>
      </w:r>
      <w:r w:rsidR="0039555E">
        <w:t>(policy)</w:t>
      </w:r>
      <w:r w:rsidR="00442EC6">
        <w:t xml:space="preserve">variables on trade. </w:t>
      </w:r>
      <w:r w:rsidR="0039555E">
        <w:t>The most comprehensive version</w:t>
      </w:r>
      <w:r w:rsidR="006B596A">
        <w:t xml:space="preserve">, according to this author’s opinion, is constructed by Baldwin and </w:t>
      </w:r>
      <w:proofErr w:type="spellStart"/>
      <w:r w:rsidR="006B596A">
        <w:t>Taglioni</w:t>
      </w:r>
      <w:proofErr w:type="spellEnd"/>
      <w:r w:rsidR="006B596A">
        <w:t xml:space="preserve"> (2006), or Baldwin (2006) for that matter.</w:t>
      </w:r>
      <w:r w:rsidR="006B596A">
        <w:rPr>
          <w:rStyle w:val="FootnoteReference"/>
        </w:rPr>
        <w:footnoteReference w:id="12"/>
      </w:r>
      <w:r w:rsidR="006B596A">
        <w:t xml:space="preserve"> Their paper provides a clear theoretical foundation that starts with Anderson’s (1979) expenditure system and incorporates all correct amendments in the gravity model, suc</w:t>
      </w:r>
      <w:r w:rsidR="008A667F">
        <w:t xml:space="preserve">h as </w:t>
      </w:r>
      <w:r w:rsidR="008A667F">
        <w:lastRenderedPageBreak/>
        <w:t>the multilateral resistance term and relative prices. They also explicitly address common mistakes in empirical usage of the gravity model</w:t>
      </w:r>
      <w:r w:rsidR="004E11E6">
        <w:t xml:space="preserve"> and as such </w:t>
      </w:r>
      <w:r w:rsidR="00BB373C">
        <w:t>provide useful help to anyone</w:t>
      </w:r>
      <w:r w:rsidR="00571453">
        <w:t xml:space="preserve"> using this model.</w:t>
      </w:r>
      <w:r w:rsidR="00360DCD">
        <w:t xml:space="preserve"> </w:t>
      </w:r>
      <w:r w:rsidR="00BF59A1">
        <w:t>The</w:t>
      </w:r>
      <w:r w:rsidR="00360DCD">
        <w:t xml:space="preserve">y also provide guidance in the </w:t>
      </w:r>
      <w:r w:rsidR="00BF59A1">
        <w:t xml:space="preserve">most recent evolution </w:t>
      </w:r>
      <w:r w:rsidR="00623C6D">
        <w:t>in the a</w:t>
      </w:r>
      <w:r w:rsidR="00360DCD">
        <w:t xml:space="preserve">pplication of the gravity model; </w:t>
      </w:r>
      <w:r w:rsidR="00623C6D">
        <w:t>the use of</w:t>
      </w:r>
      <w:r w:rsidR="00535EF7">
        <w:t xml:space="preserve"> country</w:t>
      </w:r>
      <w:r w:rsidR="00631B64">
        <w:t xml:space="preserve"> </w:t>
      </w:r>
      <w:r w:rsidR="00E75B3C">
        <w:t>fixed effect</w:t>
      </w:r>
      <w:r w:rsidR="00535EF7">
        <w:t xml:space="preserve"> dummies and</w:t>
      </w:r>
      <w:r w:rsidR="00631B64">
        <w:t xml:space="preserve"> country </w:t>
      </w:r>
      <w:r w:rsidR="00623C6D">
        <w:t>pair</w:t>
      </w:r>
      <w:r w:rsidR="00E75B3C">
        <w:t xml:space="preserve"> fixed effect</w:t>
      </w:r>
      <w:r w:rsidR="00623C6D">
        <w:t xml:space="preserve"> dummies. </w:t>
      </w:r>
      <w:r w:rsidR="00631B64">
        <w:t xml:space="preserve">Country </w:t>
      </w:r>
      <w:r w:rsidR="00E75B3C">
        <w:t>fixed effect</w:t>
      </w:r>
      <w:r w:rsidR="00631B64">
        <w:t xml:space="preserve"> dummies correct for </w:t>
      </w:r>
      <w:r w:rsidR="00360DCD">
        <w:t>some of the traditional variables such as wheth</w:t>
      </w:r>
      <w:r w:rsidR="00631B64">
        <w:t>er a country is landlocked</w:t>
      </w:r>
      <w:r w:rsidR="00796490">
        <w:t>,</w:t>
      </w:r>
      <w:r w:rsidR="00631B64">
        <w:t xml:space="preserve"> an island, its openness to trade and other </w:t>
      </w:r>
      <w:r w:rsidR="004950A3">
        <w:t>observable</w:t>
      </w:r>
      <w:r w:rsidR="00631B64">
        <w:t xml:space="preserve"> and </w:t>
      </w:r>
      <w:r w:rsidR="004950A3">
        <w:t>unobservable</w:t>
      </w:r>
      <w:r w:rsidR="00631B64">
        <w:t xml:space="preserve"> factors that are country specific and </w:t>
      </w:r>
      <w:r w:rsidR="00FF7787">
        <w:t xml:space="preserve">can </w:t>
      </w:r>
      <w:r w:rsidR="00631B64">
        <w:t>affect trade levels</w:t>
      </w:r>
      <w:r w:rsidR="00E711D0">
        <w:t xml:space="preserve"> (Baldwin and </w:t>
      </w:r>
      <w:proofErr w:type="spellStart"/>
      <w:r w:rsidR="00E711D0">
        <w:t>Taglioni</w:t>
      </w:r>
      <w:proofErr w:type="spellEnd"/>
      <w:r w:rsidR="00E711D0">
        <w:t>, 2006)</w:t>
      </w:r>
      <w:r w:rsidR="00631B64">
        <w:t xml:space="preserve">. </w:t>
      </w:r>
      <w:r w:rsidR="00360DCD">
        <w:t>C</w:t>
      </w:r>
      <w:r w:rsidR="0090372B">
        <w:t>ountry pair</w:t>
      </w:r>
      <w:r w:rsidR="00E75B3C">
        <w:t xml:space="preserve"> fixed effect</w:t>
      </w:r>
      <w:r w:rsidR="0090372B">
        <w:t xml:space="preserve"> dummies </w:t>
      </w:r>
      <w:r w:rsidR="00796490">
        <w:t>correct for existing trade patterns between the</w:t>
      </w:r>
      <w:r w:rsidR="00253EB0">
        <w:t xml:space="preserve"> pair of </w:t>
      </w:r>
      <w:r w:rsidR="00B63F46">
        <w:t>countries</w:t>
      </w:r>
      <w:r w:rsidR="00796490">
        <w:t xml:space="preserve"> involved. These thus correct for the common gravity model variables such as distance, border contiguity and common language </w:t>
      </w:r>
      <w:r w:rsidR="0090372B">
        <w:t>but also for</w:t>
      </w:r>
      <w:r w:rsidR="00796490">
        <w:t xml:space="preserve"> other </w:t>
      </w:r>
      <w:r w:rsidR="004950A3">
        <w:t xml:space="preserve">observable and unobservable </w:t>
      </w:r>
      <w:r w:rsidR="00796490">
        <w:t xml:space="preserve">factors that affect trade patterns between the pair of countries. </w:t>
      </w:r>
      <w:r w:rsidR="0090372B">
        <w:t xml:space="preserve">Usage of these types of dummy variables </w:t>
      </w:r>
      <w:r w:rsidR="004950A3">
        <w:t>ease</w:t>
      </w:r>
      <w:r w:rsidR="0090372B">
        <w:t>s estimation</w:t>
      </w:r>
      <w:r w:rsidR="004950A3">
        <w:t xml:space="preserve"> </w:t>
      </w:r>
      <w:r w:rsidR="0090372B">
        <w:t xml:space="preserve">of </w:t>
      </w:r>
      <w:r w:rsidR="004950A3">
        <w:t>the model</w:t>
      </w:r>
      <w:r w:rsidR="0090372B">
        <w:t xml:space="preserve"> </w:t>
      </w:r>
      <w:r w:rsidR="004950A3">
        <w:t>since the</w:t>
      </w:r>
      <w:r w:rsidR="006363B8">
        <w:t>y reduce the need of many specific control variables</w:t>
      </w:r>
      <w:r w:rsidR="004950A3">
        <w:t xml:space="preserve"> </w:t>
      </w:r>
      <w:r w:rsidR="006363B8">
        <w:t xml:space="preserve">to isolate the effect of the variable that is investigated. The flipside of these dummy variables is that they might absorb the effect of the variable under investigation. </w:t>
      </w:r>
      <w:r w:rsidR="0078629A">
        <w:t>An additional option in the use of these country fixed and country pair fixed effe</w:t>
      </w:r>
      <w:r w:rsidR="00D35A02">
        <w:t xml:space="preserve">cts is to let these effects change </w:t>
      </w:r>
      <w:r w:rsidR="0078629A">
        <w:t xml:space="preserve">over time. </w:t>
      </w:r>
      <w:r w:rsidR="00D35A02">
        <w:t>By using these time-varying models changing circumstances for countries or country pairs are captured by the time-varying dummy variables, which can increase the ‘goodness-of-fit’ of the model.</w:t>
      </w:r>
      <w:r w:rsidR="003923F6">
        <w:t xml:space="preserve"> Again here the risk arises that the time-varying </w:t>
      </w:r>
      <w:r w:rsidR="00B63F46">
        <w:t>constant, representing country(-pair) fixed effects,</w:t>
      </w:r>
      <w:r w:rsidR="003923F6">
        <w:t xml:space="preserve"> </w:t>
      </w:r>
      <w:r w:rsidR="00A62A97">
        <w:t>unintentionally capture</w:t>
      </w:r>
      <w:r w:rsidR="00B63F46">
        <w:t>s the effect of a variable of interest in the model</w:t>
      </w:r>
      <w:r w:rsidR="0004356B">
        <w:t xml:space="preserve">. </w:t>
      </w:r>
    </w:p>
    <w:p w:rsidR="007A5CC9" w:rsidRDefault="00BE4ECB" w:rsidP="00BE4ECB">
      <w:pPr>
        <w:pStyle w:val="Heading2"/>
        <w:numPr>
          <w:ilvl w:val="1"/>
          <w:numId w:val="1"/>
        </w:numPr>
        <w:spacing w:line="360" w:lineRule="auto"/>
      </w:pPr>
      <w:r>
        <w:t xml:space="preserve"> </w:t>
      </w:r>
      <w:r>
        <w:tab/>
      </w:r>
      <w:bookmarkStart w:id="27" w:name="_Toc353348789"/>
      <w:r w:rsidR="007A5CC9">
        <w:t>Model Specification</w:t>
      </w:r>
      <w:bookmarkEnd w:id="27"/>
    </w:p>
    <w:p w:rsidR="003C118B" w:rsidRDefault="00E75B3C" w:rsidP="004C1689">
      <w:pPr>
        <w:spacing w:line="360" w:lineRule="auto"/>
        <w:jc w:val="both"/>
      </w:pPr>
      <w:r>
        <w:t xml:space="preserve">Since no consensus exists on which type of </w:t>
      </w:r>
      <w:r w:rsidR="006D0FC4">
        <w:t>model specification</w:t>
      </w:r>
      <w:r>
        <w:t xml:space="preserve"> is most appropriate, either </w:t>
      </w:r>
      <w:r w:rsidR="006D0FC4">
        <w:t>using</w:t>
      </w:r>
      <w:r>
        <w:t xml:space="preserve"> country fixed effect</w:t>
      </w:r>
      <w:r w:rsidR="006D0FC4">
        <w:t>s</w:t>
      </w:r>
      <w:r>
        <w:t xml:space="preserve"> or </w:t>
      </w:r>
      <w:r w:rsidR="008E6917">
        <w:t>country pair fixed effect</w:t>
      </w:r>
      <w:r w:rsidR="006D0FC4">
        <w:t>s</w:t>
      </w:r>
      <w:r>
        <w:t xml:space="preserve">, </w:t>
      </w:r>
      <w:r w:rsidR="008E6917">
        <w:t xml:space="preserve">both will be used in separate analyses to investigate the different effects in this research setup. </w:t>
      </w:r>
      <w:r w:rsidR="004F71E7">
        <w:t xml:space="preserve">Following a similar reasoning both models will be applied using both time-invariant and time-variant constants. </w:t>
      </w:r>
      <w:r w:rsidR="006D0FC4">
        <w:t>The gravity model using the time-invariant country specific fixed effects is the following:</w:t>
      </w:r>
    </w:p>
    <w:p w:rsidR="0005619A" w:rsidRPr="0005619A" w:rsidRDefault="00B63F46" w:rsidP="004C1689">
      <w:pPr>
        <w:spacing w:line="360" w:lineRule="auto"/>
        <w:jc w:val="both"/>
        <w:rPr>
          <w:rFonts w:eastAsiaTheme="minorEastAsia"/>
        </w:rPr>
      </w:pPr>
      <w:r>
        <w:rPr>
          <w:rFonts w:eastAsiaTheme="minorEastAsia"/>
        </w:rPr>
        <w:tab/>
      </w:r>
      <m:oMath>
        <m:sSub>
          <m:sSubPr>
            <m:ctrlPr>
              <w:rPr>
                <w:rFonts w:ascii="Cambria Math" w:hAnsi="Cambria Math"/>
                <w:i/>
              </w:rPr>
            </m:ctrlPr>
          </m:sSubPr>
          <m:e>
            <m:r>
              <w:rPr>
                <w:rFonts w:ascii="Cambria Math" w:hAnsi="Cambria Math"/>
              </w:rPr>
              <m:t>V</m:t>
            </m:r>
          </m:e>
          <m:sub>
            <m:r>
              <w:rPr>
                <w:rFonts w:ascii="Cambria Math" w:hAnsi="Cambria Math"/>
              </w:rPr>
              <m:t>ijt</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ß</m:t>
            </m:r>
          </m:e>
          <m:sub>
            <m:r>
              <w:rPr>
                <w:rFonts w:ascii="Cambria Math" w:hAnsi="Cambria Math"/>
              </w:rPr>
              <m:t>4</m:t>
            </m:r>
          </m:sub>
        </m:sSub>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ijt</m:t>
            </m:r>
          </m:sub>
        </m:sSub>
      </m:oMath>
      <w:r>
        <w:rPr>
          <w:rFonts w:eastAsiaTheme="minorEastAsia"/>
        </w:rPr>
        <w:tab/>
      </w:r>
      <w:r>
        <w:rPr>
          <w:rFonts w:eastAsiaTheme="minorEastAsia"/>
        </w:rPr>
        <w:tab/>
        <w:t>(5.2)</w:t>
      </w:r>
      <w:r>
        <w:rPr>
          <w:rFonts w:eastAsiaTheme="minorEastAsia"/>
        </w:rPr>
        <w:tab/>
      </w:r>
    </w:p>
    <w:p w:rsidR="006D0FC4" w:rsidRDefault="006D0FC4" w:rsidP="004C1689">
      <w:pPr>
        <w:spacing w:line="360" w:lineRule="auto"/>
        <w:jc w:val="both"/>
      </w:pPr>
      <w:r>
        <w:t xml:space="preserve">Here </w:t>
      </w:r>
      <w:proofErr w:type="spellStart"/>
      <w:r w:rsidRPr="00C6341C">
        <w:rPr>
          <w:i/>
        </w:rPr>
        <w:t>V</w:t>
      </w:r>
      <w:r w:rsidR="00BA64E7">
        <w:rPr>
          <w:i/>
          <w:vertAlign w:val="subscript"/>
        </w:rPr>
        <w:t>ij</w:t>
      </w:r>
      <w:r w:rsidRPr="00C6341C">
        <w:rPr>
          <w:i/>
          <w:vertAlign w:val="subscript"/>
        </w:rPr>
        <w:t>t</w:t>
      </w:r>
      <w:proofErr w:type="spellEnd"/>
      <w:r>
        <w:t xml:space="preserve"> is the nominal value of exports from country </w:t>
      </w:r>
      <w:proofErr w:type="spellStart"/>
      <w:r>
        <w:rPr>
          <w:i/>
        </w:rPr>
        <w:t>i</w:t>
      </w:r>
      <w:proofErr w:type="spellEnd"/>
      <w:r>
        <w:rPr>
          <w:i/>
        </w:rPr>
        <w:t xml:space="preserve"> </w:t>
      </w:r>
      <w:r>
        <w:t xml:space="preserve">to </w:t>
      </w:r>
      <w:r>
        <w:rPr>
          <w:i/>
        </w:rPr>
        <w:t>j</w:t>
      </w:r>
      <w:r>
        <w:t xml:space="preserve"> at time </w:t>
      </w:r>
      <w:r>
        <w:rPr>
          <w:i/>
        </w:rPr>
        <w:t>t</w:t>
      </w:r>
      <w:r>
        <w:t xml:space="preserve">. </w:t>
      </w:r>
      <w:proofErr w:type="spellStart"/>
      <w:r w:rsidRPr="00C6341C">
        <w:rPr>
          <w:i/>
        </w:rPr>
        <w:t>a</w:t>
      </w:r>
      <w:r w:rsidRPr="00C6341C">
        <w:rPr>
          <w:i/>
          <w:vertAlign w:val="subscript"/>
        </w:rPr>
        <w:t>i</w:t>
      </w:r>
      <w:proofErr w:type="spellEnd"/>
      <w:r w:rsidRPr="00C6341C">
        <w:rPr>
          <w:i/>
        </w:rPr>
        <w:t xml:space="preserve"> </w:t>
      </w:r>
      <w:r>
        <w:t xml:space="preserve">and </w:t>
      </w:r>
      <w:proofErr w:type="spellStart"/>
      <w:r w:rsidRPr="00C6341C">
        <w:rPr>
          <w:i/>
        </w:rPr>
        <w:t>a</w:t>
      </w:r>
      <w:r w:rsidRPr="00C6341C">
        <w:rPr>
          <w:i/>
          <w:vertAlign w:val="subscript"/>
        </w:rPr>
        <w:t>j</w:t>
      </w:r>
      <w:proofErr w:type="spellEnd"/>
      <w:r>
        <w:t xml:space="preserve"> are the respective country fixed effects of country </w:t>
      </w:r>
      <w:proofErr w:type="spellStart"/>
      <w:r>
        <w:rPr>
          <w:i/>
        </w:rPr>
        <w:t>i</w:t>
      </w:r>
      <w:proofErr w:type="spellEnd"/>
      <w:r>
        <w:t xml:space="preserve"> and </w:t>
      </w:r>
      <w:r>
        <w:rPr>
          <w:i/>
        </w:rPr>
        <w:t>j</w:t>
      </w:r>
      <w:r>
        <w:t xml:space="preserve">. </w:t>
      </w:r>
      <w:proofErr w:type="spellStart"/>
      <w:r w:rsidRPr="00C6341C">
        <w:rPr>
          <w:i/>
        </w:rPr>
        <w:t>GDP</w:t>
      </w:r>
      <w:r w:rsidR="00BA64E7">
        <w:rPr>
          <w:i/>
          <w:vertAlign w:val="subscript"/>
        </w:rPr>
        <w:t>i</w:t>
      </w:r>
      <w:r w:rsidRPr="00C6341C">
        <w:rPr>
          <w:i/>
          <w:vertAlign w:val="subscript"/>
        </w:rPr>
        <w:t>t</w:t>
      </w:r>
      <w:proofErr w:type="spellEnd"/>
      <w:r>
        <w:t xml:space="preserve"> and </w:t>
      </w:r>
      <w:proofErr w:type="spellStart"/>
      <w:r w:rsidRPr="00C6341C">
        <w:rPr>
          <w:i/>
        </w:rPr>
        <w:t>GDP</w:t>
      </w:r>
      <w:r w:rsidR="00BA64E7">
        <w:rPr>
          <w:i/>
          <w:vertAlign w:val="subscript"/>
        </w:rPr>
        <w:t>j</w:t>
      </w:r>
      <w:r w:rsidRPr="00C6341C">
        <w:rPr>
          <w:i/>
          <w:vertAlign w:val="subscript"/>
        </w:rPr>
        <w:t>t</w:t>
      </w:r>
      <w:proofErr w:type="spellEnd"/>
      <w:r>
        <w:t xml:space="preserve"> are the</w:t>
      </w:r>
      <w:r w:rsidR="0005619A">
        <w:t xml:space="preserve"> </w:t>
      </w:r>
      <w:r w:rsidR="006E6B71">
        <w:t xml:space="preserve">natural logarithm of the </w:t>
      </w:r>
      <w:r w:rsidR="00DC7065">
        <w:t xml:space="preserve">nominal </w:t>
      </w:r>
      <w:r w:rsidR="0005619A">
        <w:t xml:space="preserve">GDP of country </w:t>
      </w:r>
      <w:proofErr w:type="spellStart"/>
      <w:r w:rsidR="0005619A">
        <w:rPr>
          <w:i/>
        </w:rPr>
        <w:t>i</w:t>
      </w:r>
      <w:proofErr w:type="spellEnd"/>
      <w:r w:rsidR="0005619A">
        <w:t xml:space="preserve"> and </w:t>
      </w:r>
      <w:r w:rsidR="0005619A">
        <w:rPr>
          <w:i/>
        </w:rPr>
        <w:t>j</w:t>
      </w:r>
      <w:r w:rsidR="0005619A">
        <w:t xml:space="preserve"> at time </w:t>
      </w:r>
      <w:r w:rsidR="0005619A">
        <w:rPr>
          <w:i/>
        </w:rPr>
        <w:t>t</w:t>
      </w:r>
      <w:r w:rsidR="0005619A">
        <w:t xml:space="preserve">, respectively. </w:t>
      </w:r>
      <w:proofErr w:type="spellStart"/>
      <w:r w:rsidR="0005619A" w:rsidRPr="00C6341C">
        <w:rPr>
          <w:i/>
        </w:rPr>
        <w:t>Z</w:t>
      </w:r>
      <w:r w:rsidR="0005619A" w:rsidRPr="00C6341C">
        <w:rPr>
          <w:i/>
          <w:vertAlign w:val="subscript"/>
        </w:rPr>
        <w:t>ij</w:t>
      </w:r>
      <w:proofErr w:type="spellEnd"/>
      <w:r w:rsidR="0005619A" w:rsidRPr="00C6341C">
        <w:rPr>
          <w:i/>
        </w:rPr>
        <w:t xml:space="preserve"> </w:t>
      </w:r>
      <w:r w:rsidR="0005619A">
        <w:t xml:space="preserve">represents a set of three typical gravity model </w:t>
      </w:r>
      <w:r w:rsidR="00FF7787">
        <w:t>(</w:t>
      </w:r>
      <w:r w:rsidR="0005619A">
        <w:t>dummy</w:t>
      </w:r>
      <w:r w:rsidR="00FF7787">
        <w:t>)</w:t>
      </w:r>
      <w:r w:rsidR="0005619A">
        <w:t xml:space="preserve"> variables, which are </w:t>
      </w:r>
      <w:r w:rsidR="00FF7787">
        <w:t xml:space="preserve">distance, </w:t>
      </w:r>
      <w:r w:rsidR="0005619A">
        <w:t>border contiguity</w:t>
      </w:r>
      <w:r w:rsidR="00FF7787">
        <w:t xml:space="preserve"> and language similarity. </w:t>
      </w:r>
      <w:r w:rsidR="00FF7787" w:rsidRPr="00C6341C">
        <w:rPr>
          <w:i/>
        </w:rPr>
        <w:t>H*</w:t>
      </w:r>
      <w:r w:rsidR="00FF7787">
        <w:t xml:space="preserve"> </w:t>
      </w:r>
      <w:r w:rsidR="00A907E7">
        <w:t>represents the</w:t>
      </w:r>
      <w:r w:rsidR="00FF7787">
        <w:t xml:space="preserve"> variable</w:t>
      </w:r>
      <w:r w:rsidR="00A907E7">
        <w:t>s</w:t>
      </w:r>
      <w:r w:rsidR="00FF7787">
        <w:t xml:space="preserve"> of interest for each specific hypothesis. </w:t>
      </w:r>
      <w:r w:rsidR="00CD3C8B">
        <w:t xml:space="preserve">Finally, </w:t>
      </w:r>
      <w:r w:rsidR="0078629A" w:rsidRPr="00C6341C">
        <w:rPr>
          <w:i/>
        </w:rPr>
        <w:t>ԑ</w:t>
      </w:r>
      <w:proofErr w:type="spellStart"/>
      <w:r w:rsidR="00BA64E7">
        <w:rPr>
          <w:i/>
          <w:vertAlign w:val="subscript"/>
        </w:rPr>
        <w:t>i,j</w:t>
      </w:r>
      <w:r w:rsidR="0078629A" w:rsidRPr="00C6341C">
        <w:rPr>
          <w:i/>
          <w:vertAlign w:val="subscript"/>
        </w:rPr>
        <w:t>t</w:t>
      </w:r>
      <w:proofErr w:type="spellEnd"/>
      <w:r w:rsidR="0078629A">
        <w:t xml:space="preserve"> represents the disturbance term. </w:t>
      </w:r>
    </w:p>
    <w:p w:rsidR="00B63F46" w:rsidRDefault="00BA64E7" w:rsidP="00BA64E7">
      <w:pPr>
        <w:spacing w:line="360" w:lineRule="auto"/>
        <w:jc w:val="both"/>
      </w:pPr>
      <w:r>
        <w:t>For the time-variant fixed effect model looks as follows:</w:t>
      </w:r>
    </w:p>
    <w:p w:rsidR="00BA64E7" w:rsidRPr="00B63F46" w:rsidRDefault="00B63F46" w:rsidP="00BA64E7">
      <w:pPr>
        <w:spacing w:line="360" w:lineRule="auto"/>
        <w:jc w:val="both"/>
      </w:pPr>
      <w:r>
        <w:rPr>
          <w:rFonts w:eastAsiaTheme="minorEastAsia"/>
        </w:rPr>
        <w:lastRenderedPageBreak/>
        <w:tab/>
      </w:r>
      <m:oMath>
        <m:sSub>
          <m:sSubPr>
            <m:ctrlPr>
              <w:rPr>
                <w:rFonts w:ascii="Cambria Math" w:hAnsi="Cambria Math"/>
                <w:i/>
              </w:rPr>
            </m:ctrlPr>
          </m:sSubPr>
          <m:e>
            <m:r>
              <w:rPr>
                <w:rFonts w:ascii="Cambria Math" w:hAnsi="Cambria Math"/>
              </w:rPr>
              <m:t>V</m:t>
            </m:r>
          </m:e>
          <m:sub>
            <m:r>
              <w:rPr>
                <w:rFonts w:ascii="Cambria Math" w:hAnsi="Cambria Math"/>
              </w:rPr>
              <m:t>ijt</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ß</m:t>
            </m:r>
          </m:e>
          <m:sub>
            <m:r>
              <w:rPr>
                <w:rFonts w:ascii="Cambria Math" w:hAnsi="Cambria Math"/>
              </w:rPr>
              <m:t>4</m:t>
            </m:r>
          </m:sub>
        </m:sSub>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ijt</m:t>
            </m:r>
          </m:sub>
        </m:sSub>
      </m:oMath>
      <w:r>
        <w:rPr>
          <w:rFonts w:eastAsiaTheme="minorEastAsia"/>
        </w:rPr>
        <w:tab/>
        <w:t>(5.3)</w:t>
      </w:r>
    </w:p>
    <w:p w:rsidR="00BA64E7" w:rsidRPr="00BA64E7" w:rsidRDefault="00BA64E7" w:rsidP="004C1689">
      <w:pPr>
        <w:spacing w:line="360" w:lineRule="auto"/>
        <w:jc w:val="both"/>
        <w:rPr>
          <w:vertAlign w:val="subscript"/>
        </w:rPr>
      </w:pPr>
      <w:r>
        <w:t xml:space="preserve">This model is similar to the time-invariant model with the exception that the country specific constants, </w:t>
      </w:r>
      <w:proofErr w:type="spellStart"/>
      <w:r w:rsidRPr="003465E5">
        <w:rPr>
          <w:i/>
        </w:rPr>
        <w:t>a</w:t>
      </w:r>
      <w:r w:rsidRPr="003465E5">
        <w:rPr>
          <w:i/>
          <w:vertAlign w:val="subscript"/>
        </w:rPr>
        <w:t>it</w:t>
      </w:r>
      <w:proofErr w:type="spellEnd"/>
      <w:r>
        <w:t xml:space="preserve"> and </w:t>
      </w:r>
      <w:proofErr w:type="spellStart"/>
      <w:r w:rsidRPr="003465E5">
        <w:rPr>
          <w:i/>
        </w:rPr>
        <w:t>a</w:t>
      </w:r>
      <w:r w:rsidRPr="003465E5">
        <w:rPr>
          <w:i/>
          <w:vertAlign w:val="subscript"/>
        </w:rPr>
        <w:t>jt</w:t>
      </w:r>
      <w:proofErr w:type="spellEnd"/>
      <w:r>
        <w:t xml:space="preserve">, now </w:t>
      </w:r>
      <w:r w:rsidRPr="00BA64E7">
        <w:t>vary</w:t>
      </w:r>
      <w:r>
        <w:t xml:space="preserve"> over time. </w:t>
      </w:r>
    </w:p>
    <w:p w:rsidR="00DC7065" w:rsidRDefault="00DC7065" w:rsidP="004C1689">
      <w:pPr>
        <w:spacing w:line="360" w:lineRule="auto"/>
        <w:jc w:val="both"/>
      </w:pPr>
      <w:r>
        <w:t>The alternative specification of the gravity model is the following, wher</w:t>
      </w:r>
      <w:r w:rsidR="00C6341C">
        <w:t>e a country pair fixed effect component is used:</w:t>
      </w:r>
    </w:p>
    <w:p w:rsidR="00DC7065" w:rsidRPr="0078629A" w:rsidRDefault="00CD3C8B" w:rsidP="004C1689">
      <w:pPr>
        <w:spacing w:line="360" w:lineRule="auto"/>
        <w:jc w:val="both"/>
        <w:rPr>
          <w:rFonts w:eastAsiaTheme="minorEastAsia"/>
        </w:rPr>
      </w:pPr>
      <w:r>
        <w:rPr>
          <w:rFonts w:eastAsiaTheme="minorEastAsia"/>
        </w:rPr>
        <w:tab/>
      </w:r>
      <m:oMath>
        <m:sSub>
          <m:sSubPr>
            <m:ctrlPr>
              <w:rPr>
                <w:rFonts w:ascii="Cambria Math" w:hAnsi="Cambria Math"/>
                <w:i/>
              </w:rPr>
            </m:ctrlPr>
          </m:sSubPr>
          <m:e>
            <m:r>
              <w:rPr>
                <w:rFonts w:ascii="Cambria Math" w:hAnsi="Cambria Math"/>
              </w:rPr>
              <m:t>V</m:t>
            </m:r>
          </m:e>
          <m:sub>
            <m:r>
              <w:rPr>
                <w:rFonts w:ascii="Cambria Math" w:hAnsi="Cambria Math"/>
              </w:rPr>
              <m:t>ijt</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3</m:t>
            </m:r>
          </m:sub>
        </m:sSub>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ijt</m:t>
            </m:r>
          </m:sub>
        </m:sSub>
      </m:oMath>
      <w:r>
        <w:rPr>
          <w:rFonts w:eastAsiaTheme="minorEastAsia"/>
        </w:rPr>
        <w:tab/>
      </w:r>
      <w:r>
        <w:rPr>
          <w:rFonts w:eastAsiaTheme="minorEastAsia"/>
        </w:rPr>
        <w:tab/>
      </w:r>
      <w:r>
        <w:rPr>
          <w:rFonts w:eastAsiaTheme="minorEastAsia"/>
        </w:rPr>
        <w:tab/>
      </w:r>
      <w:r>
        <w:rPr>
          <w:rFonts w:eastAsiaTheme="minorEastAsia"/>
        </w:rPr>
        <w:tab/>
        <w:t>(5.4)</w:t>
      </w:r>
    </w:p>
    <w:p w:rsidR="00C6341C" w:rsidRDefault="00C6341C" w:rsidP="004C1689">
      <w:pPr>
        <w:spacing w:line="360" w:lineRule="auto"/>
        <w:jc w:val="both"/>
      </w:pPr>
      <w:proofErr w:type="spellStart"/>
      <w:r w:rsidRPr="007419CA">
        <w:rPr>
          <w:i/>
        </w:rPr>
        <w:t>a</w:t>
      </w:r>
      <w:r w:rsidRPr="007419CA">
        <w:rPr>
          <w:i/>
          <w:vertAlign w:val="subscript"/>
        </w:rPr>
        <w:t>ij</w:t>
      </w:r>
      <w:proofErr w:type="spellEnd"/>
      <w:r>
        <w:t xml:space="preserve"> here </w:t>
      </w:r>
      <w:r w:rsidR="007419CA">
        <w:t xml:space="preserve">thus represents the fixed effects </w:t>
      </w:r>
      <w:r w:rsidR="00C013ED">
        <w:t xml:space="preserve">that are specific </w:t>
      </w:r>
      <w:r w:rsidR="007419CA">
        <w:t xml:space="preserve">of the country pair </w:t>
      </w:r>
      <w:proofErr w:type="spellStart"/>
      <w:r w:rsidR="007419CA">
        <w:rPr>
          <w:i/>
        </w:rPr>
        <w:t>i</w:t>
      </w:r>
      <w:proofErr w:type="spellEnd"/>
      <w:r w:rsidR="00C013ED">
        <w:rPr>
          <w:i/>
        </w:rPr>
        <w:t xml:space="preserve"> -</w:t>
      </w:r>
      <w:r w:rsidR="007419CA">
        <w:t xml:space="preserve"> </w:t>
      </w:r>
      <w:r w:rsidR="007419CA">
        <w:rPr>
          <w:i/>
        </w:rPr>
        <w:t>j</w:t>
      </w:r>
      <w:r w:rsidR="007419CA">
        <w:t>.</w:t>
      </w:r>
      <w:r w:rsidR="00C013ED">
        <w:t xml:space="preserve"> </w:t>
      </w:r>
      <w:r w:rsidR="00CD3C8B">
        <w:t xml:space="preserve">The other variables are identical to those in equations (5.2) and (5.3). </w:t>
      </w:r>
      <w:r w:rsidR="00C013ED">
        <w:t xml:space="preserve">The variables </w:t>
      </w:r>
      <w:proofErr w:type="spellStart"/>
      <w:r w:rsidR="00C013ED" w:rsidRPr="00C013ED">
        <w:rPr>
          <w:i/>
        </w:rPr>
        <w:t>Z</w:t>
      </w:r>
      <w:r w:rsidR="00C013ED" w:rsidRPr="00C013ED">
        <w:rPr>
          <w:i/>
          <w:vertAlign w:val="subscript"/>
        </w:rPr>
        <w:t>ij</w:t>
      </w:r>
      <w:proofErr w:type="spellEnd"/>
      <w:r w:rsidR="00CD3C8B">
        <w:t xml:space="preserve"> however </w:t>
      </w:r>
      <w:r w:rsidR="00C013ED">
        <w:t>are not in this equation</w:t>
      </w:r>
      <w:r w:rsidR="00CD3C8B">
        <w:t>,</w:t>
      </w:r>
      <w:r w:rsidR="00C013ED">
        <w:t xml:space="preserve"> since these are implicitly captured by </w:t>
      </w:r>
      <w:proofErr w:type="spellStart"/>
      <w:r w:rsidR="00C013ED" w:rsidRPr="00C013ED">
        <w:rPr>
          <w:i/>
        </w:rPr>
        <w:t>a</w:t>
      </w:r>
      <w:r w:rsidR="00C013ED" w:rsidRPr="00C013ED">
        <w:rPr>
          <w:i/>
          <w:vertAlign w:val="subscript"/>
        </w:rPr>
        <w:t>ij</w:t>
      </w:r>
      <w:proofErr w:type="spellEnd"/>
      <w:r w:rsidR="00C013ED">
        <w:t xml:space="preserve">. </w:t>
      </w:r>
    </w:p>
    <w:p w:rsidR="005A6766" w:rsidRDefault="005A6766" w:rsidP="004C1689">
      <w:pPr>
        <w:spacing w:line="360" w:lineRule="auto"/>
        <w:jc w:val="both"/>
      </w:pPr>
      <w:r>
        <w:t xml:space="preserve">The final model to be used is the country pair fixed effect with </w:t>
      </w:r>
      <w:r w:rsidR="00CD3C8B">
        <w:t xml:space="preserve">a </w:t>
      </w:r>
      <w:r>
        <w:t>time-varying constant:</w:t>
      </w:r>
    </w:p>
    <w:p w:rsidR="005A6766" w:rsidRPr="0078629A" w:rsidRDefault="00CD3C8B" w:rsidP="005A6766">
      <w:pPr>
        <w:spacing w:line="360" w:lineRule="auto"/>
        <w:jc w:val="both"/>
        <w:rPr>
          <w:rFonts w:eastAsiaTheme="minorEastAsia"/>
        </w:rPr>
      </w:pPr>
      <w:r>
        <w:rPr>
          <w:rFonts w:eastAsiaTheme="minorEastAsia"/>
        </w:rPr>
        <w:tab/>
      </w:r>
      <m:oMath>
        <m:sSub>
          <m:sSubPr>
            <m:ctrlPr>
              <w:rPr>
                <w:rFonts w:ascii="Cambria Math" w:hAnsi="Cambria Math"/>
                <w:i/>
              </w:rPr>
            </m:ctrlPr>
          </m:sSubPr>
          <m:e>
            <m:r>
              <w:rPr>
                <w:rFonts w:ascii="Cambria Math" w:hAnsi="Cambria Math"/>
              </w:rPr>
              <m:t>V</m:t>
            </m:r>
          </m:e>
          <m:sub>
            <m:r>
              <w:rPr>
                <w:rFonts w:ascii="Cambria Math" w:hAnsi="Cambria Math"/>
              </w:rPr>
              <m:t>ijt</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GDP</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ß</m:t>
            </m:r>
          </m:e>
          <m:sub>
            <m:r>
              <w:rPr>
                <w:rFonts w:ascii="Cambria Math" w:hAnsi="Cambria Math"/>
              </w:rPr>
              <m:t>3</m:t>
            </m:r>
          </m:sub>
        </m:sSub>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ijt</m:t>
            </m:r>
          </m:sub>
        </m:sSub>
      </m:oMath>
      <w:r>
        <w:rPr>
          <w:rFonts w:eastAsiaTheme="minorEastAsia"/>
        </w:rPr>
        <w:tab/>
      </w:r>
      <w:r>
        <w:rPr>
          <w:rFonts w:eastAsiaTheme="minorEastAsia"/>
        </w:rPr>
        <w:tab/>
      </w:r>
      <w:r>
        <w:rPr>
          <w:rFonts w:eastAsiaTheme="minorEastAsia"/>
        </w:rPr>
        <w:tab/>
      </w:r>
      <w:r>
        <w:rPr>
          <w:rFonts w:eastAsiaTheme="minorEastAsia"/>
        </w:rPr>
        <w:tab/>
        <w:t>(5.5)</w:t>
      </w:r>
    </w:p>
    <w:p w:rsidR="005A6766" w:rsidRPr="003465E5" w:rsidRDefault="003465E5" w:rsidP="004C1689">
      <w:pPr>
        <w:spacing w:line="360" w:lineRule="auto"/>
        <w:jc w:val="both"/>
      </w:pPr>
      <w:r>
        <w:t xml:space="preserve">The added subscript </w:t>
      </w:r>
      <w:r>
        <w:rPr>
          <w:i/>
        </w:rPr>
        <w:t>t</w:t>
      </w:r>
      <w:r>
        <w:t xml:space="preserve"> with the country pair fixed effects </w:t>
      </w:r>
      <w:proofErr w:type="spellStart"/>
      <w:r w:rsidRPr="003465E5">
        <w:rPr>
          <w:i/>
        </w:rPr>
        <w:t>a</w:t>
      </w:r>
      <w:r w:rsidRPr="003465E5">
        <w:rPr>
          <w:i/>
          <w:vertAlign w:val="subscript"/>
        </w:rPr>
        <w:t>ijt</w:t>
      </w:r>
      <w:proofErr w:type="spellEnd"/>
      <w:r>
        <w:t xml:space="preserve"> indicates that this constant is varying over time in this model.</w:t>
      </w:r>
    </w:p>
    <w:p w:rsidR="00915419" w:rsidRDefault="00915419" w:rsidP="004C1689">
      <w:pPr>
        <w:spacing w:line="360" w:lineRule="auto"/>
        <w:jc w:val="both"/>
      </w:pPr>
      <w:r w:rsidRPr="00C6341C">
        <w:t>The</w:t>
      </w:r>
      <w:r>
        <w:t xml:space="preserve"> sample used in this research comprises annual </w:t>
      </w:r>
      <w:r w:rsidR="00533655">
        <w:t xml:space="preserve">bilateral </w:t>
      </w:r>
      <w:r>
        <w:t>export data of 36</w:t>
      </w:r>
      <w:r w:rsidR="00533655">
        <w:t xml:space="preserve"> </w:t>
      </w:r>
      <w:r w:rsidR="00533655" w:rsidRPr="00533655">
        <w:rPr>
          <w:i/>
        </w:rPr>
        <w:t>(=n)</w:t>
      </w:r>
      <w:r>
        <w:t xml:space="preserve"> state</w:t>
      </w:r>
      <w:r w:rsidR="00533655">
        <w:t>s</w:t>
      </w:r>
      <w:r>
        <w:t xml:space="preserve"> over</w:t>
      </w:r>
      <w:r w:rsidR="00533655">
        <w:t xml:space="preserve"> </w:t>
      </w:r>
      <w:r>
        <w:t xml:space="preserve">12 years </w:t>
      </w:r>
      <w:r w:rsidR="00533655" w:rsidRPr="00533655">
        <w:rPr>
          <w:i/>
        </w:rPr>
        <w:t>(=t)</w:t>
      </w:r>
      <w:r w:rsidR="005A6766">
        <w:t>, 2000 to 2011</w:t>
      </w:r>
      <w:r>
        <w:t xml:space="preserve">. This provides this research with 36 x 35 x 12 = 15120 observations in the panel. </w:t>
      </w:r>
      <w:r w:rsidR="009A5A74">
        <w:t>To test the different hypotheses the countries are put in different groups in order to gain insight into diverging trade patterns with different trading partners. These groups are the following:</w:t>
      </w:r>
    </w:p>
    <w:p w:rsidR="009A5A74" w:rsidRPr="00272536" w:rsidRDefault="009A5A74" w:rsidP="004C1689">
      <w:pPr>
        <w:spacing w:line="360" w:lineRule="auto"/>
      </w:pPr>
      <w:proofErr w:type="spellStart"/>
      <w:r w:rsidRPr="00F72197">
        <w:rPr>
          <w:b/>
          <w:i/>
        </w:rPr>
        <w:t>new</w:t>
      </w:r>
      <w:r w:rsidR="00AD525C">
        <w:rPr>
          <w:b/>
          <w:i/>
        </w:rPr>
        <w:t>EMU</w:t>
      </w:r>
      <w:proofErr w:type="spellEnd"/>
      <w:r w:rsidRPr="00F72197">
        <w:rPr>
          <w:b/>
          <w:i/>
        </w:rPr>
        <w:t xml:space="preserve"> </w:t>
      </w:r>
      <w:r>
        <w:rPr>
          <w:i/>
        </w:rPr>
        <w:tab/>
      </w:r>
      <w:r w:rsidR="00432B9D">
        <w:rPr>
          <w:i/>
        </w:rPr>
        <w:tab/>
      </w:r>
      <w:r>
        <w:t xml:space="preserve"> </w:t>
      </w:r>
      <w:r w:rsidR="00E40848">
        <w:t>Four</w:t>
      </w:r>
      <w:r>
        <w:t xml:space="preserve"> states that recently adopted the </w:t>
      </w:r>
      <w:r w:rsidR="00AD525C">
        <w:t>Euro</w:t>
      </w:r>
      <w:r>
        <w:t xml:space="preserve"> as their national currency </w:t>
      </w:r>
      <w:r>
        <w:tab/>
      </w:r>
      <w:r>
        <w:tab/>
      </w:r>
      <w:r>
        <w:tab/>
      </w:r>
      <w:r>
        <w:tab/>
      </w:r>
      <w:r w:rsidR="00E40848">
        <w:tab/>
      </w:r>
      <w:r>
        <w:t>(Slovenia, Cyprus, Malta, Slovak Republic</w:t>
      </w:r>
      <w:r w:rsidR="00F72197">
        <w:t>)</w:t>
      </w:r>
      <w:r w:rsidR="00F72197">
        <w:br/>
      </w:r>
      <w:r w:rsidRPr="00F72197">
        <w:rPr>
          <w:b/>
          <w:i/>
        </w:rPr>
        <w:t>2004</w:t>
      </w:r>
      <w:r w:rsidRPr="00F72197">
        <w:rPr>
          <w:b/>
        </w:rPr>
        <w:t xml:space="preserve"> </w:t>
      </w:r>
      <w:r w:rsidRPr="00F72197">
        <w:rPr>
          <w:b/>
        </w:rPr>
        <w:tab/>
      </w:r>
      <w:r>
        <w:tab/>
      </w:r>
      <w:r w:rsidR="00432B9D">
        <w:tab/>
      </w:r>
      <w:r>
        <w:t xml:space="preserve"> </w:t>
      </w:r>
      <w:r w:rsidR="00272536">
        <w:t>The t</w:t>
      </w:r>
      <w:r>
        <w:t>en states that joi</w:t>
      </w:r>
      <w:r w:rsidR="00F72197">
        <w:t xml:space="preserve">ned the </w:t>
      </w:r>
      <w:r w:rsidR="00AD525C">
        <w:t>Euro</w:t>
      </w:r>
      <w:r w:rsidR="00F72197">
        <w:t>pean Union in 2004</w:t>
      </w:r>
      <w:r w:rsidR="00F72197">
        <w:br/>
      </w:r>
      <w:r w:rsidR="00AD525C">
        <w:rPr>
          <w:b/>
          <w:i/>
        </w:rPr>
        <w:t>EMU</w:t>
      </w:r>
      <w:r w:rsidR="00261F68">
        <w:rPr>
          <w:b/>
          <w:i/>
        </w:rPr>
        <w:t>12</w:t>
      </w:r>
      <w:r w:rsidRPr="00F72197">
        <w:rPr>
          <w:b/>
        </w:rPr>
        <w:t xml:space="preserve"> </w:t>
      </w:r>
      <w:r>
        <w:tab/>
      </w:r>
      <w:r>
        <w:tab/>
        <w:t xml:space="preserve"> </w:t>
      </w:r>
      <w:r w:rsidR="00432B9D">
        <w:tab/>
      </w:r>
      <w:r w:rsidR="00272536">
        <w:t>The initial eleve</w:t>
      </w:r>
      <w:r w:rsidR="00F72197">
        <w:t xml:space="preserve">n </w:t>
      </w:r>
      <w:r w:rsidR="00AD525C">
        <w:t>EMU</w:t>
      </w:r>
      <w:r w:rsidR="00F72197">
        <w:t xml:space="preserve"> members plus Greece</w:t>
      </w:r>
      <w:r w:rsidR="00F72197">
        <w:br/>
      </w:r>
      <w:r w:rsidR="00272536" w:rsidRPr="00F72197">
        <w:rPr>
          <w:b/>
          <w:i/>
        </w:rPr>
        <w:t>RW</w:t>
      </w:r>
      <w:r w:rsidR="00272536">
        <w:tab/>
      </w:r>
      <w:r w:rsidR="00272536">
        <w:tab/>
      </w:r>
      <w:r w:rsidR="00432B9D">
        <w:tab/>
      </w:r>
      <w:r w:rsidR="00272536">
        <w:t>The Rest of the World (all non-</w:t>
      </w:r>
      <w:r w:rsidR="00AD525C">
        <w:t>EMU</w:t>
      </w:r>
      <w:r w:rsidR="00272536">
        <w:t xml:space="preserve"> </w:t>
      </w:r>
      <w:r w:rsidR="00576BF3">
        <w:t>countries in the sample</w:t>
      </w:r>
      <w:r w:rsidR="00272536">
        <w:t>)</w:t>
      </w:r>
    </w:p>
    <w:p w:rsidR="00AE40AE" w:rsidRPr="00BE4ECB" w:rsidRDefault="00BE4ECB" w:rsidP="00BE4ECB">
      <w:pPr>
        <w:pStyle w:val="Heading2"/>
        <w:numPr>
          <w:ilvl w:val="1"/>
          <w:numId w:val="1"/>
        </w:numPr>
      </w:pPr>
      <w:r>
        <w:t xml:space="preserve"> </w:t>
      </w:r>
      <w:r>
        <w:tab/>
      </w:r>
      <w:bookmarkStart w:id="28" w:name="_Toc353348790"/>
      <w:r>
        <w:t>Variables</w:t>
      </w:r>
      <w:bookmarkEnd w:id="28"/>
    </w:p>
    <w:p w:rsidR="00053E98" w:rsidRDefault="00915419" w:rsidP="004C1689">
      <w:pPr>
        <w:spacing w:line="360" w:lineRule="auto"/>
        <w:jc w:val="both"/>
      </w:pPr>
      <w:r>
        <w:t xml:space="preserve">In order to test </w:t>
      </w:r>
      <w:r w:rsidR="00053E98">
        <w:t xml:space="preserve">the specific effects of Euro adoption on trade multiple variables are constructed and applied in the different </w:t>
      </w:r>
      <w:r w:rsidR="00CD3C8B">
        <w:t>regression analyses</w:t>
      </w:r>
      <w:r w:rsidR="00053E98">
        <w:t>. Some variables however are common throughout the models, which will shortly be discussed in this section</w:t>
      </w:r>
      <w:r w:rsidR="00CD3C8B">
        <w:t>, starting with the dependent variable:</w:t>
      </w:r>
      <w:r w:rsidR="00605343">
        <w:rPr>
          <w:rStyle w:val="FootnoteReference"/>
        </w:rPr>
        <w:footnoteReference w:id="13"/>
      </w:r>
    </w:p>
    <w:p w:rsidR="00053E98" w:rsidRPr="00053E98" w:rsidRDefault="00053E98" w:rsidP="00261F68">
      <w:pPr>
        <w:spacing w:line="360" w:lineRule="auto"/>
      </w:pPr>
      <w:proofErr w:type="spellStart"/>
      <w:r>
        <w:rPr>
          <w:b/>
          <w:i/>
        </w:rPr>
        <w:t>ln_nom_ex</w:t>
      </w:r>
      <w:r>
        <w:rPr>
          <w:b/>
          <w:i/>
          <w:vertAlign w:val="subscript"/>
        </w:rPr>
        <w:t>ijt</w:t>
      </w:r>
      <w:proofErr w:type="spellEnd"/>
      <w:r>
        <w:rPr>
          <w:b/>
          <w:i/>
        </w:rPr>
        <w:tab/>
      </w:r>
      <w:r>
        <w:rPr>
          <w:b/>
          <w:i/>
        </w:rPr>
        <w:tab/>
      </w:r>
      <w:r>
        <w:t xml:space="preserve">the natural logarithm of the nominal value of exports from country </w:t>
      </w:r>
      <w:proofErr w:type="spellStart"/>
      <w:r w:rsidRPr="00053E98">
        <w:rPr>
          <w:i/>
        </w:rPr>
        <w:t>i</w:t>
      </w:r>
      <w:proofErr w:type="spellEnd"/>
      <w:r>
        <w:t xml:space="preserve"> to </w:t>
      </w:r>
      <w:r w:rsidRPr="00053E98">
        <w:rPr>
          <w:i/>
        </w:rPr>
        <w:t>j</w:t>
      </w:r>
      <w:r>
        <w:t xml:space="preserve"> at time </w:t>
      </w:r>
      <w:r w:rsidRPr="00053E98">
        <w:rPr>
          <w:i/>
        </w:rPr>
        <w:t>t</w:t>
      </w:r>
    </w:p>
    <w:p w:rsidR="00053E98" w:rsidRDefault="00C63DD3" w:rsidP="004C1689">
      <w:pPr>
        <w:spacing w:line="360" w:lineRule="auto"/>
        <w:jc w:val="both"/>
      </w:pPr>
      <w:r>
        <w:lastRenderedPageBreak/>
        <w:t xml:space="preserve">Continuing with the </w:t>
      </w:r>
      <w:r w:rsidR="00CD3C8B">
        <w:t xml:space="preserve">standard independent variables which </w:t>
      </w:r>
      <w:r>
        <w:t xml:space="preserve">are </w:t>
      </w:r>
      <w:r w:rsidR="00CD3C8B">
        <w:t>used in</w:t>
      </w:r>
      <w:r>
        <w:t xml:space="preserve"> each of the four models </w:t>
      </w:r>
      <w:r w:rsidR="00CD3C8B">
        <w:t xml:space="preserve">to be </w:t>
      </w:r>
      <w:r>
        <w:t>tested:</w:t>
      </w:r>
    </w:p>
    <w:p w:rsidR="00C63DD3" w:rsidRDefault="00C63DD3" w:rsidP="00261F68">
      <w:pPr>
        <w:spacing w:line="360" w:lineRule="auto"/>
      </w:pPr>
      <w:proofErr w:type="spellStart"/>
      <w:r>
        <w:rPr>
          <w:b/>
          <w:i/>
        </w:rPr>
        <w:t>ln_nom_GDP</w:t>
      </w:r>
      <w:r>
        <w:rPr>
          <w:b/>
          <w:i/>
          <w:vertAlign w:val="subscript"/>
        </w:rPr>
        <w:t>it</w:t>
      </w:r>
      <w:proofErr w:type="spellEnd"/>
      <w:r>
        <w:rPr>
          <w:b/>
          <w:i/>
        </w:rPr>
        <w:tab/>
      </w:r>
      <w:r>
        <w:tab/>
        <w:t xml:space="preserve">the natural logarithm of the nominal value of GDP of country </w:t>
      </w:r>
      <w:proofErr w:type="spellStart"/>
      <w:r>
        <w:rPr>
          <w:i/>
        </w:rPr>
        <w:t>i</w:t>
      </w:r>
      <w:proofErr w:type="spellEnd"/>
      <w:r>
        <w:rPr>
          <w:i/>
        </w:rPr>
        <w:t xml:space="preserve"> </w:t>
      </w:r>
      <w:r>
        <w:t xml:space="preserve">at time </w:t>
      </w:r>
      <w:r>
        <w:rPr>
          <w:i/>
        </w:rPr>
        <w:t>t</w:t>
      </w:r>
      <w:r>
        <w:rPr>
          <w:i/>
        </w:rPr>
        <w:br/>
      </w:r>
      <w:proofErr w:type="spellStart"/>
      <w:r>
        <w:rPr>
          <w:b/>
          <w:i/>
        </w:rPr>
        <w:t>ln_nom_GDP</w:t>
      </w:r>
      <w:r>
        <w:rPr>
          <w:b/>
          <w:i/>
          <w:vertAlign w:val="subscript"/>
        </w:rPr>
        <w:t>jt</w:t>
      </w:r>
      <w:proofErr w:type="spellEnd"/>
      <w:r>
        <w:rPr>
          <w:b/>
          <w:i/>
        </w:rPr>
        <w:tab/>
      </w:r>
      <w:r>
        <w:rPr>
          <w:b/>
          <w:i/>
        </w:rPr>
        <w:tab/>
      </w:r>
      <w:r>
        <w:t xml:space="preserve">the natural logarithm of the nominal value of GDP of country </w:t>
      </w:r>
      <w:r>
        <w:rPr>
          <w:i/>
        </w:rPr>
        <w:t>j</w:t>
      </w:r>
      <w:r>
        <w:t xml:space="preserve"> at time </w:t>
      </w:r>
      <w:r>
        <w:rPr>
          <w:i/>
        </w:rPr>
        <w:t>t</w:t>
      </w:r>
      <w:r w:rsidR="00261F68">
        <w:rPr>
          <w:i/>
        </w:rPr>
        <w:br/>
      </w:r>
      <w:r w:rsidR="00261F68">
        <w:rPr>
          <w:b/>
          <w:i/>
        </w:rPr>
        <w:t>E</w:t>
      </w:r>
      <w:r w:rsidR="00223507">
        <w:rPr>
          <w:b/>
          <w:i/>
        </w:rPr>
        <w:t>U15</w:t>
      </w:r>
      <w:r w:rsidR="00261F68">
        <w:rPr>
          <w:b/>
          <w:i/>
        </w:rPr>
        <w:tab/>
      </w:r>
      <w:r w:rsidR="00261F68">
        <w:rPr>
          <w:b/>
          <w:i/>
        </w:rPr>
        <w:tab/>
      </w:r>
      <w:r w:rsidR="00261F68">
        <w:rPr>
          <w:b/>
          <w:i/>
        </w:rPr>
        <w:tab/>
      </w:r>
      <w:r w:rsidR="00261F68">
        <w:t xml:space="preserve">a dummy variable that takes the value 1 if both country </w:t>
      </w:r>
      <w:proofErr w:type="spellStart"/>
      <w:r w:rsidR="00261F68">
        <w:rPr>
          <w:i/>
        </w:rPr>
        <w:t>i</w:t>
      </w:r>
      <w:proofErr w:type="spellEnd"/>
      <w:r w:rsidR="00261F68">
        <w:rPr>
          <w:i/>
        </w:rPr>
        <w:t xml:space="preserve"> </w:t>
      </w:r>
      <w:r w:rsidR="00261F68">
        <w:t xml:space="preserve">and </w:t>
      </w:r>
      <w:r w:rsidR="00261F68">
        <w:rPr>
          <w:i/>
        </w:rPr>
        <w:t>j</w:t>
      </w:r>
      <w:r w:rsidR="00261F68">
        <w:t xml:space="preserve"> are </w:t>
      </w:r>
      <w:r w:rsidR="00223507">
        <w:t xml:space="preserve">pre-2004 </w:t>
      </w:r>
      <w:r w:rsidR="00261F68">
        <w:t>EU member</w:t>
      </w:r>
      <w:r w:rsidR="00046E56">
        <w:t>s</w:t>
      </w:r>
      <w:r w:rsidR="00261F68">
        <w:t>, 0 otherwise</w:t>
      </w:r>
      <w:r w:rsidR="00261F68">
        <w:br/>
      </w:r>
      <w:r w:rsidR="00261F68">
        <w:rPr>
          <w:b/>
          <w:i/>
        </w:rPr>
        <w:t>EMU</w:t>
      </w:r>
      <w:r w:rsidR="00223507">
        <w:rPr>
          <w:b/>
          <w:i/>
        </w:rPr>
        <w:t>12</w:t>
      </w:r>
      <w:r w:rsidR="00261F68">
        <w:tab/>
      </w:r>
      <w:r w:rsidR="00261F68">
        <w:tab/>
      </w:r>
      <w:r w:rsidR="00261F68">
        <w:tab/>
        <w:t xml:space="preserve">a dummy variable that takes the value 1 if both country </w:t>
      </w:r>
      <w:proofErr w:type="spellStart"/>
      <w:r w:rsidR="00261F68">
        <w:rPr>
          <w:i/>
        </w:rPr>
        <w:t>i</w:t>
      </w:r>
      <w:proofErr w:type="spellEnd"/>
      <w:r w:rsidR="00261F68">
        <w:rPr>
          <w:i/>
        </w:rPr>
        <w:t xml:space="preserve"> </w:t>
      </w:r>
      <w:r w:rsidR="00261F68">
        <w:t xml:space="preserve">and </w:t>
      </w:r>
      <w:r w:rsidR="00261F68">
        <w:rPr>
          <w:i/>
        </w:rPr>
        <w:t>j</w:t>
      </w:r>
      <w:r w:rsidR="00261F68">
        <w:t xml:space="preserve"> are </w:t>
      </w:r>
      <w:r w:rsidR="00223507">
        <w:t xml:space="preserve">pre-2007 </w:t>
      </w:r>
      <w:r w:rsidR="00261F68">
        <w:t>EMU member</w:t>
      </w:r>
      <w:r w:rsidR="00046E56">
        <w:t>s</w:t>
      </w:r>
      <w:r w:rsidR="00261F68">
        <w:t>, 0 otherwise</w:t>
      </w:r>
    </w:p>
    <w:p w:rsidR="00553F27" w:rsidRDefault="00553F27" w:rsidP="00553F27">
      <w:pPr>
        <w:spacing w:line="360" w:lineRule="auto"/>
        <w:jc w:val="both"/>
      </w:pPr>
      <w:r>
        <w:t>The GDPs of both states represent the economic mass as discussed in the gravity theory. The EU</w:t>
      </w:r>
      <w:r w:rsidR="00CD3C8B">
        <w:t>15</w:t>
      </w:r>
      <w:r>
        <w:t xml:space="preserve"> variable corrects for the reduced barriers to trade for EU members. The EMU</w:t>
      </w:r>
      <w:r w:rsidR="00CD3C8B">
        <w:t>12</w:t>
      </w:r>
      <w:r>
        <w:t xml:space="preserve"> variable corrects for the reduced barriers to trade for EMU members. These last two variables are also implicitly captured in the country pair fixed effect model by the country pair component. Nonetheless it is interesting to see what the specific effects on trade are for both of these variables, in order to compare them to outcomes of earlier research conducted on this topic. </w:t>
      </w:r>
    </w:p>
    <w:p w:rsidR="00261F68" w:rsidRDefault="00261F68" w:rsidP="00261F68">
      <w:pPr>
        <w:spacing w:line="360" w:lineRule="auto"/>
        <w:jc w:val="both"/>
      </w:pPr>
      <w:r>
        <w:t>T</w:t>
      </w:r>
      <w:r w:rsidR="007439B0">
        <w:t xml:space="preserve">he following variable is used only in the time-invariant models. </w:t>
      </w:r>
      <w:r w:rsidR="000727E2">
        <w:t>It captures</w:t>
      </w:r>
      <w:r>
        <w:t xml:space="preserve"> the most severe effect of the financial crisis on international trade in 2009</w:t>
      </w:r>
      <w:r w:rsidR="000727E2">
        <w:t xml:space="preserve">. </w:t>
      </w:r>
      <w:r w:rsidR="00553F27">
        <w:t xml:space="preserve">In the time-variant models the constant will automatically pick up this effect. </w:t>
      </w:r>
    </w:p>
    <w:p w:rsidR="00261F68" w:rsidRDefault="000727E2" w:rsidP="00261F68">
      <w:pPr>
        <w:spacing w:line="360" w:lineRule="auto"/>
      </w:pPr>
      <w:r>
        <w:rPr>
          <w:b/>
          <w:i/>
        </w:rPr>
        <w:t>c</w:t>
      </w:r>
      <w:r w:rsidR="00261F68">
        <w:rPr>
          <w:b/>
          <w:i/>
        </w:rPr>
        <w:t>risis_</w:t>
      </w:r>
      <w:r w:rsidR="00261F68" w:rsidRPr="00A170E5">
        <w:rPr>
          <w:b/>
          <w:i/>
        </w:rPr>
        <w:t>09</w:t>
      </w:r>
      <w:r w:rsidR="00261F68">
        <w:tab/>
      </w:r>
      <w:r w:rsidR="00261F68">
        <w:tab/>
        <w:t>a dummy variable that takes the value 1 if trade in 2009 is concerned, 0 otherwise</w:t>
      </w:r>
    </w:p>
    <w:p w:rsidR="00553F27" w:rsidRDefault="00261F68" w:rsidP="00553F27">
      <w:pPr>
        <w:spacing w:line="360" w:lineRule="auto"/>
        <w:jc w:val="both"/>
      </w:pPr>
      <w:r>
        <w:t xml:space="preserve">Whereas the country pair fixed effect model corrects for characteristics that are unique to the country pair, the country fixed effect model only corrects for characteristics that are unique to the individual </w:t>
      </w:r>
      <w:r w:rsidR="00714DA5">
        <w:t>country</w:t>
      </w:r>
      <w:r>
        <w:t xml:space="preserve">. Therefore, in order to correct </w:t>
      </w:r>
      <w:r w:rsidR="000727E2">
        <w:t>for some of the country-pair characteristic,</w:t>
      </w:r>
      <w:r w:rsidR="00553F27">
        <w:t xml:space="preserve"> three traditional gravity model variables, </w:t>
      </w:r>
      <w:proofErr w:type="spellStart"/>
      <w:r w:rsidR="00553F27" w:rsidRPr="00533655">
        <w:rPr>
          <w:i/>
        </w:rPr>
        <w:t>Z</w:t>
      </w:r>
      <w:r w:rsidR="00553F27">
        <w:rPr>
          <w:i/>
          <w:vertAlign w:val="subscript"/>
        </w:rPr>
        <w:t>ij</w:t>
      </w:r>
      <w:proofErr w:type="spellEnd"/>
      <w:r w:rsidR="00553F27">
        <w:rPr>
          <w:i/>
        </w:rPr>
        <w:t xml:space="preserve">, </w:t>
      </w:r>
      <w:r w:rsidR="00553F27">
        <w:t>are used in the country fixed effect model</w:t>
      </w:r>
      <w:r w:rsidR="000727E2">
        <w:t>s</w:t>
      </w:r>
      <w:r w:rsidR="00553F27">
        <w:t>:</w:t>
      </w:r>
    </w:p>
    <w:p w:rsidR="00553F27" w:rsidRDefault="000727E2" w:rsidP="00553F27">
      <w:pPr>
        <w:spacing w:line="360" w:lineRule="auto"/>
      </w:pPr>
      <w:proofErr w:type="spellStart"/>
      <w:r>
        <w:rPr>
          <w:b/>
          <w:i/>
        </w:rPr>
        <w:t>ln_d</w:t>
      </w:r>
      <w:r w:rsidR="00553F27" w:rsidRPr="00432B9D">
        <w:rPr>
          <w:b/>
          <w:i/>
        </w:rPr>
        <w:t>istance</w:t>
      </w:r>
      <w:proofErr w:type="spellEnd"/>
      <w:r w:rsidR="00553F27">
        <w:rPr>
          <w:i/>
        </w:rPr>
        <w:tab/>
      </w:r>
      <w:r w:rsidR="00553F27">
        <w:rPr>
          <w:i/>
        </w:rPr>
        <w:tab/>
      </w:r>
      <w:r w:rsidR="00553F27">
        <w:t xml:space="preserve">the natural logarithm of the distance in kilometers between the capitals of country </w:t>
      </w:r>
      <w:proofErr w:type="spellStart"/>
      <w:r w:rsidR="00553F27">
        <w:rPr>
          <w:i/>
        </w:rPr>
        <w:t>i</w:t>
      </w:r>
      <w:proofErr w:type="spellEnd"/>
      <w:r w:rsidR="00553F27">
        <w:t xml:space="preserve"> and </w:t>
      </w:r>
      <w:r w:rsidR="00553F27">
        <w:rPr>
          <w:i/>
        </w:rPr>
        <w:t>j</w:t>
      </w:r>
      <w:r w:rsidR="00553F27">
        <w:rPr>
          <w:i/>
        </w:rPr>
        <w:br/>
      </w:r>
      <w:proofErr w:type="spellStart"/>
      <w:r>
        <w:rPr>
          <w:b/>
          <w:i/>
        </w:rPr>
        <w:t>b</w:t>
      </w:r>
      <w:r w:rsidR="00553F27" w:rsidRPr="00432B9D">
        <w:rPr>
          <w:b/>
          <w:i/>
        </w:rPr>
        <w:t>order</w:t>
      </w:r>
      <w:r>
        <w:rPr>
          <w:b/>
          <w:i/>
        </w:rPr>
        <w:t>_</w:t>
      </w:r>
      <w:r w:rsidR="00553F27" w:rsidRPr="00432B9D">
        <w:rPr>
          <w:b/>
          <w:i/>
        </w:rPr>
        <w:t>contiguity</w:t>
      </w:r>
      <w:proofErr w:type="spellEnd"/>
      <w:r w:rsidR="00553F27">
        <w:rPr>
          <w:i/>
        </w:rPr>
        <w:tab/>
      </w:r>
      <w:r w:rsidR="00553F27">
        <w:t xml:space="preserve">a dummy variable that takes the value 1 if country </w:t>
      </w:r>
      <w:proofErr w:type="spellStart"/>
      <w:r w:rsidR="00553F27">
        <w:rPr>
          <w:i/>
        </w:rPr>
        <w:t>i</w:t>
      </w:r>
      <w:proofErr w:type="spellEnd"/>
      <w:r w:rsidR="00553F27">
        <w:t xml:space="preserve"> and </w:t>
      </w:r>
      <w:r w:rsidR="00553F27">
        <w:rPr>
          <w:i/>
        </w:rPr>
        <w:t>j</w:t>
      </w:r>
      <w:r w:rsidR="00553F27">
        <w:t xml:space="preserve"> share a border, 0 otherwise</w:t>
      </w:r>
      <w:r w:rsidR="00553F27">
        <w:br/>
      </w:r>
      <w:proofErr w:type="spellStart"/>
      <w:r>
        <w:rPr>
          <w:b/>
          <w:i/>
        </w:rPr>
        <w:t>c</w:t>
      </w:r>
      <w:r w:rsidR="00553F27" w:rsidRPr="00432B9D">
        <w:rPr>
          <w:b/>
          <w:i/>
        </w:rPr>
        <w:t>ommon</w:t>
      </w:r>
      <w:r>
        <w:rPr>
          <w:b/>
          <w:i/>
        </w:rPr>
        <w:t>_</w:t>
      </w:r>
      <w:r w:rsidR="00553F27" w:rsidRPr="00432B9D">
        <w:rPr>
          <w:b/>
          <w:i/>
        </w:rPr>
        <w:t>language</w:t>
      </w:r>
      <w:proofErr w:type="spellEnd"/>
      <w:r w:rsidR="00553F27">
        <w:rPr>
          <w:i/>
        </w:rPr>
        <w:tab/>
      </w:r>
      <w:r w:rsidR="00553F27">
        <w:t xml:space="preserve">a dummy variable that takes the value 1 if country </w:t>
      </w:r>
      <w:proofErr w:type="spellStart"/>
      <w:r w:rsidR="00553F27">
        <w:rPr>
          <w:i/>
        </w:rPr>
        <w:t>i</w:t>
      </w:r>
      <w:proofErr w:type="spellEnd"/>
      <w:r w:rsidR="00553F27">
        <w:t xml:space="preserve"> and </w:t>
      </w:r>
      <w:r w:rsidR="00553F27">
        <w:rPr>
          <w:i/>
        </w:rPr>
        <w:t>j</w:t>
      </w:r>
      <w:r w:rsidR="00553F27">
        <w:t xml:space="preserve"> speak a common language, 0 otherwise</w:t>
      </w:r>
    </w:p>
    <w:p w:rsidR="00553F27" w:rsidRDefault="00553F27" w:rsidP="00553F27">
      <w:pPr>
        <w:spacing w:line="360" w:lineRule="auto"/>
        <w:jc w:val="both"/>
      </w:pPr>
      <w:r>
        <w:t xml:space="preserve">These gravity model variables cover characteristics that are specific to the country pair and can have an effect on the trade relation between them. It follows that </w:t>
      </w:r>
      <w:r w:rsidR="00714DA5">
        <w:t>countries</w:t>
      </w:r>
      <w:r>
        <w:t xml:space="preserve"> that are situated at a close </w:t>
      </w:r>
      <w:r>
        <w:lastRenderedPageBreak/>
        <w:t xml:space="preserve">proximity to each other trade more than </w:t>
      </w:r>
      <w:r w:rsidR="00714DA5">
        <w:t>countries</w:t>
      </w:r>
      <w:r>
        <w:t xml:space="preserve"> </w:t>
      </w:r>
      <w:r w:rsidR="00714DA5">
        <w:t xml:space="preserve">that lie </w:t>
      </w:r>
      <w:r>
        <w:t xml:space="preserve">far apart. In line with this reasoning, </w:t>
      </w:r>
      <w:r w:rsidR="00714DA5">
        <w:t>countries</w:t>
      </w:r>
      <w:r>
        <w:t xml:space="preserve"> that share a</w:t>
      </w:r>
      <w:r w:rsidR="00714DA5">
        <w:t xml:space="preserve"> common border trade more than countries</w:t>
      </w:r>
      <w:r>
        <w:t xml:space="preserve"> that do not share a border. Regarding language similarity, since speaking a common language reduces barriers to trade, countries that speak common languages can thus be assumed to trade more than countrie</w:t>
      </w:r>
      <w:r w:rsidR="00714DA5">
        <w:t>s speaking different languages. This is corrected for by this final country fixed effect gravity model variable.</w:t>
      </w:r>
    </w:p>
    <w:p w:rsidR="00714DA5" w:rsidRDefault="00BD44BD" w:rsidP="004C1689">
      <w:pPr>
        <w:spacing w:line="360" w:lineRule="auto"/>
        <w:jc w:val="both"/>
      </w:pPr>
      <w:r>
        <w:t xml:space="preserve">Now that the basic recurring variables are described, next the variables that are of true interest are presented. These are all self-constructed dummy variables that are used to investigate the trade effects of Euro adoption in the four new EMU members in central and Mediterranean Europe. </w:t>
      </w:r>
      <w:r w:rsidR="00046E56">
        <w:t>For each of the hypotheses the corresponding dummy variables will be discussed here.</w:t>
      </w:r>
    </w:p>
    <w:p w:rsidR="00046E56" w:rsidRDefault="00046E56" w:rsidP="004C1689">
      <w:pPr>
        <w:spacing w:line="360" w:lineRule="auto"/>
        <w:jc w:val="both"/>
      </w:pPr>
      <w:r>
        <w:t>In hypothesis 1 the question to be answered is what the total trade effects for each of the new EMU members have been since they adopted the Euro as their national currency. Therefore a dummy variable has to be constructed that captures all trade of each of the individual countries from the year they entered EMU</w:t>
      </w:r>
      <w:r w:rsidR="00276A09">
        <w:t xml:space="preserve"> (Slovenia 2007, Cyprus 2008, Malta 2008, the Slovak Republic 2009)</w:t>
      </w:r>
      <w:r>
        <w:t xml:space="preserve">. </w:t>
      </w:r>
    </w:p>
    <w:p w:rsidR="00B42953" w:rsidRDefault="00B42953" w:rsidP="00B42953">
      <w:pPr>
        <w:spacing w:line="360" w:lineRule="auto"/>
      </w:pPr>
      <w:proofErr w:type="spellStart"/>
      <w:r>
        <w:rPr>
          <w:b/>
          <w:i/>
        </w:rPr>
        <w:t>country</w:t>
      </w:r>
      <w:r w:rsidRPr="00CD3C8B">
        <w:rPr>
          <w:b/>
        </w:rPr>
        <w:t>_X_M</w:t>
      </w:r>
      <w:r w:rsidR="00DC0EE2" w:rsidRPr="00CD3C8B">
        <w:rPr>
          <w:b/>
        </w:rPr>
        <w:t>_</w:t>
      </w:r>
      <w:r w:rsidR="00DC0EE2" w:rsidRPr="00576BF3">
        <w:rPr>
          <w:b/>
          <w:i/>
        </w:rPr>
        <w:t>year</w:t>
      </w:r>
      <w:proofErr w:type="spellEnd"/>
      <w:r>
        <w:rPr>
          <w:i/>
        </w:rPr>
        <w:tab/>
      </w:r>
      <w:r>
        <w:t xml:space="preserve">a dummy variable that takes the value 1 if </w:t>
      </w:r>
      <w:r w:rsidR="00BD299A">
        <w:t>trade</w:t>
      </w:r>
      <w:r>
        <w:t xml:space="preserve"> by a certain </w:t>
      </w:r>
      <w:r w:rsidRPr="00DC0EE2">
        <w:rPr>
          <w:i/>
        </w:rPr>
        <w:t>country</w:t>
      </w:r>
      <w:r>
        <w:t xml:space="preserve"> is concerned, from the </w:t>
      </w:r>
      <w:r w:rsidRPr="00DC0EE2">
        <w:rPr>
          <w:i/>
        </w:rPr>
        <w:t>year</w:t>
      </w:r>
      <w:r>
        <w:t xml:space="preserve"> of Euro adoption onwards, 0 otherwise</w:t>
      </w:r>
    </w:p>
    <w:p w:rsidR="00B42953" w:rsidRDefault="00B42953" w:rsidP="004C1689">
      <w:pPr>
        <w:spacing w:line="360" w:lineRule="auto"/>
        <w:jc w:val="both"/>
      </w:pPr>
      <w:r>
        <w:t xml:space="preserve">This variable captures all trade, thus export and import, with all other countries in the sample, </w:t>
      </w:r>
      <w:r w:rsidR="00DC0EE2">
        <w:t xml:space="preserve">from the year of Euro adoption onwards. Example: </w:t>
      </w:r>
      <w:r w:rsidR="00DC0EE2">
        <w:rPr>
          <w:b/>
        </w:rPr>
        <w:t>Malta_X_M_08</w:t>
      </w:r>
      <w:r>
        <w:t xml:space="preserve"> </w:t>
      </w:r>
      <w:r w:rsidR="00DC0EE2">
        <w:t>captures all trade by Malta from 2008 onwards, which is the year it adopted the Euro</w:t>
      </w:r>
      <w:r>
        <w:t xml:space="preserve">. A positive and significant coefficient of this variable would imply an increase in trade of </w:t>
      </w:r>
      <w:r w:rsidR="00DC0EE2">
        <w:t>Malta</w:t>
      </w:r>
      <w:r>
        <w:t xml:space="preserve"> </w:t>
      </w:r>
      <w:r w:rsidR="00CD3C8B">
        <w:t>since</w:t>
      </w:r>
      <w:r>
        <w:t xml:space="preserve"> the year it entered the </w:t>
      </w:r>
      <w:proofErr w:type="spellStart"/>
      <w:r>
        <w:t>Eurozone</w:t>
      </w:r>
      <w:proofErr w:type="spellEnd"/>
      <w:r>
        <w:t xml:space="preserve">. </w:t>
      </w:r>
    </w:p>
    <w:p w:rsidR="00E35130" w:rsidRDefault="00507B43" w:rsidP="004C1689">
      <w:pPr>
        <w:spacing w:line="360" w:lineRule="auto"/>
        <w:jc w:val="both"/>
      </w:pPr>
      <w:r>
        <w:t>In hypothese</w:t>
      </w:r>
      <w:r w:rsidR="00E35130">
        <w:t>s 2</w:t>
      </w:r>
      <w:r>
        <w:t xml:space="preserve"> and 3</w:t>
      </w:r>
      <w:r w:rsidR="00E35130">
        <w:t xml:space="preserve"> the focus remains on the country’s individual trade effects resu</w:t>
      </w:r>
      <w:r w:rsidR="00F1641E">
        <w:t>lting from Euro adoption</w:t>
      </w:r>
      <w:r>
        <w:t>.</w:t>
      </w:r>
      <w:r w:rsidR="00F1641E">
        <w:t xml:space="preserve"> </w:t>
      </w:r>
      <w:r>
        <w:t>The difference however with hypothesis 1 is that</w:t>
      </w:r>
      <w:r w:rsidR="00276A09">
        <w:t xml:space="preserve"> now the trade effects with specific trading partners are investigated. </w:t>
      </w:r>
      <w:r w:rsidR="00F00B73">
        <w:t>Therefore different dummy variables are constructed to capture trade with the two groups</w:t>
      </w:r>
      <w:r w:rsidR="00EA6AE3">
        <w:t xml:space="preserve"> of trading partners that are of interest</w:t>
      </w:r>
      <w:r w:rsidR="00F00B73">
        <w:t xml:space="preserve"> in hypotheses 2 and 3</w:t>
      </w:r>
      <w:r w:rsidR="00EA6AE3">
        <w:t>:</w:t>
      </w:r>
      <w:r w:rsidR="00F00B73">
        <w:t xml:space="preserve"> EMU</w:t>
      </w:r>
      <w:r w:rsidR="00EA6AE3">
        <w:t xml:space="preserve"> countries and the rest of the world (all non-EMU countries). Thus for each of the four new EMU members, two dummy variables are constructed to capture the trade effects with different trading partners.</w:t>
      </w:r>
    </w:p>
    <w:p w:rsidR="003E7480" w:rsidRDefault="00EA6AE3" w:rsidP="003E7480">
      <w:pPr>
        <w:spacing w:line="360" w:lineRule="auto"/>
      </w:pPr>
      <w:proofErr w:type="spellStart"/>
      <w:r>
        <w:rPr>
          <w:b/>
          <w:i/>
        </w:rPr>
        <w:t>country</w:t>
      </w:r>
      <w:r w:rsidRPr="00CD3C8B">
        <w:rPr>
          <w:b/>
        </w:rPr>
        <w:t>_X_M_EMU</w:t>
      </w:r>
      <w:r w:rsidR="00CD3C8B">
        <w:rPr>
          <w:b/>
        </w:rPr>
        <w:softHyphen/>
        <w:t>_</w:t>
      </w:r>
      <w:r w:rsidR="00CD3C8B" w:rsidRPr="00CD3C8B">
        <w:rPr>
          <w:b/>
          <w:i/>
        </w:rPr>
        <w:t>year</w:t>
      </w:r>
      <w:proofErr w:type="spellEnd"/>
      <w:r>
        <w:t xml:space="preserve"> </w:t>
      </w:r>
      <w:r>
        <w:tab/>
        <w:t xml:space="preserve">a dummy variable that takes the value 1 if </w:t>
      </w:r>
      <w:r w:rsidR="003E7480">
        <w:t xml:space="preserve">trade by a certain </w:t>
      </w:r>
      <w:r w:rsidR="003E7480" w:rsidRPr="00CD3C8B">
        <w:rPr>
          <w:i/>
        </w:rPr>
        <w:t>country</w:t>
      </w:r>
      <w:r>
        <w:t xml:space="preserve"> </w:t>
      </w:r>
      <w:r w:rsidR="003E7480">
        <w:t>with</w:t>
      </w:r>
      <w:r>
        <w:t xml:space="preserve"> a</w:t>
      </w:r>
      <w:r w:rsidR="003E7480">
        <w:t>n</w:t>
      </w:r>
      <w:r>
        <w:t xml:space="preserve"> EMU member is concerned, from the </w:t>
      </w:r>
      <w:r w:rsidRPr="00CD3C8B">
        <w:rPr>
          <w:i/>
        </w:rPr>
        <w:t>year</w:t>
      </w:r>
      <w:r>
        <w:t xml:space="preserve"> of Euro adoption onwards, 0 otherwise</w:t>
      </w:r>
      <w:r w:rsidR="003E7480">
        <w:br/>
      </w:r>
      <w:proofErr w:type="spellStart"/>
      <w:r w:rsidR="003E7480">
        <w:rPr>
          <w:b/>
          <w:i/>
        </w:rPr>
        <w:t>country</w:t>
      </w:r>
      <w:r w:rsidR="003E7480" w:rsidRPr="00CD3C8B">
        <w:rPr>
          <w:b/>
        </w:rPr>
        <w:t>_X_M_RW</w:t>
      </w:r>
      <w:r w:rsidR="00CD3C8B">
        <w:rPr>
          <w:b/>
        </w:rPr>
        <w:t>_</w:t>
      </w:r>
      <w:r w:rsidR="00CD3C8B" w:rsidRPr="00CD3C8B">
        <w:rPr>
          <w:b/>
          <w:i/>
        </w:rPr>
        <w:t>year</w:t>
      </w:r>
      <w:proofErr w:type="spellEnd"/>
      <w:r w:rsidR="003E7480" w:rsidRPr="00CD3C8B">
        <w:rPr>
          <w:i/>
        </w:rPr>
        <w:t xml:space="preserve"> </w:t>
      </w:r>
      <w:r w:rsidR="003E7480">
        <w:tab/>
        <w:t xml:space="preserve">a dummy variable that takes the value 1 if trade by a certain </w:t>
      </w:r>
      <w:r w:rsidR="003E7480" w:rsidRPr="00CD3C8B">
        <w:rPr>
          <w:i/>
        </w:rPr>
        <w:t>country</w:t>
      </w:r>
      <w:r w:rsidR="003E7480">
        <w:t xml:space="preserve"> with a non-EMU country is concerned, from the </w:t>
      </w:r>
      <w:r w:rsidR="003E7480" w:rsidRPr="00CD3C8B">
        <w:rPr>
          <w:i/>
        </w:rPr>
        <w:t>year</w:t>
      </w:r>
      <w:r w:rsidR="003E7480">
        <w:t xml:space="preserve"> of Euro adoption onwards, 0 otherwise</w:t>
      </w:r>
    </w:p>
    <w:p w:rsidR="00EA6AE3" w:rsidRDefault="00BD299A" w:rsidP="003E7480">
      <w:pPr>
        <w:spacing w:line="360" w:lineRule="auto"/>
        <w:jc w:val="both"/>
      </w:pPr>
      <w:r>
        <w:lastRenderedPageBreak/>
        <w:t>The first of these variables thus captures all trade, again export and import, of one of the new EMU members with all existing EMU members, from the moment of Euro adoption onwards. The second of these variables grasps all trade with the remaining trading partners in the sample, thus all trade with non</w:t>
      </w:r>
      <w:r w:rsidRPr="00BD299A">
        <w:t>-</w:t>
      </w:r>
      <w:r>
        <w:t xml:space="preserve">EMU countries. </w:t>
      </w:r>
      <w:r w:rsidR="00A409DA">
        <w:t xml:space="preserve">Example: </w:t>
      </w:r>
      <w:r w:rsidR="00A409DA">
        <w:rPr>
          <w:b/>
        </w:rPr>
        <w:t xml:space="preserve">Malta_X_M_EMU_08 </w:t>
      </w:r>
      <w:r w:rsidR="00A409DA">
        <w:t xml:space="preserve">captures all trade between Malta and all EMU members from 2008 onwards. </w:t>
      </w:r>
      <w:r w:rsidR="00A409DA">
        <w:rPr>
          <w:b/>
        </w:rPr>
        <w:t xml:space="preserve">Cyprus_X_M_RW_08 </w:t>
      </w:r>
      <w:r w:rsidR="00A409DA">
        <w:t xml:space="preserve">captures all trade between Cyprus and all non-EMU countries in the sample, from 2008 onwards. </w:t>
      </w:r>
      <w:r>
        <w:t>Positive and significant coefficients for both of the variables would imply trade creation, meaning that adopting the Euro has had a positive effect on trade with partners inside, as well as outside, EMU. On the other hand,  if the first of these variables is positive and the second one is negative, this would imply trade diversion, meaning that by adopting the Euro</w:t>
      </w:r>
      <w:r w:rsidR="00A409DA">
        <w:t>,</w:t>
      </w:r>
      <w:r>
        <w:t xml:space="preserve"> trade has shifted away from countries with ‘high’ barriers to trade to countries with lower barriers to trade. </w:t>
      </w:r>
    </w:p>
    <w:p w:rsidR="00AC63BF" w:rsidRDefault="004162D2" w:rsidP="003E7480">
      <w:pPr>
        <w:spacing w:line="360" w:lineRule="auto"/>
        <w:jc w:val="both"/>
      </w:pPr>
      <w:r>
        <w:t>In hypothesis 4 the interest shifts away from the trade effects of the individual country to the trade effects of the four new EMU members as a group (</w:t>
      </w:r>
      <w:proofErr w:type="spellStart"/>
      <w:r>
        <w:t>newEMU</w:t>
      </w:r>
      <w:proofErr w:type="spellEnd"/>
      <w:r>
        <w:t xml:space="preserve">). As discussed in chapter 4, the aim of this </w:t>
      </w:r>
      <w:r w:rsidR="00907239">
        <w:t>hypotheses</w:t>
      </w:r>
      <w:r>
        <w:t xml:space="preserve"> is to analyze the </w:t>
      </w:r>
      <w:r w:rsidR="00907239">
        <w:t xml:space="preserve">marginal </w:t>
      </w:r>
      <w:r>
        <w:t>trade effects of Euro adoption against a benchmark</w:t>
      </w:r>
      <w:r w:rsidR="00907239">
        <w:t xml:space="preserve"> group. This benchmark</w:t>
      </w:r>
      <w:r>
        <w:t xml:space="preserve"> </w:t>
      </w:r>
      <w:r w:rsidR="00907239">
        <w:t>group includes all the 2004 EU entrants (2004)</w:t>
      </w:r>
      <w:r w:rsidR="00A409DA">
        <w:t>,</w:t>
      </w:r>
      <w:r w:rsidR="00907239">
        <w:t xml:space="preserve"> which are</w:t>
      </w:r>
      <w:r w:rsidR="00AC63BF">
        <w:t xml:space="preserve"> </w:t>
      </w:r>
      <w:r w:rsidR="00907239">
        <w:t>assumed to be</w:t>
      </w:r>
      <w:r w:rsidR="00A409DA">
        <w:t xml:space="preserve"> all</w:t>
      </w:r>
      <w:r w:rsidR="00907239">
        <w:t xml:space="preserve"> affected by the financial crisis and the European debt crisis to a</w:t>
      </w:r>
      <w:r w:rsidR="00A409DA">
        <w:t xml:space="preserve"> roughly</w:t>
      </w:r>
      <w:r w:rsidR="00907239">
        <w:t xml:space="preserve"> comparable extent. </w:t>
      </w:r>
    </w:p>
    <w:p w:rsidR="00AC63BF" w:rsidRDefault="00AC63BF" w:rsidP="00AC63BF">
      <w:pPr>
        <w:spacing w:line="360" w:lineRule="auto"/>
      </w:pPr>
      <w:r w:rsidRPr="00576BF3">
        <w:rPr>
          <w:b/>
        </w:rPr>
        <w:t>2004_X_M</w:t>
      </w:r>
      <w:r>
        <w:tab/>
      </w:r>
      <w:r>
        <w:tab/>
        <w:t>a dummy variable that takes the value 1 if trade by a 2004 EU entrant is concerned, from 2007 onwards, 0 otherwise</w:t>
      </w:r>
      <w:r>
        <w:br/>
      </w:r>
      <w:proofErr w:type="spellStart"/>
      <w:r w:rsidRPr="00576BF3">
        <w:rPr>
          <w:b/>
        </w:rPr>
        <w:t>newEMU_X_M</w:t>
      </w:r>
      <w:proofErr w:type="spellEnd"/>
      <w:r>
        <w:rPr>
          <w:b/>
          <w:i/>
        </w:rPr>
        <w:tab/>
      </w:r>
      <w:r>
        <w:rPr>
          <w:b/>
          <w:i/>
        </w:rPr>
        <w:tab/>
      </w:r>
      <w:r>
        <w:t>a dummy variable that takes the value 1 if trade by one of the four new EMU members is concerned, from 2007 onwards, 0 otherwise</w:t>
      </w:r>
    </w:p>
    <w:p w:rsidR="00BD299A" w:rsidRPr="00BD299A" w:rsidRDefault="00AC63BF" w:rsidP="00AC63BF">
      <w:pPr>
        <w:spacing w:line="360" w:lineRule="auto"/>
        <w:jc w:val="both"/>
      </w:pPr>
      <w:r>
        <w:t xml:space="preserve">The first of these variables captures the increase or decrease in total trade, thus export and import, of all 2004 EU entrants from 2007 onwards, which is thus the benchmark. </w:t>
      </w:r>
      <w:r w:rsidR="00A409DA" w:rsidRPr="00A409DA">
        <w:t xml:space="preserve">2007 is taken as the starting year for comparison since this was the year Slovenia, the first of the four countries, entered EMU. This will be subject to change at a later stage. </w:t>
      </w:r>
      <w:r>
        <w:t xml:space="preserve">The second of these variables captures all trade by the new EMU members that has not yet been covered by the first of these variables. If the new EMU members </w:t>
      </w:r>
      <w:r w:rsidR="004B285E">
        <w:t xml:space="preserve">on average </w:t>
      </w:r>
      <w:r>
        <w:t>display</w:t>
      </w:r>
      <w:r w:rsidR="004B285E">
        <w:t xml:space="preserve"> </w:t>
      </w:r>
      <w:r>
        <w:t>a higher increase</w:t>
      </w:r>
      <w:r w:rsidR="004B285E">
        <w:t>, or a lower fall for that matter,</w:t>
      </w:r>
      <w:r>
        <w:t xml:space="preserve"> in trade volumes compared to the benchmark group, this</w:t>
      </w:r>
      <w:r w:rsidR="004B285E">
        <w:t xml:space="preserve"> could imply that the factor that they have in common, Euro adoption, has a positive effect on trade. </w:t>
      </w:r>
    </w:p>
    <w:p w:rsidR="00507B43" w:rsidRDefault="001C2591" w:rsidP="001C2591">
      <w:pPr>
        <w:spacing w:line="360" w:lineRule="auto"/>
        <w:jc w:val="both"/>
      </w:pPr>
      <w:r>
        <w:t xml:space="preserve">For hypotheses 5 and 6 the interest is again not total trade effects, but trade effects with specific trading partner groups; EMU and the rest of the world (all non-EMU countries). The aim of this is to investigate how trade patterns of the benchmark group performed since 2007, with both EMU and </w:t>
      </w:r>
      <w:r>
        <w:lastRenderedPageBreak/>
        <w:t>the rest of the world, and see whether the new EMU members</w:t>
      </w:r>
      <w:r w:rsidR="001C09CB">
        <w:t xml:space="preserve"> out-performed this benchmark group in terms of trade. For this the following final variables are constructed:</w:t>
      </w:r>
    </w:p>
    <w:p w:rsidR="001C2591" w:rsidRDefault="001C2591" w:rsidP="001C2591">
      <w:pPr>
        <w:spacing w:line="360" w:lineRule="auto"/>
      </w:pPr>
      <w:r w:rsidRPr="00576BF3">
        <w:rPr>
          <w:b/>
        </w:rPr>
        <w:t>2004_X_M_EMU</w:t>
      </w:r>
      <w:r>
        <w:tab/>
      </w:r>
      <w:r>
        <w:tab/>
        <w:t xml:space="preserve">a dummy variable that takes the value 1 if trade by a 2004 EU entrant </w:t>
      </w:r>
      <w:r w:rsidR="001C09CB">
        <w:t xml:space="preserve">with an existing EMU member </w:t>
      </w:r>
      <w:r>
        <w:t>is concerned, from 2007 onwards, 0 otherwise</w:t>
      </w:r>
      <w:r>
        <w:br/>
      </w:r>
      <w:r w:rsidRPr="00576BF3">
        <w:rPr>
          <w:b/>
        </w:rPr>
        <w:t>2004_X_M_RW</w:t>
      </w:r>
      <w:r w:rsidRPr="00576BF3">
        <w:tab/>
      </w:r>
      <w:r>
        <w:tab/>
      </w:r>
      <w:r w:rsidR="001C09CB">
        <w:tab/>
      </w:r>
      <w:r>
        <w:t xml:space="preserve">a dummy variable that takes the value 1 if trade by a 2004 EU entrant </w:t>
      </w:r>
      <w:r w:rsidR="001C09CB">
        <w:t xml:space="preserve">with any non-EMU country </w:t>
      </w:r>
      <w:r>
        <w:t>is concerned, from 2007 onwards, 0 otherwise</w:t>
      </w:r>
      <w:r>
        <w:br/>
      </w:r>
      <w:proofErr w:type="spellStart"/>
      <w:r w:rsidRPr="00576BF3">
        <w:rPr>
          <w:b/>
        </w:rPr>
        <w:t>newEMU_X_M_EMU</w:t>
      </w:r>
      <w:proofErr w:type="spellEnd"/>
      <w:r>
        <w:rPr>
          <w:b/>
          <w:i/>
        </w:rPr>
        <w:tab/>
      </w:r>
      <w:r>
        <w:rPr>
          <w:b/>
          <w:i/>
        </w:rPr>
        <w:tab/>
      </w:r>
      <w:r>
        <w:t xml:space="preserve">a dummy variable that takes the value 1 if trade by one of the four new EMU members </w:t>
      </w:r>
      <w:r w:rsidR="001C09CB">
        <w:t xml:space="preserve">with an existing EMU member </w:t>
      </w:r>
      <w:r>
        <w:t>is concerned, from 2007 onwards, 0 otherwise</w:t>
      </w:r>
      <w:r>
        <w:br/>
      </w:r>
      <w:proofErr w:type="spellStart"/>
      <w:r w:rsidRPr="00576BF3">
        <w:rPr>
          <w:b/>
        </w:rPr>
        <w:t>newEMU_X_M_RW</w:t>
      </w:r>
      <w:proofErr w:type="spellEnd"/>
      <w:r>
        <w:rPr>
          <w:b/>
          <w:i/>
        </w:rPr>
        <w:tab/>
      </w:r>
      <w:r>
        <w:rPr>
          <w:b/>
          <w:i/>
        </w:rPr>
        <w:tab/>
      </w:r>
      <w:r>
        <w:t>a dummy variable that takes the value 1 if trade by one of the four new EMU members</w:t>
      </w:r>
      <w:r w:rsidR="001C09CB">
        <w:t xml:space="preserve"> with a non-EMU country</w:t>
      </w:r>
      <w:r>
        <w:t xml:space="preserve"> is concerned, from 2007 onwards, 0 otherwise</w:t>
      </w:r>
    </w:p>
    <w:p w:rsidR="001C2591" w:rsidRDefault="001C09CB" w:rsidP="001C2591">
      <w:pPr>
        <w:spacing w:line="360" w:lineRule="auto"/>
        <w:jc w:val="both"/>
      </w:pPr>
      <w:r>
        <w:t>If the third of these last fo</w:t>
      </w:r>
      <w:r w:rsidR="00A409DA">
        <w:t>u</w:t>
      </w:r>
      <w:r>
        <w:t>r variables</w:t>
      </w:r>
      <w:r w:rsidR="00A409DA">
        <w:t xml:space="preserve"> (</w:t>
      </w:r>
      <w:proofErr w:type="spellStart"/>
      <w:r w:rsidR="00A409DA">
        <w:rPr>
          <w:b/>
        </w:rPr>
        <w:t>newEMU_X_M_EMU</w:t>
      </w:r>
      <w:proofErr w:type="spellEnd"/>
      <w:r w:rsidR="00A409DA">
        <w:t>)</w:t>
      </w:r>
      <w:r>
        <w:t xml:space="preserve"> shows a positive and significant coefficient, this would imply that on average the new EMU members have on average traded more with existing EMU members compared to the benchmark. Again, since in this research it is assumed that this higher average trade is caused by the one factor that these four countries have in common, being EMU members, this </w:t>
      </w:r>
      <w:r w:rsidR="00A409DA">
        <w:t>would confirm</w:t>
      </w:r>
      <w:r>
        <w:t xml:space="preserve"> the theory that currency unions leads to higher levels of trade. If both the third and fourth of these hypotheses are positive and significant, this is again evidence of trade creation</w:t>
      </w:r>
      <w:r w:rsidR="00A409DA">
        <w:t xml:space="preserve">, meaning </w:t>
      </w:r>
      <w:r>
        <w:t xml:space="preserve">that joining a currency union does not only increase trade </w:t>
      </w:r>
      <w:r w:rsidR="00997EE4">
        <w:t>with</w:t>
      </w:r>
      <w:r>
        <w:t xml:space="preserve"> </w:t>
      </w:r>
      <w:r w:rsidR="00997EE4">
        <w:t xml:space="preserve">countries inside the currency union, but also increases trade with countries outside the currency union. </w:t>
      </w:r>
    </w:p>
    <w:p w:rsidR="001F6EAC" w:rsidRDefault="001F6EAC" w:rsidP="001F6EAC">
      <w:pPr>
        <w:spacing w:line="360" w:lineRule="auto"/>
        <w:jc w:val="both"/>
      </w:pPr>
      <w:r>
        <w:t xml:space="preserve">This chapter has provided a summary of the history, evolution and technical derivation of the gravity model as it used today in research such as this one. The different types of models and optional effects are discussed, followed by the specification of these models. </w:t>
      </w:r>
      <w:r w:rsidR="00E711D0">
        <w:t>Finally, b</w:t>
      </w:r>
      <w:r>
        <w:t xml:space="preserve">oth the basic, recurring, variables are described, as well </w:t>
      </w:r>
      <w:r w:rsidR="00E711D0">
        <w:t>as</w:t>
      </w:r>
      <w:r>
        <w:t xml:space="preserve"> the self-constructed variables for hypotheses</w:t>
      </w:r>
      <w:r w:rsidR="00E711D0">
        <w:t xml:space="preserve"> testing</w:t>
      </w:r>
      <w:r>
        <w:t>. The next chapter will next continue with selectin</w:t>
      </w:r>
      <w:r w:rsidR="00A409DA">
        <w:t>g</w:t>
      </w:r>
      <w:r>
        <w:t xml:space="preserve"> the appropriate model out of the presented specifications. </w:t>
      </w:r>
    </w:p>
    <w:p w:rsidR="001C2591" w:rsidRDefault="001C2591" w:rsidP="001F6EAC">
      <w:pPr>
        <w:spacing w:line="360" w:lineRule="auto"/>
        <w:rPr>
          <w:rFonts w:asciiTheme="majorHAnsi" w:eastAsiaTheme="majorEastAsia" w:hAnsiTheme="majorHAnsi" w:cstheme="majorBidi"/>
          <w:b/>
          <w:bCs/>
          <w:color w:val="365F91" w:themeColor="accent1" w:themeShade="BF"/>
          <w:sz w:val="28"/>
          <w:szCs w:val="28"/>
        </w:rPr>
      </w:pPr>
      <w:r>
        <w:br w:type="page"/>
      </w:r>
    </w:p>
    <w:p w:rsidR="00507B43" w:rsidRDefault="00CD7097" w:rsidP="00507B43">
      <w:pPr>
        <w:pStyle w:val="Heading1"/>
        <w:numPr>
          <w:ilvl w:val="0"/>
          <w:numId w:val="1"/>
        </w:numPr>
      </w:pPr>
      <w:r>
        <w:lastRenderedPageBreak/>
        <w:t xml:space="preserve"> </w:t>
      </w:r>
      <w:bookmarkStart w:id="29" w:name="_Toc353180789"/>
      <w:bookmarkStart w:id="30" w:name="_Toc353348791"/>
      <w:r w:rsidR="00507B43">
        <w:t>Model Testing</w:t>
      </w:r>
      <w:bookmarkEnd w:id="29"/>
      <w:bookmarkEnd w:id="30"/>
    </w:p>
    <w:p w:rsidR="00BD44BD" w:rsidRDefault="00BD44BD" w:rsidP="00507B43"/>
    <w:p w:rsidR="00B12FD3" w:rsidRDefault="00B12FD3" w:rsidP="00C27D0D">
      <w:pPr>
        <w:spacing w:line="360" w:lineRule="auto"/>
        <w:jc w:val="both"/>
      </w:pPr>
      <w:r>
        <w:t xml:space="preserve">Now that all the </w:t>
      </w:r>
      <w:r w:rsidR="00605343">
        <w:t>different</w:t>
      </w:r>
      <w:r w:rsidR="004C442C">
        <w:t xml:space="preserve"> theoretical</w:t>
      </w:r>
      <w:r w:rsidR="00605343">
        <w:t xml:space="preserve"> model specifications have been formulated and all the variables for the different hypotheses are constructed</w:t>
      </w:r>
      <w:r w:rsidR="00C27D0D">
        <w:t xml:space="preserve">, this chapter will shortly focus on </w:t>
      </w:r>
      <w:r w:rsidR="004C442C">
        <w:t xml:space="preserve">whether the </w:t>
      </w:r>
      <w:r w:rsidR="003F2E26">
        <w:t xml:space="preserve">panel </w:t>
      </w:r>
      <w:r w:rsidR="004C442C">
        <w:t>data</w:t>
      </w:r>
      <w:r w:rsidR="003F2E26">
        <w:t xml:space="preserve"> at hand</w:t>
      </w:r>
      <w:r w:rsidR="004C442C">
        <w:t xml:space="preserve"> actually </w:t>
      </w:r>
      <w:r w:rsidR="004C15FB">
        <w:t>lends itself to conduct tests with</w:t>
      </w:r>
      <w:r w:rsidR="004C442C">
        <w:t xml:space="preserve"> these specifications</w:t>
      </w:r>
      <w:r w:rsidR="00322899">
        <w:t>.</w:t>
      </w:r>
      <w:r w:rsidR="007C6C51">
        <w:t xml:space="preserve"> </w:t>
      </w:r>
      <w:r w:rsidR="003F2E26">
        <w:t>Also, g</w:t>
      </w:r>
      <w:r w:rsidR="007C6C51">
        <w:t>iven the four different model specifications, a preferred model should be found</w:t>
      </w:r>
      <w:r w:rsidR="00C910D9">
        <w:t xml:space="preserve"> whose results are taken as leading</w:t>
      </w:r>
      <w:r w:rsidR="00B4144E">
        <w:t xml:space="preserve"> for the remainder of this thesis</w:t>
      </w:r>
      <w:r w:rsidR="00C910D9">
        <w:t xml:space="preserve">. First </w:t>
      </w:r>
      <w:r w:rsidR="00B4144E">
        <w:t xml:space="preserve">the form of the effects, either random or fixed, is tested over the sample. Secondly, given the correct type of effects, a redundancy test will provide insight into the correct application of the effects. </w:t>
      </w:r>
      <w:r w:rsidR="00C910D9">
        <w:t xml:space="preserve">The chapter ends with a comparison of information criteria of the different models. </w:t>
      </w:r>
    </w:p>
    <w:p w:rsidR="00C910D9" w:rsidRDefault="00C910D9" w:rsidP="00254233">
      <w:pPr>
        <w:pStyle w:val="Heading2"/>
        <w:numPr>
          <w:ilvl w:val="1"/>
          <w:numId w:val="1"/>
        </w:numPr>
        <w:spacing w:line="360" w:lineRule="auto"/>
      </w:pPr>
      <w:r>
        <w:t xml:space="preserve"> </w:t>
      </w:r>
      <w:r>
        <w:tab/>
      </w:r>
      <w:bookmarkStart w:id="31" w:name="_Toc353348792"/>
      <w:r>
        <w:t>Panel Least Squares Regression</w:t>
      </w:r>
      <w:bookmarkEnd w:id="31"/>
    </w:p>
    <w:p w:rsidR="00AD01F5" w:rsidRDefault="00C910D9" w:rsidP="00254233">
      <w:pPr>
        <w:spacing w:line="360" w:lineRule="auto"/>
        <w:jc w:val="both"/>
      </w:pPr>
      <w:r>
        <w:t xml:space="preserve">The use of panel data </w:t>
      </w:r>
      <w:r w:rsidR="00ED1B6D">
        <w:t>gives the possibility to investigate more complex phenomena compared to cross-sectional data</w:t>
      </w:r>
      <w:r w:rsidR="00ED1B6D" w:rsidRPr="00ED1B6D">
        <w:t xml:space="preserve"> </w:t>
      </w:r>
      <w:r w:rsidR="00ED1B6D">
        <w:t>or time-series. By looking at data covering different cross-sections</w:t>
      </w:r>
      <w:r w:rsidR="004C15FB">
        <w:t>,</w:t>
      </w:r>
      <w:r w:rsidR="00ED1B6D">
        <w:t xml:space="preserve"> over different periods in time, it is possible to analyze</w:t>
      </w:r>
      <w:r w:rsidR="00B74E6C">
        <w:t xml:space="preserve"> the effect of </w:t>
      </w:r>
      <w:r w:rsidR="003F2E26">
        <w:t>certain</w:t>
      </w:r>
      <w:r w:rsidR="00B74E6C">
        <w:t xml:space="preserve"> variable</w:t>
      </w:r>
      <w:r w:rsidR="003F2E26">
        <w:t>s</w:t>
      </w:r>
      <w:r w:rsidR="00B74E6C">
        <w:t xml:space="preserve"> on multiple entities over time, which therefore suits well with the aim of this research. However, to make use of the advantages of panel data, the correct type of model to do so must be selected. In using panel data analysis, </w:t>
      </w:r>
      <w:r w:rsidR="00AD01F5">
        <w:t>two</w:t>
      </w:r>
      <w:r w:rsidR="00B74E6C">
        <w:t xml:space="preserve"> ways of</w:t>
      </w:r>
      <w:r w:rsidR="00AD01F5">
        <w:t xml:space="preserve"> controlling for effects are possible, either fixed effects or random effect, over cross-sections, over time or over both</w:t>
      </w:r>
      <w:r w:rsidR="00322899">
        <w:t xml:space="preserve"> (</w:t>
      </w:r>
      <w:proofErr w:type="spellStart"/>
      <w:r w:rsidR="00322899">
        <w:t>Baltagi</w:t>
      </w:r>
      <w:proofErr w:type="spellEnd"/>
      <w:r w:rsidR="00322899">
        <w:t>, 2008)</w:t>
      </w:r>
      <w:r w:rsidR="00AD01F5">
        <w:t xml:space="preserve">. </w:t>
      </w:r>
    </w:p>
    <w:p w:rsidR="00C910D9" w:rsidRDefault="00AD01F5" w:rsidP="007B6B89">
      <w:pPr>
        <w:spacing w:after="120" w:line="360" w:lineRule="auto"/>
        <w:jc w:val="both"/>
      </w:pPr>
      <w:r>
        <w:t xml:space="preserve">To test whether which type of </w:t>
      </w:r>
      <w:r w:rsidR="00770AFC">
        <w:t>effect is the most appropriate</w:t>
      </w:r>
      <w:r w:rsidR="004C15FB">
        <w:t xml:space="preserve"> to apply on the constant (the country-pair effect)</w:t>
      </w:r>
      <w:r w:rsidR="00770AFC">
        <w:t>,</w:t>
      </w:r>
      <w:r w:rsidR="003F2E26">
        <w:t xml:space="preserve"> either </w:t>
      </w:r>
      <w:r>
        <w:t xml:space="preserve">the fixed effects or the random effects, a </w:t>
      </w:r>
      <w:proofErr w:type="spellStart"/>
      <w:r>
        <w:t>Hausman</w:t>
      </w:r>
      <w:proofErr w:type="spellEnd"/>
      <w:r>
        <w:t xml:space="preserve"> test is conducted for </w:t>
      </w:r>
      <w:r w:rsidR="00770AFC">
        <w:t xml:space="preserve">both cross-section and time effects in </w:t>
      </w:r>
      <w:r>
        <w:t xml:space="preserve">the </w:t>
      </w:r>
      <w:r w:rsidR="00770AFC">
        <w:t>Country P</w:t>
      </w:r>
      <w:r>
        <w:t xml:space="preserve">air </w:t>
      </w:r>
      <w:r w:rsidR="00770AFC">
        <w:t>F</w:t>
      </w:r>
      <w:r>
        <w:t xml:space="preserve">ixed </w:t>
      </w:r>
      <w:r w:rsidR="00770AFC">
        <w:t>E</w:t>
      </w:r>
      <w:r>
        <w:t>ffect</w:t>
      </w:r>
      <w:r w:rsidR="00770AFC">
        <w:t xml:space="preserve"> (CPFE)</w:t>
      </w:r>
      <w:r>
        <w:t xml:space="preserve"> model.</w:t>
      </w:r>
      <w:r>
        <w:rPr>
          <w:rStyle w:val="FootnoteReference"/>
        </w:rPr>
        <w:footnoteReference w:id="14"/>
      </w:r>
      <w:r>
        <w:t xml:space="preserve"> </w:t>
      </w:r>
    </w:p>
    <w:p w:rsidR="00E4201C" w:rsidRPr="00406C1D" w:rsidRDefault="00E4201C" w:rsidP="007B6B89">
      <w:pPr>
        <w:pStyle w:val="Caption"/>
        <w:keepNext/>
        <w:spacing w:after="120"/>
        <w:rPr>
          <w:color w:val="auto"/>
          <w:sz w:val="24"/>
          <w:szCs w:val="28"/>
        </w:rPr>
      </w:pPr>
      <w:r w:rsidRPr="00406C1D">
        <w:rPr>
          <w:color w:val="auto"/>
          <w:sz w:val="24"/>
          <w:szCs w:val="28"/>
        </w:rPr>
        <w:t xml:space="preserve">Table </w:t>
      </w:r>
      <w:r w:rsidR="008A5472">
        <w:rPr>
          <w:color w:val="auto"/>
          <w:sz w:val="24"/>
          <w:szCs w:val="28"/>
        </w:rPr>
        <w:fldChar w:fldCharType="begin"/>
      </w:r>
      <w:r w:rsidR="009E4CF3">
        <w:rPr>
          <w:color w:val="auto"/>
          <w:sz w:val="24"/>
          <w:szCs w:val="28"/>
        </w:rPr>
        <w:instrText xml:space="preserve"> STYLEREF 1 \s </w:instrText>
      </w:r>
      <w:r w:rsidR="008A5472">
        <w:rPr>
          <w:color w:val="auto"/>
          <w:sz w:val="24"/>
          <w:szCs w:val="28"/>
        </w:rPr>
        <w:fldChar w:fldCharType="separate"/>
      </w:r>
      <w:r w:rsidR="009E4CF3">
        <w:rPr>
          <w:noProof/>
          <w:color w:val="auto"/>
          <w:sz w:val="24"/>
          <w:szCs w:val="28"/>
        </w:rPr>
        <w:t>6</w:t>
      </w:r>
      <w:r w:rsidR="008A5472">
        <w:rPr>
          <w:color w:val="auto"/>
          <w:sz w:val="24"/>
          <w:szCs w:val="28"/>
        </w:rPr>
        <w:fldChar w:fldCharType="end"/>
      </w:r>
      <w:r w:rsidR="009E4CF3">
        <w:rPr>
          <w:color w:val="auto"/>
          <w:sz w:val="24"/>
          <w:szCs w:val="28"/>
        </w:rPr>
        <w:noBreakHyphen/>
      </w:r>
      <w:r w:rsidR="008A5472">
        <w:rPr>
          <w:color w:val="auto"/>
          <w:sz w:val="24"/>
          <w:szCs w:val="28"/>
        </w:rPr>
        <w:fldChar w:fldCharType="begin"/>
      </w:r>
      <w:r w:rsidR="009E4CF3">
        <w:rPr>
          <w:color w:val="auto"/>
          <w:sz w:val="24"/>
          <w:szCs w:val="28"/>
        </w:rPr>
        <w:instrText xml:space="preserve"> SEQ Table \* ARABIC \s 1 </w:instrText>
      </w:r>
      <w:r w:rsidR="008A5472">
        <w:rPr>
          <w:color w:val="auto"/>
          <w:sz w:val="24"/>
          <w:szCs w:val="28"/>
        </w:rPr>
        <w:fldChar w:fldCharType="separate"/>
      </w:r>
      <w:r w:rsidR="009E4CF3">
        <w:rPr>
          <w:noProof/>
          <w:color w:val="auto"/>
          <w:sz w:val="24"/>
          <w:szCs w:val="28"/>
        </w:rPr>
        <w:t>1</w:t>
      </w:r>
      <w:r w:rsidR="008A5472">
        <w:rPr>
          <w:color w:val="auto"/>
          <w:sz w:val="24"/>
          <w:szCs w:val="28"/>
        </w:rPr>
        <w:fldChar w:fldCharType="end"/>
      </w:r>
      <w:r w:rsidRPr="00406C1D">
        <w:rPr>
          <w:color w:val="auto"/>
          <w:sz w:val="24"/>
          <w:szCs w:val="28"/>
        </w:rPr>
        <w:t xml:space="preserve"> Random Effects Testing</w:t>
      </w:r>
    </w:p>
    <w:tbl>
      <w:tblPr>
        <w:tblStyle w:val="LightShading-Accent11"/>
        <w:tblW w:w="0" w:type="auto"/>
        <w:tblLook w:val="04A0"/>
      </w:tblPr>
      <w:tblGrid>
        <w:gridCol w:w="1458"/>
        <w:gridCol w:w="990"/>
        <w:gridCol w:w="900"/>
        <w:gridCol w:w="1332"/>
        <w:gridCol w:w="1145"/>
        <w:gridCol w:w="1144"/>
        <w:gridCol w:w="1135"/>
        <w:gridCol w:w="1138"/>
      </w:tblGrid>
      <w:tr w:rsidR="004E0FCF" w:rsidRPr="00406C1D" w:rsidTr="005E056B">
        <w:trPr>
          <w:cnfStyle w:val="100000000000"/>
        </w:trPr>
        <w:tc>
          <w:tcPr>
            <w:cnfStyle w:val="001000000000"/>
            <w:tcW w:w="4680" w:type="dxa"/>
            <w:gridSpan w:val="4"/>
          </w:tcPr>
          <w:p w:rsidR="004E0FCF" w:rsidRPr="00406C1D" w:rsidRDefault="004E0FCF" w:rsidP="004E0FCF">
            <w:pPr>
              <w:jc w:val="both"/>
              <w:rPr>
                <w:b w:val="0"/>
                <w:bCs w:val="0"/>
                <w:color w:val="auto"/>
              </w:rPr>
            </w:pPr>
            <w:r w:rsidRPr="00406C1D">
              <w:rPr>
                <w:color w:val="auto"/>
              </w:rPr>
              <w:t xml:space="preserve">Correlated Random Effects – </w:t>
            </w:r>
            <w:proofErr w:type="spellStart"/>
            <w:r w:rsidRPr="00406C1D">
              <w:rPr>
                <w:color w:val="auto"/>
              </w:rPr>
              <w:t>Hausman</w:t>
            </w:r>
            <w:proofErr w:type="spellEnd"/>
            <w:r w:rsidRPr="00406C1D">
              <w:rPr>
                <w:color w:val="auto"/>
              </w:rPr>
              <w:t xml:space="preserve"> Test</w:t>
            </w:r>
          </w:p>
          <w:p w:rsidR="004E0FCF" w:rsidRPr="00571556" w:rsidRDefault="004E0FCF" w:rsidP="004E0FCF">
            <w:pPr>
              <w:jc w:val="both"/>
              <w:rPr>
                <w:b w:val="0"/>
                <w:bCs w:val="0"/>
                <w:color w:val="auto"/>
                <w:vertAlign w:val="superscript"/>
              </w:rPr>
            </w:pPr>
            <w:r w:rsidRPr="00406C1D">
              <w:rPr>
                <w:b w:val="0"/>
                <w:color w:val="auto"/>
              </w:rPr>
              <w:t xml:space="preserve">Equation </w:t>
            </w:r>
            <w:r w:rsidR="00571556">
              <w:rPr>
                <w:b w:val="0"/>
                <w:color w:val="auto"/>
              </w:rPr>
              <w:t>(5.5)</w:t>
            </w:r>
            <w:r w:rsidR="00571556">
              <w:rPr>
                <w:b w:val="0"/>
                <w:color w:val="auto"/>
                <w:vertAlign w:val="superscript"/>
              </w:rPr>
              <w:t>(a)</w:t>
            </w:r>
          </w:p>
          <w:p w:rsidR="004E0FCF" w:rsidRPr="00406C1D" w:rsidRDefault="004E0FCF" w:rsidP="00B74E6C">
            <w:pPr>
              <w:spacing w:line="360" w:lineRule="auto"/>
              <w:jc w:val="both"/>
              <w:rPr>
                <w:color w:val="auto"/>
              </w:rPr>
            </w:pPr>
            <w:r w:rsidRPr="00406C1D">
              <w:rPr>
                <w:b w:val="0"/>
                <w:color w:val="auto"/>
              </w:rPr>
              <w:t>Test cross-section random effects</w:t>
            </w:r>
          </w:p>
        </w:tc>
        <w:tc>
          <w:tcPr>
            <w:tcW w:w="4562" w:type="dxa"/>
            <w:gridSpan w:val="4"/>
          </w:tcPr>
          <w:p w:rsidR="004E0FCF" w:rsidRPr="00406C1D" w:rsidRDefault="004E0FCF" w:rsidP="004E0FCF">
            <w:pPr>
              <w:jc w:val="both"/>
              <w:cnfStyle w:val="100000000000"/>
              <w:rPr>
                <w:b w:val="0"/>
                <w:bCs w:val="0"/>
                <w:color w:val="auto"/>
              </w:rPr>
            </w:pPr>
            <w:r w:rsidRPr="00406C1D">
              <w:rPr>
                <w:color w:val="auto"/>
              </w:rPr>
              <w:t xml:space="preserve">Correlated Random Effects – </w:t>
            </w:r>
            <w:proofErr w:type="spellStart"/>
            <w:r w:rsidRPr="00406C1D">
              <w:rPr>
                <w:color w:val="auto"/>
              </w:rPr>
              <w:t>Hausman</w:t>
            </w:r>
            <w:proofErr w:type="spellEnd"/>
            <w:r w:rsidRPr="00406C1D">
              <w:rPr>
                <w:color w:val="auto"/>
              </w:rPr>
              <w:t xml:space="preserve"> Test</w:t>
            </w:r>
          </w:p>
          <w:p w:rsidR="004E0FCF" w:rsidRPr="00406C1D" w:rsidRDefault="00571556" w:rsidP="004E0FCF">
            <w:pPr>
              <w:jc w:val="both"/>
              <w:cnfStyle w:val="100000000000"/>
              <w:rPr>
                <w:b w:val="0"/>
                <w:color w:val="auto"/>
              </w:rPr>
            </w:pPr>
            <w:r>
              <w:rPr>
                <w:b w:val="0"/>
                <w:color w:val="auto"/>
              </w:rPr>
              <w:t>Equation</w:t>
            </w:r>
            <w:r w:rsidR="004E0FCF" w:rsidRPr="00406C1D">
              <w:rPr>
                <w:b w:val="0"/>
                <w:color w:val="auto"/>
              </w:rPr>
              <w:t xml:space="preserve"> </w:t>
            </w:r>
            <w:r>
              <w:rPr>
                <w:b w:val="0"/>
                <w:color w:val="auto"/>
              </w:rPr>
              <w:t>(5.5)</w:t>
            </w:r>
          </w:p>
          <w:p w:rsidR="004E0FCF" w:rsidRPr="00406C1D" w:rsidRDefault="004E0FCF" w:rsidP="006A4258">
            <w:pPr>
              <w:spacing w:line="360" w:lineRule="auto"/>
              <w:jc w:val="both"/>
              <w:cnfStyle w:val="100000000000"/>
              <w:rPr>
                <w:color w:val="auto"/>
              </w:rPr>
            </w:pPr>
            <w:r w:rsidRPr="00406C1D">
              <w:rPr>
                <w:b w:val="0"/>
                <w:color w:val="auto"/>
              </w:rPr>
              <w:t xml:space="preserve">Test </w:t>
            </w:r>
            <w:r w:rsidR="006A4258">
              <w:rPr>
                <w:b w:val="0"/>
                <w:color w:val="auto"/>
              </w:rPr>
              <w:t>period</w:t>
            </w:r>
            <w:r w:rsidRPr="00406C1D">
              <w:rPr>
                <w:b w:val="0"/>
                <w:color w:val="auto"/>
              </w:rPr>
              <w:t xml:space="preserve"> random effects</w:t>
            </w:r>
          </w:p>
        </w:tc>
      </w:tr>
      <w:tr w:rsidR="004E0FCF" w:rsidRPr="00406C1D" w:rsidTr="005E056B">
        <w:trPr>
          <w:cnfStyle w:val="000000100000"/>
        </w:trPr>
        <w:tc>
          <w:tcPr>
            <w:cnfStyle w:val="001000000000"/>
            <w:tcW w:w="1458" w:type="dxa"/>
          </w:tcPr>
          <w:p w:rsidR="004E0FCF" w:rsidRPr="00406C1D" w:rsidRDefault="005E056B" w:rsidP="00E4201C">
            <w:pPr>
              <w:spacing w:line="276" w:lineRule="auto"/>
              <w:jc w:val="both"/>
              <w:rPr>
                <w:b w:val="0"/>
                <w:i/>
                <w:color w:val="auto"/>
              </w:rPr>
            </w:pPr>
            <w:r w:rsidRPr="00406C1D">
              <w:rPr>
                <w:b w:val="0"/>
                <w:i/>
                <w:color w:val="auto"/>
              </w:rPr>
              <w:t>Test summary</w:t>
            </w:r>
          </w:p>
        </w:tc>
        <w:tc>
          <w:tcPr>
            <w:tcW w:w="990" w:type="dxa"/>
          </w:tcPr>
          <w:p w:rsidR="004E0FCF" w:rsidRPr="00406C1D" w:rsidRDefault="005E056B" w:rsidP="00E4201C">
            <w:pPr>
              <w:spacing w:line="276" w:lineRule="auto"/>
              <w:jc w:val="both"/>
              <w:cnfStyle w:val="000000100000"/>
              <w:rPr>
                <w:i/>
                <w:color w:val="auto"/>
              </w:rPr>
            </w:pPr>
            <w:r w:rsidRPr="00406C1D">
              <w:rPr>
                <w:i/>
                <w:color w:val="auto"/>
              </w:rPr>
              <w:t>Chi-Sq. Statistic</w:t>
            </w:r>
          </w:p>
        </w:tc>
        <w:tc>
          <w:tcPr>
            <w:tcW w:w="900" w:type="dxa"/>
          </w:tcPr>
          <w:p w:rsidR="004E0FCF" w:rsidRPr="00406C1D" w:rsidRDefault="005E056B" w:rsidP="00E4201C">
            <w:pPr>
              <w:spacing w:line="276" w:lineRule="auto"/>
              <w:jc w:val="both"/>
              <w:cnfStyle w:val="000000100000"/>
              <w:rPr>
                <w:i/>
                <w:color w:val="auto"/>
              </w:rPr>
            </w:pPr>
            <w:r w:rsidRPr="00406C1D">
              <w:rPr>
                <w:i/>
                <w:color w:val="auto"/>
              </w:rPr>
              <w:t xml:space="preserve">Chi-Sq. </w:t>
            </w:r>
            <w:proofErr w:type="spellStart"/>
            <w:r w:rsidRPr="00406C1D">
              <w:rPr>
                <w:i/>
                <w:color w:val="auto"/>
              </w:rPr>
              <w:t>d.f</w:t>
            </w:r>
            <w:proofErr w:type="spellEnd"/>
            <w:r w:rsidRPr="00406C1D">
              <w:rPr>
                <w:i/>
                <w:color w:val="auto"/>
              </w:rPr>
              <w:t>.</w:t>
            </w:r>
          </w:p>
        </w:tc>
        <w:tc>
          <w:tcPr>
            <w:tcW w:w="1332" w:type="dxa"/>
          </w:tcPr>
          <w:p w:rsidR="004E0FCF" w:rsidRPr="00406C1D" w:rsidRDefault="005E056B" w:rsidP="00E4201C">
            <w:pPr>
              <w:spacing w:line="276" w:lineRule="auto"/>
              <w:jc w:val="both"/>
              <w:cnfStyle w:val="000000100000"/>
              <w:rPr>
                <w:i/>
                <w:color w:val="auto"/>
              </w:rPr>
            </w:pPr>
            <w:r w:rsidRPr="00406C1D">
              <w:rPr>
                <w:i/>
                <w:color w:val="auto"/>
              </w:rPr>
              <w:t>Prob.</w:t>
            </w:r>
          </w:p>
        </w:tc>
        <w:tc>
          <w:tcPr>
            <w:tcW w:w="1145" w:type="dxa"/>
          </w:tcPr>
          <w:p w:rsidR="004E0FCF" w:rsidRPr="00406C1D" w:rsidRDefault="004E0FCF" w:rsidP="00E4201C">
            <w:pPr>
              <w:spacing w:line="276" w:lineRule="auto"/>
              <w:jc w:val="both"/>
              <w:cnfStyle w:val="000000100000"/>
              <w:rPr>
                <w:i/>
                <w:color w:val="auto"/>
              </w:rPr>
            </w:pPr>
          </w:p>
        </w:tc>
        <w:tc>
          <w:tcPr>
            <w:tcW w:w="1144" w:type="dxa"/>
          </w:tcPr>
          <w:p w:rsidR="004E0FCF" w:rsidRPr="00406C1D" w:rsidRDefault="005E056B" w:rsidP="00E4201C">
            <w:pPr>
              <w:spacing w:line="276" w:lineRule="auto"/>
              <w:jc w:val="both"/>
              <w:cnfStyle w:val="000000100000"/>
              <w:rPr>
                <w:i/>
                <w:color w:val="auto"/>
              </w:rPr>
            </w:pPr>
            <w:r w:rsidRPr="00406C1D">
              <w:rPr>
                <w:i/>
                <w:color w:val="auto"/>
              </w:rPr>
              <w:t>Chi-Sq. Statistic</w:t>
            </w:r>
          </w:p>
        </w:tc>
        <w:tc>
          <w:tcPr>
            <w:tcW w:w="1135" w:type="dxa"/>
          </w:tcPr>
          <w:p w:rsidR="004E0FCF" w:rsidRPr="00406C1D" w:rsidRDefault="005E056B" w:rsidP="00E4201C">
            <w:pPr>
              <w:spacing w:line="276" w:lineRule="auto"/>
              <w:jc w:val="both"/>
              <w:cnfStyle w:val="000000100000"/>
              <w:rPr>
                <w:i/>
                <w:color w:val="auto"/>
              </w:rPr>
            </w:pPr>
            <w:r w:rsidRPr="00406C1D">
              <w:rPr>
                <w:i/>
                <w:color w:val="auto"/>
              </w:rPr>
              <w:t xml:space="preserve">Chi-Sq. </w:t>
            </w:r>
            <w:proofErr w:type="spellStart"/>
            <w:r w:rsidRPr="00406C1D">
              <w:rPr>
                <w:i/>
                <w:color w:val="auto"/>
              </w:rPr>
              <w:t>d.f</w:t>
            </w:r>
            <w:proofErr w:type="spellEnd"/>
            <w:r w:rsidRPr="00406C1D">
              <w:rPr>
                <w:i/>
                <w:color w:val="auto"/>
              </w:rPr>
              <w:t>.</w:t>
            </w:r>
          </w:p>
        </w:tc>
        <w:tc>
          <w:tcPr>
            <w:tcW w:w="1138" w:type="dxa"/>
          </w:tcPr>
          <w:p w:rsidR="004E0FCF" w:rsidRPr="00406C1D" w:rsidRDefault="005E056B" w:rsidP="00E4201C">
            <w:pPr>
              <w:spacing w:line="276" w:lineRule="auto"/>
              <w:jc w:val="both"/>
              <w:cnfStyle w:val="000000100000"/>
              <w:rPr>
                <w:i/>
                <w:color w:val="auto"/>
              </w:rPr>
            </w:pPr>
            <w:r w:rsidRPr="00406C1D">
              <w:rPr>
                <w:i/>
                <w:color w:val="auto"/>
              </w:rPr>
              <w:t>Prob.</w:t>
            </w:r>
          </w:p>
        </w:tc>
      </w:tr>
      <w:tr w:rsidR="004E0FCF" w:rsidRPr="00406C1D" w:rsidTr="00E4201C">
        <w:tc>
          <w:tcPr>
            <w:cnfStyle w:val="001000000000"/>
            <w:tcW w:w="1458" w:type="dxa"/>
            <w:vAlign w:val="center"/>
          </w:tcPr>
          <w:p w:rsidR="004E0FCF" w:rsidRPr="00406C1D" w:rsidRDefault="005E056B" w:rsidP="00E4201C">
            <w:pPr>
              <w:spacing w:line="276" w:lineRule="auto"/>
              <w:rPr>
                <w:b w:val="0"/>
                <w:color w:val="auto"/>
              </w:rPr>
            </w:pPr>
            <w:r w:rsidRPr="00406C1D">
              <w:rPr>
                <w:b w:val="0"/>
                <w:color w:val="auto"/>
              </w:rPr>
              <w:t>Cross-section random</w:t>
            </w:r>
          </w:p>
        </w:tc>
        <w:tc>
          <w:tcPr>
            <w:tcW w:w="990" w:type="dxa"/>
            <w:vAlign w:val="center"/>
          </w:tcPr>
          <w:p w:rsidR="004E0FCF" w:rsidRPr="00406C1D" w:rsidRDefault="005E056B" w:rsidP="00E4201C">
            <w:pPr>
              <w:spacing w:line="276" w:lineRule="auto"/>
              <w:cnfStyle w:val="000000000000"/>
              <w:rPr>
                <w:color w:val="auto"/>
              </w:rPr>
            </w:pPr>
            <w:r w:rsidRPr="00406C1D">
              <w:rPr>
                <w:color w:val="auto"/>
              </w:rPr>
              <w:t>434.733</w:t>
            </w:r>
          </w:p>
        </w:tc>
        <w:tc>
          <w:tcPr>
            <w:tcW w:w="900" w:type="dxa"/>
            <w:vAlign w:val="center"/>
          </w:tcPr>
          <w:p w:rsidR="004E0FCF" w:rsidRPr="00406C1D" w:rsidRDefault="005E056B" w:rsidP="00E4201C">
            <w:pPr>
              <w:spacing w:line="276" w:lineRule="auto"/>
              <w:cnfStyle w:val="000000000000"/>
              <w:rPr>
                <w:color w:val="auto"/>
              </w:rPr>
            </w:pPr>
            <w:r w:rsidRPr="00406C1D">
              <w:rPr>
                <w:color w:val="auto"/>
              </w:rPr>
              <w:t>9</w:t>
            </w:r>
          </w:p>
        </w:tc>
        <w:tc>
          <w:tcPr>
            <w:tcW w:w="1332" w:type="dxa"/>
            <w:vAlign w:val="center"/>
          </w:tcPr>
          <w:p w:rsidR="004E0FCF" w:rsidRPr="00406C1D" w:rsidRDefault="005E056B" w:rsidP="00E4201C">
            <w:pPr>
              <w:spacing w:line="276" w:lineRule="auto"/>
              <w:cnfStyle w:val="000000000000"/>
              <w:rPr>
                <w:color w:val="auto"/>
              </w:rPr>
            </w:pPr>
            <w:r w:rsidRPr="00406C1D">
              <w:rPr>
                <w:color w:val="auto"/>
              </w:rPr>
              <w:t>0.0000</w:t>
            </w:r>
          </w:p>
        </w:tc>
        <w:tc>
          <w:tcPr>
            <w:tcW w:w="1145" w:type="dxa"/>
            <w:vAlign w:val="center"/>
          </w:tcPr>
          <w:p w:rsidR="004E0FCF" w:rsidRPr="00406C1D" w:rsidRDefault="006A4258" w:rsidP="00E4201C">
            <w:pPr>
              <w:spacing w:line="276" w:lineRule="auto"/>
              <w:cnfStyle w:val="000000000000"/>
              <w:rPr>
                <w:color w:val="auto"/>
              </w:rPr>
            </w:pPr>
            <w:r>
              <w:rPr>
                <w:color w:val="auto"/>
              </w:rPr>
              <w:t>Period</w:t>
            </w:r>
            <w:r w:rsidR="005E056B" w:rsidRPr="00406C1D">
              <w:rPr>
                <w:color w:val="auto"/>
              </w:rPr>
              <w:t xml:space="preserve"> Random</w:t>
            </w:r>
          </w:p>
        </w:tc>
        <w:tc>
          <w:tcPr>
            <w:tcW w:w="1144" w:type="dxa"/>
            <w:vAlign w:val="center"/>
          </w:tcPr>
          <w:p w:rsidR="004E0FCF" w:rsidRPr="00406C1D" w:rsidRDefault="005E056B" w:rsidP="00E4201C">
            <w:pPr>
              <w:spacing w:line="276" w:lineRule="auto"/>
              <w:cnfStyle w:val="000000000000"/>
              <w:rPr>
                <w:color w:val="auto"/>
              </w:rPr>
            </w:pPr>
            <w:r w:rsidRPr="00406C1D">
              <w:rPr>
                <w:color w:val="auto"/>
              </w:rPr>
              <w:t>382.271</w:t>
            </w:r>
          </w:p>
        </w:tc>
        <w:tc>
          <w:tcPr>
            <w:tcW w:w="1135" w:type="dxa"/>
            <w:vAlign w:val="center"/>
          </w:tcPr>
          <w:p w:rsidR="004E0FCF" w:rsidRPr="00406C1D" w:rsidRDefault="005E056B" w:rsidP="00E4201C">
            <w:pPr>
              <w:spacing w:line="276" w:lineRule="auto"/>
              <w:cnfStyle w:val="000000000000"/>
              <w:rPr>
                <w:color w:val="auto"/>
              </w:rPr>
            </w:pPr>
            <w:r w:rsidRPr="00406C1D">
              <w:rPr>
                <w:color w:val="auto"/>
              </w:rPr>
              <w:t>8</w:t>
            </w:r>
          </w:p>
        </w:tc>
        <w:tc>
          <w:tcPr>
            <w:tcW w:w="1138" w:type="dxa"/>
            <w:vAlign w:val="center"/>
          </w:tcPr>
          <w:p w:rsidR="004E0FCF" w:rsidRPr="00406C1D" w:rsidRDefault="005E056B" w:rsidP="0044786B">
            <w:pPr>
              <w:keepNext/>
              <w:spacing w:line="276" w:lineRule="auto"/>
              <w:cnfStyle w:val="000000000000"/>
              <w:rPr>
                <w:color w:val="auto"/>
              </w:rPr>
            </w:pPr>
            <w:r w:rsidRPr="00406C1D">
              <w:rPr>
                <w:color w:val="auto"/>
              </w:rPr>
              <w:t>0.0000</w:t>
            </w:r>
          </w:p>
        </w:tc>
      </w:tr>
    </w:tbl>
    <w:p w:rsidR="0044786B" w:rsidRPr="0044786B" w:rsidRDefault="00891437" w:rsidP="00891437">
      <w:pPr>
        <w:pStyle w:val="Caption"/>
        <w:jc w:val="both"/>
        <w:rPr>
          <w:color w:val="auto"/>
        </w:rPr>
      </w:pPr>
      <w:r>
        <w:rPr>
          <w:color w:val="auto"/>
        </w:rPr>
        <w:t>N</w:t>
      </w:r>
      <w:r w:rsidR="0044786B" w:rsidRPr="0044786B">
        <w:rPr>
          <w:color w:val="auto"/>
        </w:rPr>
        <w:t xml:space="preserve">otes: </w:t>
      </w:r>
      <w:r w:rsidR="00571556">
        <w:rPr>
          <w:color w:val="auto"/>
        </w:rPr>
        <w:t xml:space="preserve">(a) the Country Pair Fixed Effect model with time varying constants </w:t>
      </w:r>
      <w:r w:rsidR="00BB3417">
        <w:rPr>
          <w:color w:val="auto"/>
        </w:rPr>
        <w:t xml:space="preserve">(equation 5.5) is subject to the </w:t>
      </w:r>
      <w:proofErr w:type="spellStart"/>
      <w:r w:rsidR="00BB3417">
        <w:rPr>
          <w:color w:val="auto"/>
        </w:rPr>
        <w:t>Hausman</w:t>
      </w:r>
      <w:proofErr w:type="spellEnd"/>
      <w:r w:rsidR="00BB3417">
        <w:rPr>
          <w:color w:val="auto"/>
        </w:rPr>
        <w:t xml:space="preserve"> Test, since it is the only model with </w:t>
      </w:r>
      <w:r w:rsidR="007B6B89">
        <w:rPr>
          <w:color w:val="auto"/>
        </w:rPr>
        <w:t xml:space="preserve">testable </w:t>
      </w:r>
      <w:r w:rsidR="00BB3417">
        <w:rPr>
          <w:color w:val="auto"/>
        </w:rPr>
        <w:t>cross section</w:t>
      </w:r>
      <w:r w:rsidR="007B6B89">
        <w:rPr>
          <w:color w:val="auto"/>
        </w:rPr>
        <w:t xml:space="preserve">s </w:t>
      </w:r>
      <w:r w:rsidR="007B6B89" w:rsidRPr="007B6B89">
        <w:rPr>
          <w:i/>
          <w:color w:val="auto"/>
        </w:rPr>
        <w:t>and</w:t>
      </w:r>
      <w:r w:rsidR="007B6B89">
        <w:rPr>
          <w:color w:val="auto"/>
        </w:rPr>
        <w:t xml:space="preserve"> time varying constants; </w:t>
      </w:r>
      <w:r>
        <w:rPr>
          <w:color w:val="auto"/>
        </w:rPr>
        <w:t>(</w:t>
      </w:r>
      <w:proofErr w:type="spellStart"/>
      <w:r>
        <w:rPr>
          <w:color w:val="auto"/>
        </w:rPr>
        <w:t>i</w:t>
      </w:r>
      <w:proofErr w:type="spellEnd"/>
      <w:r>
        <w:rPr>
          <w:color w:val="auto"/>
        </w:rPr>
        <w:t xml:space="preserve">) The </w:t>
      </w:r>
      <w:proofErr w:type="spellStart"/>
      <w:r>
        <w:rPr>
          <w:color w:val="auto"/>
        </w:rPr>
        <w:t>Hausman</w:t>
      </w:r>
      <w:proofErr w:type="spellEnd"/>
      <w:r>
        <w:rPr>
          <w:color w:val="auto"/>
        </w:rPr>
        <w:t xml:space="preserve"> Test tests whether it is appropriate to assign random effects </w:t>
      </w:r>
      <w:r w:rsidR="006A4258">
        <w:rPr>
          <w:color w:val="auto"/>
        </w:rPr>
        <w:t xml:space="preserve">to </w:t>
      </w:r>
      <w:r>
        <w:rPr>
          <w:color w:val="auto"/>
        </w:rPr>
        <w:t>the cross-sections and/or the time series</w:t>
      </w:r>
      <w:r w:rsidR="00571556">
        <w:rPr>
          <w:color w:val="auto"/>
        </w:rPr>
        <w:t xml:space="preserve"> in the panel</w:t>
      </w:r>
      <w:r>
        <w:rPr>
          <w:color w:val="auto"/>
        </w:rPr>
        <w:t xml:space="preserve">; (ii) the null hypothesis is </w:t>
      </w:r>
      <w:r w:rsidR="00571556">
        <w:rPr>
          <w:color w:val="auto"/>
        </w:rPr>
        <w:t>that random effects are appropriate</w:t>
      </w:r>
      <w:r w:rsidR="007B6B89">
        <w:rPr>
          <w:color w:val="auto"/>
        </w:rPr>
        <w:t>.</w:t>
      </w:r>
    </w:p>
    <w:p w:rsidR="00A6113C" w:rsidRDefault="00AA6C68" w:rsidP="00B74E6C">
      <w:pPr>
        <w:spacing w:line="360" w:lineRule="auto"/>
        <w:jc w:val="both"/>
      </w:pPr>
      <w:r>
        <w:lastRenderedPageBreak/>
        <w:br/>
      </w:r>
      <w:r w:rsidR="00A6113C">
        <w:t xml:space="preserve">The results displayed above are comparable for each of the different specifications of the country pair fixed effect model and </w:t>
      </w:r>
      <w:r>
        <w:t>reject</w:t>
      </w:r>
      <w:r w:rsidR="00A6113C">
        <w:t xml:space="preserve"> the use</w:t>
      </w:r>
      <w:r>
        <w:t xml:space="preserve"> of random effects in the panel (p = 0.0000).</w:t>
      </w:r>
      <w:r w:rsidR="00A6113C">
        <w:t xml:space="preserve"> </w:t>
      </w:r>
    </w:p>
    <w:p w:rsidR="00A6113C" w:rsidRDefault="00A6113C" w:rsidP="00A6113C">
      <w:pPr>
        <w:spacing w:line="360" w:lineRule="auto"/>
        <w:jc w:val="both"/>
      </w:pPr>
      <w:r>
        <w:t xml:space="preserve">Now that the </w:t>
      </w:r>
      <w:proofErr w:type="spellStart"/>
      <w:r>
        <w:t>Hausman</w:t>
      </w:r>
      <w:proofErr w:type="spellEnd"/>
      <w:r>
        <w:t xml:space="preserve"> test </w:t>
      </w:r>
      <w:r w:rsidR="006A1EFD">
        <w:t>has ruled out the use of random effects</w:t>
      </w:r>
      <w:r>
        <w:t>, the next step is to check whether time fixed effects, cross-section fixed effects,</w:t>
      </w:r>
      <w:r w:rsidR="003F2E26">
        <w:t xml:space="preserve"> or both time and cross-section</w:t>
      </w:r>
      <w:r>
        <w:t xml:space="preserve"> fixed effects </w:t>
      </w:r>
      <w:r w:rsidR="00524243">
        <w:t>would be</w:t>
      </w:r>
      <w:r>
        <w:t xml:space="preserve"> appropriate. This is done by fixing time effects in the </w:t>
      </w:r>
      <w:r w:rsidR="00922E57">
        <w:t>CFE</w:t>
      </w:r>
      <w:r w:rsidR="00770AFC">
        <w:t xml:space="preserve"> model</w:t>
      </w:r>
      <w:r>
        <w:t xml:space="preserve">, and fixing both time and cross-section effects in the </w:t>
      </w:r>
      <w:r w:rsidR="00922E57">
        <w:t>CPFE</w:t>
      </w:r>
      <w:r>
        <w:t xml:space="preserve"> model and test for</w:t>
      </w:r>
      <w:r w:rsidR="00922E57">
        <w:t xml:space="preserve"> </w:t>
      </w:r>
      <w:r w:rsidR="00524243">
        <w:t>any redundancy in these</w:t>
      </w:r>
      <w:r w:rsidR="00922E57">
        <w:t xml:space="preserve"> fixed effects. </w:t>
      </w:r>
    </w:p>
    <w:p w:rsidR="00AA6C68" w:rsidRPr="00406C1D" w:rsidRDefault="00AA6C68" w:rsidP="00AA6C68">
      <w:pPr>
        <w:pStyle w:val="Caption"/>
        <w:keepNext/>
        <w:rPr>
          <w:color w:val="auto"/>
          <w:sz w:val="24"/>
        </w:rPr>
      </w:pPr>
      <w:r w:rsidRPr="00406C1D">
        <w:rPr>
          <w:color w:val="auto"/>
          <w:sz w:val="24"/>
        </w:rPr>
        <w:t xml:space="preserve">Table </w:t>
      </w:r>
      <w:r w:rsidR="008A5472">
        <w:rPr>
          <w:color w:val="auto"/>
          <w:sz w:val="24"/>
        </w:rPr>
        <w:fldChar w:fldCharType="begin"/>
      </w:r>
      <w:r w:rsidR="009E4CF3">
        <w:rPr>
          <w:color w:val="auto"/>
          <w:sz w:val="24"/>
        </w:rPr>
        <w:instrText xml:space="preserve"> STYLEREF 1 \s </w:instrText>
      </w:r>
      <w:r w:rsidR="008A5472">
        <w:rPr>
          <w:color w:val="auto"/>
          <w:sz w:val="24"/>
        </w:rPr>
        <w:fldChar w:fldCharType="separate"/>
      </w:r>
      <w:r w:rsidR="009E4CF3">
        <w:rPr>
          <w:noProof/>
          <w:color w:val="auto"/>
          <w:sz w:val="24"/>
        </w:rPr>
        <w:t>6</w:t>
      </w:r>
      <w:r w:rsidR="008A5472">
        <w:rPr>
          <w:color w:val="auto"/>
          <w:sz w:val="24"/>
        </w:rPr>
        <w:fldChar w:fldCharType="end"/>
      </w:r>
      <w:r w:rsidR="009E4CF3">
        <w:rPr>
          <w:color w:val="auto"/>
          <w:sz w:val="24"/>
        </w:rPr>
        <w:noBreakHyphen/>
      </w:r>
      <w:r w:rsidR="008A5472">
        <w:rPr>
          <w:color w:val="auto"/>
          <w:sz w:val="24"/>
        </w:rPr>
        <w:fldChar w:fldCharType="begin"/>
      </w:r>
      <w:r w:rsidR="009E4CF3">
        <w:rPr>
          <w:color w:val="auto"/>
          <w:sz w:val="24"/>
        </w:rPr>
        <w:instrText xml:space="preserve"> SEQ Table \* ARABIC \s 1 </w:instrText>
      </w:r>
      <w:r w:rsidR="008A5472">
        <w:rPr>
          <w:color w:val="auto"/>
          <w:sz w:val="24"/>
        </w:rPr>
        <w:fldChar w:fldCharType="separate"/>
      </w:r>
      <w:r w:rsidR="009E4CF3">
        <w:rPr>
          <w:noProof/>
          <w:color w:val="auto"/>
          <w:sz w:val="24"/>
        </w:rPr>
        <w:t>2</w:t>
      </w:r>
      <w:r w:rsidR="008A5472">
        <w:rPr>
          <w:color w:val="auto"/>
          <w:sz w:val="24"/>
        </w:rPr>
        <w:fldChar w:fldCharType="end"/>
      </w:r>
      <w:r w:rsidRPr="00406C1D">
        <w:rPr>
          <w:color w:val="auto"/>
          <w:sz w:val="24"/>
        </w:rPr>
        <w:t xml:space="preserve"> Redundant Fixed Effects Testing</w:t>
      </w:r>
      <w:r w:rsidR="00844C51" w:rsidRPr="00406C1D">
        <w:rPr>
          <w:color w:val="auto"/>
          <w:sz w:val="24"/>
        </w:rPr>
        <w:t xml:space="preserve"> in Country Fixed Effect Model</w:t>
      </w:r>
    </w:p>
    <w:tbl>
      <w:tblPr>
        <w:tblStyle w:val="LightShading-Accent11"/>
        <w:tblW w:w="0" w:type="auto"/>
        <w:tblLook w:val="04A0"/>
      </w:tblPr>
      <w:tblGrid>
        <w:gridCol w:w="3528"/>
        <w:gridCol w:w="2610"/>
        <w:gridCol w:w="1620"/>
        <w:gridCol w:w="1484"/>
      </w:tblGrid>
      <w:tr w:rsidR="00AA6C68" w:rsidRPr="00406C1D" w:rsidTr="002E57D3">
        <w:trPr>
          <w:cnfStyle w:val="100000000000"/>
        </w:trPr>
        <w:tc>
          <w:tcPr>
            <w:cnfStyle w:val="001000000000"/>
            <w:tcW w:w="9242" w:type="dxa"/>
            <w:gridSpan w:val="4"/>
          </w:tcPr>
          <w:p w:rsidR="00AA6C68" w:rsidRPr="007B6B89" w:rsidRDefault="00AA6C68" w:rsidP="00AA6C68">
            <w:pPr>
              <w:spacing w:line="276" w:lineRule="auto"/>
              <w:rPr>
                <w:b w:val="0"/>
                <w:color w:val="auto"/>
                <w:vertAlign w:val="superscript"/>
              </w:rPr>
            </w:pPr>
            <w:r w:rsidRPr="00406C1D">
              <w:rPr>
                <w:color w:val="auto"/>
              </w:rPr>
              <w:t>Redundant Fixed Effects Test</w:t>
            </w:r>
            <w:r w:rsidRPr="00406C1D">
              <w:rPr>
                <w:color w:val="auto"/>
              </w:rPr>
              <w:br/>
            </w:r>
            <w:r w:rsidRPr="00406C1D">
              <w:rPr>
                <w:b w:val="0"/>
                <w:color w:val="auto"/>
              </w:rPr>
              <w:t xml:space="preserve">Equation </w:t>
            </w:r>
            <w:r w:rsidR="007B6B89">
              <w:rPr>
                <w:b w:val="0"/>
                <w:color w:val="auto"/>
              </w:rPr>
              <w:t>(5.3)</w:t>
            </w:r>
            <w:r w:rsidR="007B6B89">
              <w:rPr>
                <w:b w:val="0"/>
                <w:color w:val="auto"/>
                <w:vertAlign w:val="superscript"/>
              </w:rPr>
              <w:t>(a)</w:t>
            </w:r>
          </w:p>
          <w:p w:rsidR="00AA6C68" w:rsidRPr="00406C1D" w:rsidRDefault="00844C51" w:rsidP="00AA6C68">
            <w:pPr>
              <w:spacing w:line="276" w:lineRule="auto"/>
              <w:rPr>
                <w:color w:val="auto"/>
              </w:rPr>
            </w:pPr>
            <w:r w:rsidRPr="00406C1D">
              <w:rPr>
                <w:b w:val="0"/>
                <w:color w:val="auto"/>
              </w:rPr>
              <w:t>Test p</w:t>
            </w:r>
            <w:r w:rsidR="00AA6C68" w:rsidRPr="00406C1D">
              <w:rPr>
                <w:b w:val="0"/>
                <w:color w:val="auto"/>
              </w:rPr>
              <w:t>erio</w:t>
            </w:r>
            <w:r w:rsidRPr="00406C1D">
              <w:rPr>
                <w:b w:val="0"/>
                <w:color w:val="auto"/>
              </w:rPr>
              <w:t>d f</w:t>
            </w:r>
            <w:r w:rsidR="00AA6C68" w:rsidRPr="00406C1D">
              <w:rPr>
                <w:b w:val="0"/>
                <w:color w:val="auto"/>
              </w:rPr>
              <w:t>i</w:t>
            </w:r>
            <w:r w:rsidRPr="00406C1D">
              <w:rPr>
                <w:b w:val="0"/>
                <w:color w:val="auto"/>
              </w:rPr>
              <w:t>xed e</w:t>
            </w:r>
            <w:r w:rsidR="00AA6C68" w:rsidRPr="00406C1D">
              <w:rPr>
                <w:b w:val="0"/>
                <w:color w:val="auto"/>
              </w:rPr>
              <w:t>ffects</w:t>
            </w:r>
          </w:p>
        </w:tc>
      </w:tr>
      <w:tr w:rsidR="00AA6C68" w:rsidRPr="00406C1D" w:rsidTr="00844C51">
        <w:trPr>
          <w:cnfStyle w:val="000000100000"/>
        </w:trPr>
        <w:tc>
          <w:tcPr>
            <w:cnfStyle w:val="001000000000"/>
            <w:tcW w:w="3528" w:type="dxa"/>
          </w:tcPr>
          <w:p w:rsidR="00AA6C68" w:rsidRPr="00406C1D" w:rsidRDefault="00AA6C68" w:rsidP="00A6113C">
            <w:pPr>
              <w:spacing w:line="360" w:lineRule="auto"/>
              <w:jc w:val="both"/>
              <w:rPr>
                <w:b w:val="0"/>
                <w:i/>
                <w:color w:val="auto"/>
              </w:rPr>
            </w:pPr>
            <w:r w:rsidRPr="00406C1D">
              <w:rPr>
                <w:b w:val="0"/>
                <w:i/>
                <w:color w:val="auto"/>
              </w:rPr>
              <w:t>Effects Test</w:t>
            </w:r>
          </w:p>
        </w:tc>
        <w:tc>
          <w:tcPr>
            <w:tcW w:w="2610" w:type="dxa"/>
            <w:vAlign w:val="center"/>
          </w:tcPr>
          <w:p w:rsidR="00AA6C68" w:rsidRPr="00406C1D" w:rsidRDefault="00AA6C68" w:rsidP="00844C51">
            <w:pPr>
              <w:spacing w:line="360" w:lineRule="auto"/>
              <w:jc w:val="right"/>
              <w:cnfStyle w:val="000000100000"/>
              <w:rPr>
                <w:i/>
                <w:color w:val="auto"/>
              </w:rPr>
            </w:pPr>
            <w:r w:rsidRPr="00406C1D">
              <w:rPr>
                <w:i/>
                <w:color w:val="auto"/>
              </w:rPr>
              <w:t>Statistic</w:t>
            </w:r>
          </w:p>
        </w:tc>
        <w:tc>
          <w:tcPr>
            <w:tcW w:w="1620" w:type="dxa"/>
            <w:vAlign w:val="center"/>
          </w:tcPr>
          <w:p w:rsidR="00AA6C68" w:rsidRPr="00406C1D" w:rsidRDefault="00AA6C68" w:rsidP="00844C51">
            <w:pPr>
              <w:spacing w:line="360" w:lineRule="auto"/>
              <w:jc w:val="right"/>
              <w:cnfStyle w:val="000000100000"/>
              <w:rPr>
                <w:i/>
                <w:color w:val="auto"/>
              </w:rPr>
            </w:pPr>
            <w:proofErr w:type="spellStart"/>
            <w:r w:rsidRPr="00406C1D">
              <w:rPr>
                <w:i/>
                <w:color w:val="auto"/>
              </w:rPr>
              <w:t>d.f</w:t>
            </w:r>
            <w:proofErr w:type="spellEnd"/>
            <w:r w:rsidRPr="00406C1D">
              <w:rPr>
                <w:i/>
                <w:color w:val="auto"/>
              </w:rPr>
              <w:t>.</w:t>
            </w:r>
          </w:p>
        </w:tc>
        <w:tc>
          <w:tcPr>
            <w:tcW w:w="1484" w:type="dxa"/>
            <w:vAlign w:val="center"/>
          </w:tcPr>
          <w:p w:rsidR="00AA6C68" w:rsidRPr="00406C1D" w:rsidRDefault="00AA6C68" w:rsidP="00844C51">
            <w:pPr>
              <w:spacing w:line="360" w:lineRule="auto"/>
              <w:jc w:val="right"/>
              <w:cnfStyle w:val="000000100000"/>
              <w:rPr>
                <w:i/>
                <w:color w:val="auto"/>
              </w:rPr>
            </w:pPr>
            <w:r w:rsidRPr="00406C1D">
              <w:rPr>
                <w:i/>
                <w:color w:val="auto"/>
              </w:rPr>
              <w:t>Prob.</w:t>
            </w:r>
          </w:p>
        </w:tc>
      </w:tr>
      <w:tr w:rsidR="00AA6C68" w:rsidRPr="00406C1D" w:rsidTr="00844C51">
        <w:tc>
          <w:tcPr>
            <w:cnfStyle w:val="001000000000"/>
            <w:tcW w:w="3528" w:type="dxa"/>
            <w:vAlign w:val="center"/>
          </w:tcPr>
          <w:p w:rsidR="00AA6C68" w:rsidRPr="00406C1D" w:rsidRDefault="00AA6C68" w:rsidP="00AA6C68">
            <w:pPr>
              <w:spacing w:line="276" w:lineRule="auto"/>
              <w:rPr>
                <w:b w:val="0"/>
                <w:color w:val="auto"/>
              </w:rPr>
            </w:pPr>
            <w:r w:rsidRPr="00406C1D">
              <w:rPr>
                <w:b w:val="0"/>
                <w:color w:val="auto"/>
              </w:rPr>
              <w:t>Period F</w:t>
            </w:r>
          </w:p>
        </w:tc>
        <w:tc>
          <w:tcPr>
            <w:tcW w:w="2610" w:type="dxa"/>
            <w:vAlign w:val="center"/>
          </w:tcPr>
          <w:p w:rsidR="00AA6C68" w:rsidRPr="00406C1D" w:rsidRDefault="00AA6C68" w:rsidP="00844C51">
            <w:pPr>
              <w:spacing w:line="276" w:lineRule="auto"/>
              <w:jc w:val="right"/>
              <w:cnfStyle w:val="000000000000"/>
              <w:rPr>
                <w:color w:val="auto"/>
              </w:rPr>
            </w:pPr>
            <w:r w:rsidRPr="00406C1D">
              <w:rPr>
                <w:color w:val="auto"/>
              </w:rPr>
              <w:t>11.570</w:t>
            </w:r>
          </w:p>
        </w:tc>
        <w:tc>
          <w:tcPr>
            <w:tcW w:w="1620" w:type="dxa"/>
            <w:vAlign w:val="center"/>
          </w:tcPr>
          <w:p w:rsidR="00AA6C68" w:rsidRPr="00406C1D" w:rsidRDefault="00AA6C68" w:rsidP="00844C51">
            <w:pPr>
              <w:spacing w:line="276" w:lineRule="auto"/>
              <w:jc w:val="right"/>
              <w:cnfStyle w:val="000000000000"/>
              <w:rPr>
                <w:color w:val="auto"/>
              </w:rPr>
            </w:pPr>
            <w:r w:rsidRPr="00406C1D">
              <w:rPr>
                <w:color w:val="auto"/>
              </w:rPr>
              <w:t>(11,14989)</w:t>
            </w:r>
          </w:p>
        </w:tc>
        <w:tc>
          <w:tcPr>
            <w:tcW w:w="1484" w:type="dxa"/>
            <w:vAlign w:val="center"/>
          </w:tcPr>
          <w:p w:rsidR="00AA6C68" w:rsidRPr="00406C1D" w:rsidRDefault="00AA6C68" w:rsidP="00844C51">
            <w:pPr>
              <w:spacing w:line="276" w:lineRule="auto"/>
              <w:jc w:val="right"/>
              <w:cnfStyle w:val="000000000000"/>
              <w:rPr>
                <w:color w:val="auto"/>
              </w:rPr>
            </w:pPr>
            <w:r w:rsidRPr="00406C1D">
              <w:rPr>
                <w:color w:val="auto"/>
              </w:rPr>
              <w:t>0.0000</w:t>
            </w:r>
          </w:p>
        </w:tc>
      </w:tr>
      <w:tr w:rsidR="00AA6C68" w:rsidRPr="00406C1D" w:rsidTr="00844C51">
        <w:trPr>
          <w:cnfStyle w:val="000000100000"/>
        </w:trPr>
        <w:tc>
          <w:tcPr>
            <w:cnfStyle w:val="001000000000"/>
            <w:tcW w:w="3528" w:type="dxa"/>
            <w:vAlign w:val="center"/>
          </w:tcPr>
          <w:p w:rsidR="00AA6C68" w:rsidRPr="00406C1D" w:rsidRDefault="00AA6C68" w:rsidP="00AA6C68">
            <w:pPr>
              <w:spacing w:line="276" w:lineRule="auto"/>
              <w:rPr>
                <w:b w:val="0"/>
                <w:color w:val="auto"/>
              </w:rPr>
            </w:pPr>
            <w:r w:rsidRPr="00406C1D">
              <w:rPr>
                <w:b w:val="0"/>
                <w:color w:val="auto"/>
              </w:rPr>
              <w:t>Period Chi-square</w:t>
            </w:r>
          </w:p>
        </w:tc>
        <w:tc>
          <w:tcPr>
            <w:tcW w:w="2610" w:type="dxa"/>
            <w:vAlign w:val="center"/>
          </w:tcPr>
          <w:p w:rsidR="00AA6C68" w:rsidRPr="00406C1D" w:rsidRDefault="00AA6C68" w:rsidP="00844C51">
            <w:pPr>
              <w:spacing w:line="276" w:lineRule="auto"/>
              <w:jc w:val="right"/>
              <w:cnfStyle w:val="000000100000"/>
              <w:rPr>
                <w:color w:val="auto"/>
              </w:rPr>
            </w:pPr>
            <w:r w:rsidRPr="00406C1D">
              <w:rPr>
                <w:color w:val="auto"/>
              </w:rPr>
              <w:t>127.518</w:t>
            </w:r>
          </w:p>
        </w:tc>
        <w:tc>
          <w:tcPr>
            <w:tcW w:w="1620" w:type="dxa"/>
            <w:vAlign w:val="center"/>
          </w:tcPr>
          <w:p w:rsidR="00AA6C68" w:rsidRPr="00406C1D" w:rsidRDefault="00AA6C68" w:rsidP="00844C51">
            <w:pPr>
              <w:spacing w:line="276" w:lineRule="auto"/>
              <w:jc w:val="right"/>
              <w:cnfStyle w:val="000000100000"/>
              <w:rPr>
                <w:color w:val="auto"/>
              </w:rPr>
            </w:pPr>
            <w:r w:rsidRPr="00406C1D">
              <w:rPr>
                <w:color w:val="auto"/>
              </w:rPr>
              <w:t>11</w:t>
            </w:r>
          </w:p>
        </w:tc>
        <w:tc>
          <w:tcPr>
            <w:tcW w:w="1484" w:type="dxa"/>
            <w:vAlign w:val="center"/>
          </w:tcPr>
          <w:p w:rsidR="00AA6C68" w:rsidRPr="00406C1D" w:rsidRDefault="00AA6C68" w:rsidP="0044786B">
            <w:pPr>
              <w:keepNext/>
              <w:spacing w:line="276" w:lineRule="auto"/>
              <w:jc w:val="right"/>
              <w:cnfStyle w:val="000000100000"/>
              <w:rPr>
                <w:color w:val="auto"/>
              </w:rPr>
            </w:pPr>
            <w:r w:rsidRPr="00406C1D">
              <w:rPr>
                <w:color w:val="auto"/>
              </w:rPr>
              <w:t>0.0000</w:t>
            </w:r>
          </w:p>
        </w:tc>
      </w:tr>
    </w:tbl>
    <w:p w:rsidR="0044786B" w:rsidRPr="0044786B" w:rsidRDefault="00524243" w:rsidP="006B559E">
      <w:pPr>
        <w:pStyle w:val="Caption"/>
        <w:jc w:val="both"/>
        <w:rPr>
          <w:color w:val="auto"/>
        </w:rPr>
      </w:pPr>
      <w:r>
        <w:rPr>
          <w:color w:val="auto"/>
        </w:rPr>
        <w:t>N</w:t>
      </w:r>
      <w:r w:rsidRPr="0044786B">
        <w:rPr>
          <w:color w:val="auto"/>
        </w:rPr>
        <w:t xml:space="preserve">otes: </w:t>
      </w:r>
      <w:r>
        <w:rPr>
          <w:color w:val="auto"/>
        </w:rPr>
        <w:t xml:space="preserve">(a) the </w:t>
      </w:r>
      <w:r w:rsidR="006B559E">
        <w:rPr>
          <w:color w:val="auto"/>
        </w:rPr>
        <w:t xml:space="preserve">time varying constants in the </w:t>
      </w:r>
      <w:r>
        <w:rPr>
          <w:color w:val="auto"/>
        </w:rPr>
        <w:t>Country Fixed Effect model with time varying constants (equation 5.</w:t>
      </w:r>
      <w:r w:rsidR="00CE4E06">
        <w:rPr>
          <w:color w:val="auto"/>
        </w:rPr>
        <w:t>3</w:t>
      </w:r>
      <w:r>
        <w:rPr>
          <w:color w:val="auto"/>
        </w:rPr>
        <w:t xml:space="preserve">) </w:t>
      </w:r>
      <w:r w:rsidR="006B559E">
        <w:rPr>
          <w:color w:val="auto"/>
        </w:rPr>
        <w:t>are</w:t>
      </w:r>
      <w:r>
        <w:rPr>
          <w:color w:val="auto"/>
        </w:rPr>
        <w:t xml:space="preserve"> subject to the </w:t>
      </w:r>
      <w:r w:rsidR="00CE4E06">
        <w:rPr>
          <w:color w:val="auto"/>
        </w:rPr>
        <w:t>Redundant Fixed Effects</w:t>
      </w:r>
      <w:r>
        <w:rPr>
          <w:color w:val="auto"/>
        </w:rPr>
        <w:t xml:space="preserve"> Test; (</w:t>
      </w:r>
      <w:proofErr w:type="spellStart"/>
      <w:r>
        <w:rPr>
          <w:color w:val="auto"/>
        </w:rPr>
        <w:t>i</w:t>
      </w:r>
      <w:proofErr w:type="spellEnd"/>
      <w:r>
        <w:rPr>
          <w:color w:val="auto"/>
        </w:rPr>
        <w:t xml:space="preserve">) The </w:t>
      </w:r>
      <w:r w:rsidR="006B559E">
        <w:rPr>
          <w:color w:val="auto"/>
        </w:rPr>
        <w:t>Redundant Fixed Effects Test</w:t>
      </w:r>
      <w:r>
        <w:rPr>
          <w:color w:val="auto"/>
        </w:rPr>
        <w:t xml:space="preserve"> tests whether </w:t>
      </w:r>
      <w:r w:rsidR="006A4258">
        <w:rPr>
          <w:color w:val="auto"/>
        </w:rPr>
        <w:t>applying fixed values on each period in the panel is redundant</w:t>
      </w:r>
      <w:r>
        <w:rPr>
          <w:color w:val="auto"/>
        </w:rPr>
        <w:t xml:space="preserve">; (ii) the null hypothesis is that </w:t>
      </w:r>
      <w:r w:rsidR="006B559E">
        <w:rPr>
          <w:color w:val="auto"/>
        </w:rPr>
        <w:t>fixed effects are redundant</w:t>
      </w:r>
      <w:r w:rsidR="006A4258">
        <w:rPr>
          <w:color w:val="auto"/>
        </w:rPr>
        <w:t>.</w:t>
      </w:r>
      <w:r w:rsidR="0044786B" w:rsidRPr="0044786B">
        <w:rPr>
          <w:color w:val="auto"/>
        </w:rPr>
        <w:t xml:space="preserve"> </w:t>
      </w:r>
    </w:p>
    <w:p w:rsidR="00E2203F" w:rsidRDefault="00E2203F" w:rsidP="00A6113C">
      <w:pPr>
        <w:spacing w:line="360" w:lineRule="auto"/>
        <w:jc w:val="both"/>
      </w:pPr>
      <w:r>
        <w:t xml:space="preserve">As can be seen in </w:t>
      </w:r>
      <w:r w:rsidR="00AA6C68">
        <w:t>Table</w:t>
      </w:r>
      <w:r>
        <w:t xml:space="preserve"> 6.2, t</w:t>
      </w:r>
      <w:r w:rsidR="00922E57">
        <w:t xml:space="preserve">he test of redundant fixed time effects </w:t>
      </w:r>
      <w:r>
        <w:t>in the CFE model is rejected (</w:t>
      </w:r>
      <w:r w:rsidR="00922E57">
        <w:t>p = 0.000</w:t>
      </w:r>
      <w:r>
        <w:t xml:space="preserve">), which </w:t>
      </w:r>
      <w:r w:rsidR="001D1352">
        <w:t>results are consistent</w:t>
      </w:r>
      <w:r>
        <w:t xml:space="preserve"> for</w:t>
      </w:r>
      <w:r w:rsidR="00922E57">
        <w:t xml:space="preserve"> all different specifications of the CFE model</w:t>
      </w:r>
      <w:r>
        <w:t xml:space="preserve"> used in this research.</w:t>
      </w:r>
      <w:r w:rsidR="00922E57">
        <w:t xml:space="preserve"> </w:t>
      </w:r>
      <w:r>
        <w:t>Given this rejection of redundant fixed time effects, the data</w:t>
      </w:r>
      <w:r w:rsidR="00922E57">
        <w:t xml:space="preserve"> justifies the use of time fixed effects. This thus entails that constants in the regression differ per year, potentially absorbing some of the effect a self-constructed time-variant dummy variable of interest might have on the dependent variable; export. </w:t>
      </w:r>
    </w:p>
    <w:p w:rsidR="00844C51" w:rsidRPr="00406C1D" w:rsidRDefault="00844C51" w:rsidP="00844C51">
      <w:pPr>
        <w:pStyle w:val="Caption"/>
        <w:keepNext/>
        <w:rPr>
          <w:color w:val="auto"/>
          <w:sz w:val="24"/>
        </w:rPr>
      </w:pPr>
      <w:r w:rsidRPr="00406C1D">
        <w:rPr>
          <w:color w:val="auto"/>
          <w:sz w:val="24"/>
        </w:rPr>
        <w:t xml:space="preserve">Table </w:t>
      </w:r>
      <w:r w:rsidR="008A5472">
        <w:rPr>
          <w:color w:val="auto"/>
          <w:sz w:val="24"/>
        </w:rPr>
        <w:fldChar w:fldCharType="begin"/>
      </w:r>
      <w:r w:rsidR="009E4CF3">
        <w:rPr>
          <w:color w:val="auto"/>
          <w:sz w:val="24"/>
        </w:rPr>
        <w:instrText xml:space="preserve"> STYLEREF 1 \s </w:instrText>
      </w:r>
      <w:r w:rsidR="008A5472">
        <w:rPr>
          <w:color w:val="auto"/>
          <w:sz w:val="24"/>
        </w:rPr>
        <w:fldChar w:fldCharType="separate"/>
      </w:r>
      <w:r w:rsidR="009E4CF3">
        <w:rPr>
          <w:noProof/>
          <w:color w:val="auto"/>
          <w:sz w:val="24"/>
        </w:rPr>
        <w:t>6</w:t>
      </w:r>
      <w:r w:rsidR="008A5472">
        <w:rPr>
          <w:color w:val="auto"/>
          <w:sz w:val="24"/>
        </w:rPr>
        <w:fldChar w:fldCharType="end"/>
      </w:r>
      <w:r w:rsidR="009E4CF3">
        <w:rPr>
          <w:color w:val="auto"/>
          <w:sz w:val="24"/>
        </w:rPr>
        <w:noBreakHyphen/>
      </w:r>
      <w:r w:rsidR="008A5472">
        <w:rPr>
          <w:color w:val="auto"/>
          <w:sz w:val="24"/>
        </w:rPr>
        <w:fldChar w:fldCharType="begin"/>
      </w:r>
      <w:r w:rsidR="009E4CF3">
        <w:rPr>
          <w:color w:val="auto"/>
          <w:sz w:val="24"/>
        </w:rPr>
        <w:instrText xml:space="preserve"> SEQ Table \* ARABIC \s 1 </w:instrText>
      </w:r>
      <w:r w:rsidR="008A5472">
        <w:rPr>
          <w:color w:val="auto"/>
          <w:sz w:val="24"/>
        </w:rPr>
        <w:fldChar w:fldCharType="separate"/>
      </w:r>
      <w:r w:rsidR="009E4CF3">
        <w:rPr>
          <w:noProof/>
          <w:color w:val="auto"/>
          <w:sz w:val="24"/>
        </w:rPr>
        <w:t>3</w:t>
      </w:r>
      <w:r w:rsidR="008A5472">
        <w:rPr>
          <w:color w:val="auto"/>
          <w:sz w:val="24"/>
        </w:rPr>
        <w:fldChar w:fldCharType="end"/>
      </w:r>
      <w:r w:rsidRPr="00406C1D">
        <w:rPr>
          <w:color w:val="auto"/>
          <w:sz w:val="24"/>
        </w:rPr>
        <w:t xml:space="preserve"> Redundant Fixed Effects Testing in Country Pair Fixed Effect Model</w:t>
      </w:r>
    </w:p>
    <w:tbl>
      <w:tblPr>
        <w:tblStyle w:val="LightShading-Accent11"/>
        <w:tblW w:w="0" w:type="auto"/>
        <w:tblLook w:val="04A0"/>
      </w:tblPr>
      <w:tblGrid>
        <w:gridCol w:w="3528"/>
        <w:gridCol w:w="2610"/>
        <w:gridCol w:w="1620"/>
        <w:gridCol w:w="1484"/>
      </w:tblGrid>
      <w:tr w:rsidR="00AA6C68" w:rsidRPr="00406C1D" w:rsidTr="002E57D3">
        <w:trPr>
          <w:cnfStyle w:val="100000000000"/>
        </w:trPr>
        <w:tc>
          <w:tcPr>
            <w:cnfStyle w:val="001000000000"/>
            <w:tcW w:w="9242" w:type="dxa"/>
            <w:gridSpan w:val="4"/>
          </w:tcPr>
          <w:p w:rsidR="00AA6C68" w:rsidRPr="00406C1D" w:rsidRDefault="00AA6C68" w:rsidP="002E57D3">
            <w:pPr>
              <w:spacing w:line="276" w:lineRule="auto"/>
              <w:rPr>
                <w:b w:val="0"/>
                <w:color w:val="auto"/>
              </w:rPr>
            </w:pPr>
            <w:r w:rsidRPr="00406C1D">
              <w:rPr>
                <w:color w:val="auto"/>
              </w:rPr>
              <w:t>Redundant Fixed Effects Test</w:t>
            </w:r>
            <w:r w:rsidRPr="00406C1D">
              <w:rPr>
                <w:color w:val="auto"/>
              </w:rPr>
              <w:br/>
            </w:r>
            <w:r w:rsidRPr="00406C1D">
              <w:rPr>
                <w:b w:val="0"/>
                <w:color w:val="auto"/>
              </w:rPr>
              <w:t>Equation H1_CPFE</w:t>
            </w:r>
          </w:p>
          <w:p w:rsidR="00AA6C68" w:rsidRPr="00406C1D" w:rsidRDefault="00AA6C68" w:rsidP="00844C51">
            <w:pPr>
              <w:spacing w:line="276" w:lineRule="auto"/>
              <w:rPr>
                <w:color w:val="auto"/>
              </w:rPr>
            </w:pPr>
            <w:r w:rsidRPr="00406C1D">
              <w:rPr>
                <w:b w:val="0"/>
                <w:color w:val="auto"/>
              </w:rPr>
              <w:t xml:space="preserve">Test </w:t>
            </w:r>
            <w:r w:rsidR="00844C51" w:rsidRPr="00406C1D">
              <w:rPr>
                <w:b w:val="0"/>
                <w:color w:val="auto"/>
              </w:rPr>
              <w:t>cross-section and p</w:t>
            </w:r>
            <w:r w:rsidRPr="00406C1D">
              <w:rPr>
                <w:b w:val="0"/>
                <w:color w:val="auto"/>
              </w:rPr>
              <w:t xml:space="preserve">eriod </w:t>
            </w:r>
            <w:r w:rsidR="00844C51" w:rsidRPr="00406C1D">
              <w:rPr>
                <w:b w:val="0"/>
                <w:color w:val="auto"/>
              </w:rPr>
              <w:t>f</w:t>
            </w:r>
            <w:r w:rsidRPr="00406C1D">
              <w:rPr>
                <w:b w:val="0"/>
                <w:color w:val="auto"/>
              </w:rPr>
              <w:t>i</w:t>
            </w:r>
            <w:r w:rsidR="00844C51" w:rsidRPr="00406C1D">
              <w:rPr>
                <w:b w:val="0"/>
                <w:color w:val="auto"/>
              </w:rPr>
              <w:t>xed e</w:t>
            </w:r>
            <w:r w:rsidRPr="00406C1D">
              <w:rPr>
                <w:b w:val="0"/>
                <w:color w:val="auto"/>
              </w:rPr>
              <w:t>ffects</w:t>
            </w:r>
          </w:p>
        </w:tc>
      </w:tr>
      <w:tr w:rsidR="00AA6C68" w:rsidRPr="00406C1D" w:rsidTr="00844C51">
        <w:trPr>
          <w:cnfStyle w:val="000000100000"/>
        </w:trPr>
        <w:tc>
          <w:tcPr>
            <w:cnfStyle w:val="001000000000"/>
            <w:tcW w:w="3528" w:type="dxa"/>
          </w:tcPr>
          <w:p w:rsidR="00AA6C68" w:rsidRPr="00406C1D" w:rsidRDefault="00AA6C68" w:rsidP="002E57D3">
            <w:pPr>
              <w:spacing w:line="360" w:lineRule="auto"/>
              <w:jc w:val="both"/>
              <w:rPr>
                <w:b w:val="0"/>
                <w:i/>
                <w:color w:val="auto"/>
              </w:rPr>
            </w:pPr>
            <w:r w:rsidRPr="00406C1D">
              <w:rPr>
                <w:b w:val="0"/>
                <w:i/>
                <w:color w:val="auto"/>
              </w:rPr>
              <w:t>Effects Test</w:t>
            </w:r>
          </w:p>
        </w:tc>
        <w:tc>
          <w:tcPr>
            <w:tcW w:w="2610" w:type="dxa"/>
            <w:vAlign w:val="center"/>
          </w:tcPr>
          <w:p w:rsidR="00AA6C68" w:rsidRPr="00406C1D" w:rsidRDefault="00AA6C68" w:rsidP="00844C51">
            <w:pPr>
              <w:spacing w:line="360" w:lineRule="auto"/>
              <w:jc w:val="right"/>
              <w:cnfStyle w:val="000000100000"/>
              <w:rPr>
                <w:i/>
                <w:color w:val="auto"/>
              </w:rPr>
            </w:pPr>
            <w:r w:rsidRPr="00406C1D">
              <w:rPr>
                <w:i/>
                <w:color w:val="auto"/>
              </w:rPr>
              <w:t>Statistic</w:t>
            </w:r>
          </w:p>
        </w:tc>
        <w:tc>
          <w:tcPr>
            <w:tcW w:w="1620" w:type="dxa"/>
            <w:vAlign w:val="center"/>
          </w:tcPr>
          <w:p w:rsidR="00AA6C68" w:rsidRPr="00406C1D" w:rsidRDefault="00AA6C68" w:rsidP="00844C51">
            <w:pPr>
              <w:spacing w:line="360" w:lineRule="auto"/>
              <w:jc w:val="right"/>
              <w:cnfStyle w:val="000000100000"/>
              <w:rPr>
                <w:i/>
                <w:color w:val="auto"/>
              </w:rPr>
            </w:pPr>
            <w:proofErr w:type="spellStart"/>
            <w:r w:rsidRPr="00406C1D">
              <w:rPr>
                <w:i/>
                <w:color w:val="auto"/>
              </w:rPr>
              <w:t>d.f</w:t>
            </w:r>
            <w:proofErr w:type="spellEnd"/>
            <w:r w:rsidRPr="00406C1D">
              <w:rPr>
                <w:i/>
                <w:color w:val="auto"/>
              </w:rPr>
              <w:t>.</w:t>
            </w:r>
          </w:p>
        </w:tc>
        <w:tc>
          <w:tcPr>
            <w:tcW w:w="1484" w:type="dxa"/>
            <w:vAlign w:val="center"/>
          </w:tcPr>
          <w:p w:rsidR="00AA6C68" w:rsidRPr="00406C1D" w:rsidRDefault="00AA6C68" w:rsidP="00844C51">
            <w:pPr>
              <w:spacing w:line="360" w:lineRule="auto"/>
              <w:jc w:val="right"/>
              <w:cnfStyle w:val="000000100000"/>
              <w:rPr>
                <w:i/>
                <w:color w:val="auto"/>
              </w:rPr>
            </w:pPr>
            <w:r w:rsidRPr="00406C1D">
              <w:rPr>
                <w:i/>
                <w:color w:val="auto"/>
              </w:rPr>
              <w:t>Prob.</w:t>
            </w:r>
          </w:p>
        </w:tc>
      </w:tr>
      <w:tr w:rsidR="00AA6C68" w:rsidRPr="00406C1D" w:rsidTr="00844C51">
        <w:tc>
          <w:tcPr>
            <w:cnfStyle w:val="001000000000"/>
            <w:tcW w:w="3528" w:type="dxa"/>
            <w:vAlign w:val="center"/>
          </w:tcPr>
          <w:p w:rsidR="00AA6C68" w:rsidRPr="00406C1D" w:rsidRDefault="00844C51" w:rsidP="002E57D3">
            <w:pPr>
              <w:spacing w:line="276" w:lineRule="auto"/>
              <w:rPr>
                <w:b w:val="0"/>
                <w:color w:val="auto"/>
              </w:rPr>
            </w:pPr>
            <w:r w:rsidRPr="00406C1D">
              <w:rPr>
                <w:b w:val="0"/>
                <w:color w:val="auto"/>
              </w:rPr>
              <w:t>Cross-section F</w:t>
            </w:r>
          </w:p>
        </w:tc>
        <w:tc>
          <w:tcPr>
            <w:tcW w:w="2610" w:type="dxa"/>
            <w:vAlign w:val="center"/>
          </w:tcPr>
          <w:p w:rsidR="00AA6C68" w:rsidRPr="00406C1D" w:rsidRDefault="00844C51" w:rsidP="00844C51">
            <w:pPr>
              <w:spacing w:line="276" w:lineRule="auto"/>
              <w:jc w:val="right"/>
              <w:cnfStyle w:val="000000000000"/>
              <w:rPr>
                <w:color w:val="auto"/>
              </w:rPr>
            </w:pPr>
            <w:r w:rsidRPr="00406C1D">
              <w:rPr>
                <w:color w:val="auto"/>
              </w:rPr>
              <w:t>141.221</w:t>
            </w:r>
          </w:p>
        </w:tc>
        <w:tc>
          <w:tcPr>
            <w:tcW w:w="1620" w:type="dxa"/>
            <w:vAlign w:val="center"/>
          </w:tcPr>
          <w:p w:rsidR="00AA6C68" w:rsidRPr="00406C1D" w:rsidRDefault="00844C51" w:rsidP="00844C51">
            <w:pPr>
              <w:spacing w:line="276" w:lineRule="auto"/>
              <w:jc w:val="right"/>
              <w:cnfStyle w:val="000000000000"/>
              <w:rPr>
                <w:color w:val="auto"/>
              </w:rPr>
            </w:pPr>
            <w:r w:rsidRPr="00406C1D">
              <w:rPr>
                <w:color w:val="auto"/>
              </w:rPr>
              <w:t>(1259,13803)</w:t>
            </w:r>
          </w:p>
        </w:tc>
        <w:tc>
          <w:tcPr>
            <w:tcW w:w="1484" w:type="dxa"/>
            <w:vAlign w:val="center"/>
          </w:tcPr>
          <w:p w:rsidR="00AA6C68" w:rsidRPr="00406C1D" w:rsidRDefault="00AA6C68" w:rsidP="00844C51">
            <w:pPr>
              <w:spacing w:line="276" w:lineRule="auto"/>
              <w:jc w:val="right"/>
              <w:cnfStyle w:val="000000000000"/>
              <w:rPr>
                <w:color w:val="auto"/>
              </w:rPr>
            </w:pPr>
            <w:r w:rsidRPr="00406C1D">
              <w:rPr>
                <w:color w:val="auto"/>
              </w:rPr>
              <w:t>0.0000</w:t>
            </w:r>
          </w:p>
        </w:tc>
      </w:tr>
      <w:tr w:rsidR="00AA6C68" w:rsidRPr="00406C1D" w:rsidTr="00844C51">
        <w:trPr>
          <w:cnfStyle w:val="000000100000"/>
        </w:trPr>
        <w:tc>
          <w:tcPr>
            <w:cnfStyle w:val="001000000000"/>
            <w:tcW w:w="3528" w:type="dxa"/>
            <w:vAlign w:val="center"/>
          </w:tcPr>
          <w:p w:rsidR="00AA6C68" w:rsidRPr="00406C1D" w:rsidRDefault="00844C51" w:rsidP="002E57D3">
            <w:pPr>
              <w:spacing w:line="276" w:lineRule="auto"/>
              <w:rPr>
                <w:b w:val="0"/>
                <w:color w:val="auto"/>
              </w:rPr>
            </w:pPr>
            <w:r w:rsidRPr="00406C1D">
              <w:rPr>
                <w:b w:val="0"/>
                <w:color w:val="auto"/>
              </w:rPr>
              <w:t>Cross-section Chi-square</w:t>
            </w:r>
          </w:p>
        </w:tc>
        <w:tc>
          <w:tcPr>
            <w:tcW w:w="2610" w:type="dxa"/>
            <w:vAlign w:val="center"/>
          </w:tcPr>
          <w:p w:rsidR="00AA6C68" w:rsidRPr="00406C1D" w:rsidRDefault="00844C51" w:rsidP="00844C51">
            <w:pPr>
              <w:spacing w:line="276" w:lineRule="auto"/>
              <w:jc w:val="right"/>
              <w:cnfStyle w:val="000000100000"/>
              <w:rPr>
                <w:color w:val="auto"/>
              </w:rPr>
            </w:pPr>
            <w:r w:rsidRPr="00406C1D">
              <w:rPr>
                <w:color w:val="auto"/>
              </w:rPr>
              <w:t>39673.568</w:t>
            </w:r>
          </w:p>
        </w:tc>
        <w:tc>
          <w:tcPr>
            <w:tcW w:w="1620" w:type="dxa"/>
            <w:vAlign w:val="center"/>
          </w:tcPr>
          <w:p w:rsidR="00AA6C68" w:rsidRPr="00406C1D" w:rsidRDefault="00844C51" w:rsidP="00844C51">
            <w:pPr>
              <w:spacing w:line="276" w:lineRule="auto"/>
              <w:jc w:val="right"/>
              <w:cnfStyle w:val="000000100000"/>
              <w:rPr>
                <w:color w:val="auto"/>
              </w:rPr>
            </w:pPr>
            <w:r w:rsidRPr="00406C1D">
              <w:rPr>
                <w:color w:val="auto"/>
              </w:rPr>
              <w:t>1259</w:t>
            </w:r>
          </w:p>
        </w:tc>
        <w:tc>
          <w:tcPr>
            <w:tcW w:w="1484" w:type="dxa"/>
            <w:vAlign w:val="center"/>
          </w:tcPr>
          <w:p w:rsidR="00AA6C68" w:rsidRPr="00406C1D" w:rsidRDefault="00AA6C68" w:rsidP="00844C51">
            <w:pPr>
              <w:spacing w:line="276" w:lineRule="auto"/>
              <w:jc w:val="right"/>
              <w:cnfStyle w:val="000000100000"/>
              <w:rPr>
                <w:color w:val="auto"/>
              </w:rPr>
            </w:pPr>
            <w:r w:rsidRPr="00406C1D">
              <w:rPr>
                <w:color w:val="auto"/>
              </w:rPr>
              <w:t>0.0000</w:t>
            </w:r>
          </w:p>
        </w:tc>
      </w:tr>
      <w:tr w:rsidR="00844C51" w:rsidRPr="00406C1D" w:rsidTr="00844C51">
        <w:tc>
          <w:tcPr>
            <w:cnfStyle w:val="001000000000"/>
            <w:tcW w:w="3528" w:type="dxa"/>
            <w:vAlign w:val="center"/>
          </w:tcPr>
          <w:p w:rsidR="00844C51" w:rsidRPr="00406C1D" w:rsidRDefault="00844C51" w:rsidP="002E57D3">
            <w:pPr>
              <w:spacing w:line="276" w:lineRule="auto"/>
              <w:rPr>
                <w:b w:val="0"/>
                <w:color w:val="auto"/>
              </w:rPr>
            </w:pPr>
            <w:r w:rsidRPr="00406C1D">
              <w:rPr>
                <w:b w:val="0"/>
                <w:color w:val="auto"/>
              </w:rPr>
              <w:t>Period F</w:t>
            </w:r>
          </w:p>
        </w:tc>
        <w:tc>
          <w:tcPr>
            <w:tcW w:w="2610" w:type="dxa"/>
            <w:vAlign w:val="center"/>
          </w:tcPr>
          <w:p w:rsidR="00844C51" w:rsidRPr="00406C1D" w:rsidRDefault="00844C51" w:rsidP="00844C51">
            <w:pPr>
              <w:spacing w:line="276" w:lineRule="auto"/>
              <w:jc w:val="right"/>
              <w:cnfStyle w:val="000000000000"/>
              <w:rPr>
                <w:color w:val="auto"/>
              </w:rPr>
            </w:pPr>
            <w:r w:rsidRPr="00406C1D">
              <w:rPr>
                <w:color w:val="auto"/>
              </w:rPr>
              <w:t>48.818</w:t>
            </w:r>
          </w:p>
        </w:tc>
        <w:tc>
          <w:tcPr>
            <w:tcW w:w="1620" w:type="dxa"/>
            <w:vAlign w:val="center"/>
          </w:tcPr>
          <w:p w:rsidR="00844C51" w:rsidRPr="00406C1D" w:rsidRDefault="00844C51" w:rsidP="00844C51">
            <w:pPr>
              <w:spacing w:line="276" w:lineRule="auto"/>
              <w:jc w:val="right"/>
              <w:cnfStyle w:val="000000000000"/>
              <w:rPr>
                <w:color w:val="auto"/>
              </w:rPr>
            </w:pPr>
            <w:r w:rsidRPr="00406C1D">
              <w:rPr>
                <w:color w:val="auto"/>
              </w:rPr>
              <w:t>(11,13803)</w:t>
            </w:r>
          </w:p>
        </w:tc>
        <w:tc>
          <w:tcPr>
            <w:tcW w:w="1484" w:type="dxa"/>
            <w:vAlign w:val="center"/>
          </w:tcPr>
          <w:p w:rsidR="00844C51" w:rsidRPr="00406C1D" w:rsidRDefault="00844C51" w:rsidP="00844C51">
            <w:pPr>
              <w:spacing w:line="276" w:lineRule="auto"/>
              <w:jc w:val="right"/>
              <w:cnfStyle w:val="000000000000"/>
              <w:rPr>
                <w:color w:val="auto"/>
              </w:rPr>
            </w:pPr>
            <w:r w:rsidRPr="00406C1D">
              <w:rPr>
                <w:color w:val="auto"/>
              </w:rPr>
              <w:t>0.0000</w:t>
            </w:r>
          </w:p>
        </w:tc>
      </w:tr>
      <w:tr w:rsidR="00844C51" w:rsidRPr="00406C1D" w:rsidTr="00844C51">
        <w:trPr>
          <w:cnfStyle w:val="000000100000"/>
        </w:trPr>
        <w:tc>
          <w:tcPr>
            <w:cnfStyle w:val="001000000000"/>
            <w:tcW w:w="3528" w:type="dxa"/>
            <w:vAlign w:val="center"/>
          </w:tcPr>
          <w:p w:rsidR="00844C51" w:rsidRPr="00406C1D" w:rsidRDefault="00844C51" w:rsidP="002E57D3">
            <w:pPr>
              <w:spacing w:line="276" w:lineRule="auto"/>
              <w:rPr>
                <w:b w:val="0"/>
                <w:color w:val="auto"/>
              </w:rPr>
            </w:pPr>
            <w:r w:rsidRPr="00406C1D">
              <w:rPr>
                <w:b w:val="0"/>
                <w:color w:val="auto"/>
              </w:rPr>
              <w:t>Period Chi-square</w:t>
            </w:r>
          </w:p>
        </w:tc>
        <w:tc>
          <w:tcPr>
            <w:tcW w:w="2610" w:type="dxa"/>
            <w:vAlign w:val="center"/>
          </w:tcPr>
          <w:p w:rsidR="00844C51" w:rsidRPr="00406C1D" w:rsidRDefault="00844C51" w:rsidP="00844C51">
            <w:pPr>
              <w:spacing w:line="276" w:lineRule="auto"/>
              <w:jc w:val="right"/>
              <w:cnfStyle w:val="000000100000"/>
              <w:rPr>
                <w:color w:val="auto"/>
              </w:rPr>
            </w:pPr>
            <w:r w:rsidRPr="00406C1D">
              <w:rPr>
                <w:color w:val="auto"/>
              </w:rPr>
              <w:t>575.629</w:t>
            </w:r>
          </w:p>
        </w:tc>
        <w:tc>
          <w:tcPr>
            <w:tcW w:w="1620" w:type="dxa"/>
            <w:vAlign w:val="center"/>
          </w:tcPr>
          <w:p w:rsidR="00844C51" w:rsidRPr="00406C1D" w:rsidRDefault="00844C51" w:rsidP="00844C51">
            <w:pPr>
              <w:spacing w:line="276" w:lineRule="auto"/>
              <w:jc w:val="right"/>
              <w:cnfStyle w:val="000000100000"/>
              <w:rPr>
                <w:color w:val="auto"/>
              </w:rPr>
            </w:pPr>
            <w:r w:rsidRPr="00406C1D">
              <w:rPr>
                <w:color w:val="auto"/>
              </w:rPr>
              <w:t>11</w:t>
            </w:r>
          </w:p>
        </w:tc>
        <w:tc>
          <w:tcPr>
            <w:tcW w:w="1484" w:type="dxa"/>
            <w:vAlign w:val="center"/>
          </w:tcPr>
          <w:p w:rsidR="00844C51" w:rsidRPr="00406C1D" w:rsidRDefault="00844C51" w:rsidP="00844C51">
            <w:pPr>
              <w:spacing w:line="276" w:lineRule="auto"/>
              <w:jc w:val="right"/>
              <w:cnfStyle w:val="000000100000"/>
              <w:rPr>
                <w:color w:val="auto"/>
              </w:rPr>
            </w:pPr>
            <w:r w:rsidRPr="00406C1D">
              <w:rPr>
                <w:color w:val="auto"/>
              </w:rPr>
              <w:t>0.0000</w:t>
            </w:r>
          </w:p>
        </w:tc>
      </w:tr>
      <w:tr w:rsidR="00844C51" w:rsidRPr="00406C1D" w:rsidTr="00844C51">
        <w:tc>
          <w:tcPr>
            <w:cnfStyle w:val="001000000000"/>
            <w:tcW w:w="3528" w:type="dxa"/>
            <w:vAlign w:val="center"/>
          </w:tcPr>
          <w:p w:rsidR="00844C51" w:rsidRPr="00406C1D" w:rsidRDefault="00844C51" w:rsidP="002E57D3">
            <w:pPr>
              <w:rPr>
                <w:b w:val="0"/>
                <w:color w:val="auto"/>
              </w:rPr>
            </w:pPr>
            <w:r w:rsidRPr="00406C1D">
              <w:rPr>
                <w:b w:val="0"/>
                <w:color w:val="auto"/>
              </w:rPr>
              <w:t>Cross-section/Period F</w:t>
            </w:r>
          </w:p>
        </w:tc>
        <w:tc>
          <w:tcPr>
            <w:tcW w:w="2610" w:type="dxa"/>
            <w:vAlign w:val="center"/>
          </w:tcPr>
          <w:p w:rsidR="00844C51" w:rsidRPr="00406C1D" w:rsidRDefault="00844C51" w:rsidP="00844C51">
            <w:pPr>
              <w:jc w:val="right"/>
              <w:cnfStyle w:val="000000000000"/>
              <w:rPr>
                <w:color w:val="auto"/>
              </w:rPr>
            </w:pPr>
            <w:r w:rsidRPr="00406C1D">
              <w:rPr>
                <w:color w:val="auto"/>
              </w:rPr>
              <w:t>144.233</w:t>
            </w:r>
          </w:p>
        </w:tc>
        <w:tc>
          <w:tcPr>
            <w:tcW w:w="1620" w:type="dxa"/>
            <w:vAlign w:val="center"/>
          </w:tcPr>
          <w:p w:rsidR="00844C51" w:rsidRPr="00406C1D" w:rsidRDefault="00844C51" w:rsidP="00844C51">
            <w:pPr>
              <w:jc w:val="right"/>
              <w:cnfStyle w:val="000000000000"/>
              <w:rPr>
                <w:color w:val="auto"/>
              </w:rPr>
            </w:pPr>
            <w:r w:rsidRPr="00406C1D">
              <w:rPr>
                <w:color w:val="auto"/>
              </w:rPr>
              <w:t>(1270,13803)</w:t>
            </w:r>
          </w:p>
        </w:tc>
        <w:tc>
          <w:tcPr>
            <w:tcW w:w="1484" w:type="dxa"/>
            <w:vAlign w:val="center"/>
          </w:tcPr>
          <w:p w:rsidR="00844C51" w:rsidRPr="00406C1D" w:rsidRDefault="00844C51" w:rsidP="00844C51">
            <w:pPr>
              <w:spacing w:line="276" w:lineRule="auto"/>
              <w:jc w:val="right"/>
              <w:cnfStyle w:val="000000000000"/>
              <w:rPr>
                <w:color w:val="auto"/>
              </w:rPr>
            </w:pPr>
            <w:r w:rsidRPr="00406C1D">
              <w:rPr>
                <w:color w:val="auto"/>
              </w:rPr>
              <w:t>0.0000</w:t>
            </w:r>
          </w:p>
        </w:tc>
      </w:tr>
      <w:tr w:rsidR="00844C51" w:rsidRPr="00406C1D" w:rsidTr="00844C51">
        <w:trPr>
          <w:cnfStyle w:val="000000100000"/>
        </w:trPr>
        <w:tc>
          <w:tcPr>
            <w:cnfStyle w:val="001000000000"/>
            <w:tcW w:w="3528" w:type="dxa"/>
            <w:vAlign w:val="center"/>
          </w:tcPr>
          <w:p w:rsidR="00844C51" w:rsidRPr="00406C1D" w:rsidRDefault="00844C51" w:rsidP="002E57D3">
            <w:pPr>
              <w:rPr>
                <w:b w:val="0"/>
                <w:color w:val="auto"/>
              </w:rPr>
            </w:pPr>
            <w:r w:rsidRPr="00406C1D">
              <w:rPr>
                <w:b w:val="0"/>
                <w:color w:val="auto"/>
              </w:rPr>
              <w:t>Cross-section/Period Chi Square</w:t>
            </w:r>
          </w:p>
        </w:tc>
        <w:tc>
          <w:tcPr>
            <w:tcW w:w="2610" w:type="dxa"/>
            <w:vAlign w:val="center"/>
          </w:tcPr>
          <w:p w:rsidR="00844C51" w:rsidRPr="00406C1D" w:rsidRDefault="00844C51" w:rsidP="00844C51">
            <w:pPr>
              <w:jc w:val="right"/>
              <w:cnfStyle w:val="000000100000"/>
              <w:rPr>
                <w:color w:val="auto"/>
              </w:rPr>
            </w:pPr>
            <w:r w:rsidRPr="00406C1D">
              <w:rPr>
                <w:color w:val="auto"/>
              </w:rPr>
              <w:t>40091.146</w:t>
            </w:r>
          </w:p>
        </w:tc>
        <w:tc>
          <w:tcPr>
            <w:tcW w:w="1620" w:type="dxa"/>
            <w:vAlign w:val="center"/>
          </w:tcPr>
          <w:p w:rsidR="00844C51" w:rsidRPr="00406C1D" w:rsidRDefault="00844C51" w:rsidP="00844C51">
            <w:pPr>
              <w:jc w:val="right"/>
              <w:cnfStyle w:val="000000100000"/>
              <w:rPr>
                <w:color w:val="auto"/>
              </w:rPr>
            </w:pPr>
            <w:r w:rsidRPr="00406C1D">
              <w:rPr>
                <w:color w:val="auto"/>
              </w:rPr>
              <w:t>1270</w:t>
            </w:r>
          </w:p>
        </w:tc>
        <w:tc>
          <w:tcPr>
            <w:tcW w:w="1484" w:type="dxa"/>
            <w:vAlign w:val="center"/>
          </w:tcPr>
          <w:p w:rsidR="00844C51" w:rsidRPr="00406C1D" w:rsidRDefault="00844C51" w:rsidP="0044786B">
            <w:pPr>
              <w:keepNext/>
              <w:spacing w:line="276" w:lineRule="auto"/>
              <w:jc w:val="right"/>
              <w:cnfStyle w:val="000000100000"/>
              <w:rPr>
                <w:color w:val="auto"/>
              </w:rPr>
            </w:pPr>
            <w:r w:rsidRPr="00406C1D">
              <w:rPr>
                <w:color w:val="auto"/>
              </w:rPr>
              <w:t>0.0000</w:t>
            </w:r>
          </w:p>
        </w:tc>
      </w:tr>
    </w:tbl>
    <w:p w:rsidR="0044786B" w:rsidRPr="0044786B" w:rsidRDefault="006A4258" w:rsidP="006A4258">
      <w:pPr>
        <w:pStyle w:val="Caption"/>
        <w:jc w:val="both"/>
        <w:rPr>
          <w:color w:val="auto"/>
        </w:rPr>
      </w:pPr>
      <w:r>
        <w:rPr>
          <w:color w:val="auto"/>
        </w:rPr>
        <w:t>N</w:t>
      </w:r>
      <w:r w:rsidR="0044786B" w:rsidRPr="0044786B">
        <w:rPr>
          <w:color w:val="auto"/>
        </w:rPr>
        <w:t xml:space="preserve">otes: </w:t>
      </w:r>
      <w:r>
        <w:rPr>
          <w:color w:val="auto"/>
        </w:rPr>
        <w:t>(a) the cross-sections and the time varying constants in the Country Pair Fixed Effect model with time varying constants (equation 5.5) are subject to the Redundant Fixed Effects Test; (</w:t>
      </w:r>
      <w:proofErr w:type="spellStart"/>
      <w:r>
        <w:rPr>
          <w:color w:val="auto"/>
        </w:rPr>
        <w:t>i</w:t>
      </w:r>
      <w:proofErr w:type="spellEnd"/>
      <w:r>
        <w:rPr>
          <w:color w:val="auto"/>
        </w:rPr>
        <w:t>) The Redundant Fixed Effects Test tests whether applying fixed values on each period and/or each cross-section in the panel is redundant; (ii) the null hypothesis is that fixed effects are redundant.</w:t>
      </w:r>
    </w:p>
    <w:p w:rsidR="00922E57" w:rsidRPr="00A6113C" w:rsidRDefault="00844C51" w:rsidP="00A6113C">
      <w:pPr>
        <w:spacing w:line="360" w:lineRule="auto"/>
        <w:jc w:val="both"/>
      </w:pPr>
      <w:r>
        <w:rPr>
          <w:i/>
        </w:rPr>
        <w:lastRenderedPageBreak/>
        <w:br/>
      </w:r>
      <w:r w:rsidR="00922E57">
        <w:t>For</w:t>
      </w:r>
      <w:r w:rsidR="00254233">
        <w:t xml:space="preserve"> the CPFE similar results of the redundant fixed </w:t>
      </w:r>
      <w:r w:rsidR="00E2203F">
        <w:t xml:space="preserve">time </w:t>
      </w:r>
      <w:r w:rsidR="00254233">
        <w:t xml:space="preserve">effect test </w:t>
      </w:r>
      <w:r w:rsidR="00E2203F">
        <w:t xml:space="preserve">are found. Given that the cross-sections used in this </w:t>
      </w:r>
      <w:r w:rsidR="003F2E26">
        <w:t>model</w:t>
      </w:r>
      <w:r w:rsidR="00E2203F">
        <w:t xml:space="preserve"> are the country-pairs, cross-section fixed effects are also tested</w:t>
      </w:r>
      <w:r w:rsidR="00B4144E">
        <w:t xml:space="preserve"> for</w:t>
      </w:r>
      <w:r w:rsidR="00E2203F">
        <w:t xml:space="preserve">. Also here the redundancy of cross-sectional fixed effects is rejected. Finally, the combination of jointly redundant fixed time </w:t>
      </w:r>
      <w:r w:rsidR="00E2203F" w:rsidRPr="00E60E93">
        <w:rPr>
          <w:i/>
        </w:rPr>
        <w:t>and</w:t>
      </w:r>
      <w:r w:rsidR="00E2203F">
        <w:t xml:space="preserve"> cross-sectional effects is rejected. These results thus imply that </w:t>
      </w:r>
      <w:r w:rsidR="00E60E93">
        <w:t xml:space="preserve">applying </w:t>
      </w:r>
      <w:r w:rsidR="00E2203F">
        <w:t>fix</w:t>
      </w:r>
      <w:r w:rsidR="00E60E93">
        <w:t>ed effects per country-pair</w:t>
      </w:r>
      <w:r w:rsidR="00E2203F">
        <w:t xml:space="preserve"> as well as </w:t>
      </w:r>
      <w:r w:rsidR="00E60E93">
        <w:t>per year</w:t>
      </w:r>
      <w:r w:rsidR="00E2203F">
        <w:t xml:space="preserve"> is supported by the data in the panel, justifying the use of the CPFE</w:t>
      </w:r>
      <w:r>
        <w:t xml:space="preserve"> model </w:t>
      </w:r>
      <w:r w:rsidR="00B4144E">
        <w:t>with time-variant</w:t>
      </w:r>
      <w:r w:rsidR="00E2203F">
        <w:t xml:space="preserve"> constants. These results are </w:t>
      </w:r>
      <w:r w:rsidR="001D1352">
        <w:t xml:space="preserve">again </w:t>
      </w:r>
      <w:r w:rsidR="00E2203F">
        <w:t>consistent over</w:t>
      </w:r>
      <w:r w:rsidR="00254233">
        <w:t xml:space="preserve"> the different specification used in this research. </w:t>
      </w:r>
    </w:p>
    <w:p w:rsidR="00BB3170" w:rsidRDefault="00CD7097" w:rsidP="00BB3170">
      <w:pPr>
        <w:pStyle w:val="Heading2"/>
        <w:numPr>
          <w:ilvl w:val="1"/>
          <w:numId w:val="1"/>
        </w:numPr>
      </w:pPr>
      <w:r>
        <w:tab/>
      </w:r>
      <w:bookmarkStart w:id="32" w:name="_Toc353348793"/>
      <w:r w:rsidR="00BB3170">
        <w:t>Model Selection</w:t>
      </w:r>
      <w:bookmarkEnd w:id="32"/>
    </w:p>
    <w:p w:rsidR="00BB3170" w:rsidRDefault="0007160C" w:rsidP="0007160C">
      <w:pPr>
        <w:spacing w:line="360" w:lineRule="auto"/>
        <w:jc w:val="both"/>
      </w:pPr>
      <w:r>
        <w:t xml:space="preserve">Above has been established which form of effects, either random or fixed, and which types, time and/or cross-sectional effects, are appropriate for the panel of data used in this research. However, there remains the question of which type of model is the best suited or most appropriate for this research; the CFE model or the CPFE model. </w:t>
      </w:r>
      <w:r w:rsidR="00C06BA4">
        <w:t xml:space="preserve">To test for this, different information criteria can be used to select the most appropriate model. These are the </w:t>
      </w:r>
      <w:proofErr w:type="spellStart"/>
      <w:r w:rsidR="00C06BA4">
        <w:t>Akaike</w:t>
      </w:r>
      <w:proofErr w:type="spellEnd"/>
      <w:r w:rsidR="00C06BA4">
        <w:t xml:space="preserve"> info criterion, the Schwarz criterion and the </w:t>
      </w:r>
      <w:proofErr w:type="spellStart"/>
      <w:r w:rsidR="00C06BA4">
        <w:t>Hannan</w:t>
      </w:r>
      <w:proofErr w:type="spellEnd"/>
      <w:r w:rsidR="00C06BA4">
        <w:t>-Qui</w:t>
      </w:r>
      <w:r w:rsidR="002A64C5">
        <w:t>n</w:t>
      </w:r>
      <w:r w:rsidR="00C06BA4">
        <w:t>n criterion. Although the different criteria are calculated in different ways, each correcting for increased numbers of parameters differently, the general rule applies that lower criteria values imply better models</w:t>
      </w:r>
      <w:r w:rsidR="002A64C5">
        <w:t xml:space="preserve"> (</w:t>
      </w:r>
      <w:proofErr w:type="spellStart"/>
      <w:r w:rsidR="002A64C5">
        <w:t>Eviews</w:t>
      </w:r>
      <w:proofErr w:type="spellEnd"/>
      <w:r w:rsidR="002A64C5">
        <w:t xml:space="preserve"> 7 User’s Guide II)</w:t>
      </w:r>
      <w:r w:rsidR="00C06BA4">
        <w:t xml:space="preserve">. </w:t>
      </w:r>
    </w:p>
    <w:p w:rsidR="00356E79" w:rsidRPr="00406C1D" w:rsidRDefault="00356E79" w:rsidP="00356E79">
      <w:pPr>
        <w:pStyle w:val="Caption"/>
        <w:keepNext/>
        <w:rPr>
          <w:color w:val="auto"/>
          <w:sz w:val="24"/>
        </w:rPr>
      </w:pPr>
      <w:r w:rsidRPr="00406C1D">
        <w:rPr>
          <w:color w:val="auto"/>
          <w:sz w:val="24"/>
        </w:rPr>
        <w:t xml:space="preserve">Table </w:t>
      </w:r>
      <w:r w:rsidR="008A5472">
        <w:rPr>
          <w:color w:val="auto"/>
          <w:sz w:val="24"/>
        </w:rPr>
        <w:fldChar w:fldCharType="begin"/>
      </w:r>
      <w:r w:rsidR="009E4CF3">
        <w:rPr>
          <w:color w:val="auto"/>
          <w:sz w:val="24"/>
        </w:rPr>
        <w:instrText xml:space="preserve"> STYLEREF 1 \s </w:instrText>
      </w:r>
      <w:r w:rsidR="008A5472">
        <w:rPr>
          <w:color w:val="auto"/>
          <w:sz w:val="24"/>
        </w:rPr>
        <w:fldChar w:fldCharType="separate"/>
      </w:r>
      <w:r w:rsidR="009E4CF3">
        <w:rPr>
          <w:noProof/>
          <w:color w:val="auto"/>
          <w:sz w:val="24"/>
        </w:rPr>
        <w:t>6</w:t>
      </w:r>
      <w:r w:rsidR="008A5472">
        <w:rPr>
          <w:color w:val="auto"/>
          <w:sz w:val="24"/>
        </w:rPr>
        <w:fldChar w:fldCharType="end"/>
      </w:r>
      <w:r w:rsidR="009E4CF3">
        <w:rPr>
          <w:color w:val="auto"/>
          <w:sz w:val="24"/>
        </w:rPr>
        <w:noBreakHyphen/>
      </w:r>
      <w:r w:rsidR="008A5472">
        <w:rPr>
          <w:color w:val="auto"/>
          <w:sz w:val="24"/>
        </w:rPr>
        <w:fldChar w:fldCharType="begin"/>
      </w:r>
      <w:r w:rsidR="009E4CF3">
        <w:rPr>
          <w:color w:val="auto"/>
          <w:sz w:val="24"/>
        </w:rPr>
        <w:instrText xml:space="preserve"> SEQ Table \* ARABIC \s 1 </w:instrText>
      </w:r>
      <w:r w:rsidR="008A5472">
        <w:rPr>
          <w:color w:val="auto"/>
          <w:sz w:val="24"/>
        </w:rPr>
        <w:fldChar w:fldCharType="separate"/>
      </w:r>
      <w:r w:rsidR="009E4CF3">
        <w:rPr>
          <w:noProof/>
          <w:color w:val="auto"/>
          <w:sz w:val="24"/>
        </w:rPr>
        <w:t>4</w:t>
      </w:r>
      <w:r w:rsidR="008A5472">
        <w:rPr>
          <w:color w:val="auto"/>
          <w:sz w:val="24"/>
        </w:rPr>
        <w:fldChar w:fldCharType="end"/>
      </w:r>
      <w:r w:rsidRPr="00406C1D">
        <w:rPr>
          <w:color w:val="auto"/>
          <w:sz w:val="24"/>
        </w:rPr>
        <w:t xml:space="preserve"> Model Selection Criteria</w:t>
      </w:r>
    </w:p>
    <w:tbl>
      <w:tblPr>
        <w:tblStyle w:val="LightShading-Accent11"/>
        <w:tblW w:w="0" w:type="auto"/>
        <w:tblLook w:val="04A0"/>
      </w:tblPr>
      <w:tblGrid>
        <w:gridCol w:w="2358"/>
        <w:gridCol w:w="1721"/>
        <w:gridCol w:w="152"/>
        <w:gridCol w:w="1569"/>
        <w:gridCol w:w="1721"/>
        <w:gridCol w:w="336"/>
        <w:gridCol w:w="1385"/>
      </w:tblGrid>
      <w:tr w:rsidR="00356E79" w:rsidTr="00B15EB6">
        <w:trPr>
          <w:cnfStyle w:val="100000000000"/>
        </w:trPr>
        <w:tc>
          <w:tcPr>
            <w:cnfStyle w:val="001000000000"/>
            <w:tcW w:w="4231" w:type="dxa"/>
            <w:gridSpan w:val="3"/>
          </w:tcPr>
          <w:p w:rsidR="00356E79" w:rsidRPr="00406C1D" w:rsidRDefault="00356E79" w:rsidP="00356E79">
            <w:pPr>
              <w:spacing w:line="360" w:lineRule="auto"/>
              <w:rPr>
                <w:color w:val="auto"/>
              </w:rPr>
            </w:pPr>
            <w:r w:rsidRPr="00406C1D">
              <w:rPr>
                <w:color w:val="auto"/>
              </w:rPr>
              <w:t>Model Selection</w:t>
            </w:r>
            <w:r w:rsidRPr="00406C1D">
              <w:rPr>
                <w:color w:val="auto"/>
              </w:rPr>
              <w:br/>
            </w:r>
            <w:r w:rsidRPr="00406C1D">
              <w:rPr>
                <w:b w:val="0"/>
                <w:color w:val="auto"/>
              </w:rPr>
              <w:t xml:space="preserve">Criteria testing over CFE </w:t>
            </w:r>
            <w:r w:rsidR="00E80713">
              <w:rPr>
                <w:b w:val="0"/>
                <w:color w:val="auto"/>
              </w:rPr>
              <w:t xml:space="preserve">(5.3) </w:t>
            </w:r>
            <w:r w:rsidRPr="00406C1D">
              <w:rPr>
                <w:b w:val="0"/>
                <w:color w:val="auto"/>
              </w:rPr>
              <w:t>and CPFE</w:t>
            </w:r>
            <w:r w:rsidR="00E80713">
              <w:rPr>
                <w:b w:val="0"/>
                <w:color w:val="auto"/>
              </w:rPr>
              <w:t xml:space="preserve"> (5.5)</w:t>
            </w:r>
          </w:p>
        </w:tc>
        <w:tc>
          <w:tcPr>
            <w:tcW w:w="3626" w:type="dxa"/>
            <w:gridSpan w:val="3"/>
          </w:tcPr>
          <w:p w:rsidR="00356E79" w:rsidRPr="00406C1D" w:rsidRDefault="00356E79" w:rsidP="0007160C">
            <w:pPr>
              <w:spacing w:line="360" w:lineRule="auto"/>
              <w:jc w:val="both"/>
              <w:cnfStyle w:val="100000000000"/>
              <w:rPr>
                <w:color w:val="auto"/>
              </w:rPr>
            </w:pPr>
          </w:p>
        </w:tc>
        <w:tc>
          <w:tcPr>
            <w:tcW w:w="1385" w:type="dxa"/>
          </w:tcPr>
          <w:p w:rsidR="00356E79" w:rsidRPr="00406C1D" w:rsidRDefault="00356E79" w:rsidP="0007160C">
            <w:pPr>
              <w:spacing w:line="360" w:lineRule="auto"/>
              <w:jc w:val="both"/>
              <w:cnfStyle w:val="100000000000"/>
              <w:rPr>
                <w:color w:val="auto"/>
              </w:rPr>
            </w:pPr>
          </w:p>
        </w:tc>
      </w:tr>
      <w:tr w:rsidR="00E60E93" w:rsidTr="00E60E93">
        <w:trPr>
          <w:cnfStyle w:val="000000100000"/>
        </w:trPr>
        <w:tc>
          <w:tcPr>
            <w:cnfStyle w:val="001000000000"/>
            <w:tcW w:w="2358" w:type="dxa"/>
          </w:tcPr>
          <w:p w:rsidR="00E60E93" w:rsidRPr="00406C1D" w:rsidRDefault="00E60E93" w:rsidP="0007160C">
            <w:pPr>
              <w:spacing w:line="360" w:lineRule="auto"/>
              <w:jc w:val="both"/>
              <w:rPr>
                <w:b w:val="0"/>
                <w:i/>
                <w:color w:val="auto"/>
              </w:rPr>
            </w:pPr>
            <w:r w:rsidRPr="00406C1D">
              <w:rPr>
                <w:b w:val="0"/>
                <w:i/>
                <w:color w:val="auto"/>
              </w:rPr>
              <w:t>Criteria</w:t>
            </w:r>
          </w:p>
        </w:tc>
        <w:tc>
          <w:tcPr>
            <w:tcW w:w="1721" w:type="dxa"/>
            <w:vAlign w:val="center"/>
          </w:tcPr>
          <w:p w:rsidR="00E60E93" w:rsidRPr="00406C1D" w:rsidRDefault="00E60E93" w:rsidP="00356E79">
            <w:pPr>
              <w:spacing w:line="360" w:lineRule="auto"/>
              <w:jc w:val="center"/>
              <w:cnfStyle w:val="000000100000"/>
              <w:rPr>
                <w:i/>
                <w:color w:val="auto"/>
              </w:rPr>
            </w:pPr>
            <w:r w:rsidRPr="00406C1D">
              <w:rPr>
                <w:i/>
                <w:color w:val="auto"/>
              </w:rPr>
              <w:t>H.1 CFE</w:t>
            </w:r>
          </w:p>
        </w:tc>
        <w:tc>
          <w:tcPr>
            <w:tcW w:w="1721" w:type="dxa"/>
            <w:gridSpan w:val="2"/>
            <w:tcBorders>
              <w:top w:val="nil"/>
              <w:bottom w:val="nil"/>
              <w:right w:val="single" w:sz="8" w:space="0" w:color="4F81BD" w:themeColor="accent1"/>
            </w:tcBorders>
            <w:vAlign w:val="center"/>
          </w:tcPr>
          <w:p w:rsidR="00E60E93" w:rsidRPr="00406C1D" w:rsidRDefault="00E60E93" w:rsidP="00356E79">
            <w:pPr>
              <w:spacing w:line="360" w:lineRule="auto"/>
              <w:jc w:val="center"/>
              <w:cnfStyle w:val="000000100000"/>
              <w:rPr>
                <w:i/>
                <w:color w:val="auto"/>
              </w:rPr>
            </w:pPr>
            <w:r w:rsidRPr="00406C1D">
              <w:rPr>
                <w:i/>
                <w:color w:val="auto"/>
              </w:rPr>
              <w:t>H.1 CPFE</w:t>
            </w:r>
          </w:p>
        </w:tc>
        <w:tc>
          <w:tcPr>
            <w:tcW w:w="1721" w:type="dxa"/>
            <w:tcBorders>
              <w:left w:val="single" w:sz="8" w:space="0" w:color="4F81BD" w:themeColor="accent1"/>
            </w:tcBorders>
            <w:vAlign w:val="center"/>
          </w:tcPr>
          <w:p w:rsidR="00E60E93" w:rsidRPr="00406C1D" w:rsidRDefault="00E60E93" w:rsidP="00B15EB6">
            <w:pPr>
              <w:spacing w:line="360" w:lineRule="auto"/>
              <w:jc w:val="center"/>
              <w:cnfStyle w:val="000000100000"/>
              <w:rPr>
                <w:i/>
                <w:color w:val="auto"/>
              </w:rPr>
            </w:pPr>
            <w:r w:rsidRPr="00406C1D">
              <w:rPr>
                <w:i/>
                <w:color w:val="auto"/>
              </w:rPr>
              <w:t>H.4 CFE</w:t>
            </w:r>
          </w:p>
        </w:tc>
        <w:tc>
          <w:tcPr>
            <w:tcW w:w="1721" w:type="dxa"/>
            <w:gridSpan w:val="2"/>
            <w:vAlign w:val="center"/>
          </w:tcPr>
          <w:p w:rsidR="00E60E93" w:rsidRPr="00406C1D" w:rsidRDefault="00E60E93" w:rsidP="00356E79">
            <w:pPr>
              <w:spacing w:line="360" w:lineRule="auto"/>
              <w:jc w:val="center"/>
              <w:cnfStyle w:val="000000100000"/>
              <w:rPr>
                <w:i/>
                <w:color w:val="auto"/>
              </w:rPr>
            </w:pPr>
            <w:r w:rsidRPr="00406C1D">
              <w:rPr>
                <w:i/>
                <w:color w:val="auto"/>
              </w:rPr>
              <w:t>H.4 CPFE</w:t>
            </w:r>
          </w:p>
        </w:tc>
      </w:tr>
      <w:tr w:rsidR="00E60E93" w:rsidTr="00E60E93">
        <w:tc>
          <w:tcPr>
            <w:cnfStyle w:val="001000000000"/>
            <w:tcW w:w="2358" w:type="dxa"/>
          </w:tcPr>
          <w:p w:rsidR="00E60E93" w:rsidRPr="00406C1D" w:rsidRDefault="00E60E93" w:rsidP="0007160C">
            <w:pPr>
              <w:spacing w:line="360" w:lineRule="auto"/>
              <w:jc w:val="both"/>
              <w:rPr>
                <w:b w:val="0"/>
                <w:color w:val="auto"/>
              </w:rPr>
            </w:pPr>
            <w:proofErr w:type="spellStart"/>
            <w:r w:rsidRPr="00406C1D">
              <w:rPr>
                <w:b w:val="0"/>
                <w:color w:val="auto"/>
              </w:rPr>
              <w:t>Akaike</w:t>
            </w:r>
            <w:proofErr w:type="spellEnd"/>
            <w:r w:rsidRPr="00406C1D">
              <w:rPr>
                <w:b w:val="0"/>
                <w:color w:val="auto"/>
              </w:rPr>
              <w:t xml:space="preserve"> info criterion</w:t>
            </w:r>
          </w:p>
        </w:tc>
        <w:tc>
          <w:tcPr>
            <w:tcW w:w="1721" w:type="dxa"/>
            <w:vAlign w:val="center"/>
          </w:tcPr>
          <w:p w:rsidR="00E60E93" w:rsidRPr="00406C1D" w:rsidRDefault="00E60E93" w:rsidP="00356E79">
            <w:pPr>
              <w:spacing w:line="360" w:lineRule="auto"/>
              <w:jc w:val="center"/>
              <w:cnfStyle w:val="000000000000"/>
              <w:rPr>
                <w:color w:val="auto"/>
              </w:rPr>
            </w:pPr>
            <w:r w:rsidRPr="00406C1D">
              <w:rPr>
                <w:color w:val="auto"/>
              </w:rPr>
              <w:t>0.76</w:t>
            </w:r>
          </w:p>
        </w:tc>
        <w:tc>
          <w:tcPr>
            <w:tcW w:w="1721" w:type="dxa"/>
            <w:gridSpan w:val="2"/>
            <w:tcBorders>
              <w:top w:val="nil"/>
              <w:bottom w:val="nil"/>
              <w:right w:val="single" w:sz="8" w:space="0" w:color="4F81BD" w:themeColor="accent1"/>
            </w:tcBorders>
            <w:vAlign w:val="center"/>
          </w:tcPr>
          <w:p w:rsidR="00E60E93" w:rsidRPr="00406C1D" w:rsidRDefault="00E60E93" w:rsidP="00356E79">
            <w:pPr>
              <w:spacing w:line="360" w:lineRule="auto"/>
              <w:jc w:val="center"/>
              <w:cnfStyle w:val="000000000000"/>
              <w:rPr>
                <w:color w:val="auto"/>
              </w:rPr>
            </w:pPr>
            <w:r w:rsidRPr="00406C1D">
              <w:rPr>
                <w:color w:val="auto"/>
              </w:rPr>
              <w:t>-0.57</w:t>
            </w:r>
          </w:p>
        </w:tc>
        <w:tc>
          <w:tcPr>
            <w:tcW w:w="1721" w:type="dxa"/>
            <w:tcBorders>
              <w:left w:val="single" w:sz="8" w:space="0" w:color="4F81BD" w:themeColor="accent1"/>
            </w:tcBorders>
            <w:vAlign w:val="center"/>
          </w:tcPr>
          <w:p w:rsidR="00E60E93" w:rsidRPr="00406C1D" w:rsidRDefault="00E60E93" w:rsidP="00B15EB6">
            <w:pPr>
              <w:spacing w:line="360" w:lineRule="auto"/>
              <w:jc w:val="center"/>
              <w:cnfStyle w:val="000000000000"/>
              <w:rPr>
                <w:color w:val="auto"/>
              </w:rPr>
            </w:pPr>
            <w:r w:rsidRPr="00406C1D">
              <w:rPr>
                <w:color w:val="auto"/>
              </w:rPr>
              <w:t>0.76</w:t>
            </w:r>
          </w:p>
        </w:tc>
        <w:tc>
          <w:tcPr>
            <w:tcW w:w="1721" w:type="dxa"/>
            <w:gridSpan w:val="2"/>
            <w:vAlign w:val="center"/>
          </w:tcPr>
          <w:p w:rsidR="00E60E93" w:rsidRPr="00406C1D" w:rsidRDefault="00E60E93" w:rsidP="00356E79">
            <w:pPr>
              <w:spacing w:line="360" w:lineRule="auto"/>
              <w:jc w:val="center"/>
              <w:cnfStyle w:val="000000000000"/>
              <w:rPr>
                <w:color w:val="auto"/>
              </w:rPr>
            </w:pPr>
            <w:r w:rsidRPr="00406C1D">
              <w:rPr>
                <w:color w:val="auto"/>
              </w:rPr>
              <w:t>-0.57</w:t>
            </w:r>
          </w:p>
        </w:tc>
      </w:tr>
      <w:tr w:rsidR="00E60E93" w:rsidTr="00E60E93">
        <w:trPr>
          <w:cnfStyle w:val="000000100000"/>
        </w:trPr>
        <w:tc>
          <w:tcPr>
            <w:cnfStyle w:val="001000000000"/>
            <w:tcW w:w="2358" w:type="dxa"/>
          </w:tcPr>
          <w:p w:rsidR="00E60E93" w:rsidRPr="00406C1D" w:rsidRDefault="00E60E93" w:rsidP="002A64C5">
            <w:pPr>
              <w:spacing w:line="360" w:lineRule="auto"/>
              <w:rPr>
                <w:b w:val="0"/>
                <w:color w:val="auto"/>
              </w:rPr>
            </w:pPr>
            <w:r w:rsidRPr="00406C1D">
              <w:rPr>
                <w:b w:val="0"/>
                <w:color w:val="auto"/>
              </w:rPr>
              <w:t>Schwarz criterion</w:t>
            </w:r>
          </w:p>
        </w:tc>
        <w:tc>
          <w:tcPr>
            <w:tcW w:w="1721" w:type="dxa"/>
            <w:vAlign w:val="center"/>
          </w:tcPr>
          <w:p w:rsidR="00E60E93" w:rsidRPr="00406C1D" w:rsidRDefault="00E60E93" w:rsidP="00356E79">
            <w:pPr>
              <w:spacing w:line="360" w:lineRule="auto"/>
              <w:jc w:val="center"/>
              <w:cnfStyle w:val="000000100000"/>
              <w:rPr>
                <w:color w:val="auto"/>
              </w:rPr>
            </w:pPr>
            <w:r w:rsidRPr="00406C1D">
              <w:rPr>
                <w:color w:val="auto"/>
              </w:rPr>
              <w:t>0.81</w:t>
            </w:r>
          </w:p>
        </w:tc>
        <w:tc>
          <w:tcPr>
            <w:tcW w:w="1721" w:type="dxa"/>
            <w:gridSpan w:val="2"/>
            <w:tcBorders>
              <w:top w:val="nil"/>
              <w:bottom w:val="nil"/>
              <w:right w:val="single" w:sz="8" w:space="0" w:color="4F81BD" w:themeColor="accent1"/>
            </w:tcBorders>
            <w:vAlign w:val="center"/>
          </w:tcPr>
          <w:p w:rsidR="00E60E93" w:rsidRPr="00406C1D" w:rsidRDefault="00E60E93" w:rsidP="00356E79">
            <w:pPr>
              <w:spacing w:line="360" w:lineRule="auto"/>
              <w:jc w:val="center"/>
              <w:cnfStyle w:val="000000100000"/>
              <w:rPr>
                <w:color w:val="auto"/>
              </w:rPr>
            </w:pPr>
            <w:r w:rsidRPr="00406C1D">
              <w:rPr>
                <w:color w:val="auto"/>
              </w:rPr>
              <w:t>0.08</w:t>
            </w:r>
          </w:p>
        </w:tc>
        <w:tc>
          <w:tcPr>
            <w:tcW w:w="1721" w:type="dxa"/>
            <w:tcBorders>
              <w:left w:val="single" w:sz="8" w:space="0" w:color="4F81BD" w:themeColor="accent1"/>
            </w:tcBorders>
            <w:vAlign w:val="center"/>
          </w:tcPr>
          <w:p w:rsidR="00E60E93" w:rsidRPr="00406C1D" w:rsidRDefault="00E60E93" w:rsidP="00B15EB6">
            <w:pPr>
              <w:spacing w:line="360" w:lineRule="auto"/>
              <w:jc w:val="center"/>
              <w:cnfStyle w:val="000000100000"/>
              <w:rPr>
                <w:color w:val="auto"/>
              </w:rPr>
            </w:pPr>
            <w:r w:rsidRPr="00406C1D">
              <w:rPr>
                <w:color w:val="auto"/>
              </w:rPr>
              <w:t>0.81</w:t>
            </w:r>
          </w:p>
        </w:tc>
        <w:tc>
          <w:tcPr>
            <w:tcW w:w="1721" w:type="dxa"/>
            <w:gridSpan w:val="2"/>
            <w:vAlign w:val="center"/>
          </w:tcPr>
          <w:p w:rsidR="00E60E93" w:rsidRPr="00406C1D" w:rsidRDefault="00E60E93" w:rsidP="00356E79">
            <w:pPr>
              <w:spacing w:line="360" w:lineRule="auto"/>
              <w:jc w:val="center"/>
              <w:cnfStyle w:val="000000100000"/>
              <w:rPr>
                <w:color w:val="auto"/>
              </w:rPr>
            </w:pPr>
            <w:r w:rsidRPr="00406C1D">
              <w:rPr>
                <w:color w:val="auto"/>
              </w:rPr>
              <w:t>0.07</w:t>
            </w:r>
          </w:p>
        </w:tc>
      </w:tr>
      <w:tr w:rsidR="00E60E93" w:rsidTr="00E60E93">
        <w:tc>
          <w:tcPr>
            <w:cnfStyle w:val="001000000000"/>
            <w:tcW w:w="2358" w:type="dxa"/>
          </w:tcPr>
          <w:p w:rsidR="00E60E93" w:rsidRPr="00406C1D" w:rsidRDefault="00E60E93" w:rsidP="0007160C">
            <w:pPr>
              <w:spacing w:line="360" w:lineRule="auto"/>
              <w:jc w:val="both"/>
              <w:rPr>
                <w:b w:val="0"/>
                <w:color w:val="auto"/>
              </w:rPr>
            </w:pPr>
            <w:proofErr w:type="spellStart"/>
            <w:r w:rsidRPr="00406C1D">
              <w:rPr>
                <w:b w:val="0"/>
                <w:color w:val="auto"/>
              </w:rPr>
              <w:t>Hannan</w:t>
            </w:r>
            <w:proofErr w:type="spellEnd"/>
            <w:r w:rsidRPr="00406C1D">
              <w:rPr>
                <w:b w:val="0"/>
                <w:color w:val="auto"/>
              </w:rPr>
              <w:t>-Quinn criterion</w:t>
            </w:r>
          </w:p>
        </w:tc>
        <w:tc>
          <w:tcPr>
            <w:tcW w:w="1721" w:type="dxa"/>
            <w:vAlign w:val="center"/>
          </w:tcPr>
          <w:p w:rsidR="00E60E93" w:rsidRPr="00406C1D" w:rsidRDefault="00E60E93" w:rsidP="00356E79">
            <w:pPr>
              <w:spacing w:line="360" w:lineRule="auto"/>
              <w:jc w:val="center"/>
              <w:cnfStyle w:val="000000000000"/>
              <w:rPr>
                <w:color w:val="auto"/>
              </w:rPr>
            </w:pPr>
            <w:r w:rsidRPr="00406C1D">
              <w:rPr>
                <w:color w:val="auto"/>
              </w:rPr>
              <w:t>0.78</w:t>
            </w:r>
          </w:p>
        </w:tc>
        <w:tc>
          <w:tcPr>
            <w:tcW w:w="1721" w:type="dxa"/>
            <w:gridSpan w:val="2"/>
            <w:tcBorders>
              <w:top w:val="nil"/>
              <w:bottom w:val="single" w:sz="8" w:space="0" w:color="4F81BD" w:themeColor="accent1"/>
              <w:right w:val="single" w:sz="8" w:space="0" w:color="4F81BD" w:themeColor="accent1"/>
            </w:tcBorders>
            <w:vAlign w:val="center"/>
          </w:tcPr>
          <w:p w:rsidR="00E60E93" w:rsidRPr="00406C1D" w:rsidRDefault="00E60E93" w:rsidP="00356E79">
            <w:pPr>
              <w:spacing w:line="360" w:lineRule="auto"/>
              <w:jc w:val="center"/>
              <w:cnfStyle w:val="000000000000"/>
              <w:rPr>
                <w:color w:val="auto"/>
              </w:rPr>
            </w:pPr>
            <w:r w:rsidRPr="00406C1D">
              <w:rPr>
                <w:color w:val="auto"/>
              </w:rPr>
              <w:t>-0.35</w:t>
            </w:r>
          </w:p>
        </w:tc>
        <w:tc>
          <w:tcPr>
            <w:tcW w:w="1721" w:type="dxa"/>
            <w:tcBorders>
              <w:left w:val="single" w:sz="8" w:space="0" w:color="4F81BD" w:themeColor="accent1"/>
            </w:tcBorders>
            <w:vAlign w:val="center"/>
          </w:tcPr>
          <w:p w:rsidR="00E60E93" w:rsidRPr="00406C1D" w:rsidRDefault="00E60E93" w:rsidP="00B15EB6">
            <w:pPr>
              <w:spacing w:line="360" w:lineRule="auto"/>
              <w:jc w:val="center"/>
              <w:cnfStyle w:val="000000000000"/>
              <w:rPr>
                <w:color w:val="auto"/>
              </w:rPr>
            </w:pPr>
            <w:r w:rsidRPr="00406C1D">
              <w:rPr>
                <w:color w:val="auto"/>
              </w:rPr>
              <w:t>0.78</w:t>
            </w:r>
          </w:p>
        </w:tc>
        <w:tc>
          <w:tcPr>
            <w:tcW w:w="1721" w:type="dxa"/>
            <w:gridSpan w:val="2"/>
            <w:vAlign w:val="center"/>
          </w:tcPr>
          <w:p w:rsidR="00E60E93" w:rsidRPr="00406C1D" w:rsidRDefault="00E60E93" w:rsidP="0044786B">
            <w:pPr>
              <w:keepNext/>
              <w:spacing w:line="360" w:lineRule="auto"/>
              <w:jc w:val="center"/>
              <w:cnfStyle w:val="000000000000"/>
              <w:rPr>
                <w:color w:val="auto"/>
              </w:rPr>
            </w:pPr>
            <w:r w:rsidRPr="00406C1D">
              <w:rPr>
                <w:color w:val="auto"/>
              </w:rPr>
              <w:t>-0.36</w:t>
            </w:r>
          </w:p>
        </w:tc>
      </w:tr>
    </w:tbl>
    <w:p w:rsidR="0044786B" w:rsidRPr="0044786B" w:rsidRDefault="00E80713" w:rsidP="00E80713">
      <w:pPr>
        <w:pStyle w:val="Caption"/>
        <w:jc w:val="both"/>
        <w:rPr>
          <w:color w:val="auto"/>
        </w:rPr>
      </w:pPr>
      <w:r>
        <w:rPr>
          <w:color w:val="auto"/>
        </w:rPr>
        <w:t>N</w:t>
      </w:r>
      <w:r w:rsidR="0044786B" w:rsidRPr="0044786B">
        <w:rPr>
          <w:color w:val="auto"/>
        </w:rPr>
        <w:t xml:space="preserve">otes: </w:t>
      </w:r>
      <w:r>
        <w:rPr>
          <w:color w:val="auto"/>
        </w:rPr>
        <w:t>(</w:t>
      </w:r>
      <w:proofErr w:type="spellStart"/>
      <w:r>
        <w:rPr>
          <w:color w:val="auto"/>
        </w:rPr>
        <w:t>i</w:t>
      </w:r>
      <w:proofErr w:type="spellEnd"/>
      <w:r>
        <w:rPr>
          <w:color w:val="auto"/>
        </w:rPr>
        <w:t xml:space="preserve">) the </w:t>
      </w:r>
      <w:proofErr w:type="spellStart"/>
      <w:r>
        <w:rPr>
          <w:color w:val="auto"/>
        </w:rPr>
        <w:t>Akaike</w:t>
      </w:r>
      <w:proofErr w:type="spellEnd"/>
      <w:r>
        <w:rPr>
          <w:color w:val="auto"/>
        </w:rPr>
        <w:t xml:space="preserve"> info criterion, the Schwarz criterion and the </w:t>
      </w:r>
      <w:proofErr w:type="spellStart"/>
      <w:r>
        <w:rPr>
          <w:color w:val="auto"/>
        </w:rPr>
        <w:t>Hannan</w:t>
      </w:r>
      <w:proofErr w:type="spellEnd"/>
      <w:r>
        <w:rPr>
          <w:color w:val="auto"/>
        </w:rPr>
        <w:t>-Quinn criterion are used to determine which model is the most appropriate of either the Country Fixed Effect model or the Country Pair Fixed Effect model (both with time-varying constants); (ii) For all criteria the reasoning applies that a lower criterion implies a more appropriate model.</w:t>
      </w:r>
    </w:p>
    <w:p w:rsidR="00276A09" w:rsidRDefault="00DD37FF" w:rsidP="00356E79">
      <w:pPr>
        <w:spacing w:line="360" w:lineRule="auto"/>
        <w:jc w:val="both"/>
      </w:pPr>
      <w:r>
        <w:t>As can be seen when looking at the different criteria presented above, the CPFE is found to be the preferred model over the CFE model</w:t>
      </w:r>
      <w:r w:rsidR="00356E79">
        <w:t>, over all the criteria, for hypotheses 1 and 4</w:t>
      </w:r>
      <w:r>
        <w:t xml:space="preserve">. </w:t>
      </w:r>
      <w:r w:rsidR="00356E79">
        <w:t xml:space="preserve">These results are consistent for all other </w:t>
      </w:r>
      <w:r w:rsidR="003F2E26">
        <w:t>specifications</w:t>
      </w:r>
      <w:r w:rsidR="00356E79">
        <w:t xml:space="preserve">. </w:t>
      </w:r>
      <w:r>
        <w:t xml:space="preserve">Therefore, when elaborating the empirical results in the next chapter, the coefficients of the CPFE model with fixed time effects are used to draw inferences from. Nonetheless the results of the CFE model with time effects are also displayed for comparison. </w:t>
      </w:r>
    </w:p>
    <w:p w:rsidR="003F2E26" w:rsidRDefault="003F2E26" w:rsidP="00436167">
      <w:pPr>
        <w:spacing w:line="360" w:lineRule="auto"/>
        <w:jc w:val="both"/>
      </w:pPr>
    </w:p>
    <w:p w:rsidR="00436167" w:rsidRPr="000E4885" w:rsidRDefault="000E4885" w:rsidP="00436167">
      <w:pPr>
        <w:spacing w:line="360" w:lineRule="auto"/>
        <w:jc w:val="both"/>
      </w:pPr>
      <w:r>
        <w:lastRenderedPageBreak/>
        <w:t>T</w:t>
      </w:r>
      <w:r w:rsidR="00436167">
        <w:t>his chapter</w:t>
      </w:r>
      <w:r>
        <w:t xml:space="preserve"> has helped selecting</w:t>
      </w:r>
      <w:r w:rsidR="00436167">
        <w:t xml:space="preserve"> the most appropriate model, out of the available options and specifications, to use for the empirical analyses in the</w:t>
      </w:r>
      <w:r>
        <w:t xml:space="preserve"> upcoming</w:t>
      </w:r>
      <w:r w:rsidR="00436167">
        <w:t xml:space="preserve"> chapter. First was tested, given the panel data available, which type of effects, either random or fixed, should be applied. As fixed effects came out as the preferred ty</w:t>
      </w:r>
      <w:r>
        <w:t xml:space="preserve">pe, the next test investigated </w:t>
      </w:r>
      <w:r w:rsidR="007537CF">
        <w:t>whether</w:t>
      </w:r>
      <w:r>
        <w:t xml:space="preserve"> time</w:t>
      </w:r>
      <w:r w:rsidR="007537CF">
        <w:t xml:space="preserve"> fixed effects,</w:t>
      </w:r>
      <w:r>
        <w:t xml:space="preserve"> cross</w:t>
      </w:r>
      <w:r w:rsidRPr="000E4885">
        <w:t>-</w:t>
      </w:r>
      <w:r w:rsidR="007537CF">
        <w:t>section fixed effects, or both,</w:t>
      </w:r>
      <w:r>
        <w:t xml:space="preserve"> where</w:t>
      </w:r>
      <w:r w:rsidR="007537CF">
        <w:t xml:space="preserve"> </w:t>
      </w:r>
      <w:r>
        <w:t>redundant. For the Country Fixed Effect model no evidence of redundancy of the time fixed effects was found, thereby justifying time-variant constants in this model. For the Country Pair Fixed Effect model also no evidence was found for redundancy of either time or cross-section fixed effects, thereby</w:t>
      </w:r>
      <w:r w:rsidR="007537CF">
        <w:t xml:space="preserve"> also</w:t>
      </w:r>
      <w:r>
        <w:t xml:space="preserve"> justifying the use of this model with time-variant constants. </w:t>
      </w:r>
    </w:p>
    <w:p w:rsidR="003F2E26" w:rsidRDefault="003F2E26">
      <w:pPr>
        <w:rPr>
          <w:rFonts w:asciiTheme="majorHAnsi" w:eastAsiaTheme="majorEastAsia" w:hAnsiTheme="majorHAnsi" w:cstheme="majorBidi"/>
          <w:b/>
          <w:bCs/>
          <w:color w:val="365F91" w:themeColor="accent1" w:themeShade="BF"/>
          <w:sz w:val="28"/>
          <w:szCs w:val="28"/>
        </w:rPr>
      </w:pPr>
      <w:r>
        <w:br w:type="page"/>
      </w:r>
    </w:p>
    <w:p w:rsidR="00573865" w:rsidRPr="00411884" w:rsidRDefault="00573865" w:rsidP="00573865">
      <w:pPr>
        <w:pStyle w:val="Heading1"/>
        <w:numPr>
          <w:ilvl w:val="0"/>
          <w:numId w:val="1"/>
        </w:numPr>
      </w:pPr>
      <w:bookmarkStart w:id="33" w:name="_Toc353180790"/>
      <w:bookmarkStart w:id="34" w:name="_Toc353348794"/>
      <w:r>
        <w:lastRenderedPageBreak/>
        <w:t>Empirical Results</w:t>
      </w:r>
      <w:bookmarkEnd w:id="33"/>
      <w:bookmarkEnd w:id="34"/>
    </w:p>
    <w:p w:rsidR="00D5030C" w:rsidRDefault="00D5030C" w:rsidP="00573865">
      <w:pPr>
        <w:spacing w:line="360" w:lineRule="auto"/>
        <w:jc w:val="both"/>
      </w:pPr>
    </w:p>
    <w:p w:rsidR="0034565B" w:rsidRDefault="00573865" w:rsidP="00573865">
      <w:pPr>
        <w:spacing w:line="360" w:lineRule="auto"/>
        <w:jc w:val="both"/>
      </w:pPr>
      <w:r>
        <w:t>This chapter will present and discuss the results</w:t>
      </w:r>
      <w:r w:rsidR="00CD4D30">
        <w:t xml:space="preserve"> of the regression analyses conducted using </w:t>
      </w:r>
      <w:proofErr w:type="spellStart"/>
      <w:r w:rsidR="00CD4D30">
        <w:t>Eviews</w:t>
      </w:r>
      <w:proofErr w:type="spellEnd"/>
      <w:r w:rsidR="00CD4D30">
        <w:t xml:space="preserve">. </w:t>
      </w:r>
      <w:r w:rsidR="00347DC6">
        <w:t>The chapter is split up into two parts</w:t>
      </w:r>
      <w:r w:rsidR="0034565B">
        <w:t xml:space="preserve"> that both deal with a group of hypotheses. Th</w:t>
      </w:r>
      <w:r w:rsidR="001376B7">
        <w:t>e</w:t>
      </w:r>
      <w:r w:rsidR="0034565B">
        <w:t xml:space="preserve"> first part of this chapter will present the results of the analyses conducted on the individual country level, thus covering hypotheses 1-3. The second part of this chapter will elaborate on the results of the analyses of the new EMU members as a group and their comparison to the benchmark group (hypotheses 4-6). </w:t>
      </w:r>
    </w:p>
    <w:p w:rsidR="00CF567F" w:rsidRDefault="00CF567F" w:rsidP="00573865">
      <w:pPr>
        <w:spacing w:line="360" w:lineRule="auto"/>
        <w:jc w:val="both"/>
      </w:pPr>
      <w:r>
        <w:t xml:space="preserve">Before elaborating the results of the analyses, a few words on the tables presented. Each table in this chapter exists of three columns and multiple rows. </w:t>
      </w:r>
      <w:r w:rsidR="00001888">
        <w:t>T</w:t>
      </w:r>
      <w:r>
        <w:t xml:space="preserve">he first column </w:t>
      </w:r>
      <w:r w:rsidR="00001888">
        <w:t xml:space="preserve">presents </w:t>
      </w:r>
      <w:r>
        <w:t xml:space="preserve">the variables </w:t>
      </w:r>
      <w:r w:rsidR="00001888">
        <w:t xml:space="preserve">used </w:t>
      </w:r>
      <w:r>
        <w:t>in the regression. The variables in the bottom part are the variables of interest that test the hypotheses constructed in chapter 4 and</w:t>
      </w:r>
      <w:r w:rsidR="00001888">
        <w:t xml:space="preserve"> thus</w:t>
      </w:r>
      <w:r>
        <w:t xml:space="preserve"> will vary for each table. The second column will always present the coefficients of the Coun</w:t>
      </w:r>
      <w:r w:rsidR="004723F3">
        <w:t xml:space="preserve">try Fixed Effect (CFE) model with fixed </w:t>
      </w:r>
      <w:r>
        <w:t xml:space="preserve">time effects. This column contains the traditional </w:t>
      </w:r>
      <w:r w:rsidR="00DC1C36">
        <w:t xml:space="preserve">bilateral </w:t>
      </w:r>
      <w:r>
        <w:t xml:space="preserve">gravity model variables </w:t>
      </w:r>
      <w:r w:rsidR="00001888">
        <w:t xml:space="preserve">which are not captured by the individual country’s characteristics, which are </w:t>
      </w:r>
      <w:r>
        <w:t xml:space="preserve">border contiguity, language similarity and distance. Also are added the EU15 and EMU12 variables that display the trade effects </w:t>
      </w:r>
      <w:r w:rsidR="004723F3">
        <w:t>for</w:t>
      </w:r>
      <w:r w:rsidR="00DC1C36">
        <w:t xml:space="preserve"> the</w:t>
      </w:r>
      <w:r>
        <w:t xml:space="preserve"> </w:t>
      </w:r>
      <w:r w:rsidR="004723F3">
        <w:t xml:space="preserve">pre-2004 </w:t>
      </w:r>
      <w:r>
        <w:t>EU member</w:t>
      </w:r>
      <w:r w:rsidR="004723F3">
        <w:t xml:space="preserve">s, and </w:t>
      </w:r>
      <w:r w:rsidR="00DC1C36">
        <w:t xml:space="preserve">the </w:t>
      </w:r>
      <w:r w:rsidR="004723F3">
        <w:t xml:space="preserve">pre-2007 EMU members, respectively. The third and final column present the outcomes of the analyses of the Country Pair Fixed Effect model with fixed time effects. These columns will only contain the exporting and importing country GDP and the variable of interest. This </w:t>
      </w:r>
      <w:r w:rsidR="00001888">
        <w:t xml:space="preserve">is </w:t>
      </w:r>
      <w:r w:rsidR="004723F3">
        <w:t xml:space="preserve">because all of the other variables that are used in the CFE model are already captured by the country-pair characteristics. As discussed in the previous chapter, the results of this model are taken as superior to the results of the CFE model. </w:t>
      </w:r>
    </w:p>
    <w:p w:rsidR="00D5030C" w:rsidRDefault="00EA503A" w:rsidP="001376B7">
      <w:pPr>
        <w:pStyle w:val="Heading2"/>
        <w:numPr>
          <w:ilvl w:val="1"/>
          <w:numId w:val="1"/>
        </w:numPr>
      </w:pPr>
      <w:r>
        <w:t xml:space="preserve"> </w:t>
      </w:r>
      <w:r>
        <w:tab/>
      </w:r>
      <w:bookmarkStart w:id="35" w:name="_Toc353348795"/>
      <w:r w:rsidR="001376B7">
        <w:t>Part I</w:t>
      </w:r>
      <w:r>
        <w:t xml:space="preserve"> – H.1</w:t>
      </w:r>
      <w:bookmarkEnd w:id="35"/>
    </w:p>
    <w:p w:rsidR="00B15EB6" w:rsidRDefault="00347DC6" w:rsidP="00DC1C36">
      <w:pPr>
        <w:spacing w:line="360" w:lineRule="auto"/>
        <w:jc w:val="both"/>
      </w:pPr>
      <w:r>
        <w:t>This section of th</w:t>
      </w:r>
      <w:r w:rsidR="00001888">
        <w:t>e</w:t>
      </w:r>
      <w:r>
        <w:t xml:space="preserve"> chapter will elaborate on the empirical results related to the first three hypotheses that focus solely on the</w:t>
      </w:r>
      <w:r w:rsidR="00E31C36">
        <w:t xml:space="preserve"> </w:t>
      </w:r>
      <w:r w:rsidR="00001888">
        <w:t xml:space="preserve">individual's </w:t>
      </w:r>
      <w:r w:rsidR="00E31C36">
        <w:t xml:space="preserve">country </w:t>
      </w:r>
      <w:r>
        <w:t>trade effects</w:t>
      </w:r>
      <w:r w:rsidR="009E1A47">
        <w:t xml:space="preserve"> of joining </w:t>
      </w:r>
      <w:r w:rsidR="00AD525C">
        <w:t>EMU</w:t>
      </w:r>
      <w:r w:rsidR="00E31C36">
        <w:t xml:space="preserve"> for</w:t>
      </w:r>
      <w:r w:rsidR="00001888">
        <w:t xml:space="preserve"> each of</w:t>
      </w:r>
      <w:r w:rsidR="00E31C36">
        <w:t xml:space="preserve"> the new</w:t>
      </w:r>
      <w:r w:rsidR="004723F3">
        <w:t xml:space="preserve"> </w:t>
      </w:r>
      <w:r w:rsidR="00AD525C">
        <w:t>EMU</w:t>
      </w:r>
      <w:r w:rsidR="00E31C36">
        <w:t xml:space="preserve"> </w:t>
      </w:r>
      <w:r w:rsidR="00315B91">
        <w:t>countries</w:t>
      </w:r>
      <w:r w:rsidR="00E31C36">
        <w:t xml:space="preserve">; Slovenia, Cyprus, Malta and the </w:t>
      </w:r>
      <w:r w:rsidR="009E1A47">
        <w:t xml:space="preserve">Slovak Republic. </w:t>
      </w:r>
      <w:r w:rsidR="00DC1C36">
        <w:t>Table 7</w:t>
      </w:r>
      <w:r w:rsidR="0051180B">
        <w:t>-</w:t>
      </w:r>
      <w:r w:rsidR="00DC1C36">
        <w:t xml:space="preserve">1 displays the results of the regression testing hypothesis 1: </w:t>
      </w:r>
      <w:r w:rsidR="00DC1C36">
        <w:rPr>
          <w:i/>
        </w:rPr>
        <w:t>Adoption of the Euro has led to an increase in total trade for Slovenia, Cyprus, Malta and the Slovak Republic</w:t>
      </w:r>
      <w:r w:rsidR="00DC1C36">
        <w:t xml:space="preserve">. This hypothesis is related directly to the research question: </w:t>
      </w:r>
      <w:r w:rsidR="00DC1C36" w:rsidRPr="00DC1C36">
        <w:rPr>
          <w:i/>
        </w:rPr>
        <w:t>Did Euro adoption increase trade for the newest EMU members</w:t>
      </w:r>
      <w:r w:rsidR="00DC1C36">
        <w:rPr>
          <w:i/>
        </w:rPr>
        <w:t xml:space="preserve">? </w:t>
      </w:r>
      <w:r w:rsidR="00DC1C36">
        <w:t xml:space="preserve">Therefore, finding positive and significant coefficients for each of the countries would provide a simple answer to this question. </w:t>
      </w:r>
    </w:p>
    <w:p w:rsidR="00DC1C36" w:rsidRDefault="00DC1C36" w:rsidP="00DC1C36">
      <w:pPr>
        <w:spacing w:line="360" w:lineRule="auto"/>
        <w:jc w:val="both"/>
      </w:pPr>
      <w:r>
        <w:t xml:space="preserve">The results presented give a </w:t>
      </w:r>
      <w:r w:rsidR="00570276">
        <w:t xml:space="preserve">nice overall picture of the regression. In the CFE model all the variables except for Malta and the Slovak Republic display significant coefficients. The GDPs of the exporting </w:t>
      </w:r>
      <w:r w:rsidR="00570276">
        <w:lastRenderedPageBreak/>
        <w:t xml:space="preserve">and importing country show the expected sign and are comparable in size with results of other research using the gravity model. The three bilateral gravity model variables also show the expected signs; sharing a border has a positive effect on trade and so does speaking a similar language, although to a smaller extent. Distance between capitals has, as expected, a negative effect on trade </w:t>
      </w:r>
    </w:p>
    <w:p w:rsidR="00B15EB6" w:rsidRPr="00406C1D" w:rsidRDefault="00B15EB6" w:rsidP="00B15EB6">
      <w:pPr>
        <w:pStyle w:val="Caption"/>
        <w:keepNext/>
        <w:rPr>
          <w:color w:val="auto"/>
          <w:sz w:val="28"/>
        </w:rPr>
      </w:pPr>
      <w:r w:rsidRPr="00406C1D">
        <w:rPr>
          <w:color w:val="auto"/>
          <w:sz w:val="28"/>
        </w:rPr>
        <w:t xml:space="preserve">Table </w:t>
      </w:r>
      <w:r w:rsidR="008A5472">
        <w:rPr>
          <w:color w:val="auto"/>
          <w:sz w:val="28"/>
        </w:rPr>
        <w:fldChar w:fldCharType="begin"/>
      </w:r>
      <w:r w:rsidR="009E4CF3">
        <w:rPr>
          <w:color w:val="auto"/>
          <w:sz w:val="28"/>
        </w:rPr>
        <w:instrText xml:space="preserve"> STYLEREF 1 \s </w:instrText>
      </w:r>
      <w:r w:rsidR="008A5472">
        <w:rPr>
          <w:color w:val="auto"/>
          <w:sz w:val="28"/>
        </w:rPr>
        <w:fldChar w:fldCharType="separate"/>
      </w:r>
      <w:r w:rsidR="009E4CF3">
        <w:rPr>
          <w:noProof/>
          <w:color w:val="auto"/>
          <w:sz w:val="28"/>
        </w:rPr>
        <w:t>7</w:t>
      </w:r>
      <w:r w:rsidR="008A5472">
        <w:rPr>
          <w:color w:val="auto"/>
          <w:sz w:val="28"/>
        </w:rPr>
        <w:fldChar w:fldCharType="end"/>
      </w:r>
      <w:r w:rsidR="009E4CF3">
        <w:rPr>
          <w:color w:val="auto"/>
          <w:sz w:val="28"/>
        </w:rPr>
        <w:noBreakHyphen/>
      </w:r>
      <w:r w:rsidR="008A5472">
        <w:rPr>
          <w:color w:val="auto"/>
          <w:sz w:val="28"/>
        </w:rPr>
        <w:fldChar w:fldCharType="begin"/>
      </w:r>
      <w:r w:rsidR="009E4CF3">
        <w:rPr>
          <w:color w:val="auto"/>
          <w:sz w:val="28"/>
        </w:rPr>
        <w:instrText xml:space="preserve"> SEQ Table \* ARABIC \s 1 </w:instrText>
      </w:r>
      <w:r w:rsidR="008A5472">
        <w:rPr>
          <w:color w:val="auto"/>
          <w:sz w:val="28"/>
        </w:rPr>
        <w:fldChar w:fldCharType="separate"/>
      </w:r>
      <w:r w:rsidR="009E4CF3">
        <w:rPr>
          <w:noProof/>
          <w:color w:val="auto"/>
          <w:sz w:val="28"/>
        </w:rPr>
        <w:t>1</w:t>
      </w:r>
      <w:r w:rsidR="008A5472">
        <w:rPr>
          <w:color w:val="auto"/>
          <w:sz w:val="28"/>
        </w:rPr>
        <w:fldChar w:fldCharType="end"/>
      </w:r>
      <w:r w:rsidRPr="00406C1D">
        <w:rPr>
          <w:color w:val="auto"/>
          <w:sz w:val="28"/>
        </w:rPr>
        <w:t xml:space="preserve"> Testing of Hypothesis 1</w:t>
      </w:r>
    </w:p>
    <w:tbl>
      <w:tblPr>
        <w:tblStyle w:val="Lichtearcering-accent11"/>
        <w:tblpPr w:leftFromText="142" w:rightFromText="142" w:vertAnchor="text" w:tblpY="1"/>
        <w:tblOverlap w:val="never"/>
        <w:tblW w:w="0" w:type="auto"/>
        <w:tblLook w:val="04A0"/>
      </w:tblPr>
      <w:tblGrid>
        <w:gridCol w:w="3060"/>
        <w:gridCol w:w="3060"/>
        <w:gridCol w:w="3060"/>
      </w:tblGrid>
      <w:tr w:rsidR="00B15EB6" w:rsidRPr="00406C1D" w:rsidTr="00570276">
        <w:trPr>
          <w:cnfStyle w:val="100000000000"/>
        </w:trPr>
        <w:tc>
          <w:tcPr>
            <w:cnfStyle w:val="001000000000"/>
            <w:tcW w:w="9180" w:type="dxa"/>
            <w:gridSpan w:val="3"/>
          </w:tcPr>
          <w:p w:rsidR="00B15EB6" w:rsidRPr="00406C1D" w:rsidRDefault="00B15EB6" w:rsidP="00570276">
            <w:pPr>
              <w:rPr>
                <w:color w:val="auto"/>
                <w:sz w:val="24"/>
              </w:rPr>
            </w:pPr>
            <w:r w:rsidRPr="00406C1D">
              <w:rPr>
                <w:color w:val="auto"/>
                <w:sz w:val="24"/>
              </w:rPr>
              <w:t>Total Trade Effects of Euro adoption</w:t>
            </w:r>
            <w:r w:rsidR="007D0EDC" w:rsidRPr="00406C1D">
              <w:rPr>
                <w:color w:val="auto"/>
                <w:sz w:val="24"/>
              </w:rPr>
              <w:t>,</w:t>
            </w:r>
            <w:r w:rsidRPr="00406C1D">
              <w:rPr>
                <w:color w:val="auto"/>
                <w:sz w:val="24"/>
              </w:rPr>
              <w:t xml:space="preserve"> per individual country</w:t>
            </w:r>
          </w:p>
        </w:tc>
      </w:tr>
      <w:tr w:rsidR="00B15EB6" w:rsidTr="00570276">
        <w:trPr>
          <w:cnfStyle w:val="000000100000"/>
        </w:trPr>
        <w:tc>
          <w:tcPr>
            <w:cnfStyle w:val="001000000000"/>
            <w:tcW w:w="3060" w:type="dxa"/>
          </w:tcPr>
          <w:p w:rsidR="00B15EB6" w:rsidRDefault="00B15EB6" w:rsidP="00570276">
            <w:r>
              <w:rPr>
                <w:rFonts w:ascii="Calibri" w:hAnsi="Calibri" w:cs="Calibri"/>
                <w:color w:val="000000"/>
              </w:rPr>
              <w:t>Dependent Variable: LN_NOM_EX</w:t>
            </w:r>
          </w:p>
        </w:tc>
        <w:tc>
          <w:tcPr>
            <w:tcW w:w="3060" w:type="dxa"/>
          </w:tcPr>
          <w:p w:rsidR="00B15EB6" w:rsidRDefault="00B15EB6" w:rsidP="00570276">
            <w:pPr>
              <w:cnfStyle w:val="000000100000"/>
            </w:pPr>
          </w:p>
        </w:tc>
        <w:tc>
          <w:tcPr>
            <w:tcW w:w="3060" w:type="dxa"/>
          </w:tcPr>
          <w:p w:rsidR="00B15EB6" w:rsidRDefault="00B15EB6" w:rsidP="00570276">
            <w:pPr>
              <w:cnfStyle w:val="000000100000"/>
            </w:pPr>
          </w:p>
        </w:tc>
      </w:tr>
      <w:tr w:rsidR="00B15EB6" w:rsidTr="00570276">
        <w:tc>
          <w:tcPr>
            <w:cnfStyle w:val="001000000000"/>
            <w:tcW w:w="3060" w:type="dxa"/>
          </w:tcPr>
          <w:p w:rsidR="00B15EB6" w:rsidRDefault="00B15EB6" w:rsidP="00570276">
            <w:r>
              <w:rPr>
                <w:rFonts w:ascii="Calibri" w:hAnsi="Calibri" w:cs="Calibri"/>
                <w:color w:val="000000"/>
              </w:rPr>
              <w:t>Method: Panel Least Squares</w:t>
            </w:r>
          </w:p>
        </w:tc>
        <w:tc>
          <w:tcPr>
            <w:tcW w:w="3060" w:type="dxa"/>
          </w:tcPr>
          <w:p w:rsidR="00B15EB6" w:rsidRDefault="00B15EB6" w:rsidP="00570276">
            <w:pPr>
              <w:cnfStyle w:val="000000000000"/>
            </w:pPr>
          </w:p>
        </w:tc>
        <w:tc>
          <w:tcPr>
            <w:tcW w:w="3060" w:type="dxa"/>
          </w:tcPr>
          <w:p w:rsidR="00B15EB6" w:rsidRDefault="00B15EB6" w:rsidP="00570276">
            <w:pPr>
              <w:cnfStyle w:val="000000000000"/>
            </w:pPr>
          </w:p>
        </w:tc>
      </w:tr>
      <w:tr w:rsidR="00B15EB6" w:rsidTr="00570276">
        <w:trPr>
          <w:cnfStyle w:val="000000100000"/>
        </w:trPr>
        <w:tc>
          <w:tcPr>
            <w:cnfStyle w:val="001000000000"/>
            <w:tcW w:w="3060" w:type="dxa"/>
          </w:tcPr>
          <w:p w:rsidR="00B15EB6" w:rsidRDefault="00B15EB6" w:rsidP="00570276"/>
        </w:tc>
        <w:tc>
          <w:tcPr>
            <w:tcW w:w="3060" w:type="dxa"/>
          </w:tcPr>
          <w:p w:rsidR="00B15EB6" w:rsidRDefault="00B15EB6" w:rsidP="00570276">
            <w:pPr>
              <w:cnfStyle w:val="000000100000"/>
            </w:pPr>
          </w:p>
        </w:tc>
        <w:tc>
          <w:tcPr>
            <w:tcW w:w="3060" w:type="dxa"/>
          </w:tcPr>
          <w:p w:rsidR="00B15EB6" w:rsidRDefault="00B15EB6" w:rsidP="00570276">
            <w:pPr>
              <w:cnfStyle w:val="000000100000"/>
            </w:pPr>
          </w:p>
        </w:tc>
      </w:tr>
      <w:tr w:rsidR="00B15EB6" w:rsidTr="00570276">
        <w:tc>
          <w:tcPr>
            <w:cnfStyle w:val="001000000000"/>
            <w:tcW w:w="3060" w:type="dxa"/>
          </w:tcPr>
          <w:p w:rsidR="00B15EB6" w:rsidRPr="00B0517F" w:rsidRDefault="00B15EB6" w:rsidP="00570276">
            <w:pPr>
              <w:rPr>
                <w:rFonts w:ascii="Calibri" w:hAnsi="Calibri" w:cs="Calibri"/>
                <w:i/>
                <w:color w:val="000000"/>
              </w:rPr>
            </w:pPr>
            <w:r w:rsidRPr="00B0517F">
              <w:rPr>
                <w:rFonts w:ascii="Calibri" w:hAnsi="Calibri" w:cs="Calibri"/>
                <w:i/>
                <w:color w:val="000000"/>
              </w:rPr>
              <w:t>Model:</w:t>
            </w:r>
          </w:p>
        </w:tc>
        <w:tc>
          <w:tcPr>
            <w:tcW w:w="3060" w:type="dxa"/>
          </w:tcPr>
          <w:p w:rsidR="00B15EB6" w:rsidRPr="00406C1D" w:rsidRDefault="00B15EB6" w:rsidP="00570276">
            <w:pPr>
              <w:cnfStyle w:val="000000000000"/>
              <w:rPr>
                <w:color w:val="auto"/>
              </w:rPr>
            </w:pPr>
            <w:r w:rsidRPr="00406C1D">
              <w:rPr>
                <w:color w:val="auto"/>
              </w:rPr>
              <w:t>Country Fixed Effect Model</w:t>
            </w:r>
          </w:p>
          <w:p w:rsidR="00B15EB6" w:rsidRPr="00406C1D" w:rsidRDefault="00B15EB6" w:rsidP="00570276">
            <w:pPr>
              <w:cnfStyle w:val="000000000000"/>
              <w:rPr>
                <w:color w:val="auto"/>
                <w:vertAlign w:val="superscript"/>
              </w:rPr>
            </w:pPr>
            <w:r w:rsidRPr="00406C1D">
              <w:rPr>
                <w:color w:val="auto"/>
              </w:rPr>
              <w:t>Fixed time effects</w:t>
            </w:r>
            <w:r w:rsidR="00630808" w:rsidRPr="00406C1D">
              <w:rPr>
                <w:color w:val="auto"/>
                <w:vertAlign w:val="superscript"/>
              </w:rPr>
              <w:t>(a)</w:t>
            </w:r>
          </w:p>
        </w:tc>
        <w:tc>
          <w:tcPr>
            <w:tcW w:w="3060" w:type="dxa"/>
          </w:tcPr>
          <w:p w:rsidR="00B15EB6" w:rsidRPr="00406C1D" w:rsidRDefault="00B15EB6" w:rsidP="00570276">
            <w:pPr>
              <w:cnfStyle w:val="000000000000"/>
              <w:rPr>
                <w:color w:val="auto"/>
              </w:rPr>
            </w:pPr>
            <w:r w:rsidRPr="00406C1D">
              <w:rPr>
                <w:color w:val="auto"/>
              </w:rPr>
              <w:t>Country Pair Fixed Effect Model</w:t>
            </w:r>
          </w:p>
          <w:p w:rsidR="00B15EB6" w:rsidRPr="00406C1D" w:rsidRDefault="00B15EB6" w:rsidP="00570276">
            <w:pPr>
              <w:cnfStyle w:val="000000000000"/>
              <w:rPr>
                <w:color w:val="auto"/>
                <w:vertAlign w:val="superscript"/>
              </w:rPr>
            </w:pPr>
            <w:r w:rsidRPr="00406C1D">
              <w:rPr>
                <w:color w:val="auto"/>
              </w:rPr>
              <w:t>Fixed time effects</w:t>
            </w:r>
            <w:r w:rsidR="00630808" w:rsidRPr="00406C1D">
              <w:rPr>
                <w:color w:val="auto"/>
                <w:vertAlign w:val="superscript"/>
              </w:rPr>
              <w:t>(b)</w:t>
            </w:r>
          </w:p>
        </w:tc>
      </w:tr>
      <w:tr w:rsidR="00B15EB6" w:rsidTr="00570276">
        <w:trPr>
          <w:cnfStyle w:val="000000100000"/>
        </w:trPr>
        <w:tc>
          <w:tcPr>
            <w:cnfStyle w:val="001000000000"/>
            <w:tcW w:w="3060" w:type="dxa"/>
          </w:tcPr>
          <w:p w:rsidR="00B15EB6" w:rsidRPr="00B0517F" w:rsidRDefault="00B15EB6" w:rsidP="00570276">
            <w:pPr>
              <w:rPr>
                <w:rFonts w:ascii="Calibri" w:hAnsi="Calibri" w:cs="Calibri"/>
                <w:i/>
                <w:color w:val="000000"/>
                <w:u w:val="single"/>
              </w:rPr>
            </w:pPr>
            <w:r w:rsidRPr="00B0517F">
              <w:rPr>
                <w:rFonts w:ascii="Calibri" w:hAnsi="Calibri" w:cs="Calibri"/>
                <w:i/>
                <w:color w:val="000000"/>
                <w:u w:val="single"/>
              </w:rPr>
              <w:t>Variable:</w:t>
            </w:r>
          </w:p>
        </w:tc>
        <w:tc>
          <w:tcPr>
            <w:tcW w:w="3060" w:type="dxa"/>
          </w:tcPr>
          <w:p w:rsidR="00B15EB6" w:rsidRDefault="00B15EB6" w:rsidP="00570276">
            <w:pPr>
              <w:cnfStyle w:val="000000100000"/>
            </w:pPr>
          </w:p>
        </w:tc>
        <w:tc>
          <w:tcPr>
            <w:tcW w:w="3060" w:type="dxa"/>
          </w:tcPr>
          <w:p w:rsidR="00B15EB6" w:rsidRDefault="00B15EB6" w:rsidP="00570276">
            <w:pPr>
              <w:cnfStyle w:val="000000100000"/>
            </w:pP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C</w:t>
            </w:r>
          </w:p>
        </w:tc>
        <w:tc>
          <w:tcPr>
            <w:tcW w:w="3060" w:type="dxa"/>
            <w:vAlign w:val="bottom"/>
          </w:tcPr>
          <w:p w:rsidR="00483426" w:rsidRDefault="002967CD" w:rsidP="00570276">
            <w:pPr>
              <w:cnfStyle w:val="000000000000"/>
              <w:rPr>
                <w:rFonts w:ascii="Calibri" w:hAnsi="Calibri"/>
                <w:b/>
                <w:color w:val="000000"/>
              </w:rPr>
            </w:pPr>
            <w:r>
              <w:rPr>
                <w:rFonts w:ascii="Calibri" w:hAnsi="Calibri"/>
                <w:b/>
                <w:color w:val="000000"/>
              </w:rPr>
              <w:t>-6</w:t>
            </w:r>
            <w:r w:rsidR="00264B7A">
              <w:rPr>
                <w:rFonts w:ascii="Calibri" w:hAnsi="Calibri"/>
                <w:b/>
                <w:color w:val="000000"/>
              </w:rPr>
              <w:t>.</w:t>
            </w:r>
            <w:r>
              <w:rPr>
                <w:rFonts w:ascii="Calibri" w:hAnsi="Calibri"/>
                <w:b/>
                <w:color w:val="000000"/>
              </w:rPr>
              <w:t>704</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-11.</w:t>
            </w:r>
            <w:r w:rsidR="00483426" w:rsidRPr="00483426">
              <w:rPr>
                <w:rFonts w:ascii="Calibri" w:hAnsi="Calibri"/>
                <w:b/>
                <w:color w:val="000000"/>
              </w:rPr>
              <w:t>743</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LN_NOM_GDPI</w:t>
            </w:r>
          </w:p>
        </w:tc>
        <w:tc>
          <w:tcPr>
            <w:tcW w:w="3060" w:type="dxa"/>
            <w:vAlign w:val="bottom"/>
          </w:tcPr>
          <w:p w:rsidR="00483426" w:rsidRDefault="00264B7A" w:rsidP="00570276">
            <w:pPr>
              <w:cnfStyle w:val="000000100000"/>
              <w:rPr>
                <w:rFonts w:ascii="Calibri" w:hAnsi="Calibri"/>
                <w:b/>
                <w:color w:val="000000"/>
              </w:rPr>
            </w:pPr>
            <w:r>
              <w:rPr>
                <w:rFonts w:ascii="Calibri" w:hAnsi="Calibri"/>
                <w:b/>
                <w:color w:val="000000"/>
              </w:rPr>
              <w:t>0.</w:t>
            </w:r>
            <w:r w:rsidR="00483426" w:rsidRPr="00483426">
              <w:rPr>
                <w:rFonts w:ascii="Calibri" w:hAnsi="Calibri"/>
                <w:b/>
                <w:color w:val="000000"/>
              </w:rPr>
              <w:t>847</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Default="00264B7A" w:rsidP="00570276">
            <w:pPr>
              <w:cnfStyle w:val="000000100000"/>
              <w:rPr>
                <w:rFonts w:ascii="Calibri" w:hAnsi="Calibri"/>
                <w:b/>
                <w:color w:val="000000"/>
              </w:rPr>
            </w:pPr>
            <w:r>
              <w:rPr>
                <w:rFonts w:ascii="Calibri" w:hAnsi="Calibri"/>
                <w:b/>
                <w:color w:val="000000"/>
              </w:rPr>
              <w:t>0.</w:t>
            </w:r>
            <w:r w:rsidR="00483426" w:rsidRPr="00483426">
              <w:rPr>
                <w:rFonts w:ascii="Calibri" w:hAnsi="Calibri"/>
                <w:b/>
                <w:color w:val="000000"/>
              </w:rPr>
              <w:t>855</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LN_NOM_GDPJ</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483426" w:rsidRPr="00483426">
              <w:rPr>
                <w:rFonts w:ascii="Calibri" w:hAnsi="Calibri"/>
                <w:b/>
                <w:color w:val="000000"/>
              </w:rPr>
              <w:t>930</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483426" w:rsidRPr="00483426">
              <w:rPr>
                <w:rFonts w:ascii="Calibri" w:hAnsi="Calibri"/>
                <w:b/>
                <w:color w:val="000000"/>
              </w:rPr>
              <w:t>934</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COM_BORD</w:t>
            </w:r>
          </w:p>
        </w:tc>
        <w:tc>
          <w:tcPr>
            <w:tcW w:w="3060" w:type="dxa"/>
            <w:vAlign w:val="bottom"/>
          </w:tcPr>
          <w:p w:rsidR="00483426" w:rsidRDefault="00264B7A" w:rsidP="00570276">
            <w:pPr>
              <w:cnfStyle w:val="000000100000"/>
              <w:rPr>
                <w:rFonts w:ascii="Calibri" w:hAnsi="Calibri"/>
                <w:b/>
                <w:color w:val="000000"/>
              </w:rPr>
            </w:pPr>
            <w:r>
              <w:rPr>
                <w:rFonts w:ascii="Calibri" w:hAnsi="Calibri"/>
                <w:b/>
                <w:color w:val="000000"/>
              </w:rPr>
              <w:t>0.</w:t>
            </w:r>
            <w:r w:rsidR="00483426" w:rsidRPr="00483426">
              <w:rPr>
                <w:rFonts w:ascii="Calibri" w:hAnsi="Calibri"/>
                <w:b/>
                <w:color w:val="000000"/>
              </w:rPr>
              <w:t>189</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Pr="00BD7CED" w:rsidRDefault="00483426" w:rsidP="00570276">
            <w:pPr>
              <w:cnfStyle w:val="000000100000"/>
              <w:rPr>
                <w:rFonts w:ascii="Calibri" w:hAnsi="Calibri" w:cs="Calibri"/>
                <w:i/>
                <w:color w:val="000000"/>
              </w:rPr>
            </w:pP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COM_LANG</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2967CD">
              <w:rPr>
                <w:rFonts w:ascii="Calibri" w:hAnsi="Calibri"/>
                <w:b/>
                <w:color w:val="000000"/>
              </w:rPr>
              <w:t>058</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Pr="00BD7CED" w:rsidRDefault="00483426" w:rsidP="00570276">
            <w:pPr>
              <w:cnfStyle w:val="000000000000"/>
              <w:rPr>
                <w:rFonts w:ascii="Calibri" w:hAnsi="Calibri" w:cs="Calibri"/>
                <w:i/>
                <w:color w:val="000000"/>
              </w:rPr>
            </w:pP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LN_DIST</w:t>
            </w:r>
          </w:p>
        </w:tc>
        <w:tc>
          <w:tcPr>
            <w:tcW w:w="3060" w:type="dxa"/>
            <w:vAlign w:val="bottom"/>
          </w:tcPr>
          <w:p w:rsidR="00483426" w:rsidRDefault="00483426" w:rsidP="00570276">
            <w:pPr>
              <w:cnfStyle w:val="000000100000"/>
              <w:rPr>
                <w:rFonts w:ascii="Calibri" w:hAnsi="Calibri"/>
                <w:b/>
                <w:color w:val="000000"/>
              </w:rPr>
            </w:pPr>
            <w:r w:rsidRPr="00483426">
              <w:rPr>
                <w:rFonts w:ascii="Calibri" w:hAnsi="Calibri"/>
                <w:b/>
                <w:color w:val="000000"/>
              </w:rPr>
              <w:t>-1</w:t>
            </w:r>
            <w:r w:rsidR="00264B7A">
              <w:rPr>
                <w:rFonts w:ascii="Calibri" w:hAnsi="Calibri"/>
                <w:b/>
                <w:color w:val="000000"/>
              </w:rPr>
              <w:t>.</w:t>
            </w:r>
            <w:r w:rsidRPr="00483426">
              <w:rPr>
                <w:rFonts w:ascii="Calibri" w:hAnsi="Calibri"/>
                <w:b/>
                <w:color w:val="000000"/>
              </w:rPr>
              <w:t>307</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Pr="00BD7CED" w:rsidRDefault="00483426" w:rsidP="00570276">
            <w:pPr>
              <w:cnfStyle w:val="000000100000"/>
              <w:rPr>
                <w:rFonts w:ascii="Calibri" w:hAnsi="Calibri" w:cs="Calibri"/>
                <w:i/>
                <w:color w:val="000000"/>
              </w:rPr>
            </w:pP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EU15</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2967CD">
              <w:rPr>
                <w:rFonts w:ascii="Calibri" w:hAnsi="Calibri"/>
                <w:b/>
                <w:color w:val="000000"/>
              </w:rPr>
              <w:t>125</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Pr="00EF4D3A" w:rsidRDefault="00483426" w:rsidP="00570276">
            <w:pPr>
              <w:cnfStyle w:val="000000000000"/>
              <w:rPr>
                <w:rFonts w:ascii="Calibri" w:hAnsi="Calibri" w:cs="Calibri"/>
                <w:b/>
                <w:color w:val="000000"/>
              </w:rPr>
            </w:pP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EMU12</w:t>
            </w:r>
          </w:p>
        </w:tc>
        <w:tc>
          <w:tcPr>
            <w:tcW w:w="3060" w:type="dxa"/>
            <w:vAlign w:val="bottom"/>
          </w:tcPr>
          <w:p w:rsidR="00483426" w:rsidRDefault="002967CD" w:rsidP="00570276">
            <w:pPr>
              <w:cnfStyle w:val="000000100000"/>
              <w:rPr>
                <w:rFonts w:ascii="Calibri" w:hAnsi="Calibri"/>
                <w:b/>
                <w:color w:val="000000"/>
              </w:rPr>
            </w:pPr>
            <w:r>
              <w:rPr>
                <w:rFonts w:ascii="Calibri" w:hAnsi="Calibri"/>
                <w:b/>
                <w:color w:val="000000"/>
              </w:rPr>
              <w:t>0</w:t>
            </w:r>
            <w:r w:rsidR="00264B7A">
              <w:rPr>
                <w:rFonts w:ascii="Calibri" w:hAnsi="Calibri"/>
                <w:b/>
                <w:color w:val="000000"/>
              </w:rPr>
              <w:t>.</w:t>
            </w:r>
            <w:r>
              <w:rPr>
                <w:rFonts w:ascii="Calibri" w:hAnsi="Calibri"/>
                <w:b/>
                <w:color w:val="000000"/>
              </w:rPr>
              <w:t>113</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0.000)***</w:t>
            </w:r>
          </w:p>
        </w:tc>
        <w:tc>
          <w:tcPr>
            <w:tcW w:w="3060" w:type="dxa"/>
            <w:vAlign w:val="bottom"/>
          </w:tcPr>
          <w:p w:rsidR="00483426" w:rsidRPr="00EF4D3A" w:rsidRDefault="00483426" w:rsidP="00570276">
            <w:pPr>
              <w:cnfStyle w:val="000000100000"/>
              <w:rPr>
                <w:rFonts w:ascii="Calibri" w:hAnsi="Calibri" w:cs="Calibri"/>
                <w:b/>
                <w:color w:val="000000"/>
              </w:rPr>
            </w:pP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SLOVENIA_X_M_07</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2967CD">
              <w:rPr>
                <w:rFonts w:ascii="Calibri" w:hAnsi="Calibri"/>
                <w:b/>
                <w:color w:val="000000"/>
              </w:rPr>
              <w:t>077</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w:t>
            </w:r>
            <w:r>
              <w:rPr>
                <w:rFonts w:ascii="Calibri" w:hAnsi="Calibri" w:cs="Calibri"/>
                <w:i/>
                <w:color w:val="000000"/>
                <w:sz w:val="16"/>
                <w:szCs w:val="16"/>
              </w:rPr>
              <w:t>2</w:t>
            </w:r>
            <w:r w:rsidRPr="00BD7CED">
              <w:rPr>
                <w:rFonts w:ascii="Calibri" w:hAnsi="Calibri" w:cs="Calibri"/>
                <w:i/>
                <w:color w:val="000000"/>
                <w:sz w:val="16"/>
                <w:szCs w:val="16"/>
              </w:rPr>
              <w:t>)***</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483426" w:rsidRPr="00483426">
              <w:rPr>
                <w:rFonts w:ascii="Calibri" w:hAnsi="Calibri"/>
                <w:b/>
                <w:color w:val="000000"/>
              </w:rPr>
              <w:t>076</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CYPRUS_X_M_08</w:t>
            </w:r>
          </w:p>
        </w:tc>
        <w:tc>
          <w:tcPr>
            <w:tcW w:w="3060" w:type="dxa"/>
            <w:vAlign w:val="bottom"/>
          </w:tcPr>
          <w:p w:rsidR="00483426" w:rsidRDefault="00483426" w:rsidP="00570276">
            <w:pPr>
              <w:cnfStyle w:val="000000100000"/>
              <w:rPr>
                <w:rFonts w:ascii="Calibri" w:hAnsi="Calibri"/>
                <w:b/>
                <w:color w:val="000000"/>
              </w:rPr>
            </w:pPr>
            <w:r w:rsidRPr="00483426">
              <w:rPr>
                <w:rFonts w:ascii="Calibri" w:hAnsi="Calibri"/>
                <w:b/>
                <w:color w:val="000000"/>
              </w:rPr>
              <w:t>-0</w:t>
            </w:r>
            <w:r w:rsidR="00264B7A">
              <w:rPr>
                <w:rFonts w:ascii="Calibri" w:hAnsi="Calibri"/>
                <w:b/>
                <w:color w:val="000000"/>
              </w:rPr>
              <w:t>.</w:t>
            </w:r>
            <w:r w:rsidRPr="00483426">
              <w:rPr>
                <w:rFonts w:ascii="Calibri" w:hAnsi="Calibri"/>
                <w:b/>
                <w:color w:val="000000"/>
              </w:rPr>
              <w:t>079</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rPr>
              <w:t>(</w:t>
            </w:r>
            <w:r w:rsidRPr="00BD7CED">
              <w:rPr>
                <w:rFonts w:ascii="Calibri" w:hAnsi="Calibri" w:cs="Calibri"/>
                <w:i/>
                <w:color w:val="000000"/>
                <w:sz w:val="16"/>
                <w:szCs w:val="16"/>
              </w:rPr>
              <w:t>0.00</w:t>
            </w:r>
            <w:r>
              <w:rPr>
                <w:rFonts w:ascii="Calibri" w:hAnsi="Calibri" w:cs="Calibri"/>
                <w:i/>
                <w:color w:val="000000"/>
                <w:sz w:val="16"/>
                <w:szCs w:val="16"/>
              </w:rPr>
              <w:t>3</w:t>
            </w:r>
            <w:r w:rsidRPr="00BD7CED">
              <w:rPr>
                <w:rFonts w:ascii="Calibri" w:hAnsi="Calibri" w:cs="Calibri"/>
                <w:i/>
                <w:color w:val="000000"/>
                <w:sz w:val="16"/>
                <w:szCs w:val="16"/>
              </w:rPr>
              <w:t>)***</w:t>
            </w:r>
          </w:p>
        </w:tc>
        <w:tc>
          <w:tcPr>
            <w:tcW w:w="3060" w:type="dxa"/>
            <w:vAlign w:val="bottom"/>
          </w:tcPr>
          <w:p w:rsidR="00483426" w:rsidRDefault="00483426" w:rsidP="00570276">
            <w:pPr>
              <w:cnfStyle w:val="000000100000"/>
              <w:rPr>
                <w:rFonts w:ascii="Calibri" w:hAnsi="Calibri"/>
                <w:b/>
                <w:color w:val="000000"/>
              </w:rPr>
            </w:pPr>
            <w:r w:rsidRPr="00483426">
              <w:rPr>
                <w:rFonts w:ascii="Calibri" w:hAnsi="Calibri"/>
                <w:b/>
                <w:color w:val="000000"/>
              </w:rPr>
              <w:t>-0</w:t>
            </w:r>
            <w:r w:rsidR="00264B7A">
              <w:rPr>
                <w:rFonts w:ascii="Calibri" w:hAnsi="Calibri"/>
                <w:b/>
                <w:color w:val="000000"/>
              </w:rPr>
              <w:t>.</w:t>
            </w:r>
            <w:r w:rsidRPr="00483426">
              <w:rPr>
                <w:rFonts w:ascii="Calibri" w:hAnsi="Calibri"/>
                <w:b/>
                <w:color w:val="000000"/>
              </w:rPr>
              <w:t>061</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483426" w:rsidTr="00570276">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MALTA_X_M_08</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2967CD">
              <w:rPr>
                <w:rFonts w:ascii="Calibri" w:hAnsi="Calibri"/>
                <w:b/>
                <w:color w:val="000000"/>
              </w:rPr>
              <w:t>025</w:t>
            </w:r>
          </w:p>
          <w:p w:rsidR="00483426" w:rsidRPr="00483426" w:rsidRDefault="002967CD" w:rsidP="002967CD">
            <w:pPr>
              <w:cnfStyle w:val="000000000000"/>
              <w:rPr>
                <w:rFonts w:ascii="Calibri" w:hAnsi="Calibri"/>
                <w:b/>
                <w:color w:val="000000"/>
              </w:rPr>
            </w:pPr>
            <w:r>
              <w:rPr>
                <w:rFonts w:ascii="Calibri" w:hAnsi="Calibri" w:cs="Calibri"/>
                <w:i/>
                <w:color w:val="000000"/>
                <w:sz w:val="16"/>
                <w:szCs w:val="16"/>
              </w:rPr>
              <w:t>(0.342</w:t>
            </w:r>
            <w:r w:rsidR="00483426">
              <w:rPr>
                <w:rFonts w:ascii="Calibri" w:hAnsi="Calibri" w:cs="Calibri"/>
                <w:i/>
                <w:color w:val="000000"/>
                <w:sz w:val="16"/>
                <w:szCs w:val="16"/>
              </w:rPr>
              <w:t>)</w:t>
            </w:r>
          </w:p>
        </w:tc>
        <w:tc>
          <w:tcPr>
            <w:tcW w:w="3060" w:type="dxa"/>
            <w:vAlign w:val="bottom"/>
          </w:tcPr>
          <w:p w:rsidR="00483426" w:rsidRDefault="00264B7A" w:rsidP="00570276">
            <w:pPr>
              <w:cnfStyle w:val="000000000000"/>
              <w:rPr>
                <w:rFonts w:ascii="Calibri" w:hAnsi="Calibri"/>
                <w:b/>
                <w:color w:val="000000"/>
              </w:rPr>
            </w:pPr>
            <w:r>
              <w:rPr>
                <w:rFonts w:ascii="Calibri" w:hAnsi="Calibri"/>
                <w:b/>
                <w:color w:val="000000"/>
              </w:rPr>
              <w:t>0.</w:t>
            </w:r>
            <w:r w:rsidR="00483426" w:rsidRPr="00483426">
              <w:rPr>
                <w:rFonts w:ascii="Calibri" w:hAnsi="Calibri"/>
                <w:b/>
                <w:color w:val="000000"/>
              </w:rPr>
              <w:t>026</w:t>
            </w:r>
          </w:p>
          <w:p w:rsidR="00483426" w:rsidRPr="00483426" w:rsidRDefault="00483426" w:rsidP="00570276">
            <w:pPr>
              <w:cnfStyle w:val="000000000000"/>
              <w:rPr>
                <w:rFonts w:ascii="Calibri" w:hAnsi="Calibri"/>
                <w:b/>
                <w:color w:val="000000"/>
              </w:rPr>
            </w:pPr>
            <w:r>
              <w:rPr>
                <w:rFonts w:ascii="Calibri" w:hAnsi="Calibri" w:cs="Calibri"/>
                <w:i/>
                <w:color w:val="000000"/>
                <w:sz w:val="16"/>
                <w:szCs w:val="16"/>
                <w:lang w:val="nl-NL"/>
              </w:rPr>
              <w:t>(</w:t>
            </w:r>
            <w:r>
              <w:rPr>
                <w:rFonts w:ascii="Calibri" w:hAnsi="Calibri" w:cs="Calibri"/>
                <w:i/>
                <w:color w:val="000000"/>
                <w:sz w:val="16"/>
                <w:szCs w:val="16"/>
              </w:rPr>
              <w:t>0.050</w:t>
            </w:r>
            <w:r w:rsidRPr="00BD7CED">
              <w:rPr>
                <w:rFonts w:ascii="Calibri" w:hAnsi="Calibri" w:cs="Calibri"/>
                <w:i/>
                <w:color w:val="000000"/>
                <w:sz w:val="16"/>
                <w:szCs w:val="16"/>
              </w:rPr>
              <w:t>)**</w:t>
            </w:r>
          </w:p>
        </w:tc>
      </w:tr>
      <w:tr w:rsidR="00483426" w:rsidTr="00570276">
        <w:trPr>
          <w:cnfStyle w:val="000000100000"/>
        </w:trPr>
        <w:tc>
          <w:tcPr>
            <w:cnfStyle w:val="001000000000"/>
            <w:tcW w:w="3060" w:type="dxa"/>
            <w:vAlign w:val="center"/>
          </w:tcPr>
          <w:p w:rsidR="00483426" w:rsidRDefault="00483426" w:rsidP="00570276">
            <w:pPr>
              <w:rPr>
                <w:rFonts w:ascii="Calibri" w:hAnsi="Calibri" w:cs="Calibri"/>
                <w:color w:val="000000"/>
              </w:rPr>
            </w:pPr>
            <w:r>
              <w:rPr>
                <w:rFonts w:ascii="Calibri" w:hAnsi="Calibri" w:cs="Calibri"/>
                <w:color w:val="000000"/>
              </w:rPr>
              <w:t>SLOVAKREP_X_M_09</w:t>
            </w:r>
          </w:p>
        </w:tc>
        <w:tc>
          <w:tcPr>
            <w:tcW w:w="3060" w:type="dxa"/>
            <w:vAlign w:val="bottom"/>
          </w:tcPr>
          <w:p w:rsidR="00483426" w:rsidRDefault="00264B7A" w:rsidP="00570276">
            <w:pPr>
              <w:cnfStyle w:val="000000100000"/>
              <w:rPr>
                <w:rFonts w:ascii="Calibri" w:hAnsi="Calibri"/>
                <w:b/>
                <w:color w:val="000000"/>
              </w:rPr>
            </w:pPr>
            <w:r>
              <w:rPr>
                <w:rFonts w:ascii="Calibri" w:hAnsi="Calibri"/>
                <w:b/>
                <w:color w:val="000000"/>
              </w:rPr>
              <w:t>0.</w:t>
            </w:r>
            <w:r w:rsidR="002967CD">
              <w:rPr>
                <w:rFonts w:ascii="Calibri" w:hAnsi="Calibri"/>
                <w:b/>
                <w:color w:val="000000"/>
              </w:rPr>
              <w:t>044</w:t>
            </w:r>
          </w:p>
          <w:p w:rsidR="00483426" w:rsidRPr="00483426" w:rsidRDefault="002967CD" w:rsidP="002967CD">
            <w:pPr>
              <w:cnfStyle w:val="000000100000"/>
              <w:rPr>
                <w:rFonts w:ascii="Calibri" w:hAnsi="Calibri"/>
                <w:b/>
                <w:color w:val="000000"/>
              </w:rPr>
            </w:pPr>
            <w:r>
              <w:rPr>
                <w:rFonts w:ascii="Calibri" w:hAnsi="Calibri" w:cs="Calibri"/>
                <w:i/>
                <w:color w:val="000000"/>
                <w:sz w:val="16"/>
                <w:szCs w:val="16"/>
              </w:rPr>
              <w:t>(0.131</w:t>
            </w:r>
            <w:r w:rsidR="00483426">
              <w:rPr>
                <w:rFonts w:ascii="Calibri" w:hAnsi="Calibri" w:cs="Calibri"/>
                <w:i/>
                <w:color w:val="000000"/>
                <w:sz w:val="16"/>
                <w:szCs w:val="16"/>
              </w:rPr>
              <w:t>)</w:t>
            </w:r>
          </w:p>
        </w:tc>
        <w:tc>
          <w:tcPr>
            <w:tcW w:w="3060" w:type="dxa"/>
            <w:vAlign w:val="bottom"/>
          </w:tcPr>
          <w:p w:rsidR="00483426" w:rsidRDefault="00264B7A" w:rsidP="00570276">
            <w:pPr>
              <w:cnfStyle w:val="000000100000"/>
              <w:rPr>
                <w:rFonts w:ascii="Calibri" w:hAnsi="Calibri"/>
                <w:b/>
                <w:color w:val="000000"/>
              </w:rPr>
            </w:pPr>
            <w:r>
              <w:rPr>
                <w:rFonts w:ascii="Calibri" w:hAnsi="Calibri"/>
                <w:b/>
                <w:color w:val="000000"/>
              </w:rPr>
              <w:t>0.</w:t>
            </w:r>
            <w:r w:rsidR="00483426" w:rsidRPr="00483426">
              <w:rPr>
                <w:rFonts w:ascii="Calibri" w:hAnsi="Calibri"/>
                <w:b/>
                <w:color w:val="000000"/>
              </w:rPr>
              <w:t>043</w:t>
            </w:r>
          </w:p>
          <w:p w:rsidR="00483426" w:rsidRPr="00483426" w:rsidRDefault="00483426" w:rsidP="00570276">
            <w:pPr>
              <w:cnfStyle w:val="000000100000"/>
              <w:rPr>
                <w:rFonts w:ascii="Calibri" w:hAnsi="Calibri"/>
                <w:b/>
                <w:color w:val="000000"/>
              </w:rPr>
            </w:pPr>
            <w:r>
              <w:rPr>
                <w:rFonts w:ascii="Calibri" w:hAnsi="Calibri" w:cs="Calibri"/>
                <w:i/>
                <w:color w:val="000000"/>
                <w:sz w:val="16"/>
                <w:szCs w:val="16"/>
                <w:lang w:val="nl-NL"/>
              </w:rPr>
              <w:t>(</w:t>
            </w:r>
            <w:r>
              <w:rPr>
                <w:rFonts w:ascii="Calibri" w:hAnsi="Calibri" w:cs="Calibri"/>
                <w:i/>
                <w:color w:val="000000"/>
                <w:sz w:val="16"/>
                <w:szCs w:val="16"/>
              </w:rPr>
              <w:t>0.003</w:t>
            </w:r>
            <w:r w:rsidRPr="00BD7CED">
              <w:rPr>
                <w:rFonts w:ascii="Calibri" w:hAnsi="Calibri" w:cs="Calibri"/>
                <w:i/>
                <w:color w:val="000000"/>
                <w:sz w:val="16"/>
                <w:szCs w:val="16"/>
              </w:rPr>
              <w:t>)***</w:t>
            </w:r>
          </w:p>
        </w:tc>
      </w:tr>
      <w:tr w:rsidR="00B15EB6" w:rsidTr="00570276">
        <w:tc>
          <w:tcPr>
            <w:cnfStyle w:val="001000000000"/>
            <w:tcW w:w="3060" w:type="dxa"/>
          </w:tcPr>
          <w:p w:rsidR="00B15EB6" w:rsidRDefault="00B15EB6" w:rsidP="00570276">
            <w:pPr>
              <w:rPr>
                <w:rFonts w:ascii="Calibri" w:hAnsi="Calibri" w:cs="Calibri"/>
                <w:color w:val="000000"/>
              </w:rPr>
            </w:pPr>
          </w:p>
        </w:tc>
        <w:tc>
          <w:tcPr>
            <w:tcW w:w="3060" w:type="dxa"/>
          </w:tcPr>
          <w:p w:rsidR="00B15EB6" w:rsidRDefault="00B15EB6" w:rsidP="00570276">
            <w:pPr>
              <w:cnfStyle w:val="000000000000"/>
            </w:pPr>
          </w:p>
        </w:tc>
        <w:tc>
          <w:tcPr>
            <w:tcW w:w="3060" w:type="dxa"/>
          </w:tcPr>
          <w:p w:rsidR="00B15EB6" w:rsidRDefault="00B15EB6" w:rsidP="00570276">
            <w:pPr>
              <w:cnfStyle w:val="000000000000"/>
            </w:pPr>
          </w:p>
        </w:tc>
      </w:tr>
      <w:tr w:rsidR="00B15EB6" w:rsidTr="00570276">
        <w:trPr>
          <w:cnfStyle w:val="000000100000"/>
        </w:trPr>
        <w:tc>
          <w:tcPr>
            <w:cnfStyle w:val="001000000000"/>
            <w:tcW w:w="3060" w:type="dxa"/>
            <w:vAlign w:val="center"/>
          </w:tcPr>
          <w:p w:rsidR="00B15EB6" w:rsidRDefault="00B15EB6" w:rsidP="00570276">
            <w:pPr>
              <w:rPr>
                <w:rFonts w:ascii="Calibri" w:hAnsi="Calibri" w:cs="Calibri"/>
                <w:color w:val="000000"/>
              </w:rPr>
            </w:pPr>
            <w:r>
              <w:rPr>
                <w:rFonts w:ascii="Calibri" w:hAnsi="Calibri" w:cs="Calibri"/>
                <w:color w:val="000000"/>
              </w:rPr>
              <w:t>N</w:t>
            </w:r>
          </w:p>
        </w:tc>
        <w:tc>
          <w:tcPr>
            <w:tcW w:w="3060" w:type="dxa"/>
            <w:vAlign w:val="bottom"/>
          </w:tcPr>
          <w:p w:rsidR="00B15EB6" w:rsidRPr="00380A0A" w:rsidRDefault="00B15EB6" w:rsidP="00570276">
            <w:pPr>
              <w:cnfStyle w:val="000000100000"/>
              <w:rPr>
                <w:rFonts w:ascii="Calibri" w:hAnsi="Calibri" w:cs="Calibri"/>
                <w:color w:val="000000"/>
              </w:rPr>
            </w:pPr>
            <w:r>
              <w:rPr>
                <w:rFonts w:ascii="Calibri" w:hAnsi="Calibri" w:cs="Calibri"/>
                <w:color w:val="000000"/>
              </w:rPr>
              <w:t>15082</w:t>
            </w:r>
          </w:p>
        </w:tc>
        <w:tc>
          <w:tcPr>
            <w:tcW w:w="3060" w:type="dxa"/>
            <w:vAlign w:val="bottom"/>
          </w:tcPr>
          <w:p w:rsidR="00B15EB6" w:rsidRDefault="00B15EB6" w:rsidP="00570276">
            <w:pPr>
              <w:cnfStyle w:val="000000100000"/>
              <w:rPr>
                <w:rFonts w:ascii="Calibri" w:hAnsi="Calibri" w:cs="Calibri"/>
                <w:color w:val="000000"/>
              </w:rPr>
            </w:pPr>
            <w:r>
              <w:rPr>
                <w:rFonts w:ascii="Calibri" w:hAnsi="Calibri" w:cs="Calibri"/>
                <w:color w:val="000000"/>
              </w:rPr>
              <w:t>15082</w:t>
            </w:r>
          </w:p>
        </w:tc>
      </w:tr>
      <w:tr w:rsidR="00B15EB6" w:rsidTr="00570276">
        <w:tc>
          <w:tcPr>
            <w:cnfStyle w:val="001000000000"/>
            <w:tcW w:w="3060" w:type="dxa"/>
            <w:vAlign w:val="center"/>
          </w:tcPr>
          <w:p w:rsidR="00B15EB6" w:rsidRDefault="00B15EB6" w:rsidP="00570276">
            <w:pPr>
              <w:rPr>
                <w:rFonts w:ascii="Calibri" w:hAnsi="Calibri" w:cs="Calibri"/>
                <w:color w:val="000000"/>
              </w:rPr>
            </w:pPr>
            <w:r>
              <w:rPr>
                <w:rFonts w:ascii="Calibri" w:hAnsi="Calibri" w:cs="Calibri"/>
                <w:color w:val="000000"/>
              </w:rPr>
              <w:t>R-squared</w:t>
            </w:r>
          </w:p>
        </w:tc>
        <w:tc>
          <w:tcPr>
            <w:tcW w:w="3060" w:type="dxa"/>
            <w:vAlign w:val="bottom"/>
          </w:tcPr>
          <w:p w:rsidR="00B15EB6" w:rsidRPr="00380A0A" w:rsidRDefault="00B15EB6" w:rsidP="00570276">
            <w:pPr>
              <w:cnfStyle w:val="000000000000"/>
              <w:rPr>
                <w:rFonts w:ascii="Calibri" w:hAnsi="Calibri" w:cs="Calibri"/>
                <w:color w:val="000000"/>
              </w:rPr>
            </w:pPr>
            <w:r w:rsidRPr="00380A0A">
              <w:rPr>
                <w:rFonts w:ascii="Calibri" w:hAnsi="Calibri" w:cs="Calibri"/>
                <w:color w:val="000000"/>
              </w:rPr>
              <w:t>0.</w:t>
            </w:r>
            <w:r>
              <w:rPr>
                <w:rFonts w:ascii="Calibri" w:hAnsi="Calibri" w:cs="Calibri"/>
                <w:color w:val="000000"/>
              </w:rPr>
              <w:t>90</w:t>
            </w:r>
          </w:p>
        </w:tc>
        <w:tc>
          <w:tcPr>
            <w:tcW w:w="3060" w:type="dxa"/>
            <w:vAlign w:val="bottom"/>
          </w:tcPr>
          <w:p w:rsidR="00B15EB6" w:rsidRDefault="00B15EB6" w:rsidP="00570276">
            <w:pPr>
              <w:cnfStyle w:val="000000000000"/>
              <w:rPr>
                <w:rFonts w:ascii="Calibri" w:hAnsi="Calibri" w:cs="Calibri"/>
                <w:color w:val="000000"/>
              </w:rPr>
            </w:pPr>
            <w:r>
              <w:rPr>
                <w:rFonts w:ascii="Calibri" w:hAnsi="Calibri" w:cs="Calibri"/>
                <w:color w:val="000000"/>
              </w:rPr>
              <w:t>0.98</w:t>
            </w:r>
          </w:p>
        </w:tc>
      </w:tr>
      <w:tr w:rsidR="00B15EB6" w:rsidTr="00570276">
        <w:trPr>
          <w:cnfStyle w:val="000000100000"/>
        </w:trPr>
        <w:tc>
          <w:tcPr>
            <w:cnfStyle w:val="001000000000"/>
            <w:tcW w:w="3060" w:type="dxa"/>
            <w:vAlign w:val="center"/>
          </w:tcPr>
          <w:p w:rsidR="00B15EB6" w:rsidRDefault="00B15EB6" w:rsidP="00570276">
            <w:pPr>
              <w:rPr>
                <w:rFonts w:ascii="Calibri" w:hAnsi="Calibri" w:cs="Calibri"/>
                <w:color w:val="000000"/>
              </w:rPr>
            </w:pPr>
            <w:r>
              <w:rPr>
                <w:rFonts w:ascii="Calibri" w:hAnsi="Calibri" w:cs="Calibri"/>
                <w:color w:val="000000"/>
              </w:rPr>
              <w:t>Adjusted R-squared</w:t>
            </w:r>
          </w:p>
        </w:tc>
        <w:tc>
          <w:tcPr>
            <w:tcW w:w="3060" w:type="dxa"/>
            <w:vAlign w:val="bottom"/>
          </w:tcPr>
          <w:p w:rsidR="00B15EB6" w:rsidRDefault="00B15EB6" w:rsidP="00570276">
            <w:pPr>
              <w:cnfStyle w:val="000000100000"/>
              <w:rPr>
                <w:rFonts w:ascii="Calibri" w:hAnsi="Calibri" w:cs="Calibri"/>
                <w:color w:val="000000"/>
              </w:rPr>
            </w:pPr>
            <w:r>
              <w:rPr>
                <w:rFonts w:ascii="Calibri" w:hAnsi="Calibri" w:cs="Calibri"/>
                <w:color w:val="000000"/>
              </w:rPr>
              <w:t>0.</w:t>
            </w:r>
            <w:r w:rsidR="002967CD">
              <w:rPr>
                <w:rFonts w:ascii="Calibri" w:hAnsi="Calibri" w:cs="Calibri"/>
                <w:color w:val="000000"/>
              </w:rPr>
              <w:t>89</w:t>
            </w:r>
          </w:p>
        </w:tc>
        <w:tc>
          <w:tcPr>
            <w:tcW w:w="3060" w:type="dxa"/>
            <w:vAlign w:val="bottom"/>
          </w:tcPr>
          <w:p w:rsidR="00B15EB6" w:rsidRDefault="00B15EB6" w:rsidP="005455E1">
            <w:pPr>
              <w:keepNext/>
              <w:cnfStyle w:val="000000100000"/>
              <w:rPr>
                <w:rFonts w:ascii="Calibri" w:hAnsi="Calibri" w:cs="Calibri"/>
                <w:color w:val="000000"/>
              </w:rPr>
            </w:pPr>
            <w:r>
              <w:rPr>
                <w:rFonts w:ascii="Calibri" w:hAnsi="Calibri" w:cs="Calibri"/>
                <w:color w:val="000000"/>
              </w:rPr>
              <w:t>0.97</w:t>
            </w:r>
          </w:p>
        </w:tc>
      </w:tr>
    </w:tbl>
    <w:p w:rsidR="005455E1" w:rsidRPr="00406C1D" w:rsidRDefault="00630808" w:rsidP="0028188C">
      <w:pPr>
        <w:pStyle w:val="Caption"/>
        <w:framePr w:hSpace="142" w:wrap="around" w:vAnchor="text" w:hAnchor="text" w:y="1"/>
        <w:suppressOverlap/>
        <w:jc w:val="both"/>
        <w:rPr>
          <w:color w:val="auto"/>
        </w:rPr>
      </w:pPr>
      <w:r w:rsidRPr="00406C1D">
        <w:rPr>
          <w:color w:val="auto"/>
        </w:rPr>
        <w:t>Notes: (a) rejection of redundant period fixed effects at p = 0.000; (b) rejection of redundant period and cross-section fixed effects at p = 0.000; (</w:t>
      </w:r>
      <w:proofErr w:type="spellStart"/>
      <w:r w:rsidRPr="00406C1D">
        <w:rPr>
          <w:color w:val="auto"/>
        </w:rPr>
        <w:t>i</w:t>
      </w:r>
      <w:proofErr w:type="spellEnd"/>
      <w:r w:rsidRPr="00406C1D">
        <w:rPr>
          <w:color w:val="auto"/>
        </w:rPr>
        <w:t>) p-values are in parentheses, p***&lt;0.01, p**&lt;0.05, p*&lt;0.10</w:t>
      </w:r>
      <w:r w:rsidR="00DB2F95" w:rsidRPr="00406C1D">
        <w:rPr>
          <w:color w:val="auto"/>
        </w:rPr>
        <w:t>;</w:t>
      </w:r>
      <w:r w:rsidRPr="00406C1D">
        <w:rPr>
          <w:color w:val="auto"/>
        </w:rPr>
        <w:t xml:space="preserve"> (ii) </w:t>
      </w:r>
      <w:proofErr w:type="spellStart"/>
      <w:r w:rsidRPr="00406C1D">
        <w:rPr>
          <w:i/>
          <w:color w:val="auto"/>
        </w:rPr>
        <w:t>country</w:t>
      </w:r>
      <w:r w:rsidRPr="00406C1D">
        <w:rPr>
          <w:color w:val="auto"/>
        </w:rPr>
        <w:t>_x_m_</w:t>
      </w:r>
      <w:r w:rsidRPr="00406C1D">
        <w:rPr>
          <w:i/>
          <w:color w:val="auto"/>
        </w:rPr>
        <w:t>year</w:t>
      </w:r>
      <w:proofErr w:type="spellEnd"/>
      <w:r w:rsidRPr="00406C1D">
        <w:rPr>
          <w:color w:val="auto"/>
        </w:rPr>
        <w:t xml:space="preserve"> indicates </w:t>
      </w:r>
      <w:r w:rsidR="00895B1E" w:rsidRPr="00406C1D">
        <w:rPr>
          <w:color w:val="auto"/>
        </w:rPr>
        <w:t xml:space="preserve">trade effects for </w:t>
      </w:r>
      <w:r w:rsidRPr="00406C1D">
        <w:rPr>
          <w:color w:val="auto"/>
        </w:rPr>
        <w:t xml:space="preserve">which country </w:t>
      </w:r>
      <w:r w:rsidR="00895B1E" w:rsidRPr="00406C1D">
        <w:rPr>
          <w:color w:val="auto"/>
        </w:rPr>
        <w:t>from</w:t>
      </w:r>
      <w:r w:rsidRPr="00406C1D">
        <w:rPr>
          <w:color w:val="auto"/>
        </w:rPr>
        <w:t xml:space="preserve"> </w:t>
      </w:r>
      <w:r w:rsidR="00063C96" w:rsidRPr="00406C1D">
        <w:rPr>
          <w:color w:val="auto"/>
        </w:rPr>
        <w:t xml:space="preserve">the </w:t>
      </w:r>
      <w:r w:rsidRPr="00406C1D">
        <w:rPr>
          <w:color w:val="auto"/>
        </w:rPr>
        <w:t>corresponding year of Euro adoption</w:t>
      </w:r>
      <w:r w:rsidR="00895B1E" w:rsidRPr="00406C1D">
        <w:rPr>
          <w:color w:val="auto"/>
        </w:rPr>
        <w:t xml:space="preserve"> onwards</w:t>
      </w:r>
    </w:p>
    <w:p w:rsidR="00483426" w:rsidRDefault="00570276" w:rsidP="005455E1">
      <w:pPr>
        <w:spacing w:line="360" w:lineRule="auto"/>
        <w:jc w:val="both"/>
      </w:pPr>
      <w:r>
        <w:t xml:space="preserve">between countries. </w:t>
      </w:r>
      <w:r w:rsidR="005455E1">
        <w:t>Unexpected is the sign of the EU15 dummy variable. This would imply that on average the 15</w:t>
      </w:r>
      <w:r w:rsidR="0051180B">
        <w:t xml:space="preserve"> pre-2004</w:t>
      </w:r>
      <w:r w:rsidR="005455E1">
        <w:t xml:space="preserve"> EU members traded significantly less tha</w:t>
      </w:r>
      <w:r w:rsidR="0051180B">
        <w:t>n all other states. However, this</w:t>
      </w:r>
      <w:r w:rsidR="005455E1">
        <w:t xml:space="preserve"> can be caused by some degree of </w:t>
      </w:r>
      <w:proofErr w:type="spellStart"/>
      <w:r w:rsidR="005455E1">
        <w:t>multicollineairity</w:t>
      </w:r>
      <w:proofErr w:type="spellEnd"/>
      <w:r w:rsidR="005455E1">
        <w:t xml:space="preserve"> between this variable and the EMU12 dummy variable. </w:t>
      </w:r>
      <w:r w:rsidR="0051180B">
        <w:t>The reason for this is that</w:t>
      </w:r>
      <w:r w:rsidR="005455E1">
        <w:t xml:space="preserve"> the difference between these two variable lies in three EU </w:t>
      </w:r>
      <w:r w:rsidR="005455E1">
        <w:lastRenderedPageBreak/>
        <w:t>countries that are not EMU member: Sweden, Denmark and the United Kingdom. The EMU12 variable shows that the 12 EMU members trade significantly more than all other countries in the sample. Now for the true variables of interest. As shown in the table, Slovenia has witnessed an increase in its total trade with all other countries in the sample of approximately 8%</w:t>
      </w:r>
      <w:r w:rsidR="005A4290">
        <w:t xml:space="preserve"> since Euro adoption</w:t>
      </w:r>
      <w:r w:rsidR="005455E1">
        <w:t xml:space="preserve">, which is consistent and significant in both the CFE and the CPFE model. </w:t>
      </w:r>
      <w:r w:rsidR="005A4290">
        <w:t xml:space="preserve">Cyprus on the other hand displays a decrease in trade with all countries in the sample since Euro adoption of approximately 6% in the CPFE model. For Malta the results display a small increase in total trade since Euro adoption, which is significant in the CPFE model but insignificant in the CFE model. Comparable results hold for the Slovak Republic, that displays an increase in trade of approximately 4% since Euro adoption, which is also here significant in the CPFE model but insignificant in the CFE model. </w:t>
      </w:r>
    </w:p>
    <w:p w:rsidR="00EA503A" w:rsidRDefault="005A4290" w:rsidP="005455E1">
      <w:pPr>
        <w:spacing w:line="360" w:lineRule="auto"/>
        <w:jc w:val="both"/>
      </w:pPr>
      <w:r>
        <w:t xml:space="preserve">The results found in testing hypothesis 1, inquiring into the trade effects </w:t>
      </w:r>
      <w:r w:rsidR="0051180B">
        <w:t>for</w:t>
      </w:r>
      <w:r>
        <w:t xml:space="preserve"> the individual countries after Euro adoption, display positive effects for Slovenia, Malta and the Slovak Republic. These results are in line with the currency union theory that joining a currency union leads to an increase in trade of a country. The results found for Cyprus are contradictory to what theory prescribes </w:t>
      </w:r>
      <w:r w:rsidR="00EA503A">
        <w:t xml:space="preserve">and also at odds with the expectations. An explanation for this might be a distorting factor that negatively affects trade with Cyprus from the period it entered EMU. The intertwined economies of Cyprus and Greece could be an explanation for this, given the troubled Greek economy since the start of the European debt crisis. </w:t>
      </w:r>
    </w:p>
    <w:p w:rsidR="00EA503A" w:rsidRDefault="001A1966" w:rsidP="00EA503A">
      <w:pPr>
        <w:pStyle w:val="Heading2"/>
        <w:numPr>
          <w:ilvl w:val="1"/>
          <w:numId w:val="1"/>
        </w:numPr>
      </w:pPr>
      <w:r>
        <w:t xml:space="preserve"> </w:t>
      </w:r>
      <w:r>
        <w:tab/>
      </w:r>
      <w:bookmarkStart w:id="36" w:name="_Toc353348796"/>
      <w:r w:rsidR="00EA503A">
        <w:t>Part I – H.2 &amp; H.3</w:t>
      </w:r>
      <w:bookmarkEnd w:id="36"/>
    </w:p>
    <w:p w:rsidR="00EA503A" w:rsidRPr="00C61892" w:rsidRDefault="00EA503A" w:rsidP="00EA503A">
      <w:pPr>
        <w:spacing w:line="360" w:lineRule="auto"/>
        <w:jc w:val="both"/>
      </w:pPr>
      <w:r>
        <w:t xml:space="preserve">Now that the previous hypothesis has tested the total trade effects for the individual countries caused by Euro adoption, the following two hypotheses inquire into the trade effects with specific trading partners. </w:t>
      </w:r>
      <w:r w:rsidR="00C61892">
        <w:t>To recapitulate</w:t>
      </w:r>
      <w:r w:rsidR="0051180B">
        <w:t xml:space="preserve"> hypothesi</w:t>
      </w:r>
      <w:r>
        <w:t>s 2</w:t>
      </w:r>
      <w:r w:rsidR="00C61892">
        <w:t>:</w:t>
      </w:r>
      <w:r w:rsidRPr="008660E9">
        <w:rPr>
          <w:i/>
        </w:rPr>
        <w:t xml:space="preserve"> Adoption of the </w:t>
      </w:r>
      <w:r>
        <w:rPr>
          <w:i/>
        </w:rPr>
        <w:t>Euro</w:t>
      </w:r>
      <w:r w:rsidRPr="008660E9">
        <w:rPr>
          <w:i/>
        </w:rPr>
        <w:t xml:space="preserve"> has led to an increase in trade </w:t>
      </w:r>
      <w:r>
        <w:rPr>
          <w:i/>
        </w:rPr>
        <w:t>between Slovenia, Cyprus,</w:t>
      </w:r>
      <w:r w:rsidR="00C61892">
        <w:rPr>
          <w:i/>
        </w:rPr>
        <w:t xml:space="preserve"> </w:t>
      </w:r>
      <w:r>
        <w:rPr>
          <w:i/>
        </w:rPr>
        <w:t>Malta and the Slovak Republic and the existing</w:t>
      </w:r>
      <w:r w:rsidRPr="008660E9">
        <w:rPr>
          <w:i/>
        </w:rPr>
        <w:t xml:space="preserve"> EMU</w:t>
      </w:r>
      <w:r>
        <w:rPr>
          <w:i/>
        </w:rPr>
        <w:t xml:space="preserve"> countries. </w:t>
      </w:r>
      <w:r w:rsidR="00C61892">
        <w:t xml:space="preserve">And </w:t>
      </w:r>
      <w:r w:rsidRPr="00C61892">
        <w:t>H</w:t>
      </w:r>
      <w:r w:rsidRPr="00C61892">
        <w:rPr>
          <w:vertAlign w:val="subscript"/>
        </w:rPr>
        <w:t>3</w:t>
      </w:r>
      <w:r w:rsidRPr="00C61892">
        <w:t>:</w:t>
      </w:r>
      <w:r>
        <w:rPr>
          <w:i/>
        </w:rPr>
        <w:t xml:space="preserve"> Adoption of the Euro has led to an increase in trade between Slovenia, Cyprus, Malta</w:t>
      </w:r>
      <w:r w:rsidR="00C61892">
        <w:rPr>
          <w:i/>
        </w:rPr>
        <w:t xml:space="preserve"> </w:t>
      </w:r>
      <w:r>
        <w:rPr>
          <w:i/>
        </w:rPr>
        <w:t>and the Slovak Republic and countries outside EMU</w:t>
      </w:r>
      <w:r w:rsidR="00C61892">
        <w:t xml:space="preserve">. These hypotheses address the more specific question of trade creation or trade diversion caused by joining a currency union. The results are displayed in table 7.2. </w:t>
      </w:r>
    </w:p>
    <w:p w:rsidR="007C2427" w:rsidRDefault="00C61892" w:rsidP="007C2427">
      <w:pPr>
        <w:spacing w:line="360" w:lineRule="auto"/>
        <w:jc w:val="both"/>
      </w:pPr>
      <w:r>
        <w:t>As can be seen, the coefficients for the economic masses (GDPs) of the exporting and importing country, as well as the bilateral gravity model variables in the CFE model show similar results as in the previous table. Looking at the variables of interest, it can be seen that fewer of these are significant compared to</w:t>
      </w:r>
      <w:r w:rsidR="007C2427">
        <w:t xml:space="preserve"> investigating total trade effects as in the previous table. When looking at the trade effects of Slovenia with the specific trading partner groups, it can be seen that trade with both existing EMU members has increased, as well as trade with the rest of the world, since the year of </w:t>
      </w:r>
      <w:r w:rsidR="007C2427">
        <w:lastRenderedPageBreak/>
        <w:t>Euro adoption</w:t>
      </w:r>
      <w:r w:rsidR="0051180B">
        <w:t xml:space="preserve"> (2007)</w:t>
      </w:r>
      <w:r w:rsidR="007C2427">
        <w:t xml:space="preserve">. These results are significant for both the CFE and the CPFE model, although the CFE </w:t>
      </w:r>
      <w:r w:rsidR="0051180B">
        <w:t>model shows a larger positive trade effect with the rest of the world over</w:t>
      </w:r>
      <w:r w:rsidR="0051180B" w:rsidRPr="0051180B">
        <w:t xml:space="preserve"> </w:t>
      </w:r>
      <w:r w:rsidR="0051180B">
        <w:t>trade effects with</w:t>
      </w:r>
    </w:p>
    <w:p w:rsidR="007C2427" w:rsidRPr="00406C1D" w:rsidRDefault="007C2427" w:rsidP="007C2427">
      <w:pPr>
        <w:pStyle w:val="Caption"/>
        <w:rPr>
          <w:color w:val="auto"/>
          <w:sz w:val="28"/>
        </w:rPr>
      </w:pPr>
      <w:r w:rsidRPr="00406C1D">
        <w:rPr>
          <w:color w:val="auto"/>
          <w:sz w:val="28"/>
        </w:rPr>
        <w:t xml:space="preserve">Table </w:t>
      </w:r>
      <w:r w:rsidR="008A5472">
        <w:rPr>
          <w:color w:val="auto"/>
          <w:sz w:val="28"/>
        </w:rPr>
        <w:fldChar w:fldCharType="begin"/>
      </w:r>
      <w:r w:rsidR="009E4CF3">
        <w:rPr>
          <w:color w:val="auto"/>
          <w:sz w:val="28"/>
        </w:rPr>
        <w:instrText xml:space="preserve"> STYLEREF 1 \s </w:instrText>
      </w:r>
      <w:r w:rsidR="008A5472">
        <w:rPr>
          <w:color w:val="auto"/>
          <w:sz w:val="28"/>
        </w:rPr>
        <w:fldChar w:fldCharType="separate"/>
      </w:r>
      <w:r w:rsidR="009E4CF3">
        <w:rPr>
          <w:noProof/>
          <w:color w:val="auto"/>
          <w:sz w:val="28"/>
        </w:rPr>
        <w:t>7</w:t>
      </w:r>
      <w:r w:rsidR="008A5472">
        <w:rPr>
          <w:color w:val="auto"/>
          <w:sz w:val="28"/>
        </w:rPr>
        <w:fldChar w:fldCharType="end"/>
      </w:r>
      <w:r w:rsidR="009E4CF3">
        <w:rPr>
          <w:color w:val="auto"/>
          <w:sz w:val="28"/>
        </w:rPr>
        <w:noBreakHyphen/>
      </w:r>
      <w:r w:rsidR="008A5472">
        <w:rPr>
          <w:color w:val="auto"/>
          <w:sz w:val="28"/>
        </w:rPr>
        <w:fldChar w:fldCharType="begin"/>
      </w:r>
      <w:r w:rsidR="009E4CF3">
        <w:rPr>
          <w:color w:val="auto"/>
          <w:sz w:val="28"/>
        </w:rPr>
        <w:instrText xml:space="preserve"> SEQ Table \* ARABIC \s 1 </w:instrText>
      </w:r>
      <w:r w:rsidR="008A5472">
        <w:rPr>
          <w:color w:val="auto"/>
          <w:sz w:val="28"/>
        </w:rPr>
        <w:fldChar w:fldCharType="separate"/>
      </w:r>
      <w:r w:rsidR="009E4CF3">
        <w:rPr>
          <w:noProof/>
          <w:color w:val="auto"/>
          <w:sz w:val="28"/>
        </w:rPr>
        <w:t>2</w:t>
      </w:r>
      <w:r w:rsidR="008A5472">
        <w:rPr>
          <w:color w:val="auto"/>
          <w:sz w:val="28"/>
        </w:rPr>
        <w:fldChar w:fldCharType="end"/>
      </w:r>
      <w:r w:rsidRPr="00406C1D">
        <w:rPr>
          <w:color w:val="auto"/>
          <w:sz w:val="28"/>
        </w:rPr>
        <w:t xml:space="preserve"> Testing of Hypotheses 2 &amp; 3</w:t>
      </w:r>
    </w:p>
    <w:tbl>
      <w:tblPr>
        <w:tblStyle w:val="Lichtearcering-accent11"/>
        <w:tblW w:w="0" w:type="auto"/>
        <w:tblLook w:val="04A0"/>
      </w:tblPr>
      <w:tblGrid>
        <w:gridCol w:w="2943"/>
        <w:gridCol w:w="835"/>
        <w:gridCol w:w="2284"/>
        <w:gridCol w:w="676"/>
        <w:gridCol w:w="2504"/>
      </w:tblGrid>
      <w:tr w:rsidR="007C2427" w:rsidRPr="00406C1D" w:rsidTr="00412D89">
        <w:trPr>
          <w:cnfStyle w:val="100000000000"/>
        </w:trPr>
        <w:tc>
          <w:tcPr>
            <w:cnfStyle w:val="001000000000"/>
            <w:tcW w:w="9242" w:type="dxa"/>
            <w:gridSpan w:val="5"/>
          </w:tcPr>
          <w:p w:rsidR="007C2427" w:rsidRPr="00406C1D" w:rsidRDefault="007C2427" w:rsidP="00412D89">
            <w:pPr>
              <w:rPr>
                <w:rFonts w:ascii="Calibri" w:hAnsi="Calibri" w:cs="Calibri"/>
                <w:bCs w:val="0"/>
                <w:color w:val="auto"/>
                <w:sz w:val="28"/>
              </w:rPr>
            </w:pPr>
            <w:r w:rsidRPr="00406C1D">
              <w:rPr>
                <w:rFonts w:ascii="Calibri" w:hAnsi="Calibri" w:cs="Calibri"/>
                <w:bCs w:val="0"/>
                <w:color w:val="auto"/>
                <w:sz w:val="24"/>
              </w:rPr>
              <w:t>Trade Effects per Trading Partner Group (EMU or Rest of the World), per individual country</w:t>
            </w:r>
          </w:p>
        </w:tc>
      </w:tr>
      <w:tr w:rsidR="007C2427" w:rsidTr="00412D89">
        <w:trPr>
          <w:cnfStyle w:val="000000100000"/>
        </w:trPr>
        <w:tc>
          <w:tcPr>
            <w:cnfStyle w:val="001000000000"/>
            <w:tcW w:w="3778" w:type="dxa"/>
            <w:gridSpan w:val="2"/>
          </w:tcPr>
          <w:p w:rsidR="007C2427" w:rsidRDefault="007C2427" w:rsidP="00412D89">
            <w:r>
              <w:rPr>
                <w:rFonts w:ascii="Calibri" w:hAnsi="Calibri" w:cs="Calibri"/>
                <w:color w:val="000000"/>
              </w:rPr>
              <w:t>Dependent Variable: LN_NOM_EX</w:t>
            </w:r>
          </w:p>
        </w:tc>
        <w:tc>
          <w:tcPr>
            <w:tcW w:w="2960" w:type="dxa"/>
            <w:gridSpan w:val="2"/>
          </w:tcPr>
          <w:p w:rsidR="007C2427" w:rsidRDefault="007C2427" w:rsidP="00412D89">
            <w:pPr>
              <w:cnfStyle w:val="000000100000"/>
              <w:rPr>
                <w:rFonts w:ascii="Calibri" w:hAnsi="Calibri" w:cs="Calibri"/>
                <w:b/>
                <w:bCs/>
                <w:color w:val="000000"/>
                <w:sz w:val="28"/>
              </w:rPr>
            </w:pPr>
          </w:p>
        </w:tc>
        <w:tc>
          <w:tcPr>
            <w:tcW w:w="2504" w:type="dxa"/>
          </w:tcPr>
          <w:p w:rsidR="007C2427" w:rsidRDefault="007C2427" w:rsidP="00412D89">
            <w:pPr>
              <w:cnfStyle w:val="000000100000"/>
              <w:rPr>
                <w:rFonts w:ascii="Calibri" w:hAnsi="Calibri" w:cs="Calibri"/>
                <w:b/>
                <w:bCs/>
                <w:color w:val="000000"/>
                <w:sz w:val="28"/>
              </w:rPr>
            </w:pPr>
          </w:p>
        </w:tc>
      </w:tr>
      <w:tr w:rsidR="007C2427" w:rsidTr="00412D89">
        <w:tc>
          <w:tcPr>
            <w:cnfStyle w:val="001000000000"/>
            <w:tcW w:w="3778" w:type="dxa"/>
            <w:gridSpan w:val="2"/>
          </w:tcPr>
          <w:p w:rsidR="007C2427" w:rsidRDefault="007C2427" w:rsidP="00412D89">
            <w:r>
              <w:rPr>
                <w:rFonts w:ascii="Calibri" w:hAnsi="Calibri" w:cs="Calibri"/>
                <w:color w:val="000000"/>
              </w:rPr>
              <w:t>Method: Panel Least Squares</w:t>
            </w:r>
          </w:p>
        </w:tc>
        <w:tc>
          <w:tcPr>
            <w:tcW w:w="2960" w:type="dxa"/>
            <w:gridSpan w:val="2"/>
          </w:tcPr>
          <w:p w:rsidR="007C2427" w:rsidRDefault="007C2427" w:rsidP="00412D89">
            <w:pPr>
              <w:cnfStyle w:val="000000000000"/>
              <w:rPr>
                <w:rFonts w:ascii="Calibri" w:hAnsi="Calibri" w:cs="Calibri"/>
                <w:b/>
                <w:bCs/>
                <w:color w:val="000000"/>
                <w:sz w:val="28"/>
              </w:rPr>
            </w:pPr>
          </w:p>
        </w:tc>
        <w:tc>
          <w:tcPr>
            <w:tcW w:w="2504" w:type="dxa"/>
          </w:tcPr>
          <w:p w:rsidR="007C2427" w:rsidRDefault="007C2427" w:rsidP="00412D89">
            <w:pPr>
              <w:cnfStyle w:val="000000000000"/>
              <w:rPr>
                <w:rFonts w:ascii="Calibri" w:hAnsi="Calibri" w:cs="Calibri"/>
                <w:b/>
                <w:bCs/>
                <w:color w:val="000000"/>
                <w:sz w:val="28"/>
              </w:rPr>
            </w:pPr>
          </w:p>
        </w:tc>
      </w:tr>
      <w:tr w:rsidR="007C2427" w:rsidTr="00412D89">
        <w:trPr>
          <w:cnfStyle w:val="000000100000"/>
        </w:trPr>
        <w:tc>
          <w:tcPr>
            <w:cnfStyle w:val="001000000000"/>
            <w:tcW w:w="3778" w:type="dxa"/>
            <w:gridSpan w:val="2"/>
          </w:tcPr>
          <w:p w:rsidR="007C2427" w:rsidRDefault="007C2427" w:rsidP="00412D89">
            <w:pPr>
              <w:rPr>
                <w:rFonts w:ascii="Calibri" w:hAnsi="Calibri" w:cs="Calibri"/>
                <w:color w:val="000000"/>
              </w:rPr>
            </w:pPr>
          </w:p>
        </w:tc>
        <w:tc>
          <w:tcPr>
            <w:tcW w:w="2960" w:type="dxa"/>
            <w:gridSpan w:val="2"/>
          </w:tcPr>
          <w:p w:rsidR="007C2427" w:rsidRDefault="007C2427" w:rsidP="00412D89">
            <w:pPr>
              <w:cnfStyle w:val="000000100000"/>
              <w:rPr>
                <w:rFonts w:ascii="Calibri" w:hAnsi="Calibri" w:cs="Calibri"/>
                <w:b/>
                <w:bCs/>
                <w:color w:val="000000"/>
                <w:sz w:val="28"/>
              </w:rPr>
            </w:pPr>
          </w:p>
        </w:tc>
        <w:tc>
          <w:tcPr>
            <w:tcW w:w="2504" w:type="dxa"/>
          </w:tcPr>
          <w:p w:rsidR="007C2427" w:rsidRDefault="007C2427" w:rsidP="00412D89">
            <w:pPr>
              <w:cnfStyle w:val="000000100000"/>
              <w:rPr>
                <w:rFonts w:ascii="Calibri" w:hAnsi="Calibri" w:cs="Calibri"/>
                <w:b/>
                <w:bCs/>
                <w:color w:val="000000"/>
                <w:sz w:val="28"/>
              </w:rPr>
            </w:pPr>
          </w:p>
        </w:tc>
      </w:tr>
      <w:tr w:rsidR="007C2427" w:rsidTr="00895B1E">
        <w:tc>
          <w:tcPr>
            <w:cnfStyle w:val="001000000000"/>
            <w:tcW w:w="2943" w:type="dxa"/>
          </w:tcPr>
          <w:p w:rsidR="007C2427" w:rsidRPr="00B0517F" w:rsidRDefault="007C2427" w:rsidP="00412D89">
            <w:pPr>
              <w:rPr>
                <w:rFonts w:ascii="Calibri" w:hAnsi="Calibri" w:cs="Calibri"/>
                <w:i/>
                <w:color w:val="000000"/>
              </w:rPr>
            </w:pPr>
            <w:r w:rsidRPr="00B0517F">
              <w:rPr>
                <w:rFonts w:ascii="Calibri" w:hAnsi="Calibri" w:cs="Calibri"/>
                <w:i/>
                <w:color w:val="000000"/>
              </w:rPr>
              <w:t>Model:</w:t>
            </w:r>
          </w:p>
        </w:tc>
        <w:tc>
          <w:tcPr>
            <w:tcW w:w="3119" w:type="dxa"/>
            <w:gridSpan w:val="2"/>
          </w:tcPr>
          <w:p w:rsidR="007C2427" w:rsidRPr="00406C1D" w:rsidRDefault="007C2427" w:rsidP="00412D89">
            <w:pPr>
              <w:cnfStyle w:val="000000000000"/>
              <w:rPr>
                <w:color w:val="auto"/>
                <w:vertAlign w:val="superscript"/>
              </w:rPr>
            </w:pPr>
            <w:r w:rsidRPr="00406C1D">
              <w:rPr>
                <w:color w:val="auto"/>
              </w:rPr>
              <w:t>Country Fixed Effect Model with fixed time effects</w:t>
            </w:r>
            <w:r w:rsidR="00895B1E" w:rsidRPr="00406C1D">
              <w:rPr>
                <w:color w:val="auto"/>
                <w:vertAlign w:val="superscript"/>
              </w:rPr>
              <w:t>(a)</w:t>
            </w:r>
          </w:p>
        </w:tc>
        <w:tc>
          <w:tcPr>
            <w:tcW w:w="3180" w:type="dxa"/>
            <w:gridSpan w:val="2"/>
          </w:tcPr>
          <w:p w:rsidR="007C2427" w:rsidRPr="00406C1D" w:rsidRDefault="007C2427" w:rsidP="00412D89">
            <w:pPr>
              <w:cnfStyle w:val="000000000000"/>
              <w:rPr>
                <w:color w:val="auto"/>
                <w:vertAlign w:val="superscript"/>
              </w:rPr>
            </w:pPr>
            <w:r w:rsidRPr="00406C1D">
              <w:rPr>
                <w:color w:val="auto"/>
              </w:rPr>
              <w:t>Country Pair Fixed Effect Model with  fixed time effects</w:t>
            </w:r>
            <w:r w:rsidR="00895B1E" w:rsidRPr="00406C1D">
              <w:rPr>
                <w:color w:val="auto"/>
                <w:vertAlign w:val="superscript"/>
              </w:rPr>
              <w:t>(b)</w:t>
            </w:r>
          </w:p>
        </w:tc>
      </w:tr>
      <w:tr w:rsidR="007C2427" w:rsidTr="00895B1E">
        <w:trPr>
          <w:cnfStyle w:val="000000100000"/>
        </w:trPr>
        <w:tc>
          <w:tcPr>
            <w:cnfStyle w:val="001000000000"/>
            <w:tcW w:w="2943" w:type="dxa"/>
          </w:tcPr>
          <w:p w:rsidR="007C2427" w:rsidRPr="00B0517F" w:rsidRDefault="007C2427" w:rsidP="00412D89">
            <w:pPr>
              <w:rPr>
                <w:rFonts w:ascii="Calibri" w:hAnsi="Calibri" w:cs="Calibri"/>
                <w:i/>
                <w:color w:val="000000"/>
                <w:u w:val="single"/>
              </w:rPr>
            </w:pPr>
            <w:r w:rsidRPr="00B0517F">
              <w:rPr>
                <w:rFonts w:ascii="Calibri" w:hAnsi="Calibri" w:cs="Calibri"/>
                <w:i/>
                <w:color w:val="000000"/>
                <w:u w:val="single"/>
              </w:rPr>
              <w:t>Variable:</w:t>
            </w:r>
          </w:p>
        </w:tc>
        <w:tc>
          <w:tcPr>
            <w:tcW w:w="3119" w:type="dxa"/>
            <w:gridSpan w:val="2"/>
          </w:tcPr>
          <w:p w:rsidR="007C2427" w:rsidRDefault="007C2427" w:rsidP="00412D89">
            <w:pPr>
              <w:cnfStyle w:val="000000100000"/>
              <w:rPr>
                <w:rFonts w:ascii="Calibri" w:hAnsi="Calibri" w:cs="Calibri"/>
                <w:b/>
                <w:bCs/>
                <w:color w:val="000000"/>
                <w:sz w:val="28"/>
              </w:rPr>
            </w:pPr>
          </w:p>
        </w:tc>
        <w:tc>
          <w:tcPr>
            <w:tcW w:w="3180" w:type="dxa"/>
            <w:gridSpan w:val="2"/>
          </w:tcPr>
          <w:p w:rsidR="007C2427" w:rsidRDefault="007C2427" w:rsidP="00412D89">
            <w:pPr>
              <w:cnfStyle w:val="000000100000"/>
              <w:rPr>
                <w:rFonts w:ascii="Calibri" w:hAnsi="Calibri" w:cs="Calibri"/>
                <w:b/>
                <w:bCs/>
                <w:color w:val="000000"/>
                <w:sz w:val="28"/>
              </w:rPr>
            </w:pPr>
          </w:p>
        </w:tc>
      </w:tr>
      <w:tr w:rsidR="007C2427" w:rsidTr="00895B1E">
        <w:tc>
          <w:tcPr>
            <w:cnfStyle w:val="001000000000"/>
            <w:tcW w:w="2943" w:type="dxa"/>
          </w:tcPr>
          <w:p w:rsidR="007C2427" w:rsidRDefault="007C2427" w:rsidP="00412D89">
            <w:pPr>
              <w:rPr>
                <w:rFonts w:ascii="Calibri" w:hAnsi="Calibri" w:cs="Calibri"/>
                <w:b w:val="0"/>
                <w:bCs w:val="0"/>
                <w:color w:val="000000"/>
                <w:sz w:val="28"/>
              </w:rPr>
            </w:pPr>
            <w:r>
              <w:rPr>
                <w:rFonts w:ascii="Calibri" w:hAnsi="Calibri" w:cs="Calibri"/>
                <w:color w:val="000000"/>
              </w:rPr>
              <w:t>C</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-6.</w:t>
            </w:r>
            <w:r w:rsidR="00483522">
              <w:rPr>
                <w:rFonts w:ascii="Calibri" w:hAnsi="Calibri"/>
                <w:b/>
                <w:color w:val="000000"/>
              </w:rPr>
              <w:t>754</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-11.</w:t>
            </w:r>
            <w:r w:rsidR="00483522">
              <w:rPr>
                <w:rFonts w:ascii="Calibri" w:hAnsi="Calibri"/>
                <w:b/>
                <w:color w:val="000000"/>
              </w:rPr>
              <w:t>839</w:t>
            </w:r>
          </w:p>
          <w:p w:rsidR="007C2427" w:rsidRPr="006B7314"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LN_NOM_GDPI</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483426">
              <w:rPr>
                <w:rFonts w:ascii="Calibri" w:hAnsi="Calibri"/>
                <w:b/>
                <w:color w:val="000000"/>
              </w:rPr>
              <w:t>850</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6B7314">
              <w:rPr>
                <w:rFonts w:ascii="Calibri" w:hAnsi="Calibri"/>
                <w:b/>
                <w:color w:val="000000"/>
              </w:rPr>
              <w:t>859</w:t>
            </w:r>
          </w:p>
          <w:p w:rsidR="007C2427" w:rsidRPr="006B7314"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LN_NOM_GDPJ</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483426">
              <w:rPr>
                <w:rFonts w:ascii="Calibri" w:hAnsi="Calibri"/>
                <w:b/>
                <w:color w:val="000000"/>
              </w:rPr>
              <w:t>933</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6B7314">
              <w:rPr>
                <w:rFonts w:ascii="Calibri" w:hAnsi="Calibri"/>
                <w:b/>
                <w:color w:val="000000"/>
              </w:rPr>
              <w:t>938</w:t>
            </w:r>
          </w:p>
          <w:p w:rsidR="007C2427" w:rsidRPr="006B7314"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COM_BORD</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483426">
              <w:rPr>
                <w:rFonts w:ascii="Calibri" w:hAnsi="Calibri"/>
                <w:b/>
                <w:color w:val="000000"/>
              </w:rPr>
              <w:t>188</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Pr="0009195C" w:rsidRDefault="007C2427" w:rsidP="00412D89">
            <w:pPr>
              <w:cnfStyle w:val="000000100000"/>
              <w:rPr>
                <w:rFonts w:ascii="Calibri" w:hAnsi="Calibri" w:cs="Calibri"/>
                <w:b/>
                <w:i/>
                <w:color w:val="000000"/>
              </w:rPr>
            </w:pP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COM_LANG</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483522">
              <w:rPr>
                <w:rFonts w:ascii="Calibri" w:hAnsi="Calibri"/>
                <w:b/>
                <w:color w:val="000000"/>
              </w:rPr>
              <w:t>057</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Pr="0009195C" w:rsidRDefault="007C2427" w:rsidP="00412D89">
            <w:pPr>
              <w:cnfStyle w:val="000000000000"/>
              <w:rPr>
                <w:rFonts w:ascii="Calibri" w:hAnsi="Calibri" w:cs="Calibri"/>
                <w:b/>
                <w:i/>
                <w:color w:val="000000"/>
              </w:rPr>
            </w:pP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LN_DIST</w:t>
            </w:r>
          </w:p>
        </w:tc>
        <w:tc>
          <w:tcPr>
            <w:tcW w:w="3119" w:type="dxa"/>
            <w:gridSpan w:val="2"/>
            <w:vAlign w:val="bottom"/>
          </w:tcPr>
          <w:p w:rsidR="007C2427" w:rsidRDefault="00483522" w:rsidP="00412D89">
            <w:pPr>
              <w:cnfStyle w:val="000000100000"/>
              <w:rPr>
                <w:rFonts w:ascii="Calibri" w:hAnsi="Calibri"/>
                <w:b/>
                <w:color w:val="000000"/>
              </w:rPr>
            </w:pPr>
            <w:r>
              <w:rPr>
                <w:rFonts w:ascii="Calibri" w:hAnsi="Calibri"/>
                <w:b/>
                <w:color w:val="000000"/>
              </w:rPr>
              <w:t>-1</w:t>
            </w:r>
            <w:r w:rsidR="00A41469">
              <w:rPr>
                <w:rFonts w:ascii="Calibri" w:hAnsi="Calibri"/>
                <w:b/>
                <w:color w:val="000000"/>
              </w:rPr>
              <w:t>.</w:t>
            </w:r>
            <w:r>
              <w:rPr>
                <w:rFonts w:ascii="Calibri" w:hAnsi="Calibri"/>
                <w:b/>
                <w:color w:val="000000"/>
              </w:rPr>
              <w:t>310</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Pr="0009195C" w:rsidRDefault="007C2427" w:rsidP="00412D89">
            <w:pPr>
              <w:cnfStyle w:val="000000100000"/>
              <w:rPr>
                <w:rFonts w:ascii="Calibri" w:hAnsi="Calibri" w:cs="Calibri"/>
                <w:b/>
                <w:i/>
                <w:color w:val="000000"/>
              </w:rPr>
            </w:pPr>
          </w:p>
        </w:tc>
      </w:tr>
      <w:tr w:rsidR="007C2427" w:rsidTr="00895B1E">
        <w:tc>
          <w:tcPr>
            <w:cnfStyle w:val="001000000000"/>
            <w:tcW w:w="2943" w:type="dxa"/>
            <w:vAlign w:val="center"/>
          </w:tcPr>
          <w:p w:rsidR="007C2427" w:rsidRPr="00512969" w:rsidRDefault="007C2427" w:rsidP="00412D89">
            <w:pPr>
              <w:rPr>
                <w:rFonts w:ascii="Calibri" w:hAnsi="Calibri" w:cs="Calibri"/>
                <w:color w:val="000000"/>
              </w:rPr>
            </w:pPr>
            <w:r>
              <w:rPr>
                <w:rFonts w:ascii="Calibri" w:hAnsi="Calibri" w:cs="Calibri"/>
                <w:color w:val="000000"/>
              </w:rPr>
              <w:t>EU15</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483522">
              <w:rPr>
                <w:rFonts w:ascii="Calibri" w:hAnsi="Calibri"/>
                <w:b/>
                <w:color w:val="000000"/>
              </w:rPr>
              <w:t>124</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Pr="0009195C" w:rsidRDefault="007C2427" w:rsidP="00412D89">
            <w:pPr>
              <w:cnfStyle w:val="000000000000"/>
              <w:rPr>
                <w:rFonts w:ascii="Calibri" w:hAnsi="Calibri" w:cs="Calibri"/>
                <w:b/>
                <w:color w:val="000000"/>
              </w:rPr>
            </w:pP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EMU12</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483522">
              <w:rPr>
                <w:rFonts w:ascii="Calibri" w:hAnsi="Calibri"/>
                <w:b/>
                <w:color w:val="000000"/>
              </w:rPr>
              <w:t>114</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Pr="0009195C" w:rsidRDefault="007C2427" w:rsidP="00412D89">
            <w:pPr>
              <w:cnfStyle w:val="000000100000"/>
              <w:rPr>
                <w:rFonts w:ascii="Calibri" w:hAnsi="Calibri" w:cs="Calibri"/>
                <w:b/>
                <w:color w:val="000000"/>
              </w:rPr>
            </w:pP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SLOVENIA_X_M_EMU_07</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483522">
              <w:rPr>
                <w:rFonts w:ascii="Calibri" w:hAnsi="Calibri"/>
                <w:b/>
                <w:color w:val="000000"/>
              </w:rPr>
              <w:t>061</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(0.0</w:t>
            </w:r>
            <w:r w:rsidR="00483522">
              <w:rPr>
                <w:rFonts w:ascii="Calibri" w:hAnsi="Calibri" w:cs="Calibri"/>
                <w:i/>
                <w:color w:val="000000"/>
                <w:sz w:val="16"/>
                <w:szCs w:val="16"/>
              </w:rPr>
              <w:t>98</w:t>
            </w:r>
            <w:r>
              <w:rPr>
                <w:rFonts w:ascii="Calibri" w:hAnsi="Calibri" w:cs="Calibri"/>
                <w:i/>
                <w:color w:val="000000"/>
                <w:sz w:val="16"/>
                <w:szCs w:val="16"/>
              </w:rPr>
              <w:t>)*</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6B7314">
              <w:rPr>
                <w:rFonts w:ascii="Calibri" w:hAnsi="Calibri"/>
                <w:b/>
                <w:color w:val="000000"/>
              </w:rPr>
              <w:t>076</w:t>
            </w:r>
          </w:p>
          <w:p w:rsidR="007C2427" w:rsidRPr="006B7314" w:rsidRDefault="007C2427" w:rsidP="00412D89">
            <w:pPr>
              <w:cnfStyle w:val="000000000000"/>
              <w:rPr>
                <w:rFonts w:ascii="Calibri" w:hAnsi="Calibri"/>
                <w:b/>
                <w:color w:val="000000"/>
              </w:rPr>
            </w:pPr>
            <w:r w:rsidRPr="00BD7CED">
              <w:rPr>
                <w:rFonts w:ascii="Calibri" w:hAnsi="Calibri" w:cs="Calibri"/>
                <w:i/>
                <w:color w:val="000000"/>
                <w:sz w:val="16"/>
                <w:szCs w:val="16"/>
              </w:rPr>
              <w:t>(0.000)***</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SLOVENIA_X_M_RW_07</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483426">
              <w:rPr>
                <w:rFonts w:ascii="Calibri" w:hAnsi="Calibri"/>
                <w:b/>
                <w:color w:val="000000"/>
              </w:rPr>
              <w:t>08</w:t>
            </w:r>
            <w:r w:rsidR="00483522">
              <w:rPr>
                <w:rFonts w:ascii="Calibri" w:hAnsi="Calibri"/>
                <w:b/>
                <w:color w:val="000000"/>
              </w:rPr>
              <w:t>8</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w:t>
            </w:r>
            <w:r w:rsidR="00483522">
              <w:rPr>
                <w:rFonts w:ascii="Calibri" w:hAnsi="Calibri" w:cs="Calibri"/>
                <w:i/>
                <w:color w:val="000000"/>
                <w:sz w:val="16"/>
                <w:szCs w:val="16"/>
              </w:rPr>
              <w:t>2</w:t>
            </w:r>
            <w:r>
              <w:rPr>
                <w:rFonts w:ascii="Calibri" w:hAnsi="Calibri" w:cs="Calibri"/>
                <w:i/>
                <w:color w:val="000000"/>
                <w:sz w:val="16"/>
                <w:szCs w:val="16"/>
              </w:rPr>
              <w:t>)***</w:t>
            </w:r>
          </w:p>
        </w:tc>
        <w:tc>
          <w:tcPr>
            <w:tcW w:w="3180"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6B7314">
              <w:rPr>
                <w:rFonts w:ascii="Calibri" w:hAnsi="Calibri"/>
                <w:b/>
                <w:color w:val="000000"/>
              </w:rPr>
              <w:t>077</w:t>
            </w:r>
          </w:p>
          <w:p w:rsidR="007C2427" w:rsidRPr="006B7314"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CYPRUS_X_M_EMU_08</w:t>
            </w:r>
          </w:p>
        </w:tc>
        <w:tc>
          <w:tcPr>
            <w:tcW w:w="3119" w:type="dxa"/>
            <w:gridSpan w:val="2"/>
            <w:vAlign w:val="bottom"/>
          </w:tcPr>
          <w:p w:rsidR="00483522" w:rsidRDefault="00A41469" w:rsidP="00483522">
            <w:pPr>
              <w:cnfStyle w:val="000000000000"/>
              <w:rPr>
                <w:rFonts w:ascii="Calibri" w:hAnsi="Calibri"/>
                <w:b/>
                <w:color w:val="000000"/>
              </w:rPr>
            </w:pPr>
            <w:r>
              <w:rPr>
                <w:rFonts w:ascii="Calibri" w:hAnsi="Calibri"/>
                <w:b/>
                <w:color w:val="000000"/>
              </w:rPr>
              <w:t>0.</w:t>
            </w:r>
            <w:r w:rsidR="007C2427" w:rsidRPr="00483426">
              <w:rPr>
                <w:rFonts w:ascii="Calibri" w:hAnsi="Calibri"/>
                <w:b/>
                <w:color w:val="000000"/>
              </w:rPr>
              <w:t>04</w:t>
            </w:r>
            <w:r w:rsidR="00483522">
              <w:rPr>
                <w:rFonts w:ascii="Calibri" w:hAnsi="Calibri"/>
                <w:b/>
                <w:color w:val="000000"/>
              </w:rPr>
              <w:t>0</w:t>
            </w:r>
          </w:p>
          <w:p w:rsidR="007C2427" w:rsidRPr="00483426" w:rsidRDefault="007C2427" w:rsidP="00483522">
            <w:pPr>
              <w:cnfStyle w:val="000000000000"/>
              <w:rPr>
                <w:rFonts w:ascii="Calibri" w:hAnsi="Calibri"/>
                <w:b/>
                <w:color w:val="000000"/>
              </w:rPr>
            </w:pPr>
            <w:r w:rsidRPr="00BD7CED">
              <w:rPr>
                <w:rFonts w:ascii="Calibri" w:hAnsi="Calibri" w:cs="Calibri"/>
                <w:i/>
                <w:color w:val="000000"/>
                <w:sz w:val="16"/>
                <w:szCs w:val="16"/>
              </w:rPr>
              <w:t>(0.</w:t>
            </w:r>
            <w:r w:rsidR="00483522">
              <w:rPr>
                <w:rFonts w:ascii="Calibri" w:hAnsi="Calibri" w:cs="Calibri"/>
                <w:i/>
                <w:color w:val="000000"/>
                <w:sz w:val="16"/>
                <w:szCs w:val="16"/>
              </w:rPr>
              <w:t>320</w:t>
            </w:r>
            <w:r>
              <w:rPr>
                <w:rFonts w:ascii="Calibri" w:hAnsi="Calibri" w:cs="Calibri"/>
                <w:i/>
                <w:color w:val="000000"/>
                <w:sz w:val="16"/>
                <w:szCs w:val="16"/>
              </w:rPr>
              <w:t>)</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6B7314">
              <w:rPr>
                <w:rFonts w:ascii="Calibri" w:hAnsi="Calibri"/>
                <w:b/>
                <w:color w:val="000000"/>
              </w:rPr>
              <w:t>017</w:t>
            </w:r>
          </w:p>
          <w:p w:rsidR="007C2427" w:rsidRPr="006B7314" w:rsidRDefault="007C2427" w:rsidP="00412D89">
            <w:pPr>
              <w:cnfStyle w:val="0000000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451)</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CYPRUS_X_M_RW_08</w:t>
            </w:r>
          </w:p>
        </w:tc>
        <w:tc>
          <w:tcPr>
            <w:tcW w:w="3119" w:type="dxa"/>
            <w:gridSpan w:val="2"/>
            <w:vAlign w:val="bottom"/>
          </w:tcPr>
          <w:p w:rsidR="007C2427" w:rsidRDefault="007C2427" w:rsidP="00412D89">
            <w:pPr>
              <w:cnfStyle w:val="000000100000"/>
              <w:rPr>
                <w:rFonts w:ascii="Calibri" w:hAnsi="Calibri"/>
                <w:b/>
                <w:color w:val="000000"/>
              </w:rPr>
            </w:pPr>
            <w:r w:rsidRPr="00483426">
              <w:rPr>
                <w:rFonts w:ascii="Calibri" w:hAnsi="Calibri"/>
                <w:b/>
                <w:color w:val="000000"/>
              </w:rPr>
              <w:t>-0</w:t>
            </w:r>
            <w:r w:rsidR="00A41469">
              <w:rPr>
                <w:rFonts w:ascii="Calibri" w:hAnsi="Calibri"/>
                <w:b/>
                <w:color w:val="000000"/>
              </w:rPr>
              <w:t>.</w:t>
            </w:r>
            <w:r w:rsidRPr="00483426">
              <w:rPr>
                <w:rFonts w:ascii="Calibri" w:hAnsi="Calibri"/>
                <w:b/>
                <w:color w:val="000000"/>
              </w:rPr>
              <w:t>14</w:t>
            </w:r>
            <w:r w:rsidR="00483522">
              <w:rPr>
                <w:rFonts w:ascii="Calibri" w:hAnsi="Calibri"/>
                <w:b/>
                <w:color w:val="000000"/>
              </w:rPr>
              <w:t>2</w:t>
            </w:r>
          </w:p>
          <w:p w:rsidR="007C2427" w:rsidRPr="00483426"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c>
          <w:tcPr>
            <w:tcW w:w="3180" w:type="dxa"/>
            <w:gridSpan w:val="2"/>
            <w:vAlign w:val="bottom"/>
          </w:tcPr>
          <w:p w:rsidR="007C2427" w:rsidRDefault="007C2427" w:rsidP="00412D89">
            <w:pPr>
              <w:cnfStyle w:val="000000100000"/>
              <w:rPr>
                <w:rFonts w:ascii="Calibri" w:hAnsi="Calibri"/>
                <w:b/>
                <w:color w:val="000000"/>
              </w:rPr>
            </w:pPr>
            <w:r w:rsidRPr="006B7314">
              <w:rPr>
                <w:rFonts w:ascii="Calibri" w:hAnsi="Calibri"/>
                <w:b/>
                <w:color w:val="000000"/>
              </w:rPr>
              <w:t>-0</w:t>
            </w:r>
            <w:r w:rsidR="00A41469">
              <w:rPr>
                <w:rFonts w:ascii="Calibri" w:hAnsi="Calibri"/>
                <w:b/>
                <w:color w:val="000000"/>
              </w:rPr>
              <w:t>.</w:t>
            </w:r>
            <w:r w:rsidRPr="006B7314">
              <w:rPr>
                <w:rFonts w:ascii="Calibri" w:hAnsi="Calibri"/>
                <w:b/>
                <w:color w:val="000000"/>
              </w:rPr>
              <w:t>101</w:t>
            </w:r>
          </w:p>
          <w:p w:rsidR="007C2427" w:rsidRPr="006B7314" w:rsidRDefault="007C2427" w:rsidP="00412D89">
            <w:pPr>
              <w:cnfStyle w:val="000000100000"/>
              <w:rPr>
                <w:rFonts w:ascii="Calibri" w:hAnsi="Calibri"/>
                <w:b/>
                <w:color w:val="000000"/>
              </w:rPr>
            </w:pPr>
            <w:r w:rsidRPr="00BD7CED">
              <w:rPr>
                <w:rFonts w:ascii="Calibri" w:hAnsi="Calibri" w:cs="Calibri"/>
                <w:i/>
                <w:color w:val="000000"/>
                <w:sz w:val="16"/>
                <w:szCs w:val="16"/>
              </w:rPr>
              <w:t>(0.000)***</w:t>
            </w: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MALTA_X_M_EMU_08</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483522">
              <w:rPr>
                <w:rFonts w:ascii="Calibri" w:hAnsi="Calibri"/>
                <w:b/>
                <w:color w:val="000000"/>
              </w:rPr>
              <w:t>014</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w:t>
            </w:r>
            <w:r w:rsidR="00483522">
              <w:rPr>
                <w:rFonts w:ascii="Calibri" w:hAnsi="Calibri" w:cs="Calibri"/>
                <w:i/>
                <w:color w:val="000000"/>
                <w:sz w:val="16"/>
                <w:szCs w:val="16"/>
              </w:rPr>
              <w:t>731</w:t>
            </w:r>
            <w:r>
              <w:rPr>
                <w:rFonts w:ascii="Calibri" w:hAnsi="Calibri" w:cs="Calibri"/>
                <w:i/>
                <w:color w:val="000000"/>
                <w:sz w:val="16"/>
                <w:szCs w:val="16"/>
              </w:rPr>
              <w:t>)</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6B7314">
              <w:rPr>
                <w:rFonts w:ascii="Calibri" w:hAnsi="Calibri"/>
                <w:b/>
                <w:color w:val="000000"/>
              </w:rPr>
              <w:t>033</w:t>
            </w:r>
          </w:p>
          <w:p w:rsidR="007C2427" w:rsidRPr="006B7314" w:rsidRDefault="007C2427" w:rsidP="00412D89">
            <w:pPr>
              <w:cnfStyle w:val="0000000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140)</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MALTA_X_M_RW_08</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483522">
              <w:rPr>
                <w:rFonts w:ascii="Calibri" w:hAnsi="Calibri"/>
                <w:b/>
                <w:color w:val="000000"/>
              </w:rPr>
              <w:t>033</w:t>
            </w:r>
          </w:p>
          <w:p w:rsidR="007C2427" w:rsidRPr="00483426" w:rsidRDefault="00483522" w:rsidP="00412D89">
            <w:pPr>
              <w:cnfStyle w:val="000000100000"/>
              <w:rPr>
                <w:rFonts w:ascii="Calibri" w:hAnsi="Calibri"/>
                <w:b/>
                <w:color w:val="000000"/>
              </w:rPr>
            </w:pPr>
            <w:r>
              <w:rPr>
                <w:rFonts w:ascii="Calibri" w:hAnsi="Calibri" w:cs="Calibri"/>
                <w:i/>
                <w:color w:val="000000"/>
                <w:sz w:val="16"/>
                <w:szCs w:val="16"/>
              </w:rPr>
              <w:t>(0.280</w:t>
            </w:r>
            <w:r w:rsidR="007C2427">
              <w:rPr>
                <w:rFonts w:ascii="Calibri" w:hAnsi="Calibri" w:cs="Calibri"/>
                <w:i/>
                <w:color w:val="000000"/>
                <w:sz w:val="16"/>
                <w:szCs w:val="16"/>
              </w:rPr>
              <w:t>)</w:t>
            </w:r>
          </w:p>
        </w:tc>
        <w:tc>
          <w:tcPr>
            <w:tcW w:w="3180"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6B7314">
              <w:rPr>
                <w:rFonts w:ascii="Calibri" w:hAnsi="Calibri"/>
                <w:b/>
                <w:color w:val="000000"/>
              </w:rPr>
              <w:t>025</w:t>
            </w:r>
          </w:p>
          <w:p w:rsidR="007C2427" w:rsidRPr="006B7314" w:rsidRDefault="007C2427" w:rsidP="00412D89">
            <w:pPr>
              <w:cnfStyle w:val="0000001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127)</w:t>
            </w: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SLOVAKREP_X_M_EMU_09</w:t>
            </w:r>
          </w:p>
        </w:tc>
        <w:tc>
          <w:tcPr>
            <w:tcW w:w="3119"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483426">
              <w:rPr>
                <w:rFonts w:ascii="Calibri" w:hAnsi="Calibri"/>
                <w:b/>
                <w:color w:val="000000"/>
              </w:rPr>
              <w:t>00</w:t>
            </w:r>
            <w:r w:rsidR="00483522">
              <w:rPr>
                <w:rFonts w:ascii="Calibri" w:hAnsi="Calibri"/>
                <w:b/>
                <w:color w:val="000000"/>
              </w:rPr>
              <w:t>5</w:t>
            </w:r>
          </w:p>
          <w:p w:rsidR="007C2427" w:rsidRPr="00483426" w:rsidRDefault="007C2427" w:rsidP="00412D89">
            <w:pPr>
              <w:cnfStyle w:val="000000000000"/>
              <w:rPr>
                <w:rFonts w:ascii="Calibri" w:hAnsi="Calibri"/>
                <w:b/>
                <w:color w:val="000000"/>
              </w:rPr>
            </w:pPr>
            <w:r w:rsidRPr="00BD7CED">
              <w:rPr>
                <w:rFonts w:ascii="Calibri" w:hAnsi="Calibri" w:cs="Calibri"/>
                <w:i/>
                <w:color w:val="000000"/>
                <w:sz w:val="16"/>
                <w:szCs w:val="16"/>
              </w:rPr>
              <w:t>(0.</w:t>
            </w:r>
            <w:r w:rsidR="00483522">
              <w:rPr>
                <w:rFonts w:ascii="Calibri" w:hAnsi="Calibri" w:cs="Calibri"/>
                <w:i/>
                <w:color w:val="000000"/>
                <w:sz w:val="16"/>
                <w:szCs w:val="16"/>
              </w:rPr>
              <w:t>909</w:t>
            </w:r>
            <w:r>
              <w:rPr>
                <w:rFonts w:ascii="Calibri" w:hAnsi="Calibri" w:cs="Calibri"/>
                <w:i/>
                <w:color w:val="000000"/>
                <w:sz w:val="16"/>
                <w:szCs w:val="16"/>
              </w:rPr>
              <w:t>)</w:t>
            </w:r>
          </w:p>
        </w:tc>
        <w:tc>
          <w:tcPr>
            <w:tcW w:w="3180" w:type="dxa"/>
            <w:gridSpan w:val="2"/>
            <w:vAlign w:val="bottom"/>
          </w:tcPr>
          <w:p w:rsidR="007C2427" w:rsidRDefault="00A41469" w:rsidP="00412D89">
            <w:pPr>
              <w:cnfStyle w:val="000000000000"/>
              <w:rPr>
                <w:rFonts w:ascii="Calibri" w:hAnsi="Calibri"/>
                <w:b/>
                <w:color w:val="000000"/>
              </w:rPr>
            </w:pPr>
            <w:r>
              <w:rPr>
                <w:rFonts w:ascii="Calibri" w:hAnsi="Calibri"/>
                <w:b/>
                <w:color w:val="000000"/>
              </w:rPr>
              <w:t>0.</w:t>
            </w:r>
            <w:r w:rsidR="007C2427" w:rsidRPr="006B7314">
              <w:rPr>
                <w:rFonts w:ascii="Calibri" w:hAnsi="Calibri"/>
                <w:b/>
                <w:color w:val="000000"/>
              </w:rPr>
              <w:t>053</w:t>
            </w:r>
          </w:p>
          <w:p w:rsidR="007C2427" w:rsidRPr="006B7314" w:rsidRDefault="007C2427" w:rsidP="00412D89">
            <w:pPr>
              <w:cnfStyle w:val="000000000000"/>
              <w:rPr>
                <w:rFonts w:ascii="Calibri" w:hAnsi="Calibri"/>
                <w:b/>
                <w:color w:val="000000"/>
              </w:rPr>
            </w:pPr>
            <w:r>
              <w:rPr>
                <w:rFonts w:ascii="Calibri" w:hAnsi="Calibri" w:cs="Calibri"/>
                <w:i/>
                <w:color w:val="000000"/>
                <w:sz w:val="16"/>
                <w:szCs w:val="16"/>
              </w:rPr>
              <w:t>(0.028)**</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SLOVAKREP_X_M_RW_09</w:t>
            </w:r>
          </w:p>
        </w:tc>
        <w:tc>
          <w:tcPr>
            <w:tcW w:w="3119"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483522">
              <w:rPr>
                <w:rFonts w:ascii="Calibri" w:hAnsi="Calibri"/>
                <w:b/>
                <w:color w:val="000000"/>
              </w:rPr>
              <w:t>066</w:t>
            </w:r>
          </w:p>
          <w:p w:rsidR="007C2427" w:rsidRPr="00483426" w:rsidRDefault="007C2427" w:rsidP="00412D89">
            <w:pPr>
              <w:cnfStyle w:val="000000100000"/>
              <w:rPr>
                <w:rFonts w:ascii="Calibri" w:hAnsi="Calibri"/>
                <w:b/>
                <w:color w:val="000000"/>
              </w:rPr>
            </w:pPr>
            <w:r>
              <w:rPr>
                <w:rFonts w:ascii="Calibri" w:hAnsi="Calibri" w:cs="Calibri"/>
                <w:i/>
                <w:color w:val="000000"/>
                <w:sz w:val="16"/>
                <w:szCs w:val="16"/>
              </w:rPr>
              <w:t>(0.054)*</w:t>
            </w:r>
          </w:p>
        </w:tc>
        <w:tc>
          <w:tcPr>
            <w:tcW w:w="3180" w:type="dxa"/>
            <w:gridSpan w:val="2"/>
            <w:vAlign w:val="bottom"/>
          </w:tcPr>
          <w:p w:rsidR="007C2427" w:rsidRDefault="00A41469" w:rsidP="00412D89">
            <w:pPr>
              <w:cnfStyle w:val="000000100000"/>
              <w:rPr>
                <w:rFonts w:ascii="Calibri" w:hAnsi="Calibri"/>
                <w:b/>
                <w:color w:val="000000"/>
              </w:rPr>
            </w:pPr>
            <w:r>
              <w:rPr>
                <w:rFonts w:ascii="Calibri" w:hAnsi="Calibri"/>
                <w:b/>
                <w:color w:val="000000"/>
              </w:rPr>
              <w:t>0.</w:t>
            </w:r>
            <w:r w:rsidR="007C2427" w:rsidRPr="006B7314">
              <w:rPr>
                <w:rFonts w:ascii="Calibri" w:hAnsi="Calibri"/>
                <w:b/>
                <w:color w:val="000000"/>
              </w:rPr>
              <w:t>038</w:t>
            </w:r>
          </w:p>
          <w:p w:rsidR="007C2427" w:rsidRPr="006B7314" w:rsidRDefault="007C2427" w:rsidP="00412D89">
            <w:pPr>
              <w:cnfStyle w:val="000000100000"/>
              <w:rPr>
                <w:rFonts w:ascii="Calibri" w:hAnsi="Calibri"/>
                <w:b/>
                <w:color w:val="000000"/>
              </w:rPr>
            </w:pPr>
            <w:r w:rsidRPr="00BD7CED">
              <w:rPr>
                <w:rFonts w:ascii="Calibri" w:hAnsi="Calibri" w:cs="Calibri"/>
                <w:i/>
                <w:color w:val="000000"/>
                <w:sz w:val="16"/>
                <w:szCs w:val="16"/>
              </w:rPr>
              <w:t>(0.0</w:t>
            </w:r>
            <w:r>
              <w:rPr>
                <w:rFonts w:ascii="Calibri" w:hAnsi="Calibri" w:cs="Calibri"/>
                <w:i/>
                <w:color w:val="000000"/>
                <w:sz w:val="16"/>
                <w:szCs w:val="16"/>
              </w:rPr>
              <w:t>31)**</w:t>
            </w:r>
          </w:p>
        </w:tc>
      </w:tr>
      <w:tr w:rsidR="007C2427" w:rsidTr="00895B1E">
        <w:tc>
          <w:tcPr>
            <w:cnfStyle w:val="001000000000"/>
            <w:tcW w:w="2943" w:type="dxa"/>
            <w:vAlign w:val="center"/>
          </w:tcPr>
          <w:p w:rsidR="007C2427" w:rsidRDefault="007C2427" w:rsidP="00412D89">
            <w:pPr>
              <w:rPr>
                <w:rFonts w:ascii="Calibri" w:hAnsi="Calibri" w:cs="Calibri"/>
                <w:color w:val="000000"/>
              </w:rPr>
            </w:pPr>
          </w:p>
        </w:tc>
        <w:tc>
          <w:tcPr>
            <w:tcW w:w="3119" w:type="dxa"/>
            <w:gridSpan w:val="2"/>
          </w:tcPr>
          <w:p w:rsidR="007C2427" w:rsidRDefault="007C2427" w:rsidP="00412D89">
            <w:pPr>
              <w:cnfStyle w:val="000000000000"/>
              <w:rPr>
                <w:rFonts w:ascii="Calibri" w:hAnsi="Calibri" w:cs="Calibri"/>
                <w:b/>
                <w:bCs/>
                <w:color w:val="000000"/>
                <w:sz w:val="28"/>
              </w:rPr>
            </w:pPr>
          </w:p>
        </w:tc>
        <w:tc>
          <w:tcPr>
            <w:tcW w:w="3180" w:type="dxa"/>
            <w:gridSpan w:val="2"/>
          </w:tcPr>
          <w:p w:rsidR="007C2427" w:rsidRDefault="007C2427" w:rsidP="00412D89">
            <w:pPr>
              <w:cnfStyle w:val="000000000000"/>
              <w:rPr>
                <w:rFonts w:ascii="Calibri" w:hAnsi="Calibri" w:cs="Calibri"/>
                <w:b/>
                <w:bCs/>
                <w:color w:val="000000"/>
                <w:sz w:val="28"/>
              </w:rPr>
            </w:pP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N</w:t>
            </w:r>
          </w:p>
        </w:tc>
        <w:tc>
          <w:tcPr>
            <w:tcW w:w="3119" w:type="dxa"/>
            <w:gridSpan w:val="2"/>
            <w:vAlign w:val="bottom"/>
          </w:tcPr>
          <w:p w:rsidR="007C2427" w:rsidRPr="00380A0A" w:rsidRDefault="007C2427" w:rsidP="00412D89">
            <w:pPr>
              <w:cnfStyle w:val="000000100000"/>
              <w:rPr>
                <w:rFonts w:ascii="Calibri" w:hAnsi="Calibri" w:cs="Calibri"/>
                <w:color w:val="000000"/>
              </w:rPr>
            </w:pPr>
            <w:r>
              <w:rPr>
                <w:rFonts w:ascii="Calibri" w:hAnsi="Calibri" w:cs="Calibri"/>
                <w:color w:val="000000"/>
              </w:rPr>
              <w:t>15082</w:t>
            </w:r>
          </w:p>
        </w:tc>
        <w:tc>
          <w:tcPr>
            <w:tcW w:w="3180" w:type="dxa"/>
            <w:gridSpan w:val="2"/>
            <w:vAlign w:val="bottom"/>
          </w:tcPr>
          <w:p w:rsidR="007C2427" w:rsidRDefault="007C2427" w:rsidP="00412D89">
            <w:pPr>
              <w:cnfStyle w:val="000000100000"/>
              <w:rPr>
                <w:rFonts w:ascii="Calibri" w:hAnsi="Calibri" w:cs="Calibri"/>
                <w:color w:val="000000"/>
              </w:rPr>
            </w:pPr>
            <w:r>
              <w:rPr>
                <w:rFonts w:ascii="Calibri" w:hAnsi="Calibri" w:cs="Calibri"/>
                <w:color w:val="000000"/>
              </w:rPr>
              <w:t>15082</w:t>
            </w:r>
          </w:p>
        </w:tc>
      </w:tr>
      <w:tr w:rsidR="007C2427" w:rsidTr="00895B1E">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R-squared</w:t>
            </w:r>
          </w:p>
        </w:tc>
        <w:tc>
          <w:tcPr>
            <w:tcW w:w="3119" w:type="dxa"/>
            <w:gridSpan w:val="2"/>
            <w:vAlign w:val="bottom"/>
          </w:tcPr>
          <w:p w:rsidR="007C2427" w:rsidRDefault="00A41469" w:rsidP="00412D89">
            <w:pPr>
              <w:cnfStyle w:val="000000000000"/>
              <w:rPr>
                <w:rFonts w:ascii="Calibri" w:hAnsi="Calibri" w:cs="Calibri"/>
                <w:color w:val="000000"/>
              </w:rPr>
            </w:pPr>
            <w:r>
              <w:rPr>
                <w:rFonts w:ascii="Calibri" w:hAnsi="Calibri" w:cs="Calibri"/>
                <w:color w:val="000000"/>
              </w:rPr>
              <w:t>0.</w:t>
            </w:r>
            <w:r w:rsidR="007C2427">
              <w:rPr>
                <w:rFonts w:ascii="Calibri" w:hAnsi="Calibri" w:cs="Calibri"/>
                <w:color w:val="000000"/>
              </w:rPr>
              <w:t>90</w:t>
            </w:r>
          </w:p>
        </w:tc>
        <w:tc>
          <w:tcPr>
            <w:tcW w:w="3180" w:type="dxa"/>
            <w:gridSpan w:val="2"/>
            <w:vAlign w:val="bottom"/>
          </w:tcPr>
          <w:p w:rsidR="007C2427" w:rsidRDefault="00A41469" w:rsidP="00412D89">
            <w:pPr>
              <w:cnfStyle w:val="000000000000"/>
              <w:rPr>
                <w:rFonts w:ascii="Calibri" w:hAnsi="Calibri" w:cs="Calibri"/>
                <w:color w:val="000000"/>
              </w:rPr>
            </w:pPr>
            <w:r>
              <w:rPr>
                <w:rFonts w:ascii="Calibri" w:hAnsi="Calibri" w:cs="Calibri"/>
                <w:color w:val="000000"/>
              </w:rPr>
              <w:t>0.</w:t>
            </w:r>
            <w:r w:rsidR="007C2427">
              <w:rPr>
                <w:rFonts w:ascii="Calibri" w:hAnsi="Calibri" w:cs="Calibri"/>
                <w:color w:val="000000"/>
              </w:rPr>
              <w:t>98</w:t>
            </w:r>
          </w:p>
        </w:tc>
      </w:tr>
      <w:tr w:rsidR="007C2427" w:rsidTr="00895B1E">
        <w:trPr>
          <w:cnfStyle w:val="000000100000"/>
        </w:trPr>
        <w:tc>
          <w:tcPr>
            <w:cnfStyle w:val="001000000000"/>
            <w:tcW w:w="2943" w:type="dxa"/>
            <w:vAlign w:val="center"/>
          </w:tcPr>
          <w:p w:rsidR="007C2427" w:rsidRDefault="007C2427" w:rsidP="00412D89">
            <w:pPr>
              <w:rPr>
                <w:rFonts w:ascii="Calibri" w:hAnsi="Calibri" w:cs="Calibri"/>
                <w:color w:val="000000"/>
              </w:rPr>
            </w:pPr>
            <w:r>
              <w:rPr>
                <w:rFonts w:ascii="Calibri" w:hAnsi="Calibri" w:cs="Calibri"/>
                <w:color w:val="000000"/>
              </w:rPr>
              <w:t>Adjusted R-squared</w:t>
            </w:r>
          </w:p>
        </w:tc>
        <w:tc>
          <w:tcPr>
            <w:tcW w:w="3119" w:type="dxa"/>
            <w:gridSpan w:val="2"/>
            <w:vAlign w:val="bottom"/>
          </w:tcPr>
          <w:p w:rsidR="007C2427" w:rsidRDefault="00A41469" w:rsidP="00412D89">
            <w:pPr>
              <w:cnfStyle w:val="000000100000"/>
              <w:rPr>
                <w:rFonts w:ascii="Calibri" w:hAnsi="Calibri" w:cs="Calibri"/>
                <w:color w:val="000000"/>
              </w:rPr>
            </w:pPr>
            <w:r>
              <w:rPr>
                <w:rFonts w:ascii="Calibri" w:hAnsi="Calibri" w:cs="Calibri"/>
                <w:color w:val="000000"/>
              </w:rPr>
              <w:t>0.</w:t>
            </w:r>
            <w:r w:rsidR="007C2427">
              <w:rPr>
                <w:rFonts w:ascii="Calibri" w:hAnsi="Calibri" w:cs="Calibri"/>
                <w:color w:val="000000"/>
              </w:rPr>
              <w:t>90</w:t>
            </w:r>
          </w:p>
        </w:tc>
        <w:tc>
          <w:tcPr>
            <w:tcW w:w="3180" w:type="dxa"/>
            <w:gridSpan w:val="2"/>
            <w:vAlign w:val="bottom"/>
          </w:tcPr>
          <w:p w:rsidR="007C2427" w:rsidRDefault="00A41469" w:rsidP="00895B1E">
            <w:pPr>
              <w:keepNext/>
              <w:cnfStyle w:val="000000100000"/>
              <w:rPr>
                <w:rFonts w:ascii="Calibri" w:hAnsi="Calibri" w:cs="Calibri"/>
                <w:color w:val="000000"/>
              </w:rPr>
            </w:pPr>
            <w:r>
              <w:rPr>
                <w:rFonts w:ascii="Calibri" w:hAnsi="Calibri" w:cs="Calibri"/>
                <w:color w:val="000000"/>
              </w:rPr>
              <w:t>0.</w:t>
            </w:r>
            <w:r w:rsidR="007C2427">
              <w:rPr>
                <w:rFonts w:ascii="Calibri" w:hAnsi="Calibri" w:cs="Calibri"/>
                <w:color w:val="000000"/>
              </w:rPr>
              <w:t>97</w:t>
            </w:r>
          </w:p>
        </w:tc>
      </w:tr>
    </w:tbl>
    <w:p w:rsidR="00895B1E" w:rsidRPr="00406C1D" w:rsidRDefault="00895B1E" w:rsidP="0028188C">
      <w:pPr>
        <w:pStyle w:val="Caption"/>
        <w:jc w:val="both"/>
        <w:rPr>
          <w:color w:val="auto"/>
        </w:rPr>
      </w:pPr>
      <w:r w:rsidRPr="00406C1D">
        <w:rPr>
          <w:color w:val="auto"/>
        </w:rPr>
        <w:t>Notes: (a) rejection of redundant period fixed effects at p = 0.000; (b) rejection of redundant period and cross-section fixed effects at p = 0.000; (</w:t>
      </w:r>
      <w:proofErr w:type="spellStart"/>
      <w:r w:rsidRPr="00406C1D">
        <w:rPr>
          <w:color w:val="auto"/>
        </w:rPr>
        <w:t>i</w:t>
      </w:r>
      <w:proofErr w:type="spellEnd"/>
      <w:r w:rsidRPr="00406C1D">
        <w:rPr>
          <w:color w:val="auto"/>
        </w:rPr>
        <w:t>) p-values are in parentheses, p***&lt;0.01, p**&lt;0.05, p*&lt;0.10</w:t>
      </w:r>
      <w:r w:rsidR="00DB2F95" w:rsidRPr="00406C1D">
        <w:rPr>
          <w:color w:val="auto"/>
        </w:rPr>
        <w:t>;</w:t>
      </w:r>
      <w:r w:rsidRPr="00406C1D">
        <w:rPr>
          <w:color w:val="auto"/>
        </w:rPr>
        <w:t xml:space="preserve"> (ii) </w:t>
      </w:r>
      <w:proofErr w:type="spellStart"/>
      <w:r w:rsidRPr="00406C1D">
        <w:rPr>
          <w:i/>
          <w:color w:val="auto"/>
        </w:rPr>
        <w:t>country</w:t>
      </w:r>
      <w:r w:rsidRPr="00406C1D">
        <w:rPr>
          <w:color w:val="auto"/>
        </w:rPr>
        <w:t>_x_m_</w:t>
      </w:r>
      <w:r w:rsidRPr="00406C1D">
        <w:rPr>
          <w:i/>
          <w:color w:val="auto"/>
        </w:rPr>
        <w:t>partner</w:t>
      </w:r>
      <w:r w:rsidRPr="00406C1D">
        <w:rPr>
          <w:i/>
          <w:color w:val="auto"/>
        </w:rPr>
        <w:softHyphen/>
        <w:t>_year</w:t>
      </w:r>
      <w:proofErr w:type="spellEnd"/>
      <w:r w:rsidRPr="00406C1D">
        <w:rPr>
          <w:color w:val="auto"/>
        </w:rPr>
        <w:t xml:space="preserve"> indicates trade effects for which country</w:t>
      </w:r>
      <w:r w:rsidR="0051180B">
        <w:rPr>
          <w:color w:val="auto"/>
        </w:rPr>
        <w:t>,</w:t>
      </w:r>
      <w:r w:rsidRPr="00406C1D">
        <w:rPr>
          <w:color w:val="auto"/>
        </w:rPr>
        <w:t xml:space="preserve"> with</w:t>
      </w:r>
      <w:r w:rsidR="0051180B">
        <w:rPr>
          <w:color w:val="auto"/>
        </w:rPr>
        <w:t xml:space="preserve"> either</w:t>
      </w:r>
      <w:r w:rsidRPr="00406C1D">
        <w:rPr>
          <w:color w:val="auto"/>
        </w:rPr>
        <w:t xml:space="preserve"> EMU members </w:t>
      </w:r>
      <w:r w:rsidR="00770C4A" w:rsidRPr="00770C4A">
        <w:rPr>
          <w:color w:val="auto"/>
        </w:rPr>
        <w:t>(</w:t>
      </w:r>
      <w:r w:rsidR="00770C4A">
        <w:rPr>
          <w:color w:val="auto"/>
        </w:rPr>
        <w:t xml:space="preserve">EMU) </w:t>
      </w:r>
      <w:r w:rsidRPr="00406C1D">
        <w:rPr>
          <w:color w:val="auto"/>
        </w:rPr>
        <w:t>or Rest of the World</w:t>
      </w:r>
      <w:r w:rsidR="00770C4A">
        <w:rPr>
          <w:color w:val="auto"/>
        </w:rPr>
        <w:t xml:space="preserve"> (RW)</w:t>
      </w:r>
      <w:r w:rsidR="0051180B">
        <w:rPr>
          <w:color w:val="auto"/>
        </w:rPr>
        <w:t xml:space="preserve"> as trading partner</w:t>
      </w:r>
      <w:r w:rsidRPr="00406C1D">
        <w:rPr>
          <w:color w:val="auto"/>
        </w:rPr>
        <w:t xml:space="preserve">, from </w:t>
      </w:r>
      <w:r w:rsidR="00063C96" w:rsidRPr="00406C1D">
        <w:rPr>
          <w:color w:val="auto"/>
        </w:rPr>
        <w:t xml:space="preserve">the </w:t>
      </w:r>
      <w:r w:rsidRPr="00406C1D">
        <w:rPr>
          <w:color w:val="auto"/>
        </w:rPr>
        <w:t>corresponding year of Euro adoption onwards</w:t>
      </w:r>
    </w:p>
    <w:p w:rsidR="00483426" w:rsidRDefault="007C2427" w:rsidP="007C2427">
      <w:pPr>
        <w:spacing w:line="360" w:lineRule="auto"/>
        <w:jc w:val="both"/>
      </w:pPr>
      <w:r>
        <w:lastRenderedPageBreak/>
        <w:t xml:space="preserve">EMU countries, compared to the CPFE model. </w:t>
      </w:r>
      <w:r w:rsidR="00E20526">
        <w:t>These results imply that given the tota</w:t>
      </w:r>
      <w:r w:rsidR="0051180B">
        <w:t>l trade effect found for Slovenia in Table 7-</w:t>
      </w:r>
      <w:r w:rsidR="00E20526">
        <w:t>1</w:t>
      </w:r>
      <w:r w:rsidR="0051180B">
        <w:t>,</w:t>
      </w:r>
      <w:r w:rsidR="00E20526">
        <w:t xml:space="preserve"> that growth in trade is evenly distributed over both groups of trading partners. </w:t>
      </w:r>
      <w:r>
        <w:t>No significant evidence of either an increase or decrease in trade by Cyprus with EMU members is found. When looking at trade effects with the rest of the world, a severe fall is witnessed since Euro adoption</w:t>
      </w:r>
      <w:r w:rsidR="00E20526">
        <w:t>, ranging from 10% in the CPFE model to 15% in the CFE model</w:t>
      </w:r>
      <w:r w:rsidR="0051180B">
        <w:t xml:space="preserve"> (Table 7-1)</w:t>
      </w:r>
      <w:r w:rsidR="00E20526">
        <w:t xml:space="preserve">. </w:t>
      </w:r>
      <w:r w:rsidR="00412D89">
        <w:t xml:space="preserve">This shows that the drop in total trade found in testing the first hypothesis can be attributed to a fall in trade with non-EMU countries. </w:t>
      </w:r>
      <w:r w:rsidR="00E20526">
        <w:t>For Malta no significant trade effects are found with an</w:t>
      </w:r>
      <w:r w:rsidR="00412D89">
        <w:t>y</w:t>
      </w:r>
      <w:r w:rsidR="00E20526">
        <w:t xml:space="preserve"> specific group of trading partners. Given the overall marginal increase in total trade found in table 7.1, th</w:t>
      </w:r>
      <w:r w:rsidR="003B1B98">
        <w:t>is</w:t>
      </w:r>
      <w:r w:rsidR="00E20526">
        <w:t xml:space="preserve"> result show</w:t>
      </w:r>
      <w:r w:rsidR="003B1B98">
        <w:t>s</w:t>
      </w:r>
      <w:r w:rsidR="00E20526">
        <w:t xml:space="preserve"> that trade with neither of the groups is significantly larger than trade with the other. </w:t>
      </w:r>
      <w:r w:rsidR="00412D89">
        <w:t xml:space="preserve">Comparable to the results of Slovenia, the Slovak Republic displays an evenly distributed increase in trade with both the EMU and the rest of the world, although with a </w:t>
      </w:r>
      <w:r w:rsidR="0060006F">
        <w:t xml:space="preserve">slightly larger increase in trade with EMU members (approximately 1%). </w:t>
      </w:r>
    </w:p>
    <w:p w:rsidR="0060006F" w:rsidRDefault="0060006F" w:rsidP="007C2427">
      <w:pPr>
        <w:spacing w:line="360" w:lineRule="auto"/>
        <w:jc w:val="both"/>
      </w:pPr>
      <w:r>
        <w:t>The results found in testing hypotheses 2 and 3</w:t>
      </w:r>
      <w:r w:rsidR="0051180B">
        <w:t>,</w:t>
      </w:r>
      <w:r>
        <w:t xml:space="preserve"> as elaborated above</w:t>
      </w:r>
      <w:r w:rsidR="0051180B">
        <w:t>,</w:t>
      </w:r>
      <w:r>
        <w:t xml:space="preserve"> show evidence of trade creation for Slovenia and the Slovak Republic since Euro adoption. The results of Cyprus are again more difficult to interpret. Given that total trade for Cyprus fell drastically since adopting the Euro, and although no evidence for an increase in trade with EMU members is found, there is significant evidence that trade fell with all non-EMU countries. Technically speaking it can therefore not be classified as trade diversion. For Malta no evidence of either trade creation or diversion is found. </w:t>
      </w:r>
    </w:p>
    <w:p w:rsidR="00483426" w:rsidRDefault="001A1966" w:rsidP="00984064">
      <w:pPr>
        <w:pStyle w:val="Heading2"/>
        <w:numPr>
          <w:ilvl w:val="1"/>
          <w:numId w:val="1"/>
        </w:numPr>
      </w:pPr>
      <w:r>
        <w:t xml:space="preserve"> </w:t>
      </w:r>
      <w:r>
        <w:tab/>
      </w:r>
      <w:bookmarkStart w:id="37" w:name="_Toc353348797"/>
      <w:r w:rsidR="00984064">
        <w:t>Part II – H.4</w:t>
      </w:r>
      <w:bookmarkEnd w:id="37"/>
    </w:p>
    <w:p w:rsidR="00984064" w:rsidRDefault="0051180B" w:rsidP="00984064">
      <w:pPr>
        <w:spacing w:line="360" w:lineRule="auto"/>
        <w:jc w:val="both"/>
      </w:pPr>
      <w:r>
        <w:t>The</w:t>
      </w:r>
      <w:r w:rsidR="00984064">
        <w:t xml:space="preserve"> chapter will now continue with </w:t>
      </w:r>
      <w:r w:rsidR="00D271AD">
        <w:t xml:space="preserve">the </w:t>
      </w:r>
      <w:r w:rsidR="00984064">
        <w:t>testing of hypotheses 4 – 6. From here on the focus is no longer on the individual country’s trade effects of Euro adoption, but on the average trade effects of the new EMU members compared to the benchmark group</w:t>
      </w:r>
      <w:r>
        <w:t>,</w:t>
      </w:r>
      <w:r w:rsidR="00984064">
        <w:t xml:space="preserve"> existing of the 2004 EU entrants. By introducing this benchmark group it can be tested whether the new EMU member display on average a deviating trade pattern compared to the benchmark group. Since the countries in the benchmark group are affected by circumstances in the world economy to a comparable degree as the new EMU members, the deviation in trade patterns is assumed to be </w:t>
      </w:r>
      <w:r w:rsidR="00D271AD">
        <w:t>attributable</w:t>
      </w:r>
      <w:r w:rsidR="00984064">
        <w:t xml:space="preserve"> to the factor that Slovenia, Cyprus, Malta and the Slovak Republic have in common: </w:t>
      </w:r>
      <w:r w:rsidR="00D271AD">
        <w:t xml:space="preserve">having adopted the Euro. </w:t>
      </w:r>
    </w:p>
    <w:p w:rsidR="00D271AD" w:rsidRDefault="00D271AD" w:rsidP="00063C96">
      <w:pPr>
        <w:spacing w:line="360" w:lineRule="auto"/>
        <w:jc w:val="both"/>
        <w:rPr>
          <w:i/>
        </w:rPr>
      </w:pPr>
      <w:r>
        <w:t xml:space="preserve">Recapitulate </w:t>
      </w:r>
      <w:r w:rsidRPr="00D271AD">
        <w:t>H</w:t>
      </w:r>
      <w:r w:rsidRPr="00D271AD">
        <w:rPr>
          <w:vertAlign w:val="subscript"/>
        </w:rPr>
        <w:t>4</w:t>
      </w:r>
      <w:r>
        <w:rPr>
          <w:i/>
        </w:rPr>
        <w:t>: Since 2007 average t</w:t>
      </w:r>
      <w:r w:rsidRPr="009D2F0F">
        <w:rPr>
          <w:i/>
        </w:rPr>
        <w:t>rade by the new EMU</w:t>
      </w:r>
      <w:r>
        <w:rPr>
          <w:i/>
        </w:rPr>
        <w:t xml:space="preserve"> members increased more than the average trade of the 2004 EU entrants</w:t>
      </w:r>
      <w:r>
        <w:t>. The point of inquiry here is w</w:t>
      </w:r>
      <w:r w:rsidR="007607E5">
        <w:t>hether joining EMU has led to a</w:t>
      </w:r>
      <w:r>
        <w:t xml:space="preserve"> larger increase in trade compared to countries in similar circumstances that did not join EMU. This helps to identify the marginal average effect of Euro adoption for the new EMU members over the 2004 EU entrants. </w:t>
      </w:r>
      <w:r w:rsidR="0081533F">
        <w:t xml:space="preserve">In this setup the growth in average trade of the new EMU members in measured from 2007 onwards. This year is taken since it was the year that the first of the new EMU members </w:t>
      </w:r>
      <w:r w:rsidR="0081533F">
        <w:lastRenderedPageBreak/>
        <w:t>adopted the Euro (Slovenia). This will later be subject to change. H</w:t>
      </w:r>
      <w:r w:rsidR="00630808">
        <w:t>ypothesis</w:t>
      </w:r>
      <w:r w:rsidR="0081533F">
        <w:t xml:space="preserve"> 4</w:t>
      </w:r>
      <w:r w:rsidR="00630808">
        <w:t xml:space="preserve"> is also directly related to the research question of whether Euro adoption led to an increase in trade for the new EMU members. The difference compared to hypothesis 1 is that in this setup the average of the 4 new members is tested. Also, in this scenario this group average is tested against the average of a benchmark of comparable countries. </w:t>
      </w:r>
      <w:r w:rsidR="00063C96">
        <w:t>In table 7</w:t>
      </w:r>
      <w:r w:rsidR="0051180B">
        <w:t>-</w:t>
      </w:r>
      <w:r w:rsidR="00063C96">
        <w:t>3 the results are displayed. Just as before the coefficients of the GDPs of exporting and importing countries, as well as the bilateral gravity model variables, are comparable to</w:t>
      </w:r>
      <w:r w:rsidR="00F41B69">
        <w:t xml:space="preserve"> the results</w:t>
      </w:r>
      <w:r w:rsidR="0051180B">
        <w:t xml:space="preserve"> in Table 7-1 and 7-2</w:t>
      </w:r>
      <w:r w:rsidR="00F41B69">
        <w:t xml:space="preserve">. </w:t>
      </w:r>
    </w:p>
    <w:p w:rsidR="00AC5BF4" w:rsidRPr="00770C4A" w:rsidRDefault="00AC5BF4" w:rsidP="00AC5BF4">
      <w:pPr>
        <w:pStyle w:val="Caption"/>
        <w:keepNext/>
        <w:rPr>
          <w:color w:val="auto"/>
          <w:sz w:val="28"/>
        </w:rPr>
      </w:pPr>
      <w:r w:rsidRPr="00770C4A">
        <w:rPr>
          <w:color w:val="auto"/>
          <w:sz w:val="28"/>
        </w:rPr>
        <w:t xml:space="preserve">Table </w:t>
      </w:r>
      <w:r w:rsidR="008A5472">
        <w:rPr>
          <w:color w:val="auto"/>
          <w:sz w:val="28"/>
        </w:rPr>
        <w:fldChar w:fldCharType="begin"/>
      </w:r>
      <w:r w:rsidR="009E4CF3">
        <w:rPr>
          <w:color w:val="auto"/>
          <w:sz w:val="28"/>
        </w:rPr>
        <w:instrText xml:space="preserve"> STYLEREF 1 \s </w:instrText>
      </w:r>
      <w:r w:rsidR="008A5472">
        <w:rPr>
          <w:color w:val="auto"/>
          <w:sz w:val="28"/>
        </w:rPr>
        <w:fldChar w:fldCharType="separate"/>
      </w:r>
      <w:r w:rsidR="009E4CF3">
        <w:rPr>
          <w:noProof/>
          <w:color w:val="auto"/>
          <w:sz w:val="28"/>
        </w:rPr>
        <w:t>7</w:t>
      </w:r>
      <w:r w:rsidR="008A5472">
        <w:rPr>
          <w:color w:val="auto"/>
          <w:sz w:val="28"/>
        </w:rPr>
        <w:fldChar w:fldCharType="end"/>
      </w:r>
      <w:r w:rsidR="009E4CF3">
        <w:rPr>
          <w:color w:val="auto"/>
          <w:sz w:val="28"/>
        </w:rPr>
        <w:noBreakHyphen/>
      </w:r>
      <w:r w:rsidR="008A5472">
        <w:rPr>
          <w:color w:val="auto"/>
          <w:sz w:val="28"/>
        </w:rPr>
        <w:fldChar w:fldCharType="begin"/>
      </w:r>
      <w:r w:rsidR="009E4CF3">
        <w:rPr>
          <w:color w:val="auto"/>
          <w:sz w:val="28"/>
        </w:rPr>
        <w:instrText xml:space="preserve"> SEQ Table \* ARABIC \s 1 </w:instrText>
      </w:r>
      <w:r w:rsidR="008A5472">
        <w:rPr>
          <w:color w:val="auto"/>
          <w:sz w:val="28"/>
        </w:rPr>
        <w:fldChar w:fldCharType="separate"/>
      </w:r>
      <w:r w:rsidR="009E4CF3">
        <w:rPr>
          <w:noProof/>
          <w:color w:val="auto"/>
          <w:sz w:val="28"/>
        </w:rPr>
        <w:t>3</w:t>
      </w:r>
      <w:r w:rsidR="008A5472">
        <w:rPr>
          <w:color w:val="auto"/>
          <w:sz w:val="28"/>
        </w:rPr>
        <w:fldChar w:fldCharType="end"/>
      </w:r>
      <w:r w:rsidRPr="00770C4A">
        <w:rPr>
          <w:color w:val="auto"/>
          <w:sz w:val="28"/>
        </w:rPr>
        <w:t xml:space="preserve"> Testing of Hypothesis 4</w:t>
      </w:r>
    </w:p>
    <w:tbl>
      <w:tblPr>
        <w:tblStyle w:val="Lichtearcering-accent111"/>
        <w:tblW w:w="0" w:type="auto"/>
        <w:tblLook w:val="04A0"/>
      </w:tblPr>
      <w:tblGrid>
        <w:gridCol w:w="3060"/>
        <w:gridCol w:w="3060"/>
        <w:gridCol w:w="3060"/>
      </w:tblGrid>
      <w:tr w:rsidR="00AC5BF4" w:rsidRPr="00770C4A" w:rsidTr="003F4627">
        <w:trPr>
          <w:cnfStyle w:val="100000000000"/>
        </w:trPr>
        <w:tc>
          <w:tcPr>
            <w:cnfStyle w:val="001000000000"/>
            <w:tcW w:w="9180" w:type="dxa"/>
            <w:gridSpan w:val="3"/>
          </w:tcPr>
          <w:p w:rsidR="00AC5BF4" w:rsidRPr="00770C4A" w:rsidRDefault="00AC5BF4" w:rsidP="00250259">
            <w:pPr>
              <w:rPr>
                <w:color w:val="auto"/>
                <w:sz w:val="24"/>
              </w:rPr>
            </w:pPr>
            <w:r w:rsidRPr="00770C4A">
              <w:rPr>
                <w:color w:val="auto"/>
                <w:sz w:val="24"/>
              </w:rPr>
              <w:t>Total</w:t>
            </w:r>
            <w:r w:rsidR="00F41B69" w:rsidRPr="00770C4A">
              <w:rPr>
                <w:color w:val="auto"/>
                <w:sz w:val="24"/>
                <w:vertAlign w:val="superscript"/>
              </w:rPr>
              <w:t>(a)</w:t>
            </w:r>
            <w:r w:rsidRPr="00770C4A">
              <w:rPr>
                <w:color w:val="auto"/>
                <w:sz w:val="24"/>
              </w:rPr>
              <w:t xml:space="preserve"> </w:t>
            </w:r>
            <w:r w:rsidR="00250259" w:rsidRPr="00770C4A">
              <w:rPr>
                <w:color w:val="auto"/>
                <w:sz w:val="24"/>
              </w:rPr>
              <w:t>Marginal</w:t>
            </w:r>
            <w:r w:rsidR="00F41B69" w:rsidRPr="00770C4A">
              <w:rPr>
                <w:color w:val="auto"/>
                <w:sz w:val="24"/>
                <w:vertAlign w:val="superscript"/>
              </w:rPr>
              <w:t>(b)</w:t>
            </w:r>
            <w:r w:rsidR="00250259" w:rsidRPr="00770C4A">
              <w:rPr>
                <w:color w:val="auto"/>
                <w:sz w:val="24"/>
              </w:rPr>
              <w:t xml:space="preserve"> </w:t>
            </w:r>
            <w:r w:rsidRPr="00770C4A">
              <w:rPr>
                <w:color w:val="auto"/>
                <w:sz w:val="24"/>
              </w:rPr>
              <w:t>Average</w:t>
            </w:r>
            <w:r w:rsidR="00F41B69" w:rsidRPr="00770C4A">
              <w:rPr>
                <w:color w:val="auto"/>
                <w:sz w:val="24"/>
                <w:vertAlign w:val="superscript"/>
              </w:rPr>
              <w:t>(c)</w:t>
            </w:r>
            <w:r w:rsidRPr="00770C4A">
              <w:rPr>
                <w:color w:val="auto"/>
                <w:sz w:val="24"/>
              </w:rPr>
              <w:t xml:space="preserve"> Trade Effects of new EMU members over </w:t>
            </w:r>
            <w:r w:rsidR="00250259" w:rsidRPr="00770C4A">
              <w:rPr>
                <w:color w:val="auto"/>
                <w:sz w:val="24"/>
              </w:rPr>
              <w:t>2004 EU Entrants</w:t>
            </w:r>
          </w:p>
        </w:tc>
      </w:tr>
      <w:tr w:rsidR="00AC5BF4" w:rsidRPr="00770C4A" w:rsidTr="003F4627">
        <w:trPr>
          <w:cnfStyle w:val="000000100000"/>
        </w:trPr>
        <w:tc>
          <w:tcPr>
            <w:cnfStyle w:val="001000000000"/>
            <w:tcW w:w="3060" w:type="dxa"/>
          </w:tcPr>
          <w:p w:rsidR="00AC5BF4" w:rsidRPr="00770C4A" w:rsidRDefault="00AC5BF4" w:rsidP="003F4627">
            <w:pPr>
              <w:rPr>
                <w:color w:val="auto"/>
              </w:rPr>
            </w:pPr>
            <w:r w:rsidRPr="00770C4A">
              <w:rPr>
                <w:rFonts w:ascii="Calibri" w:hAnsi="Calibri" w:cs="Calibri"/>
                <w:color w:val="auto"/>
              </w:rPr>
              <w:t>Dependent Variable: LN_NOM_EX</w:t>
            </w:r>
          </w:p>
        </w:tc>
        <w:tc>
          <w:tcPr>
            <w:tcW w:w="3060" w:type="dxa"/>
          </w:tcPr>
          <w:p w:rsidR="00AC5BF4" w:rsidRPr="00770C4A" w:rsidRDefault="00AC5BF4" w:rsidP="003F4627">
            <w:pPr>
              <w:cnfStyle w:val="000000100000"/>
              <w:rPr>
                <w:color w:val="auto"/>
              </w:rPr>
            </w:pPr>
          </w:p>
        </w:tc>
        <w:tc>
          <w:tcPr>
            <w:tcW w:w="3060" w:type="dxa"/>
          </w:tcPr>
          <w:p w:rsidR="00AC5BF4" w:rsidRPr="00770C4A" w:rsidRDefault="00AC5BF4" w:rsidP="003F4627">
            <w:pPr>
              <w:cnfStyle w:val="000000100000"/>
              <w:rPr>
                <w:color w:val="auto"/>
              </w:rPr>
            </w:pPr>
          </w:p>
        </w:tc>
      </w:tr>
      <w:tr w:rsidR="00AC5BF4" w:rsidRPr="00770C4A" w:rsidTr="003F4627">
        <w:tc>
          <w:tcPr>
            <w:cnfStyle w:val="001000000000"/>
            <w:tcW w:w="3060" w:type="dxa"/>
          </w:tcPr>
          <w:p w:rsidR="00AC5BF4" w:rsidRPr="00770C4A" w:rsidRDefault="00AC5BF4" w:rsidP="003F4627">
            <w:pPr>
              <w:rPr>
                <w:color w:val="auto"/>
              </w:rPr>
            </w:pPr>
            <w:r w:rsidRPr="00770C4A">
              <w:rPr>
                <w:rFonts w:ascii="Calibri" w:hAnsi="Calibri" w:cs="Calibri"/>
                <w:color w:val="auto"/>
              </w:rPr>
              <w:t>Method: Panel Least Squares</w:t>
            </w:r>
          </w:p>
        </w:tc>
        <w:tc>
          <w:tcPr>
            <w:tcW w:w="3060" w:type="dxa"/>
          </w:tcPr>
          <w:p w:rsidR="00AC5BF4" w:rsidRPr="00770C4A" w:rsidRDefault="00AC5BF4" w:rsidP="003F4627">
            <w:pPr>
              <w:cnfStyle w:val="000000000000"/>
              <w:rPr>
                <w:color w:val="auto"/>
              </w:rPr>
            </w:pPr>
          </w:p>
        </w:tc>
        <w:tc>
          <w:tcPr>
            <w:tcW w:w="3060" w:type="dxa"/>
          </w:tcPr>
          <w:p w:rsidR="00AC5BF4" w:rsidRPr="00770C4A" w:rsidRDefault="00AC5BF4" w:rsidP="003F4627">
            <w:pPr>
              <w:cnfStyle w:val="000000000000"/>
              <w:rPr>
                <w:color w:val="auto"/>
              </w:rPr>
            </w:pPr>
          </w:p>
        </w:tc>
      </w:tr>
      <w:tr w:rsidR="00AC5BF4" w:rsidRPr="00770C4A" w:rsidTr="003F4627">
        <w:trPr>
          <w:cnfStyle w:val="000000100000"/>
        </w:trPr>
        <w:tc>
          <w:tcPr>
            <w:cnfStyle w:val="001000000000"/>
            <w:tcW w:w="3060" w:type="dxa"/>
          </w:tcPr>
          <w:p w:rsidR="00AC5BF4" w:rsidRPr="00770C4A" w:rsidRDefault="00AC5BF4" w:rsidP="003F4627">
            <w:pPr>
              <w:rPr>
                <w:color w:val="auto"/>
              </w:rPr>
            </w:pPr>
          </w:p>
        </w:tc>
        <w:tc>
          <w:tcPr>
            <w:tcW w:w="3060" w:type="dxa"/>
          </w:tcPr>
          <w:p w:rsidR="00AC5BF4" w:rsidRPr="00770C4A" w:rsidRDefault="00AC5BF4" w:rsidP="003F4627">
            <w:pPr>
              <w:cnfStyle w:val="000000100000"/>
              <w:rPr>
                <w:color w:val="auto"/>
              </w:rPr>
            </w:pPr>
          </w:p>
        </w:tc>
        <w:tc>
          <w:tcPr>
            <w:tcW w:w="3060" w:type="dxa"/>
          </w:tcPr>
          <w:p w:rsidR="00AC5BF4" w:rsidRPr="00770C4A" w:rsidRDefault="00AC5BF4" w:rsidP="003F4627">
            <w:pPr>
              <w:cnfStyle w:val="000000100000"/>
              <w:rPr>
                <w:color w:val="auto"/>
              </w:rPr>
            </w:pPr>
          </w:p>
        </w:tc>
      </w:tr>
      <w:tr w:rsidR="00AC5BF4" w:rsidRPr="00770C4A" w:rsidTr="003F4627">
        <w:tc>
          <w:tcPr>
            <w:cnfStyle w:val="001000000000"/>
            <w:tcW w:w="3060" w:type="dxa"/>
          </w:tcPr>
          <w:p w:rsidR="00AC5BF4" w:rsidRPr="00770C4A" w:rsidRDefault="00AC5BF4" w:rsidP="003F4627">
            <w:pPr>
              <w:rPr>
                <w:rFonts w:ascii="Calibri" w:hAnsi="Calibri" w:cs="Calibri"/>
                <w:i/>
                <w:color w:val="auto"/>
              </w:rPr>
            </w:pPr>
            <w:r w:rsidRPr="00770C4A">
              <w:rPr>
                <w:rFonts w:ascii="Calibri" w:hAnsi="Calibri" w:cs="Calibri"/>
                <w:i/>
                <w:color w:val="auto"/>
              </w:rPr>
              <w:t>Model:</w:t>
            </w:r>
          </w:p>
        </w:tc>
        <w:tc>
          <w:tcPr>
            <w:tcW w:w="3060" w:type="dxa"/>
          </w:tcPr>
          <w:p w:rsidR="00AC5BF4" w:rsidRPr="00770C4A" w:rsidRDefault="00AC5BF4" w:rsidP="003F4627">
            <w:pPr>
              <w:cnfStyle w:val="000000000000"/>
              <w:rPr>
                <w:color w:val="auto"/>
              </w:rPr>
            </w:pPr>
            <w:r w:rsidRPr="00770C4A">
              <w:rPr>
                <w:color w:val="auto"/>
              </w:rPr>
              <w:t>Country Fixed Effect Model</w:t>
            </w:r>
          </w:p>
          <w:p w:rsidR="00AC5BF4" w:rsidRPr="00770C4A" w:rsidRDefault="00AC5BF4" w:rsidP="003F4627">
            <w:pPr>
              <w:cnfStyle w:val="000000000000"/>
              <w:rPr>
                <w:color w:val="auto"/>
                <w:vertAlign w:val="superscript"/>
              </w:rPr>
            </w:pPr>
            <w:r w:rsidRPr="00770C4A">
              <w:rPr>
                <w:color w:val="auto"/>
              </w:rPr>
              <w:t>Fixed time effects</w:t>
            </w:r>
            <w:r w:rsidR="00F41B69" w:rsidRPr="00770C4A">
              <w:rPr>
                <w:color w:val="auto"/>
                <w:vertAlign w:val="superscript"/>
              </w:rPr>
              <w:t>(d)</w:t>
            </w:r>
          </w:p>
        </w:tc>
        <w:tc>
          <w:tcPr>
            <w:tcW w:w="3060" w:type="dxa"/>
          </w:tcPr>
          <w:p w:rsidR="00AC5BF4" w:rsidRPr="00770C4A" w:rsidRDefault="00AC5BF4" w:rsidP="003F4627">
            <w:pPr>
              <w:cnfStyle w:val="000000000000"/>
              <w:rPr>
                <w:color w:val="auto"/>
              </w:rPr>
            </w:pPr>
            <w:r w:rsidRPr="00770C4A">
              <w:rPr>
                <w:color w:val="auto"/>
              </w:rPr>
              <w:t>Country Pair Fixed Effect Model</w:t>
            </w:r>
          </w:p>
          <w:p w:rsidR="00AC5BF4" w:rsidRPr="00770C4A" w:rsidRDefault="00AC5BF4" w:rsidP="003F4627">
            <w:pPr>
              <w:cnfStyle w:val="000000000000"/>
              <w:rPr>
                <w:color w:val="auto"/>
                <w:vertAlign w:val="superscript"/>
              </w:rPr>
            </w:pPr>
            <w:r w:rsidRPr="00770C4A">
              <w:rPr>
                <w:color w:val="auto"/>
              </w:rPr>
              <w:t>Fixed time effects</w:t>
            </w:r>
            <w:r w:rsidR="00F41B69" w:rsidRPr="00770C4A">
              <w:rPr>
                <w:color w:val="auto"/>
                <w:vertAlign w:val="superscript"/>
              </w:rPr>
              <w:t>(e)</w:t>
            </w:r>
          </w:p>
        </w:tc>
      </w:tr>
      <w:tr w:rsidR="00AC5BF4" w:rsidRPr="00770C4A" w:rsidTr="003F4627">
        <w:trPr>
          <w:cnfStyle w:val="000000100000"/>
        </w:trPr>
        <w:tc>
          <w:tcPr>
            <w:cnfStyle w:val="001000000000"/>
            <w:tcW w:w="3060" w:type="dxa"/>
          </w:tcPr>
          <w:p w:rsidR="00AC5BF4" w:rsidRPr="00770C4A" w:rsidRDefault="00AC5BF4" w:rsidP="003F4627">
            <w:pPr>
              <w:rPr>
                <w:rFonts w:ascii="Calibri" w:hAnsi="Calibri" w:cs="Calibri"/>
                <w:i/>
                <w:color w:val="auto"/>
                <w:u w:val="single"/>
              </w:rPr>
            </w:pPr>
            <w:r w:rsidRPr="00770C4A">
              <w:rPr>
                <w:rFonts w:ascii="Calibri" w:hAnsi="Calibri" w:cs="Calibri"/>
                <w:i/>
                <w:color w:val="auto"/>
                <w:u w:val="single"/>
              </w:rPr>
              <w:t>Variable:</w:t>
            </w:r>
          </w:p>
        </w:tc>
        <w:tc>
          <w:tcPr>
            <w:tcW w:w="3060" w:type="dxa"/>
          </w:tcPr>
          <w:p w:rsidR="00AC5BF4" w:rsidRPr="00770C4A" w:rsidRDefault="00AC5BF4" w:rsidP="003F4627">
            <w:pPr>
              <w:cnfStyle w:val="000000100000"/>
              <w:rPr>
                <w:color w:val="auto"/>
              </w:rPr>
            </w:pPr>
          </w:p>
        </w:tc>
        <w:tc>
          <w:tcPr>
            <w:tcW w:w="3060" w:type="dxa"/>
          </w:tcPr>
          <w:p w:rsidR="00AC5BF4" w:rsidRPr="00770C4A" w:rsidRDefault="00AC5BF4" w:rsidP="003F4627">
            <w:pPr>
              <w:cnfStyle w:val="000000100000"/>
              <w:rPr>
                <w:color w:val="auto"/>
              </w:rPr>
            </w:pP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-7.</w:t>
            </w:r>
            <w:r w:rsidR="009522FA" w:rsidRPr="00770C4A">
              <w:rPr>
                <w:rFonts w:ascii="Calibri" w:hAnsi="Calibri"/>
                <w:b/>
                <w:color w:val="auto"/>
              </w:rPr>
              <w:t>075</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-10.</w:t>
            </w:r>
            <w:r w:rsidR="007B3FD4" w:rsidRPr="00770C4A">
              <w:rPr>
                <w:rFonts w:ascii="Calibri" w:hAnsi="Calibri"/>
                <w:b/>
                <w:color w:val="auto"/>
              </w:rPr>
              <w:t>786</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cnfStyle w:val="000000100000"/>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LN_NOM_GDPI</w:t>
            </w:r>
          </w:p>
        </w:tc>
        <w:tc>
          <w:tcPr>
            <w:tcW w:w="3060" w:type="dxa"/>
            <w:vAlign w:val="bottom"/>
          </w:tcPr>
          <w:p w:rsidR="007B3FD4" w:rsidRPr="00770C4A" w:rsidRDefault="00A41469" w:rsidP="007B3FD4">
            <w:pPr>
              <w:cnfStyle w:val="000000100000"/>
              <w:rPr>
                <w:rFonts w:ascii="Calibri" w:hAnsi="Calibri"/>
                <w:b/>
                <w:color w:val="auto"/>
              </w:rPr>
            </w:pPr>
            <w:r w:rsidRPr="00770C4A">
              <w:rPr>
                <w:rFonts w:ascii="Calibri" w:hAnsi="Calibri"/>
                <w:b/>
                <w:color w:val="auto"/>
              </w:rPr>
              <w:t>0.</w:t>
            </w:r>
            <w:r w:rsidR="009522FA" w:rsidRPr="00770C4A">
              <w:rPr>
                <w:rFonts w:ascii="Calibri" w:hAnsi="Calibri"/>
                <w:b/>
                <w:color w:val="auto"/>
              </w:rPr>
              <w:t>863</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A41469" w:rsidP="007B3FD4">
            <w:pPr>
              <w:cnfStyle w:val="000000100000"/>
              <w:rPr>
                <w:rFonts w:ascii="Calibri" w:hAnsi="Calibri"/>
                <w:b/>
                <w:color w:val="auto"/>
              </w:rPr>
            </w:pPr>
            <w:r w:rsidRPr="00770C4A">
              <w:rPr>
                <w:rFonts w:ascii="Calibri" w:hAnsi="Calibri"/>
                <w:b/>
                <w:color w:val="auto"/>
              </w:rPr>
              <w:t>0.</w:t>
            </w:r>
            <w:r w:rsidR="007B3FD4" w:rsidRPr="00770C4A">
              <w:rPr>
                <w:rFonts w:ascii="Calibri" w:hAnsi="Calibri"/>
                <w:b/>
                <w:color w:val="auto"/>
              </w:rPr>
              <w:t>813</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LN_NOM_GDPJ</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0.</w:t>
            </w:r>
            <w:r w:rsidR="009522FA" w:rsidRPr="00770C4A">
              <w:rPr>
                <w:rFonts w:ascii="Calibri" w:hAnsi="Calibri"/>
                <w:b/>
                <w:color w:val="auto"/>
              </w:rPr>
              <w:t>946</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0.</w:t>
            </w:r>
            <w:r w:rsidR="007B3FD4" w:rsidRPr="00770C4A">
              <w:rPr>
                <w:rFonts w:ascii="Calibri" w:hAnsi="Calibri"/>
                <w:b/>
                <w:color w:val="auto"/>
              </w:rPr>
              <w:t>891</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cnfStyle w:val="000000100000"/>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COM_BORD</w:t>
            </w:r>
          </w:p>
        </w:tc>
        <w:tc>
          <w:tcPr>
            <w:tcW w:w="3060" w:type="dxa"/>
            <w:vAlign w:val="bottom"/>
          </w:tcPr>
          <w:p w:rsidR="007B3FD4" w:rsidRPr="00770C4A" w:rsidRDefault="00A41469" w:rsidP="007B3FD4">
            <w:pPr>
              <w:cnfStyle w:val="000000100000"/>
              <w:rPr>
                <w:rFonts w:ascii="Calibri" w:hAnsi="Calibri"/>
                <w:b/>
                <w:color w:val="auto"/>
              </w:rPr>
            </w:pPr>
            <w:r w:rsidRPr="00770C4A">
              <w:rPr>
                <w:rFonts w:ascii="Calibri" w:hAnsi="Calibri"/>
                <w:b/>
                <w:color w:val="auto"/>
              </w:rPr>
              <w:t>0.</w:t>
            </w:r>
            <w:r w:rsidR="007B3FD4" w:rsidRPr="00770C4A">
              <w:rPr>
                <w:rFonts w:ascii="Calibri" w:hAnsi="Calibri"/>
                <w:b/>
                <w:color w:val="auto"/>
              </w:rPr>
              <w:t>188</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i/>
                <w:color w:val="auto"/>
              </w:rPr>
            </w:pP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COM_LANG</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0.</w:t>
            </w:r>
            <w:r w:rsidR="009522FA" w:rsidRPr="00770C4A">
              <w:rPr>
                <w:rFonts w:ascii="Calibri" w:hAnsi="Calibri"/>
                <w:b/>
                <w:color w:val="auto"/>
              </w:rPr>
              <w:t>058</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000000"/>
              <w:rPr>
                <w:rFonts w:ascii="Calibri" w:hAnsi="Calibri" w:cs="Calibri"/>
                <w:b/>
                <w:i/>
                <w:color w:val="auto"/>
              </w:rPr>
            </w:pPr>
          </w:p>
        </w:tc>
      </w:tr>
      <w:tr w:rsidR="007B3FD4" w:rsidRPr="00770C4A" w:rsidTr="003F4627">
        <w:trPr>
          <w:cnfStyle w:val="000000100000"/>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LN_DIST</w:t>
            </w:r>
          </w:p>
        </w:tc>
        <w:tc>
          <w:tcPr>
            <w:tcW w:w="3060" w:type="dxa"/>
            <w:vAlign w:val="bottom"/>
          </w:tcPr>
          <w:p w:rsidR="007B3FD4" w:rsidRPr="00770C4A" w:rsidRDefault="007B3FD4" w:rsidP="007B3FD4">
            <w:pPr>
              <w:cnfStyle w:val="000000100000"/>
              <w:rPr>
                <w:rFonts w:ascii="Calibri" w:hAnsi="Calibri"/>
                <w:b/>
                <w:color w:val="auto"/>
              </w:rPr>
            </w:pPr>
            <w:r w:rsidRPr="00770C4A">
              <w:rPr>
                <w:rFonts w:ascii="Calibri" w:hAnsi="Calibri"/>
                <w:b/>
                <w:color w:val="auto"/>
              </w:rPr>
              <w:t>-1</w:t>
            </w:r>
            <w:r w:rsidR="00A41469" w:rsidRPr="00770C4A">
              <w:rPr>
                <w:rFonts w:ascii="Calibri" w:hAnsi="Calibri"/>
                <w:b/>
                <w:color w:val="auto"/>
              </w:rPr>
              <w:t>.</w:t>
            </w:r>
            <w:r w:rsidRPr="00770C4A">
              <w:rPr>
                <w:rFonts w:ascii="Calibri" w:hAnsi="Calibri"/>
                <w:b/>
                <w:color w:val="auto"/>
              </w:rPr>
              <w:t>307</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i/>
                <w:color w:val="auto"/>
              </w:rPr>
            </w:pP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EU15</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-0.</w:t>
            </w:r>
            <w:r w:rsidR="009522FA" w:rsidRPr="00770C4A">
              <w:rPr>
                <w:rFonts w:ascii="Calibri" w:hAnsi="Calibri"/>
                <w:b/>
                <w:color w:val="auto"/>
              </w:rPr>
              <w:t>127</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000000"/>
              <w:rPr>
                <w:rFonts w:ascii="Calibri" w:hAnsi="Calibri" w:cs="Calibri"/>
                <w:b/>
                <w:color w:val="auto"/>
              </w:rPr>
            </w:pPr>
          </w:p>
        </w:tc>
      </w:tr>
      <w:tr w:rsidR="007B3FD4" w:rsidRPr="00770C4A" w:rsidTr="003F4627">
        <w:trPr>
          <w:cnfStyle w:val="000000100000"/>
        </w:trPr>
        <w:tc>
          <w:tcPr>
            <w:cnfStyle w:val="001000000000"/>
            <w:tcW w:w="3060" w:type="dxa"/>
            <w:vAlign w:val="center"/>
          </w:tcPr>
          <w:p w:rsidR="007B3FD4" w:rsidRPr="00770C4A" w:rsidRDefault="007B3FD4" w:rsidP="00512969">
            <w:pPr>
              <w:rPr>
                <w:rFonts w:ascii="Calibri" w:hAnsi="Calibri" w:cs="Calibri"/>
                <w:color w:val="auto"/>
              </w:rPr>
            </w:pPr>
            <w:r w:rsidRPr="00770C4A">
              <w:rPr>
                <w:rFonts w:ascii="Calibri" w:hAnsi="Calibri" w:cs="Calibri"/>
                <w:color w:val="auto"/>
              </w:rPr>
              <w:t>EMU12</w:t>
            </w:r>
          </w:p>
        </w:tc>
        <w:tc>
          <w:tcPr>
            <w:tcW w:w="3060" w:type="dxa"/>
            <w:vAlign w:val="bottom"/>
          </w:tcPr>
          <w:p w:rsidR="007B3FD4" w:rsidRPr="00770C4A" w:rsidRDefault="00A41469" w:rsidP="007B3FD4">
            <w:pPr>
              <w:cnfStyle w:val="000000100000"/>
              <w:rPr>
                <w:rFonts w:ascii="Calibri" w:hAnsi="Calibri"/>
                <w:b/>
                <w:color w:val="auto"/>
              </w:rPr>
            </w:pPr>
            <w:r w:rsidRPr="00770C4A">
              <w:rPr>
                <w:rFonts w:ascii="Calibri" w:hAnsi="Calibri"/>
                <w:b/>
                <w:color w:val="auto"/>
              </w:rPr>
              <w:t>0.</w:t>
            </w:r>
            <w:r w:rsidR="009522FA" w:rsidRPr="00770C4A">
              <w:rPr>
                <w:rFonts w:ascii="Calibri" w:hAnsi="Calibri"/>
                <w:b/>
                <w:color w:val="auto"/>
              </w:rPr>
              <w:t>113</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color w:val="auto"/>
              </w:rPr>
            </w:pP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2004_X_M_07</w:t>
            </w:r>
          </w:p>
        </w:tc>
        <w:tc>
          <w:tcPr>
            <w:tcW w:w="3060" w:type="dxa"/>
            <w:vAlign w:val="bottom"/>
          </w:tcPr>
          <w:p w:rsidR="007B3FD4" w:rsidRPr="00770C4A" w:rsidRDefault="009522FA" w:rsidP="007B3FD4">
            <w:pPr>
              <w:cnfStyle w:val="000000000000"/>
              <w:rPr>
                <w:rFonts w:ascii="Calibri" w:hAnsi="Calibri"/>
                <w:b/>
                <w:color w:val="auto"/>
              </w:rPr>
            </w:pPr>
            <w:r w:rsidRPr="00770C4A">
              <w:rPr>
                <w:rFonts w:ascii="Calibri" w:hAnsi="Calibri"/>
                <w:b/>
                <w:color w:val="auto"/>
              </w:rPr>
              <w:t>-0</w:t>
            </w:r>
            <w:r w:rsidR="00A41469" w:rsidRPr="00770C4A">
              <w:rPr>
                <w:rFonts w:ascii="Calibri" w:hAnsi="Calibri"/>
                <w:b/>
                <w:color w:val="auto"/>
              </w:rPr>
              <w:t>.</w:t>
            </w:r>
            <w:r w:rsidRPr="00770C4A">
              <w:rPr>
                <w:rFonts w:ascii="Calibri" w:hAnsi="Calibri"/>
                <w:b/>
                <w:color w:val="auto"/>
              </w:rPr>
              <w:t>022</w:t>
            </w:r>
          </w:p>
          <w:p w:rsidR="007B3FD4" w:rsidRPr="00770C4A" w:rsidRDefault="009522FA" w:rsidP="007B3FD4">
            <w:pPr>
              <w:cnfStyle w:val="000000000000"/>
              <w:rPr>
                <w:rFonts w:ascii="Calibri" w:hAnsi="Calibri"/>
                <w:b/>
                <w:color w:val="auto"/>
              </w:rPr>
            </w:pPr>
            <w:r w:rsidRPr="00770C4A">
              <w:rPr>
                <w:rFonts w:ascii="Calibri" w:hAnsi="Calibri" w:cs="Calibri"/>
                <w:i/>
                <w:color w:val="auto"/>
                <w:sz w:val="16"/>
                <w:szCs w:val="16"/>
              </w:rPr>
              <w:t>(0.093</w:t>
            </w:r>
            <w:r w:rsidR="007B3FD4" w:rsidRPr="00770C4A">
              <w:rPr>
                <w:rFonts w:ascii="Calibri" w:hAnsi="Calibri" w:cs="Calibri"/>
                <w:i/>
                <w:color w:val="auto"/>
                <w:sz w:val="16"/>
                <w:szCs w:val="16"/>
              </w:rPr>
              <w:t>)*</w:t>
            </w:r>
          </w:p>
        </w:tc>
        <w:tc>
          <w:tcPr>
            <w:tcW w:w="3060" w:type="dxa"/>
            <w:vAlign w:val="bottom"/>
          </w:tcPr>
          <w:p w:rsidR="007B3FD4" w:rsidRPr="00770C4A" w:rsidRDefault="00A41469" w:rsidP="007B3FD4">
            <w:pPr>
              <w:cnfStyle w:val="000000000000"/>
              <w:rPr>
                <w:rFonts w:ascii="Calibri" w:hAnsi="Calibri"/>
                <w:b/>
                <w:color w:val="auto"/>
              </w:rPr>
            </w:pPr>
            <w:r w:rsidRPr="00770C4A">
              <w:rPr>
                <w:rFonts w:ascii="Calibri" w:hAnsi="Calibri"/>
                <w:b/>
                <w:color w:val="auto"/>
              </w:rPr>
              <w:t>0.</w:t>
            </w:r>
            <w:r w:rsidR="007B3FD4" w:rsidRPr="00770C4A">
              <w:rPr>
                <w:rFonts w:ascii="Calibri" w:hAnsi="Calibri"/>
                <w:b/>
                <w:color w:val="auto"/>
              </w:rPr>
              <w:t>079</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cnfStyle w:val="000000100000"/>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newEMU_X_M_07</w:t>
            </w:r>
          </w:p>
        </w:tc>
        <w:tc>
          <w:tcPr>
            <w:tcW w:w="3060" w:type="dxa"/>
            <w:vAlign w:val="bottom"/>
          </w:tcPr>
          <w:p w:rsidR="007B3FD4" w:rsidRPr="00770C4A" w:rsidRDefault="00A41469" w:rsidP="007B3FD4">
            <w:pPr>
              <w:cnfStyle w:val="000000100000"/>
              <w:rPr>
                <w:rFonts w:ascii="Calibri" w:hAnsi="Calibri"/>
                <w:b/>
                <w:color w:val="auto"/>
              </w:rPr>
            </w:pPr>
            <w:r w:rsidRPr="00770C4A">
              <w:rPr>
                <w:rFonts w:ascii="Calibri" w:hAnsi="Calibri"/>
                <w:b/>
                <w:color w:val="auto"/>
              </w:rPr>
              <w:t>0.</w:t>
            </w:r>
            <w:r w:rsidR="009522FA" w:rsidRPr="00770C4A">
              <w:rPr>
                <w:rFonts w:ascii="Calibri" w:hAnsi="Calibri"/>
                <w:b/>
                <w:color w:val="auto"/>
              </w:rPr>
              <w:t>027</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w:t>
            </w:r>
            <w:r w:rsidR="009522FA" w:rsidRPr="00770C4A">
              <w:rPr>
                <w:rFonts w:ascii="Calibri" w:hAnsi="Calibri" w:cs="Calibri"/>
                <w:i/>
                <w:color w:val="auto"/>
                <w:sz w:val="16"/>
                <w:szCs w:val="16"/>
              </w:rPr>
              <w:t>97</w:t>
            </w:r>
            <w:r w:rsidRPr="00770C4A">
              <w:rPr>
                <w:rFonts w:ascii="Calibri" w:hAnsi="Calibri" w:cs="Calibri"/>
                <w:i/>
                <w:color w:val="auto"/>
                <w:sz w:val="16"/>
                <w:szCs w:val="16"/>
              </w:rPr>
              <w:t>)*</w:t>
            </w:r>
          </w:p>
        </w:tc>
        <w:tc>
          <w:tcPr>
            <w:tcW w:w="3060" w:type="dxa"/>
            <w:vAlign w:val="bottom"/>
          </w:tcPr>
          <w:p w:rsidR="007B3FD4" w:rsidRPr="00770C4A" w:rsidRDefault="007B3FD4" w:rsidP="007B3FD4">
            <w:pPr>
              <w:cnfStyle w:val="000000100000"/>
              <w:rPr>
                <w:rFonts w:ascii="Calibri" w:hAnsi="Calibri"/>
                <w:b/>
                <w:color w:val="auto"/>
              </w:rPr>
            </w:pPr>
            <w:r w:rsidRPr="00770C4A">
              <w:rPr>
                <w:rFonts w:ascii="Calibri" w:hAnsi="Calibri"/>
                <w:b/>
                <w:color w:val="auto"/>
              </w:rPr>
              <w:t>-0</w:t>
            </w:r>
            <w:r w:rsidR="00A41469" w:rsidRPr="00770C4A">
              <w:rPr>
                <w:rFonts w:ascii="Calibri" w:hAnsi="Calibri"/>
                <w:b/>
                <w:color w:val="auto"/>
              </w:rPr>
              <w:t>.</w:t>
            </w:r>
            <w:r w:rsidRPr="00770C4A">
              <w:rPr>
                <w:rFonts w:ascii="Calibri" w:hAnsi="Calibri"/>
                <w:b/>
                <w:color w:val="auto"/>
              </w:rPr>
              <w:t>023</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(0.005)***</w:t>
            </w:r>
          </w:p>
        </w:tc>
      </w:tr>
      <w:tr w:rsidR="00AC5BF4" w:rsidRPr="00770C4A" w:rsidTr="003F4627">
        <w:tc>
          <w:tcPr>
            <w:cnfStyle w:val="001000000000"/>
            <w:tcW w:w="3060" w:type="dxa"/>
          </w:tcPr>
          <w:p w:rsidR="00AC5BF4" w:rsidRPr="00770C4A" w:rsidRDefault="00AC5BF4" w:rsidP="003F4627">
            <w:pPr>
              <w:rPr>
                <w:rFonts w:ascii="Calibri" w:hAnsi="Calibri" w:cs="Calibri"/>
                <w:color w:val="auto"/>
              </w:rPr>
            </w:pPr>
          </w:p>
        </w:tc>
        <w:tc>
          <w:tcPr>
            <w:tcW w:w="3060" w:type="dxa"/>
          </w:tcPr>
          <w:p w:rsidR="00AC5BF4" w:rsidRPr="00770C4A" w:rsidRDefault="00AC5BF4" w:rsidP="003F4627">
            <w:pPr>
              <w:cnfStyle w:val="000000000000"/>
              <w:rPr>
                <w:color w:val="auto"/>
              </w:rPr>
            </w:pPr>
          </w:p>
        </w:tc>
        <w:tc>
          <w:tcPr>
            <w:tcW w:w="3060" w:type="dxa"/>
          </w:tcPr>
          <w:p w:rsidR="00AC5BF4" w:rsidRPr="00770C4A" w:rsidRDefault="00AC5BF4" w:rsidP="003F4627">
            <w:pPr>
              <w:cnfStyle w:val="000000000000"/>
              <w:rPr>
                <w:color w:val="auto"/>
              </w:rPr>
            </w:pPr>
          </w:p>
        </w:tc>
      </w:tr>
      <w:tr w:rsidR="00AC5BF4" w:rsidRPr="00770C4A" w:rsidTr="003F4627">
        <w:trPr>
          <w:cnfStyle w:val="000000100000"/>
        </w:trPr>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N</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15082</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15082</w:t>
            </w:r>
          </w:p>
        </w:tc>
      </w:tr>
      <w:tr w:rsidR="00AC5BF4" w:rsidRPr="00770C4A" w:rsidTr="003F4627">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R-squared</w:t>
            </w:r>
          </w:p>
        </w:tc>
        <w:tc>
          <w:tcPr>
            <w:tcW w:w="3060" w:type="dxa"/>
            <w:vAlign w:val="bottom"/>
          </w:tcPr>
          <w:p w:rsidR="00AC5BF4" w:rsidRPr="00770C4A" w:rsidRDefault="00AC5BF4" w:rsidP="003F4627">
            <w:pPr>
              <w:cnfStyle w:val="000000000000"/>
              <w:rPr>
                <w:rFonts w:ascii="Calibri" w:hAnsi="Calibri" w:cs="Calibri"/>
                <w:color w:val="auto"/>
              </w:rPr>
            </w:pPr>
            <w:r w:rsidRPr="00770C4A">
              <w:rPr>
                <w:rFonts w:ascii="Calibri" w:hAnsi="Calibri" w:cs="Calibri"/>
                <w:color w:val="auto"/>
              </w:rPr>
              <w:t>0.90</w:t>
            </w:r>
          </w:p>
        </w:tc>
        <w:tc>
          <w:tcPr>
            <w:tcW w:w="3060" w:type="dxa"/>
            <w:vAlign w:val="bottom"/>
          </w:tcPr>
          <w:p w:rsidR="00AC5BF4" w:rsidRPr="00770C4A" w:rsidRDefault="00AC5BF4" w:rsidP="003F4627">
            <w:pPr>
              <w:cnfStyle w:val="000000000000"/>
              <w:rPr>
                <w:rFonts w:ascii="Calibri" w:hAnsi="Calibri" w:cs="Calibri"/>
                <w:color w:val="auto"/>
              </w:rPr>
            </w:pPr>
            <w:r w:rsidRPr="00770C4A">
              <w:rPr>
                <w:rFonts w:ascii="Calibri" w:hAnsi="Calibri" w:cs="Calibri"/>
                <w:color w:val="auto"/>
              </w:rPr>
              <w:t>0.98</w:t>
            </w:r>
          </w:p>
        </w:tc>
      </w:tr>
      <w:tr w:rsidR="00AC5BF4" w:rsidRPr="00770C4A" w:rsidTr="003F4627">
        <w:trPr>
          <w:cnfStyle w:val="000000100000"/>
        </w:trPr>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Adjusted R-squared</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0.90</w:t>
            </w:r>
          </w:p>
        </w:tc>
        <w:tc>
          <w:tcPr>
            <w:tcW w:w="3060" w:type="dxa"/>
            <w:vAlign w:val="bottom"/>
          </w:tcPr>
          <w:p w:rsidR="00AC5BF4" w:rsidRPr="00770C4A" w:rsidRDefault="00AC5BF4" w:rsidP="00F41B69">
            <w:pPr>
              <w:keepNext/>
              <w:cnfStyle w:val="000000100000"/>
              <w:rPr>
                <w:rFonts w:ascii="Calibri" w:hAnsi="Calibri" w:cs="Calibri"/>
                <w:color w:val="auto"/>
              </w:rPr>
            </w:pPr>
            <w:r w:rsidRPr="00770C4A">
              <w:rPr>
                <w:rFonts w:ascii="Calibri" w:hAnsi="Calibri" w:cs="Calibri"/>
                <w:color w:val="auto"/>
              </w:rPr>
              <w:t>0.97</w:t>
            </w:r>
          </w:p>
        </w:tc>
      </w:tr>
    </w:tbl>
    <w:p w:rsidR="00F41B69" w:rsidRPr="00770C4A" w:rsidRDefault="00F41B69" w:rsidP="0028188C">
      <w:pPr>
        <w:pStyle w:val="Caption"/>
        <w:jc w:val="both"/>
        <w:rPr>
          <w:color w:val="auto"/>
        </w:rPr>
      </w:pPr>
      <w:r w:rsidRPr="00770C4A">
        <w:rPr>
          <w:color w:val="auto"/>
        </w:rPr>
        <w:t>Notes: (a) Total refers to total trade effects with all countries in the sample; (b) marginal refers to the extra trade effects of the new EMU members compared to the benchmark group; (c) average refers to the average trade effects over the four new EMU members (Slovenia, Cyprus, Malta, the Slovak Republic); (d) rejection of redundant period fixed effects at p = 0.000; (e) rejection of redundant period and cross-section fixed effects at p = 0.000; (</w:t>
      </w:r>
      <w:proofErr w:type="spellStart"/>
      <w:r w:rsidRPr="00770C4A">
        <w:rPr>
          <w:color w:val="auto"/>
        </w:rPr>
        <w:t>i</w:t>
      </w:r>
      <w:proofErr w:type="spellEnd"/>
      <w:r w:rsidRPr="00770C4A">
        <w:rPr>
          <w:color w:val="auto"/>
        </w:rPr>
        <w:t xml:space="preserve">) p-values are in parentheses, p***&lt;0.01, p**&lt;0.05, p*&lt;0.10; (ii) </w:t>
      </w:r>
      <w:r w:rsidRPr="00770C4A">
        <w:rPr>
          <w:i/>
          <w:color w:val="auto"/>
        </w:rPr>
        <w:t>group</w:t>
      </w:r>
      <w:r w:rsidRPr="00770C4A">
        <w:rPr>
          <w:color w:val="auto"/>
        </w:rPr>
        <w:t>_x_m_</w:t>
      </w:r>
      <w:r w:rsidR="0051180B">
        <w:rPr>
          <w:i/>
          <w:color w:val="auto"/>
        </w:rPr>
        <w:t>07</w:t>
      </w:r>
      <w:r w:rsidRPr="00770C4A">
        <w:rPr>
          <w:color w:val="auto"/>
        </w:rPr>
        <w:t xml:space="preserve"> indicates t</w:t>
      </w:r>
      <w:r w:rsidR="0051180B">
        <w:rPr>
          <w:color w:val="auto"/>
        </w:rPr>
        <w:t xml:space="preserve">rade effects for either the </w:t>
      </w:r>
      <w:proofErr w:type="spellStart"/>
      <w:r w:rsidR="0051180B">
        <w:rPr>
          <w:color w:val="auto"/>
        </w:rPr>
        <w:t>new</w:t>
      </w:r>
      <w:r w:rsidRPr="00770C4A">
        <w:rPr>
          <w:color w:val="auto"/>
        </w:rPr>
        <w:t>EMU</w:t>
      </w:r>
      <w:proofErr w:type="spellEnd"/>
      <w:r w:rsidRPr="00770C4A">
        <w:rPr>
          <w:color w:val="auto"/>
        </w:rPr>
        <w:t xml:space="preserve"> </w:t>
      </w:r>
      <w:r w:rsidR="0051180B">
        <w:rPr>
          <w:color w:val="auto"/>
        </w:rPr>
        <w:t>group</w:t>
      </w:r>
      <w:r w:rsidRPr="00770C4A">
        <w:rPr>
          <w:color w:val="auto"/>
        </w:rPr>
        <w:t xml:space="preserve"> or the 2004 EU </w:t>
      </w:r>
      <w:r w:rsidR="0051180B">
        <w:rPr>
          <w:color w:val="auto"/>
        </w:rPr>
        <w:t>e</w:t>
      </w:r>
      <w:r w:rsidR="007607E5">
        <w:rPr>
          <w:color w:val="auto"/>
        </w:rPr>
        <w:t>ntrant group, from 2007 onwards, since this is the year that the first of the new EMU members adopted the Euro</w:t>
      </w:r>
      <w:r w:rsidRPr="00770C4A">
        <w:rPr>
          <w:color w:val="auto"/>
        </w:rPr>
        <w:t xml:space="preserve"> </w:t>
      </w:r>
    </w:p>
    <w:p w:rsidR="00AC5BF4" w:rsidRDefault="00DB2F95" w:rsidP="00DB2F95">
      <w:pPr>
        <w:spacing w:line="360" w:lineRule="auto"/>
        <w:jc w:val="both"/>
      </w:pPr>
      <w:r>
        <w:t xml:space="preserve">When looking at the variables of interest in this table, the results differ substantially per model. Whereas the CFE model presents a decrease in total trade for the 2004 EU entrant benchmark group </w:t>
      </w:r>
      <w:r>
        <w:lastRenderedPageBreak/>
        <w:t xml:space="preserve">and an increase in average trade for the new EMU members, the CPFE model presents opposing results. </w:t>
      </w:r>
      <w:r w:rsidR="007C581D">
        <w:t>A potential explanation for this can be that the negative country fixed effects of Cyprus and Malta are overestimated in the CFE model.</w:t>
      </w:r>
      <w:r w:rsidR="007C581D">
        <w:rPr>
          <w:rStyle w:val="FootnoteReference"/>
        </w:rPr>
        <w:footnoteReference w:id="15"/>
      </w:r>
      <w:r w:rsidR="007C581D">
        <w:t xml:space="preserve"> Since these two countries are island and represent half of the </w:t>
      </w:r>
      <w:proofErr w:type="spellStart"/>
      <w:r w:rsidR="007C581D">
        <w:t>newEMU</w:t>
      </w:r>
      <w:proofErr w:type="spellEnd"/>
      <w:r w:rsidR="007C581D">
        <w:t xml:space="preserve"> group, correcting too much for the fact that they are islands quickly improves the trade effects of the </w:t>
      </w:r>
      <w:proofErr w:type="spellStart"/>
      <w:r w:rsidR="007C581D">
        <w:t>newEMU</w:t>
      </w:r>
      <w:proofErr w:type="spellEnd"/>
      <w:r w:rsidR="007C581D">
        <w:t xml:space="preserve"> group as a whole. Nonetheless, when focusing on the CPFE model, it can be seen that the average trade over the 2004 EU entrants grew by approximately</w:t>
      </w:r>
      <w:r w:rsidR="00147AEE">
        <w:t xml:space="preserve"> 8% since 2007. The new EMU members’ growth in trade was approximately 2% less than the benchmark, thus around 6%. </w:t>
      </w:r>
    </w:p>
    <w:p w:rsidR="00147AEE" w:rsidRDefault="00147AEE" w:rsidP="00DB2F95">
      <w:pPr>
        <w:spacing w:line="360" w:lineRule="auto"/>
        <w:jc w:val="both"/>
      </w:pPr>
      <w:r>
        <w:t>The results found in testing hypothesis 4 provide evidence that the growth in trade by the new EMU members was on average less than growth in trade for the 2004 EU entrants. This is contradictory to currency union theory which prescribes an increase in trade for countries joining a currency union. An explanation for this could be that among the non-EMU 2004 EU entrants, for example Poland, some of these countries</w:t>
      </w:r>
      <w:r w:rsidR="0051180B">
        <w:t xml:space="preserve"> displayed a significant growth in</w:t>
      </w:r>
      <w:r w:rsidR="00EB58CE">
        <w:t xml:space="preserve"> trade</w:t>
      </w:r>
      <w:r>
        <w:t xml:space="preserve"> from 2007 onwards due to a factor that is omitted in this regression.</w:t>
      </w:r>
      <w:r w:rsidR="00C05C1A">
        <w:rPr>
          <w:rStyle w:val="FootnoteReference"/>
        </w:rPr>
        <w:footnoteReference w:id="16"/>
      </w:r>
      <w:r>
        <w:t xml:space="preserve"> Another explanation could be that </w:t>
      </w:r>
      <w:r w:rsidR="00FA1EE2">
        <w:t xml:space="preserve">one of the new EMU members is severely affecting the average of the group of new EMU members downwards. As already has been seen in table 7.1, Cyprus witnessed a drastic fall in trade since 2008 onwards. Therefore, as being one out of four countries comprising the </w:t>
      </w:r>
      <w:proofErr w:type="spellStart"/>
      <w:r w:rsidR="00FA1EE2">
        <w:t>newEMU</w:t>
      </w:r>
      <w:proofErr w:type="spellEnd"/>
      <w:r w:rsidR="00FA1EE2">
        <w:t xml:space="preserve"> group, the negative trade effects of Cyprus </w:t>
      </w:r>
      <w:r w:rsidR="00124054">
        <w:t xml:space="preserve">severely distort the trade effects of the group as a whole. The following chapter covering robustness tests will investigate </w:t>
      </w:r>
      <w:r w:rsidR="001A1966">
        <w:t xml:space="preserve">trade effects of the </w:t>
      </w:r>
      <w:proofErr w:type="spellStart"/>
      <w:r w:rsidR="001A1966">
        <w:t>newEMU</w:t>
      </w:r>
      <w:proofErr w:type="spellEnd"/>
      <w:r w:rsidR="001A1966">
        <w:t xml:space="preserve"> group while excluding Cyprus. </w:t>
      </w:r>
    </w:p>
    <w:p w:rsidR="00770C4A" w:rsidRPr="00770C4A" w:rsidRDefault="00770C4A" w:rsidP="00770C4A">
      <w:pPr>
        <w:pStyle w:val="Heading2"/>
        <w:numPr>
          <w:ilvl w:val="1"/>
          <w:numId w:val="1"/>
        </w:numPr>
      </w:pPr>
      <w:r>
        <w:t xml:space="preserve"> </w:t>
      </w:r>
      <w:r>
        <w:tab/>
      </w:r>
      <w:bookmarkStart w:id="38" w:name="_Toc353348798"/>
      <w:r>
        <w:t>Part II – H.5 &amp; H.6</w:t>
      </w:r>
      <w:bookmarkEnd w:id="38"/>
    </w:p>
    <w:p w:rsidR="00630808" w:rsidRDefault="00EB58CE" w:rsidP="001A1966">
      <w:pPr>
        <w:spacing w:line="360" w:lineRule="auto"/>
        <w:jc w:val="both"/>
      </w:pPr>
      <w:r>
        <w:t>The</w:t>
      </w:r>
      <w:r w:rsidR="001A1966">
        <w:t xml:space="preserve"> final part of this chapter will elaborate the results of testing hypotheses 5 and 6. To shortly recapitulate the hypotheses, H.5:</w:t>
      </w:r>
      <w:r w:rsidR="00630808" w:rsidRPr="008660E9">
        <w:rPr>
          <w:i/>
        </w:rPr>
        <w:t xml:space="preserve"> </w:t>
      </w:r>
      <w:r w:rsidR="00630808">
        <w:rPr>
          <w:i/>
        </w:rPr>
        <w:t>Since 2007 average trade between existing EMU members and the new EMU members increased more compared to average trade between existing EMU members and the 2004 EU entrants</w:t>
      </w:r>
      <w:r w:rsidR="001A1966">
        <w:t>. And H.6:</w:t>
      </w:r>
      <w:r w:rsidR="00630808">
        <w:rPr>
          <w:i/>
        </w:rPr>
        <w:t xml:space="preserve"> Since 2007 average trade between non-EMU countries and the new EMU members increased more compared to average trade between non-EMU countries and the 2004 EU entrants</w:t>
      </w:r>
      <w:r w:rsidR="001A1966">
        <w:rPr>
          <w:i/>
        </w:rPr>
        <w:t>.</w:t>
      </w:r>
      <w:r w:rsidR="001A1966">
        <w:t xml:space="preserve"> In other words, the points of inquiry for these hypotheses is to see what the </w:t>
      </w:r>
      <w:r w:rsidR="00DC5FB8">
        <w:t xml:space="preserve">average </w:t>
      </w:r>
      <w:r w:rsidR="001A1966">
        <w:t>trade effects of the new</w:t>
      </w:r>
      <w:r w:rsidR="00DC5FB8">
        <w:t xml:space="preserve"> </w:t>
      </w:r>
      <w:r w:rsidR="001A1966">
        <w:t xml:space="preserve">EMU </w:t>
      </w:r>
      <w:r w:rsidR="00DC5FB8">
        <w:t xml:space="preserve">members </w:t>
      </w:r>
      <w:r w:rsidR="001A1966">
        <w:t xml:space="preserve">have been with the different groups of trading partners, either EMU or the rest of the world, compared to the benchmark group. </w:t>
      </w:r>
      <w:r w:rsidR="00277A70">
        <w:t>The results found based on these hypotheses</w:t>
      </w:r>
      <w:r w:rsidR="001F09A4">
        <w:t xml:space="preserve"> can </w:t>
      </w:r>
      <w:r w:rsidR="00DC5FB8">
        <w:t xml:space="preserve">again </w:t>
      </w:r>
      <w:r w:rsidR="001F09A4">
        <w:t xml:space="preserve">help </w:t>
      </w:r>
      <w:r w:rsidR="00DC5FB8">
        <w:t xml:space="preserve">to </w:t>
      </w:r>
      <w:r w:rsidR="001F09A4">
        <w:t xml:space="preserve">answer the question of whether joining a currency union leads to trade creation or trade diversion. </w:t>
      </w:r>
    </w:p>
    <w:p w:rsidR="001F09A4" w:rsidRPr="001A1966" w:rsidRDefault="001F09A4" w:rsidP="001A1966">
      <w:pPr>
        <w:spacing w:line="360" w:lineRule="auto"/>
        <w:jc w:val="both"/>
      </w:pPr>
      <w:r>
        <w:lastRenderedPageBreak/>
        <w:t>The r</w:t>
      </w:r>
      <w:r w:rsidR="00663100">
        <w:t>esults are displayed in table 7-</w:t>
      </w:r>
      <w:r>
        <w:t>4. As already shown in the previous table, the 2004 EU entrants display an increase in total trade, which is here found to be large (9%) for trade with non-EMU countries and also positive for trade with EMU members (6%)</w:t>
      </w:r>
      <w:r w:rsidR="00EB58CE">
        <w:t xml:space="preserve"> in the CPFE model</w:t>
      </w:r>
      <w:r>
        <w:t xml:space="preserve">. Continuing, no </w:t>
      </w:r>
      <w:r w:rsidR="00EB58CE">
        <w:t xml:space="preserve">significant </w:t>
      </w:r>
      <w:r>
        <w:t>evidence of either an increase or decrease</w:t>
      </w:r>
      <w:r w:rsidR="00EB58CE">
        <w:t xml:space="preserve"> in trade</w:t>
      </w:r>
      <w:r>
        <w:t xml:space="preserve"> </w:t>
      </w:r>
      <w:r w:rsidR="00EB58CE">
        <w:t>between</w:t>
      </w:r>
      <w:r>
        <w:t xml:space="preserve"> the </w:t>
      </w:r>
      <w:proofErr w:type="spellStart"/>
      <w:r>
        <w:t>newEMU</w:t>
      </w:r>
      <w:proofErr w:type="spellEnd"/>
      <w:r>
        <w:t xml:space="preserve"> group </w:t>
      </w:r>
      <w:r w:rsidR="00EB58CE">
        <w:t>and</w:t>
      </w:r>
      <w:r>
        <w:t xml:space="preserve"> EMU members is found. </w:t>
      </w:r>
      <w:r w:rsidR="00CC3EB8">
        <w:t xml:space="preserve">In the CFE model there is evidence for increased trade between the </w:t>
      </w:r>
      <w:proofErr w:type="spellStart"/>
      <w:r w:rsidR="00CC3EB8">
        <w:t>newEMU</w:t>
      </w:r>
      <w:proofErr w:type="spellEnd"/>
      <w:r w:rsidR="00CC3EB8">
        <w:t xml:space="preserve"> group and EMU members, but this might again be caused by the aforementioned problem with Cyprus and Malta. </w:t>
      </w:r>
    </w:p>
    <w:p w:rsidR="00AC5BF4" w:rsidRPr="00770C4A" w:rsidRDefault="00AC5BF4" w:rsidP="00AC5BF4">
      <w:pPr>
        <w:pStyle w:val="Caption"/>
        <w:keepNext/>
        <w:rPr>
          <w:color w:val="auto"/>
          <w:sz w:val="28"/>
        </w:rPr>
      </w:pPr>
      <w:r w:rsidRPr="00770C4A">
        <w:rPr>
          <w:color w:val="auto"/>
          <w:sz w:val="28"/>
        </w:rPr>
        <w:t xml:space="preserve">Table </w:t>
      </w:r>
      <w:r w:rsidR="008A5472">
        <w:rPr>
          <w:color w:val="auto"/>
          <w:sz w:val="28"/>
        </w:rPr>
        <w:fldChar w:fldCharType="begin"/>
      </w:r>
      <w:r w:rsidR="009E4CF3">
        <w:rPr>
          <w:color w:val="auto"/>
          <w:sz w:val="28"/>
        </w:rPr>
        <w:instrText xml:space="preserve"> STYLEREF 1 \s </w:instrText>
      </w:r>
      <w:r w:rsidR="008A5472">
        <w:rPr>
          <w:color w:val="auto"/>
          <w:sz w:val="28"/>
        </w:rPr>
        <w:fldChar w:fldCharType="separate"/>
      </w:r>
      <w:r w:rsidR="009E4CF3">
        <w:rPr>
          <w:noProof/>
          <w:color w:val="auto"/>
          <w:sz w:val="28"/>
        </w:rPr>
        <w:t>7</w:t>
      </w:r>
      <w:r w:rsidR="008A5472">
        <w:rPr>
          <w:color w:val="auto"/>
          <w:sz w:val="28"/>
        </w:rPr>
        <w:fldChar w:fldCharType="end"/>
      </w:r>
      <w:r w:rsidR="009E4CF3">
        <w:rPr>
          <w:color w:val="auto"/>
          <w:sz w:val="28"/>
        </w:rPr>
        <w:noBreakHyphen/>
      </w:r>
      <w:r w:rsidR="008A5472">
        <w:rPr>
          <w:color w:val="auto"/>
          <w:sz w:val="28"/>
        </w:rPr>
        <w:fldChar w:fldCharType="begin"/>
      </w:r>
      <w:r w:rsidR="009E4CF3">
        <w:rPr>
          <w:color w:val="auto"/>
          <w:sz w:val="28"/>
        </w:rPr>
        <w:instrText xml:space="preserve"> SEQ Table \* ARABIC \s 1 </w:instrText>
      </w:r>
      <w:r w:rsidR="008A5472">
        <w:rPr>
          <w:color w:val="auto"/>
          <w:sz w:val="28"/>
        </w:rPr>
        <w:fldChar w:fldCharType="separate"/>
      </w:r>
      <w:r w:rsidR="009E4CF3">
        <w:rPr>
          <w:noProof/>
          <w:color w:val="auto"/>
          <w:sz w:val="28"/>
        </w:rPr>
        <w:t>4</w:t>
      </w:r>
      <w:r w:rsidR="008A5472">
        <w:rPr>
          <w:color w:val="auto"/>
          <w:sz w:val="28"/>
        </w:rPr>
        <w:fldChar w:fldCharType="end"/>
      </w:r>
      <w:r w:rsidRPr="00770C4A">
        <w:rPr>
          <w:color w:val="auto"/>
          <w:sz w:val="28"/>
        </w:rPr>
        <w:t xml:space="preserve"> Testing of Hypotheses 5 &amp; 6</w:t>
      </w:r>
    </w:p>
    <w:tbl>
      <w:tblPr>
        <w:tblStyle w:val="Lichtearcering-accent11"/>
        <w:tblW w:w="12240" w:type="dxa"/>
        <w:tblLook w:val="04A0"/>
      </w:tblPr>
      <w:tblGrid>
        <w:gridCol w:w="3060"/>
        <w:gridCol w:w="3060"/>
        <w:gridCol w:w="3060"/>
        <w:gridCol w:w="3060"/>
      </w:tblGrid>
      <w:tr w:rsidR="00AC5BF4" w:rsidRPr="00770C4A" w:rsidTr="003F4627">
        <w:trPr>
          <w:gridAfter w:val="1"/>
          <w:cnfStyle w:val="100000000000"/>
          <w:wAfter w:w="3060" w:type="dxa"/>
        </w:trPr>
        <w:tc>
          <w:tcPr>
            <w:cnfStyle w:val="001000000000"/>
            <w:tcW w:w="9180" w:type="dxa"/>
            <w:gridSpan w:val="3"/>
          </w:tcPr>
          <w:p w:rsidR="00AC5BF4" w:rsidRPr="00770C4A" w:rsidRDefault="00250259" w:rsidP="00250259">
            <w:pPr>
              <w:rPr>
                <w:color w:val="auto"/>
                <w:sz w:val="24"/>
              </w:rPr>
            </w:pPr>
            <w:r w:rsidRPr="00770C4A">
              <w:rPr>
                <w:rFonts w:ascii="Calibri" w:hAnsi="Calibri" w:cs="Calibri"/>
                <w:bCs w:val="0"/>
                <w:color w:val="auto"/>
                <w:sz w:val="24"/>
              </w:rPr>
              <w:t>Marginal</w:t>
            </w:r>
            <w:r w:rsidR="005A116A" w:rsidRPr="00770C4A">
              <w:rPr>
                <w:rFonts w:ascii="Calibri" w:hAnsi="Calibri" w:cs="Calibri"/>
                <w:bCs w:val="0"/>
                <w:color w:val="auto"/>
                <w:sz w:val="24"/>
                <w:vertAlign w:val="superscript"/>
              </w:rPr>
              <w:t>(a)</w:t>
            </w:r>
            <w:r w:rsidRPr="00770C4A">
              <w:rPr>
                <w:rFonts w:ascii="Calibri" w:hAnsi="Calibri" w:cs="Calibri"/>
                <w:bCs w:val="0"/>
                <w:color w:val="auto"/>
                <w:sz w:val="24"/>
              </w:rPr>
              <w:t xml:space="preserve"> </w:t>
            </w:r>
            <w:r w:rsidR="00AC5BF4" w:rsidRPr="00770C4A">
              <w:rPr>
                <w:rFonts w:ascii="Calibri" w:hAnsi="Calibri" w:cs="Calibri"/>
                <w:bCs w:val="0"/>
                <w:color w:val="auto"/>
                <w:sz w:val="24"/>
              </w:rPr>
              <w:t>Average</w:t>
            </w:r>
            <w:r w:rsidR="005A116A" w:rsidRPr="00770C4A">
              <w:rPr>
                <w:rFonts w:ascii="Calibri" w:hAnsi="Calibri" w:cs="Calibri"/>
                <w:bCs w:val="0"/>
                <w:color w:val="auto"/>
                <w:sz w:val="24"/>
                <w:vertAlign w:val="superscript"/>
              </w:rPr>
              <w:t>(b)</w:t>
            </w:r>
            <w:r w:rsidR="00AC5BF4" w:rsidRPr="00770C4A">
              <w:rPr>
                <w:rFonts w:ascii="Calibri" w:hAnsi="Calibri" w:cs="Calibri"/>
                <w:bCs w:val="0"/>
                <w:color w:val="auto"/>
                <w:sz w:val="24"/>
              </w:rPr>
              <w:t xml:space="preserve"> Trade Effects per Trading Partner Group (EMU or Rest of the World) of new EMU members over 2004 EU entrants</w:t>
            </w:r>
          </w:p>
        </w:tc>
      </w:tr>
      <w:tr w:rsidR="00AC5BF4" w:rsidRPr="00770C4A" w:rsidTr="003F4627">
        <w:trPr>
          <w:gridAfter w:val="1"/>
          <w:cnfStyle w:val="000000100000"/>
          <w:wAfter w:w="3060" w:type="dxa"/>
        </w:trPr>
        <w:tc>
          <w:tcPr>
            <w:cnfStyle w:val="001000000000"/>
            <w:tcW w:w="3060" w:type="dxa"/>
          </w:tcPr>
          <w:p w:rsidR="00AC5BF4" w:rsidRPr="00770C4A" w:rsidRDefault="00AC5BF4" w:rsidP="003F4627">
            <w:pPr>
              <w:rPr>
                <w:color w:val="auto"/>
              </w:rPr>
            </w:pPr>
            <w:r w:rsidRPr="00770C4A">
              <w:rPr>
                <w:rFonts w:ascii="Calibri" w:hAnsi="Calibri" w:cs="Calibri"/>
                <w:color w:val="auto"/>
              </w:rPr>
              <w:t>Dependent Variable: LN_NOM_EX</w:t>
            </w:r>
          </w:p>
        </w:tc>
        <w:tc>
          <w:tcPr>
            <w:tcW w:w="3060" w:type="dxa"/>
          </w:tcPr>
          <w:p w:rsidR="00AC5BF4" w:rsidRPr="00770C4A" w:rsidRDefault="00AC5BF4" w:rsidP="003F4627">
            <w:pPr>
              <w:cnfStyle w:val="000000100000"/>
              <w:rPr>
                <w:color w:val="auto"/>
              </w:rPr>
            </w:pPr>
          </w:p>
        </w:tc>
        <w:tc>
          <w:tcPr>
            <w:tcW w:w="3060" w:type="dxa"/>
          </w:tcPr>
          <w:p w:rsidR="00AC5BF4" w:rsidRPr="00770C4A" w:rsidRDefault="00AC5BF4" w:rsidP="003F4627">
            <w:pPr>
              <w:cnfStyle w:val="000000100000"/>
              <w:rPr>
                <w:color w:val="auto"/>
              </w:rPr>
            </w:pPr>
          </w:p>
        </w:tc>
      </w:tr>
      <w:tr w:rsidR="00AC5BF4" w:rsidRPr="00770C4A" w:rsidTr="003F4627">
        <w:trPr>
          <w:gridAfter w:val="1"/>
          <w:wAfter w:w="3060" w:type="dxa"/>
        </w:trPr>
        <w:tc>
          <w:tcPr>
            <w:cnfStyle w:val="001000000000"/>
            <w:tcW w:w="3060" w:type="dxa"/>
          </w:tcPr>
          <w:p w:rsidR="00AC5BF4" w:rsidRPr="00770C4A" w:rsidRDefault="00AC5BF4" w:rsidP="003F4627">
            <w:pPr>
              <w:rPr>
                <w:color w:val="auto"/>
              </w:rPr>
            </w:pPr>
            <w:r w:rsidRPr="00770C4A">
              <w:rPr>
                <w:rFonts w:ascii="Calibri" w:hAnsi="Calibri" w:cs="Calibri"/>
                <w:color w:val="auto"/>
              </w:rPr>
              <w:t>Method: Panel Least Squares</w:t>
            </w:r>
          </w:p>
        </w:tc>
        <w:tc>
          <w:tcPr>
            <w:tcW w:w="3060" w:type="dxa"/>
          </w:tcPr>
          <w:p w:rsidR="00AC5BF4" w:rsidRPr="00770C4A" w:rsidRDefault="00AC5BF4" w:rsidP="003F4627">
            <w:pPr>
              <w:cnfStyle w:val="000000000000"/>
              <w:rPr>
                <w:color w:val="auto"/>
              </w:rPr>
            </w:pPr>
          </w:p>
        </w:tc>
        <w:tc>
          <w:tcPr>
            <w:tcW w:w="3060" w:type="dxa"/>
          </w:tcPr>
          <w:p w:rsidR="00AC5BF4" w:rsidRPr="00770C4A" w:rsidRDefault="00AC5BF4" w:rsidP="003F4627">
            <w:pPr>
              <w:cnfStyle w:val="000000000000"/>
              <w:rPr>
                <w:color w:val="auto"/>
              </w:rPr>
            </w:pPr>
          </w:p>
        </w:tc>
      </w:tr>
      <w:tr w:rsidR="00AC5BF4" w:rsidRPr="00770C4A" w:rsidTr="003F4627">
        <w:trPr>
          <w:gridAfter w:val="1"/>
          <w:cnfStyle w:val="000000100000"/>
          <w:wAfter w:w="3060" w:type="dxa"/>
        </w:trPr>
        <w:tc>
          <w:tcPr>
            <w:cnfStyle w:val="001000000000"/>
            <w:tcW w:w="3060" w:type="dxa"/>
          </w:tcPr>
          <w:p w:rsidR="00AC5BF4" w:rsidRPr="00663100" w:rsidRDefault="00AC5BF4" w:rsidP="003F4627">
            <w:pPr>
              <w:rPr>
                <w:color w:val="auto"/>
                <w:sz w:val="16"/>
                <w:szCs w:val="16"/>
              </w:rPr>
            </w:pPr>
          </w:p>
        </w:tc>
        <w:tc>
          <w:tcPr>
            <w:tcW w:w="3060" w:type="dxa"/>
          </w:tcPr>
          <w:p w:rsidR="00AC5BF4" w:rsidRPr="00663100" w:rsidRDefault="00AC5BF4" w:rsidP="003F4627">
            <w:pPr>
              <w:cnfStyle w:val="000000100000"/>
              <w:rPr>
                <w:color w:val="auto"/>
                <w:sz w:val="16"/>
                <w:szCs w:val="16"/>
              </w:rPr>
            </w:pPr>
          </w:p>
        </w:tc>
        <w:tc>
          <w:tcPr>
            <w:tcW w:w="3060" w:type="dxa"/>
          </w:tcPr>
          <w:p w:rsidR="00AC5BF4" w:rsidRPr="00663100" w:rsidRDefault="00AC5BF4" w:rsidP="003F4627">
            <w:pPr>
              <w:cnfStyle w:val="000000100000"/>
              <w:rPr>
                <w:color w:val="auto"/>
                <w:sz w:val="16"/>
                <w:szCs w:val="16"/>
              </w:rPr>
            </w:pPr>
          </w:p>
        </w:tc>
      </w:tr>
      <w:tr w:rsidR="00AC5BF4" w:rsidRPr="00770C4A" w:rsidTr="003F4627">
        <w:trPr>
          <w:gridAfter w:val="1"/>
          <w:wAfter w:w="3060" w:type="dxa"/>
        </w:trPr>
        <w:tc>
          <w:tcPr>
            <w:cnfStyle w:val="001000000000"/>
            <w:tcW w:w="3060" w:type="dxa"/>
          </w:tcPr>
          <w:p w:rsidR="00AC5BF4" w:rsidRPr="00770C4A" w:rsidRDefault="00AC5BF4" w:rsidP="003F4627">
            <w:pPr>
              <w:rPr>
                <w:rFonts w:ascii="Calibri" w:hAnsi="Calibri" w:cs="Calibri"/>
                <w:i/>
                <w:color w:val="auto"/>
              </w:rPr>
            </w:pPr>
            <w:r w:rsidRPr="00770C4A">
              <w:rPr>
                <w:rFonts w:ascii="Calibri" w:hAnsi="Calibri" w:cs="Calibri"/>
                <w:i/>
                <w:color w:val="auto"/>
              </w:rPr>
              <w:t>Model:</w:t>
            </w:r>
          </w:p>
        </w:tc>
        <w:tc>
          <w:tcPr>
            <w:tcW w:w="3060" w:type="dxa"/>
          </w:tcPr>
          <w:p w:rsidR="00AC5BF4" w:rsidRPr="00770C4A" w:rsidRDefault="00AC5BF4" w:rsidP="003F4627">
            <w:pPr>
              <w:cnfStyle w:val="000000000000"/>
              <w:rPr>
                <w:color w:val="auto"/>
              </w:rPr>
            </w:pPr>
            <w:r w:rsidRPr="00770C4A">
              <w:rPr>
                <w:color w:val="auto"/>
              </w:rPr>
              <w:t>Country Fixed Effect Model</w:t>
            </w:r>
          </w:p>
          <w:p w:rsidR="00AC5BF4" w:rsidRPr="00770C4A" w:rsidRDefault="00AC5BF4" w:rsidP="003F4627">
            <w:pPr>
              <w:cnfStyle w:val="000000000000"/>
              <w:rPr>
                <w:color w:val="auto"/>
                <w:vertAlign w:val="superscript"/>
              </w:rPr>
            </w:pPr>
            <w:r w:rsidRPr="00770C4A">
              <w:rPr>
                <w:color w:val="auto"/>
              </w:rPr>
              <w:t>Fixed time effects</w:t>
            </w:r>
            <w:r w:rsidR="005A116A" w:rsidRPr="00770C4A">
              <w:rPr>
                <w:color w:val="auto"/>
                <w:vertAlign w:val="superscript"/>
              </w:rPr>
              <w:t>(c)</w:t>
            </w:r>
          </w:p>
        </w:tc>
        <w:tc>
          <w:tcPr>
            <w:tcW w:w="3060" w:type="dxa"/>
          </w:tcPr>
          <w:p w:rsidR="00AC5BF4" w:rsidRPr="00770C4A" w:rsidRDefault="00AC5BF4" w:rsidP="003F4627">
            <w:pPr>
              <w:cnfStyle w:val="000000000000"/>
              <w:rPr>
                <w:color w:val="auto"/>
              </w:rPr>
            </w:pPr>
            <w:r w:rsidRPr="00770C4A">
              <w:rPr>
                <w:color w:val="auto"/>
              </w:rPr>
              <w:t>Country Pair Fixed Effect Model</w:t>
            </w:r>
          </w:p>
          <w:p w:rsidR="00AC5BF4" w:rsidRPr="00770C4A" w:rsidRDefault="00AC5BF4" w:rsidP="003F4627">
            <w:pPr>
              <w:cnfStyle w:val="000000000000"/>
              <w:rPr>
                <w:color w:val="auto"/>
                <w:vertAlign w:val="superscript"/>
              </w:rPr>
            </w:pPr>
            <w:r w:rsidRPr="00770C4A">
              <w:rPr>
                <w:color w:val="auto"/>
              </w:rPr>
              <w:t>Fixed time effects</w:t>
            </w:r>
            <w:r w:rsidR="005A116A" w:rsidRPr="00770C4A">
              <w:rPr>
                <w:color w:val="auto"/>
                <w:vertAlign w:val="superscript"/>
              </w:rPr>
              <w:t>(d)</w:t>
            </w:r>
          </w:p>
        </w:tc>
      </w:tr>
      <w:tr w:rsidR="00AC5BF4" w:rsidRPr="00770C4A" w:rsidTr="003F4627">
        <w:trPr>
          <w:gridAfter w:val="1"/>
          <w:cnfStyle w:val="000000100000"/>
          <w:wAfter w:w="3060" w:type="dxa"/>
        </w:trPr>
        <w:tc>
          <w:tcPr>
            <w:cnfStyle w:val="001000000000"/>
            <w:tcW w:w="3060" w:type="dxa"/>
          </w:tcPr>
          <w:p w:rsidR="00AC5BF4" w:rsidRPr="00770C4A" w:rsidRDefault="00AC5BF4" w:rsidP="003F4627">
            <w:pPr>
              <w:rPr>
                <w:rFonts w:ascii="Calibri" w:hAnsi="Calibri" w:cs="Calibri"/>
                <w:i/>
                <w:color w:val="auto"/>
                <w:u w:val="single"/>
              </w:rPr>
            </w:pPr>
            <w:r w:rsidRPr="00770C4A">
              <w:rPr>
                <w:rFonts w:ascii="Calibri" w:hAnsi="Calibri" w:cs="Calibri"/>
                <w:i/>
                <w:color w:val="auto"/>
                <w:u w:val="single"/>
              </w:rPr>
              <w:t>Variable:</w:t>
            </w:r>
          </w:p>
        </w:tc>
        <w:tc>
          <w:tcPr>
            <w:tcW w:w="3060" w:type="dxa"/>
          </w:tcPr>
          <w:p w:rsidR="00AC5BF4" w:rsidRPr="00770C4A" w:rsidRDefault="00AC5BF4" w:rsidP="003F4627">
            <w:pPr>
              <w:cnfStyle w:val="000000100000"/>
              <w:rPr>
                <w:color w:val="auto"/>
              </w:rPr>
            </w:pPr>
          </w:p>
        </w:tc>
        <w:tc>
          <w:tcPr>
            <w:tcW w:w="3060" w:type="dxa"/>
          </w:tcPr>
          <w:p w:rsidR="00AC5BF4" w:rsidRPr="00770C4A" w:rsidRDefault="00AC5BF4" w:rsidP="003F4627">
            <w:pPr>
              <w:cnfStyle w:val="000000100000"/>
              <w:rPr>
                <w:color w:val="auto"/>
              </w:rPr>
            </w:pPr>
          </w:p>
        </w:tc>
      </w:tr>
      <w:tr w:rsidR="007B3FD4" w:rsidRPr="00770C4A" w:rsidTr="003F4627">
        <w:trPr>
          <w:gridAfter w:val="1"/>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-6.777</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-10.70</w:t>
            </w:r>
            <w:r w:rsidR="007B3FD4" w:rsidRPr="00770C4A">
              <w:rPr>
                <w:rFonts w:ascii="Calibri" w:hAnsi="Calibri"/>
                <w:b/>
                <w:color w:val="auto"/>
              </w:rPr>
              <w:t>3</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LN_NOM_GDPI</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0.850</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w:t>
            </w:r>
            <w:r w:rsidR="007B3FD4" w:rsidRPr="00770C4A">
              <w:rPr>
                <w:rFonts w:ascii="Calibri" w:hAnsi="Calibri"/>
                <w:b/>
                <w:color w:val="auto"/>
              </w:rPr>
              <w:t>809</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r>
      <w:tr w:rsidR="007B3FD4" w:rsidRPr="00770C4A" w:rsidTr="003F4627">
        <w:trPr>
          <w:gridAfter w:val="1"/>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LN_NOM_GDPJ</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0.933</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w:t>
            </w:r>
            <w:r w:rsidR="007B3FD4" w:rsidRPr="00770C4A">
              <w:rPr>
                <w:rFonts w:ascii="Calibri" w:hAnsi="Calibri"/>
                <w:b/>
                <w:color w:val="auto"/>
              </w:rPr>
              <w:t>888</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COM_BORD</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0.186</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i/>
                <w:color w:val="auto"/>
              </w:rPr>
            </w:pPr>
          </w:p>
        </w:tc>
      </w:tr>
      <w:tr w:rsidR="007B3FD4" w:rsidRPr="00770C4A" w:rsidTr="003F4627">
        <w:trPr>
          <w:gridAfter w:val="1"/>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COM_LANG</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0.058</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000000"/>
              <w:rPr>
                <w:rFonts w:ascii="Calibri" w:hAnsi="Calibri" w:cs="Calibri"/>
                <w:b/>
                <w:i/>
                <w:color w:val="auto"/>
              </w:rPr>
            </w:pP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LN_DIST</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-1.309</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i/>
                <w:color w:val="auto"/>
              </w:rPr>
            </w:pPr>
          </w:p>
        </w:tc>
      </w:tr>
      <w:tr w:rsidR="007B3FD4" w:rsidRPr="00770C4A" w:rsidTr="003F4627">
        <w:trPr>
          <w:gridAfter w:val="1"/>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EU</w:t>
            </w:r>
            <w:r w:rsidR="00DC0EE2" w:rsidRPr="00770C4A">
              <w:rPr>
                <w:rFonts w:ascii="Calibri" w:hAnsi="Calibri" w:cs="Calibri"/>
                <w:color w:val="auto"/>
              </w:rPr>
              <w:t>15</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-0.133</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000000"/>
              <w:rPr>
                <w:rFonts w:ascii="Calibri" w:hAnsi="Calibri" w:cs="Calibri"/>
                <w:b/>
                <w:color w:val="auto"/>
              </w:rPr>
            </w:pP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512969">
            <w:pPr>
              <w:rPr>
                <w:rFonts w:ascii="Calibri" w:hAnsi="Calibri" w:cs="Calibri"/>
                <w:color w:val="auto"/>
              </w:rPr>
            </w:pPr>
            <w:r w:rsidRPr="00770C4A">
              <w:rPr>
                <w:rFonts w:ascii="Calibri" w:hAnsi="Calibri" w:cs="Calibri"/>
                <w:color w:val="auto"/>
              </w:rPr>
              <w:t>EMU</w:t>
            </w:r>
            <w:r w:rsidR="00DC0EE2" w:rsidRPr="00770C4A">
              <w:rPr>
                <w:rFonts w:ascii="Calibri" w:hAnsi="Calibri" w:cs="Calibri"/>
                <w:color w:val="auto"/>
              </w:rPr>
              <w:t>12</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0.105</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c>
          <w:tcPr>
            <w:tcW w:w="3060" w:type="dxa"/>
            <w:vAlign w:val="bottom"/>
          </w:tcPr>
          <w:p w:rsidR="007B3FD4" w:rsidRPr="00770C4A" w:rsidRDefault="007B3FD4" w:rsidP="003F4627">
            <w:pPr>
              <w:cnfStyle w:val="000000100000"/>
              <w:rPr>
                <w:rFonts w:ascii="Calibri" w:hAnsi="Calibri" w:cs="Calibri"/>
                <w:b/>
                <w:color w:val="auto"/>
              </w:rPr>
            </w:pPr>
          </w:p>
        </w:tc>
      </w:tr>
      <w:tr w:rsidR="007B3FD4" w:rsidRPr="00770C4A" w:rsidTr="003F4627">
        <w:trPr>
          <w:gridAfter w:val="1"/>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2004_X_M_EMU_07</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-0.064</w:t>
            </w:r>
          </w:p>
          <w:p w:rsidR="007B3FD4" w:rsidRPr="00770C4A" w:rsidRDefault="0098713C" w:rsidP="007B3FD4">
            <w:pPr>
              <w:cnfStyle w:val="000000000000"/>
              <w:rPr>
                <w:rFonts w:ascii="Calibri" w:hAnsi="Calibri"/>
                <w:b/>
                <w:color w:val="auto"/>
              </w:rPr>
            </w:pPr>
            <w:r w:rsidRPr="00770C4A">
              <w:rPr>
                <w:rFonts w:ascii="Calibri" w:hAnsi="Calibri" w:cs="Calibri"/>
                <w:i/>
                <w:color w:val="auto"/>
                <w:sz w:val="16"/>
                <w:szCs w:val="16"/>
              </w:rPr>
              <w:t>(0.000</w:t>
            </w:r>
            <w:r w:rsidR="007B3FD4" w:rsidRPr="00770C4A">
              <w:rPr>
                <w:rFonts w:ascii="Calibri" w:hAnsi="Calibri" w:cs="Calibri"/>
                <w:i/>
                <w:color w:val="auto"/>
                <w:sz w:val="16"/>
                <w:szCs w:val="16"/>
              </w:rPr>
              <w:t>)***</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w:t>
            </w:r>
            <w:r w:rsidR="007B3FD4" w:rsidRPr="00770C4A">
              <w:rPr>
                <w:rFonts w:ascii="Calibri" w:hAnsi="Calibri"/>
                <w:b/>
                <w:color w:val="auto"/>
              </w:rPr>
              <w:t>05</w:t>
            </w:r>
            <w:r w:rsidRPr="00770C4A">
              <w:rPr>
                <w:rFonts w:ascii="Calibri" w:hAnsi="Calibri"/>
                <w:b/>
                <w:color w:val="auto"/>
              </w:rPr>
              <w:t>8</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(0.000)***</w:t>
            </w: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2004_X_M_RW_07</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0.011</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w:t>
            </w:r>
            <w:r w:rsidR="0098713C" w:rsidRPr="00770C4A">
              <w:rPr>
                <w:rFonts w:ascii="Calibri" w:hAnsi="Calibri" w:cs="Calibri"/>
                <w:i/>
                <w:color w:val="auto"/>
                <w:sz w:val="16"/>
                <w:szCs w:val="16"/>
              </w:rPr>
              <w:t>503</w:t>
            </w:r>
            <w:r w:rsidRPr="00770C4A">
              <w:rPr>
                <w:rFonts w:ascii="Calibri" w:hAnsi="Calibri" w:cs="Calibri"/>
                <w:i/>
                <w:color w:val="auto"/>
                <w:sz w:val="16"/>
                <w:szCs w:val="16"/>
              </w:rPr>
              <w:t>)</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0.095</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r>
      <w:tr w:rsidR="007B3FD4" w:rsidRPr="00770C4A" w:rsidTr="003F4627">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newEMU_X_M_EMU_07</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0.072</w:t>
            </w:r>
          </w:p>
          <w:p w:rsidR="007B3FD4" w:rsidRPr="00770C4A" w:rsidRDefault="007B3FD4" w:rsidP="007B3FD4">
            <w:pPr>
              <w:cnfStyle w:val="000000000000"/>
              <w:rPr>
                <w:rFonts w:ascii="Calibri" w:hAnsi="Calibri"/>
                <w:b/>
                <w:color w:val="auto"/>
              </w:rPr>
            </w:pPr>
            <w:r w:rsidRPr="00770C4A">
              <w:rPr>
                <w:rFonts w:ascii="Calibri" w:hAnsi="Calibri" w:cs="Calibri"/>
                <w:i/>
                <w:color w:val="auto"/>
                <w:sz w:val="16"/>
                <w:szCs w:val="16"/>
              </w:rPr>
              <w:t>(0.00</w:t>
            </w:r>
            <w:r w:rsidR="0098713C" w:rsidRPr="00770C4A">
              <w:rPr>
                <w:rFonts w:ascii="Calibri" w:hAnsi="Calibri" w:cs="Calibri"/>
                <w:i/>
                <w:color w:val="auto"/>
                <w:sz w:val="16"/>
                <w:szCs w:val="16"/>
              </w:rPr>
              <w:t>2</w:t>
            </w:r>
            <w:r w:rsidRPr="00770C4A">
              <w:rPr>
                <w:rFonts w:ascii="Calibri" w:hAnsi="Calibri" w:cs="Calibri"/>
                <w:i/>
                <w:color w:val="auto"/>
                <w:sz w:val="16"/>
                <w:szCs w:val="16"/>
              </w:rPr>
              <w:t>)***</w:t>
            </w:r>
          </w:p>
        </w:tc>
        <w:tc>
          <w:tcPr>
            <w:tcW w:w="3060" w:type="dxa"/>
            <w:vAlign w:val="bottom"/>
          </w:tcPr>
          <w:p w:rsidR="007B3FD4" w:rsidRPr="00770C4A" w:rsidRDefault="0098713C" w:rsidP="007B3FD4">
            <w:pPr>
              <w:cnfStyle w:val="000000000000"/>
              <w:rPr>
                <w:rFonts w:ascii="Calibri" w:hAnsi="Calibri"/>
                <w:b/>
                <w:color w:val="auto"/>
              </w:rPr>
            </w:pPr>
            <w:r w:rsidRPr="00770C4A">
              <w:rPr>
                <w:rFonts w:ascii="Calibri" w:hAnsi="Calibri"/>
                <w:b/>
                <w:color w:val="auto"/>
              </w:rPr>
              <w:t>0.011</w:t>
            </w:r>
          </w:p>
          <w:p w:rsidR="007B3FD4" w:rsidRPr="00770C4A" w:rsidRDefault="0098713C" w:rsidP="007B3FD4">
            <w:pPr>
              <w:cnfStyle w:val="000000000000"/>
              <w:rPr>
                <w:rFonts w:ascii="Calibri" w:hAnsi="Calibri"/>
                <w:b/>
                <w:color w:val="auto"/>
              </w:rPr>
            </w:pPr>
            <w:r w:rsidRPr="00770C4A">
              <w:rPr>
                <w:rFonts w:ascii="Calibri" w:hAnsi="Calibri" w:cs="Calibri"/>
                <w:i/>
                <w:color w:val="auto"/>
                <w:sz w:val="16"/>
                <w:szCs w:val="16"/>
              </w:rPr>
              <w:t>(0.401</w:t>
            </w:r>
            <w:r w:rsidR="007B3FD4" w:rsidRPr="00770C4A">
              <w:rPr>
                <w:rFonts w:ascii="Calibri" w:hAnsi="Calibri" w:cs="Calibri"/>
                <w:i/>
                <w:color w:val="auto"/>
                <w:sz w:val="16"/>
                <w:szCs w:val="16"/>
              </w:rPr>
              <w:t>)</w:t>
            </w:r>
          </w:p>
        </w:tc>
        <w:tc>
          <w:tcPr>
            <w:tcW w:w="3060" w:type="dxa"/>
            <w:vAlign w:val="bottom"/>
          </w:tcPr>
          <w:p w:rsidR="007B3FD4" w:rsidRPr="00770C4A" w:rsidRDefault="007B3FD4" w:rsidP="003F4627">
            <w:pPr>
              <w:cnfStyle w:val="000000000000"/>
              <w:rPr>
                <w:rFonts w:ascii="Calibri" w:hAnsi="Calibri" w:cs="Calibri"/>
                <w:b/>
                <w:color w:val="auto"/>
              </w:rPr>
            </w:pPr>
          </w:p>
        </w:tc>
      </w:tr>
      <w:tr w:rsidR="007B3FD4" w:rsidRPr="00770C4A" w:rsidTr="003F4627">
        <w:trPr>
          <w:gridAfter w:val="1"/>
          <w:cnfStyle w:val="000000100000"/>
          <w:wAfter w:w="3060" w:type="dxa"/>
        </w:trPr>
        <w:tc>
          <w:tcPr>
            <w:cnfStyle w:val="001000000000"/>
            <w:tcW w:w="3060" w:type="dxa"/>
            <w:vAlign w:val="center"/>
          </w:tcPr>
          <w:p w:rsidR="007B3FD4" w:rsidRPr="00770C4A" w:rsidRDefault="007B3FD4" w:rsidP="003F4627">
            <w:pPr>
              <w:rPr>
                <w:rFonts w:ascii="Calibri" w:hAnsi="Calibri" w:cs="Calibri"/>
                <w:color w:val="auto"/>
              </w:rPr>
            </w:pPr>
            <w:r w:rsidRPr="00770C4A">
              <w:rPr>
                <w:rFonts w:ascii="Calibri" w:hAnsi="Calibri" w:cs="Calibri"/>
                <w:color w:val="auto"/>
              </w:rPr>
              <w:t>newEMU_X_M_RW_07</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-0.007</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w:t>
            </w:r>
            <w:r w:rsidR="0098713C" w:rsidRPr="00770C4A">
              <w:rPr>
                <w:rFonts w:ascii="Calibri" w:hAnsi="Calibri" w:cs="Calibri"/>
                <w:i/>
                <w:color w:val="auto"/>
                <w:sz w:val="16"/>
                <w:szCs w:val="16"/>
              </w:rPr>
              <w:t>736</w:t>
            </w:r>
            <w:r w:rsidRPr="00770C4A">
              <w:rPr>
                <w:rFonts w:ascii="Calibri" w:hAnsi="Calibri" w:cs="Calibri"/>
                <w:i/>
                <w:color w:val="auto"/>
                <w:sz w:val="16"/>
                <w:szCs w:val="16"/>
              </w:rPr>
              <w:t>)</w:t>
            </w:r>
          </w:p>
        </w:tc>
        <w:tc>
          <w:tcPr>
            <w:tcW w:w="3060" w:type="dxa"/>
            <w:vAlign w:val="bottom"/>
          </w:tcPr>
          <w:p w:rsidR="007B3FD4" w:rsidRPr="00770C4A" w:rsidRDefault="0098713C" w:rsidP="007B3FD4">
            <w:pPr>
              <w:cnfStyle w:val="000000100000"/>
              <w:rPr>
                <w:rFonts w:ascii="Calibri" w:hAnsi="Calibri"/>
                <w:b/>
                <w:color w:val="auto"/>
              </w:rPr>
            </w:pPr>
            <w:r w:rsidRPr="00770C4A">
              <w:rPr>
                <w:rFonts w:ascii="Calibri" w:hAnsi="Calibri"/>
                <w:b/>
                <w:color w:val="auto"/>
              </w:rPr>
              <w:t>-0.047</w:t>
            </w:r>
          </w:p>
          <w:p w:rsidR="007B3FD4" w:rsidRPr="00770C4A" w:rsidRDefault="007B3FD4" w:rsidP="007B3FD4">
            <w:pPr>
              <w:cnfStyle w:val="000000100000"/>
              <w:rPr>
                <w:rFonts w:ascii="Calibri" w:hAnsi="Calibri"/>
                <w:b/>
                <w:color w:val="auto"/>
              </w:rPr>
            </w:pPr>
            <w:r w:rsidRPr="00770C4A">
              <w:rPr>
                <w:rFonts w:ascii="Calibri" w:hAnsi="Calibri" w:cs="Calibri"/>
                <w:i/>
                <w:color w:val="auto"/>
                <w:sz w:val="16"/>
                <w:szCs w:val="16"/>
              </w:rPr>
              <w:t>(0.000)***</w:t>
            </w:r>
          </w:p>
        </w:tc>
      </w:tr>
      <w:tr w:rsidR="00AC5BF4" w:rsidRPr="00770C4A" w:rsidTr="003F4627">
        <w:trPr>
          <w:gridAfter w:val="1"/>
          <w:wAfter w:w="3060" w:type="dxa"/>
        </w:trPr>
        <w:tc>
          <w:tcPr>
            <w:cnfStyle w:val="001000000000"/>
            <w:tcW w:w="3060" w:type="dxa"/>
          </w:tcPr>
          <w:p w:rsidR="00AC5BF4" w:rsidRPr="00663100" w:rsidRDefault="00AC5BF4" w:rsidP="003F4627">
            <w:pPr>
              <w:rPr>
                <w:rFonts w:ascii="Calibri" w:hAnsi="Calibri" w:cs="Calibri"/>
                <w:color w:val="auto"/>
                <w:sz w:val="16"/>
                <w:szCs w:val="16"/>
              </w:rPr>
            </w:pPr>
          </w:p>
        </w:tc>
        <w:tc>
          <w:tcPr>
            <w:tcW w:w="3060" w:type="dxa"/>
          </w:tcPr>
          <w:p w:rsidR="00AC5BF4" w:rsidRPr="00663100" w:rsidRDefault="00AC5BF4" w:rsidP="003F4627">
            <w:pPr>
              <w:cnfStyle w:val="000000000000"/>
              <w:rPr>
                <w:color w:val="auto"/>
                <w:sz w:val="16"/>
                <w:szCs w:val="16"/>
              </w:rPr>
            </w:pPr>
          </w:p>
        </w:tc>
        <w:tc>
          <w:tcPr>
            <w:tcW w:w="3060" w:type="dxa"/>
          </w:tcPr>
          <w:p w:rsidR="00AC5BF4" w:rsidRPr="00663100" w:rsidRDefault="00AC5BF4" w:rsidP="003F4627">
            <w:pPr>
              <w:cnfStyle w:val="000000000000"/>
              <w:rPr>
                <w:color w:val="auto"/>
                <w:sz w:val="16"/>
                <w:szCs w:val="16"/>
              </w:rPr>
            </w:pPr>
          </w:p>
        </w:tc>
      </w:tr>
      <w:tr w:rsidR="00AC5BF4" w:rsidRPr="00770C4A" w:rsidTr="003F4627">
        <w:trPr>
          <w:gridAfter w:val="1"/>
          <w:cnfStyle w:val="000000100000"/>
          <w:wAfter w:w="3060" w:type="dxa"/>
        </w:trPr>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N</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15082</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15082</w:t>
            </w:r>
          </w:p>
        </w:tc>
      </w:tr>
      <w:tr w:rsidR="00AC5BF4" w:rsidRPr="00770C4A" w:rsidTr="003F4627">
        <w:trPr>
          <w:gridAfter w:val="1"/>
          <w:wAfter w:w="3060" w:type="dxa"/>
        </w:trPr>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R-squared</w:t>
            </w:r>
          </w:p>
        </w:tc>
        <w:tc>
          <w:tcPr>
            <w:tcW w:w="3060" w:type="dxa"/>
            <w:vAlign w:val="bottom"/>
          </w:tcPr>
          <w:p w:rsidR="00AC5BF4" w:rsidRPr="00770C4A" w:rsidRDefault="00AC5BF4" w:rsidP="003F4627">
            <w:pPr>
              <w:cnfStyle w:val="000000000000"/>
              <w:rPr>
                <w:rFonts w:ascii="Calibri" w:hAnsi="Calibri" w:cs="Calibri"/>
                <w:color w:val="auto"/>
              </w:rPr>
            </w:pPr>
            <w:r w:rsidRPr="00770C4A">
              <w:rPr>
                <w:rFonts w:ascii="Calibri" w:hAnsi="Calibri" w:cs="Calibri"/>
                <w:color w:val="auto"/>
              </w:rPr>
              <w:t>0.90</w:t>
            </w:r>
          </w:p>
        </w:tc>
        <w:tc>
          <w:tcPr>
            <w:tcW w:w="3060" w:type="dxa"/>
            <w:vAlign w:val="bottom"/>
          </w:tcPr>
          <w:p w:rsidR="00AC5BF4" w:rsidRPr="00770C4A" w:rsidRDefault="00AC5BF4" w:rsidP="003F4627">
            <w:pPr>
              <w:cnfStyle w:val="000000000000"/>
              <w:rPr>
                <w:rFonts w:ascii="Calibri" w:hAnsi="Calibri" w:cs="Calibri"/>
                <w:color w:val="auto"/>
              </w:rPr>
            </w:pPr>
            <w:r w:rsidRPr="00770C4A">
              <w:rPr>
                <w:rFonts w:ascii="Calibri" w:hAnsi="Calibri" w:cs="Calibri"/>
                <w:color w:val="auto"/>
              </w:rPr>
              <w:t>0.98</w:t>
            </w:r>
          </w:p>
        </w:tc>
      </w:tr>
      <w:tr w:rsidR="00AC5BF4" w:rsidRPr="00770C4A" w:rsidTr="003F4627">
        <w:trPr>
          <w:gridAfter w:val="1"/>
          <w:cnfStyle w:val="000000100000"/>
          <w:wAfter w:w="3060" w:type="dxa"/>
        </w:trPr>
        <w:tc>
          <w:tcPr>
            <w:cnfStyle w:val="001000000000"/>
            <w:tcW w:w="3060" w:type="dxa"/>
            <w:vAlign w:val="center"/>
          </w:tcPr>
          <w:p w:rsidR="00AC5BF4" w:rsidRPr="00770C4A" w:rsidRDefault="00AC5BF4" w:rsidP="003F4627">
            <w:pPr>
              <w:rPr>
                <w:rFonts w:ascii="Calibri" w:hAnsi="Calibri" w:cs="Calibri"/>
                <w:color w:val="auto"/>
              </w:rPr>
            </w:pPr>
            <w:r w:rsidRPr="00770C4A">
              <w:rPr>
                <w:rFonts w:ascii="Calibri" w:hAnsi="Calibri" w:cs="Calibri"/>
                <w:color w:val="auto"/>
              </w:rPr>
              <w:t>Adjusted R-squared</w:t>
            </w:r>
          </w:p>
        </w:tc>
        <w:tc>
          <w:tcPr>
            <w:tcW w:w="3060" w:type="dxa"/>
            <w:vAlign w:val="bottom"/>
          </w:tcPr>
          <w:p w:rsidR="00AC5BF4" w:rsidRPr="00770C4A" w:rsidRDefault="00AC5BF4" w:rsidP="003F4627">
            <w:pPr>
              <w:cnfStyle w:val="000000100000"/>
              <w:rPr>
                <w:rFonts w:ascii="Calibri" w:hAnsi="Calibri" w:cs="Calibri"/>
                <w:color w:val="auto"/>
              </w:rPr>
            </w:pPr>
            <w:r w:rsidRPr="00770C4A">
              <w:rPr>
                <w:rFonts w:ascii="Calibri" w:hAnsi="Calibri" w:cs="Calibri"/>
                <w:color w:val="auto"/>
              </w:rPr>
              <w:t>0.90</w:t>
            </w:r>
          </w:p>
        </w:tc>
        <w:tc>
          <w:tcPr>
            <w:tcW w:w="3060" w:type="dxa"/>
            <w:vAlign w:val="bottom"/>
          </w:tcPr>
          <w:p w:rsidR="00AC5BF4" w:rsidRPr="00770C4A" w:rsidRDefault="00AC5BF4" w:rsidP="005A116A">
            <w:pPr>
              <w:keepNext/>
              <w:cnfStyle w:val="000000100000"/>
              <w:rPr>
                <w:rFonts w:ascii="Calibri" w:hAnsi="Calibri" w:cs="Calibri"/>
                <w:color w:val="auto"/>
              </w:rPr>
            </w:pPr>
            <w:r w:rsidRPr="00770C4A">
              <w:rPr>
                <w:rFonts w:ascii="Calibri" w:hAnsi="Calibri" w:cs="Calibri"/>
                <w:color w:val="auto"/>
              </w:rPr>
              <w:t>0.97</w:t>
            </w:r>
          </w:p>
        </w:tc>
      </w:tr>
    </w:tbl>
    <w:p w:rsidR="005A116A" w:rsidRPr="00770C4A" w:rsidRDefault="005A116A" w:rsidP="0028188C">
      <w:pPr>
        <w:pStyle w:val="Caption"/>
        <w:jc w:val="both"/>
        <w:rPr>
          <w:color w:val="auto"/>
        </w:rPr>
      </w:pPr>
      <w:r w:rsidRPr="00770C4A">
        <w:rPr>
          <w:color w:val="auto"/>
        </w:rPr>
        <w:t>Notes: (a) Marginal refers to the extra trade effects of the new EMU members compared to the benchmark group; (b) average refers to the average trade effects over the four new EMU members (Slovenia, Cyprus, Malta, the Slovak Republic); (c) rejection of redundant period fixed effects at p = 0.000; (d) rejection of redundant period and cross-section fixed effects at p = 0.000; (</w:t>
      </w:r>
      <w:proofErr w:type="spellStart"/>
      <w:r w:rsidRPr="00770C4A">
        <w:rPr>
          <w:color w:val="auto"/>
        </w:rPr>
        <w:t>i</w:t>
      </w:r>
      <w:proofErr w:type="spellEnd"/>
      <w:r w:rsidRPr="00770C4A">
        <w:rPr>
          <w:color w:val="auto"/>
        </w:rPr>
        <w:t xml:space="preserve">) p-values are in parentheses, p***&lt;0.01, p**&lt;0.05, p*&lt;0.10; (ii) </w:t>
      </w:r>
      <w:r w:rsidRPr="00770C4A">
        <w:rPr>
          <w:i/>
          <w:color w:val="auto"/>
        </w:rPr>
        <w:t>group</w:t>
      </w:r>
      <w:r w:rsidRPr="00770C4A">
        <w:rPr>
          <w:color w:val="auto"/>
        </w:rPr>
        <w:t>_x_m_</w:t>
      </w:r>
      <w:r w:rsidRPr="00770C4A">
        <w:rPr>
          <w:i/>
          <w:color w:val="auto"/>
        </w:rPr>
        <w:t>partner_</w:t>
      </w:r>
      <w:r w:rsidR="00663100">
        <w:rPr>
          <w:i/>
          <w:color w:val="auto"/>
        </w:rPr>
        <w:t>07</w:t>
      </w:r>
      <w:r w:rsidRPr="00770C4A">
        <w:rPr>
          <w:color w:val="auto"/>
        </w:rPr>
        <w:t xml:space="preserve"> indicates trade effects for the new EMU members or the 2004 EU entrants with either EMU members</w:t>
      </w:r>
      <w:r w:rsidR="00770C4A">
        <w:rPr>
          <w:color w:val="auto"/>
        </w:rPr>
        <w:t xml:space="preserve"> (EMU)</w:t>
      </w:r>
      <w:r w:rsidRPr="00770C4A">
        <w:rPr>
          <w:color w:val="auto"/>
        </w:rPr>
        <w:t xml:space="preserve"> or the Rest of the World</w:t>
      </w:r>
      <w:r w:rsidR="00770C4A">
        <w:rPr>
          <w:color w:val="auto"/>
        </w:rPr>
        <w:t xml:space="preserve"> (RW)</w:t>
      </w:r>
      <w:r w:rsidRPr="00770C4A">
        <w:rPr>
          <w:color w:val="auto"/>
        </w:rPr>
        <w:t>, from 2007 onwards.</w:t>
      </w:r>
    </w:p>
    <w:p w:rsidR="00C532F6" w:rsidRDefault="00C532F6" w:rsidP="00C532F6">
      <w:pPr>
        <w:spacing w:line="360" w:lineRule="auto"/>
        <w:jc w:val="both"/>
      </w:pPr>
      <w:r>
        <w:lastRenderedPageBreak/>
        <w:t xml:space="preserve">Finally, given the lower total trade of the </w:t>
      </w:r>
      <w:proofErr w:type="spellStart"/>
      <w:r>
        <w:t>newEMU</w:t>
      </w:r>
      <w:proofErr w:type="spellEnd"/>
      <w:r>
        <w:t xml:space="preserve"> group compared to the benchmark</w:t>
      </w:r>
      <w:r w:rsidR="00D00E7A">
        <w:t xml:space="preserve"> group in table 7-</w:t>
      </w:r>
      <w:r>
        <w:t xml:space="preserve">3, and seen that no evidence for a fall in trade with the EMU members is found, this must go at the cost of trade with the rest of the world, as seen in the table below. </w:t>
      </w:r>
    </w:p>
    <w:p w:rsidR="007E3B40" w:rsidRDefault="00A9469C" w:rsidP="00C532F6">
      <w:pPr>
        <w:spacing w:line="360" w:lineRule="auto"/>
        <w:jc w:val="both"/>
      </w:pPr>
      <w:r>
        <w:t xml:space="preserve">Given the results found in testing hypotheses 5 and 6, no confirmation of the theory on currency union is found. Although the </w:t>
      </w:r>
      <w:r w:rsidR="00D00E7A">
        <w:t>group</w:t>
      </w:r>
      <w:r>
        <w:t xml:space="preserve"> of the 2004 EU entrants </w:t>
      </w:r>
      <w:r w:rsidR="00D00E7A">
        <w:t xml:space="preserve">on average </w:t>
      </w:r>
      <w:r>
        <w:t xml:space="preserve">shows a strong growth in trade with both EMU members and the rest of the world, this is not of interest in this thesis. For a confirmation of the currency union theory a minimum result would have to be that on average trade of the </w:t>
      </w:r>
      <w:proofErr w:type="spellStart"/>
      <w:r>
        <w:t>newEMU</w:t>
      </w:r>
      <w:proofErr w:type="spellEnd"/>
      <w:r>
        <w:t xml:space="preserve"> group with EMU members </w:t>
      </w:r>
      <w:r w:rsidR="00D00E7A">
        <w:t>has increased</w:t>
      </w:r>
      <w:r>
        <w:t>. Given that no ev</w:t>
      </w:r>
      <w:r w:rsidR="00D00E7A">
        <w:t>idence for either an increase or</w:t>
      </w:r>
      <w:r>
        <w:t xml:space="preserve"> decrease of trade between the </w:t>
      </w:r>
      <w:proofErr w:type="spellStart"/>
      <w:r>
        <w:t>newEMU</w:t>
      </w:r>
      <w:proofErr w:type="spellEnd"/>
      <w:r>
        <w:t xml:space="preserve"> group and EMU members is found, </w:t>
      </w:r>
      <w:r w:rsidR="00D00E7A">
        <w:t xml:space="preserve">and still assuming that the theory is correct, </w:t>
      </w:r>
      <w:r>
        <w:t>there must be a problem with th</w:t>
      </w:r>
      <w:r w:rsidR="00D00E7A">
        <w:t>e data</w:t>
      </w:r>
      <w:r>
        <w:t xml:space="preserve">. The same potential problems arise </w:t>
      </w:r>
      <w:r w:rsidR="00C05C1A">
        <w:t>in testing these hypotheses as in testing hypothesis 4, where either some of the non-EMU 2004 EU entrant</w:t>
      </w:r>
      <w:r w:rsidR="00C532F6">
        <w:t xml:space="preserve">s might have seen large increases in total trade since 2007 onwards, or that Cyprus is distorting the average of the </w:t>
      </w:r>
      <w:proofErr w:type="spellStart"/>
      <w:r w:rsidR="00C532F6">
        <w:t>newEMU</w:t>
      </w:r>
      <w:proofErr w:type="spellEnd"/>
      <w:r w:rsidR="00C532F6">
        <w:t xml:space="preserve"> group. </w:t>
      </w:r>
    </w:p>
    <w:p w:rsidR="007E3B40" w:rsidRDefault="00770C4A" w:rsidP="00770C4A">
      <w:pPr>
        <w:pStyle w:val="Heading2"/>
        <w:numPr>
          <w:ilvl w:val="1"/>
          <w:numId w:val="1"/>
        </w:numPr>
      </w:pPr>
      <w:r>
        <w:t xml:space="preserve"> </w:t>
      </w:r>
      <w:r>
        <w:tab/>
      </w:r>
      <w:bookmarkStart w:id="39" w:name="_Toc353348799"/>
      <w:r>
        <w:t>Preliminary Findings</w:t>
      </w:r>
      <w:bookmarkEnd w:id="39"/>
    </w:p>
    <w:p w:rsidR="00B15EB6" w:rsidRDefault="007E3B40" w:rsidP="007E3B40">
      <w:pPr>
        <w:spacing w:line="360" w:lineRule="auto"/>
        <w:jc w:val="both"/>
        <w:rPr>
          <w:color w:val="365F91" w:themeColor="accent1" w:themeShade="BF"/>
          <w:sz w:val="28"/>
          <w:szCs w:val="28"/>
        </w:rPr>
      </w:pPr>
      <w:r>
        <w:t xml:space="preserve">The results found so far in this thesis </w:t>
      </w:r>
      <w:r w:rsidR="003660AE">
        <w:t>are inconsistent and not always in line to what currency union theory prescribes. On the one hand, on the individual country-level, two of the four new EMU members, Slovenia and the Slovak Republic, display trade pattern</w:t>
      </w:r>
      <w:r w:rsidR="00D00E7A">
        <w:t>s</w:t>
      </w:r>
      <w:r w:rsidR="003660AE">
        <w:t xml:space="preserve"> completely in line with </w:t>
      </w:r>
      <w:r w:rsidR="00D00E7A">
        <w:t>currency union theory</w:t>
      </w:r>
      <w:r w:rsidR="003660AE">
        <w:t xml:space="preserve">. Since </w:t>
      </w:r>
      <w:r w:rsidR="00D00E7A">
        <w:t xml:space="preserve">adopting the </w:t>
      </w:r>
      <w:r w:rsidR="003660AE">
        <w:t xml:space="preserve">Euro both countries </w:t>
      </w:r>
      <w:r w:rsidR="00D00E7A">
        <w:t xml:space="preserve">have </w:t>
      </w:r>
      <w:r w:rsidR="003660AE">
        <w:t>display</w:t>
      </w:r>
      <w:r w:rsidR="00D00E7A">
        <w:t>ed</w:t>
      </w:r>
      <w:r w:rsidR="003660AE">
        <w:t xml:space="preserve"> increased levels of trade with both EMU members and the rest of the World, thus confirming currency union theory and providing evidence of trade creation. Also for Malta a small increase in trade is found since Euro adoption, but it is unclear with which trading partners. Finally Cyprus is adversely affected by the situation in Greece, which distorts any potential effect Euro adoption would have had on trade. </w:t>
      </w:r>
      <w:r w:rsidR="00D00E7A">
        <w:t>O</w:t>
      </w:r>
      <w:r w:rsidR="003660AE">
        <w:t>n the other hand</w:t>
      </w:r>
      <w:r w:rsidR="00D00E7A">
        <w:t>, when</w:t>
      </w:r>
      <w:r w:rsidR="003660AE">
        <w:t xml:space="preserve"> looking at the average of the new EMU members as a group, and comparing their trade figures with the average of the 2004 EU entrants</w:t>
      </w:r>
      <w:r w:rsidR="00EE6746">
        <w:t>, no evidence of any form of a currency union effect is found. On average the</w:t>
      </w:r>
      <w:r w:rsidR="00D00E7A">
        <w:t xml:space="preserve"> growth in</w:t>
      </w:r>
      <w:r w:rsidR="00EE6746">
        <w:t xml:space="preserve"> trade level of the </w:t>
      </w:r>
      <w:proofErr w:type="spellStart"/>
      <w:r w:rsidR="00EE6746">
        <w:t>newEMU</w:t>
      </w:r>
      <w:proofErr w:type="spellEnd"/>
      <w:r w:rsidR="00EE6746">
        <w:t xml:space="preserve"> group </w:t>
      </w:r>
      <w:r w:rsidR="00D00E7A">
        <w:t>is</w:t>
      </w:r>
      <w:r w:rsidR="00EE6746">
        <w:t xml:space="preserve"> lower compared to </w:t>
      </w:r>
      <w:r w:rsidR="00D00E7A">
        <w:t>that of the overall 2004 EU entrant group</w:t>
      </w:r>
      <w:r w:rsidR="00EE6746">
        <w:t xml:space="preserve">. </w:t>
      </w:r>
      <w:r w:rsidR="00D00E7A">
        <w:t>In this comparative analysis</w:t>
      </w:r>
      <w:r w:rsidR="00EE6746">
        <w:t xml:space="preserve"> no evidence is found that the average trade between the </w:t>
      </w:r>
      <w:proofErr w:type="spellStart"/>
      <w:r w:rsidR="00EE6746">
        <w:t>newEMU</w:t>
      </w:r>
      <w:proofErr w:type="spellEnd"/>
      <w:r w:rsidR="00EE6746">
        <w:t xml:space="preserve"> group and EMU members is </w:t>
      </w:r>
      <w:r w:rsidR="00D00E7A">
        <w:t>significantly greater</w:t>
      </w:r>
      <w:r w:rsidR="00EE6746">
        <w:t xml:space="preserve"> than average trade between the 2004 EU entrants and the EMU members, </w:t>
      </w:r>
      <w:r w:rsidR="00D00E7A">
        <w:t>which</w:t>
      </w:r>
      <w:r w:rsidR="00EE6746">
        <w:t xml:space="preserve"> is a minimum requirement for confirming any currency union theory. </w:t>
      </w:r>
    </w:p>
    <w:p w:rsidR="003660AE" w:rsidRDefault="003660AE">
      <w:pPr>
        <w:rPr>
          <w:rFonts w:asciiTheme="majorHAnsi" w:eastAsiaTheme="majorEastAsia" w:hAnsiTheme="majorHAnsi" w:cstheme="majorBidi"/>
          <w:b/>
          <w:bCs/>
          <w:color w:val="365F91" w:themeColor="accent1" w:themeShade="BF"/>
          <w:sz w:val="28"/>
          <w:szCs w:val="28"/>
        </w:rPr>
      </w:pPr>
      <w:r>
        <w:br w:type="page"/>
      </w:r>
    </w:p>
    <w:p w:rsidR="004540FC" w:rsidRDefault="00CD7097" w:rsidP="00770C4A">
      <w:pPr>
        <w:pStyle w:val="Heading1"/>
        <w:numPr>
          <w:ilvl w:val="0"/>
          <w:numId w:val="1"/>
        </w:numPr>
        <w:spacing w:line="360" w:lineRule="auto"/>
      </w:pPr>
      <w:r>
        <w:lastRenderedPageBreak/>
        <w:t xml:space="preserve"> </w:t>
      </w:r>
      <w:bookmarkStart w:id="40" w:name="_Toc353180791"/>
      <w:bookmarkStart w:id="41" w:name="_Toc353348800"/>
      <w:r w:rsidR="004540FC">
        <w:t>Robustness Tests</w:t>
      </w:r>
      <w:bookmarkEnd w:id="40"/>
      <w:bookmarkEnd w:id="41"/>
    </w:p>
    <w:p w:rsidR="002654CA" w:rsidRDefault="00A0681C" w:rsidP="002654CA">
      <w:pPr>
        <w:spacing w:line="360" w:lineRule="auto"/>
        <w:jc w:val="both"/>
      </w:pPr>
      <w:r>
        <w:t xml:space="preserve">The previous chapter has presented the results of the hypotheses testing and thereby answered the main research question. This chapter will perform the same analyses as the previous chapter, but with some </w:t>
      </w:r>
      <w:r w:rsidR="002654CA">
        <w:t xml:space="preserve">changes in the model or variables in order to test whether the findings of the previous chapter are robust to these changes. First the model is tested again by including instrumental variables in order to correct for a potential </w:t>
      </w:r>
      <w:proofErr w:type="spellStart"/>
      <w:r w:rsidR="002654CA">
        <w:t>endogeneity</w:t>
      </w:r>
      <w:proofErr w:type="spellEnd"/>
      <w:r w:rsidR="002654CA">
        <w:t xml:space="preserve"> problem. Secondly hypotheses 4 – 6 are re-tested while excluding Cyprus from the group of new EMU members, to see whether this leads to severe changes in the results. </w:t>
      </w:r>
      <w:r w:rsidR="003F4627">
        <w:t>F</w:t>
      </w:r>
      <w:r w:rsidR="002654CA">
        <w:t xml:space="preserve">inally, to see whether </w:t>
      </w:r>
      <w:r w:rsidR="003F4627">
        <w:t>the effect of Euro adoption is sensitive to changes in the year of Euro adoption</w:t>
      </w:r>
      <w:r w:rsidR="00250259">
        <w:t>, different years of Euro adoption will be tested.</w:t>
      </w:r>
    </w:p>
    <w:p w:rsidR="002654CA" w:rsidRDefault="00250259" w:rsidP="00770C4A">
      <w:pPr>
        <w:pStyle w:val="Heading2"/>
        <w:numPr>
          <w:ilvl w:val="1"/>
          <w:numId w:val="1"/>
        </w:numPr>
      </w:pPr>
      <w:r>
        <w:t xml:space="preserve"> </w:t>
      </w:r>
      <w:r>
        <w:tab/>
      </w:r>
      <w:bookmarkStart w:id="42" w:name="_Toc353348801"/>
      <w:r w:rsidR="0081533F">
        <w:t>Causality</w:t>
      </w:r>
      <w:r w:rsidR="00D00E7A">
        <w:t xml:space="preserve"> Testing</w:t>
      </w:r>
      <w:bookmarkEnd w:id="42"/>
    </w:p>
    <w:p w:rsidR="00FE33D6" w:rsidRDefault="00FE33D6" w:rsidP="00FE33D6">
      <w:pPr>
        <w:spacing w:line="360" w:lineRule="auto"/>
        <w:jc w:val="both"/>
      </w:pPr>
      <w:r>
        <w:t xml:space="preserve">The previous chapter has tested whether the new EMU members displayed increased levels of trade since Euro adoption. For </w:t>
      </w:r>
      <w:smartTag w:uri="urn:schemas-microsoft-com:office:smarttags" w:element="place">
        <w:smartTag w:uri="urn:schemas-microsoft-com:office:smarttags" w:element="country-region">
          <w:r>
            <w:t>Slovenia</w:t>
          </w:r>
        </w:smartTag>
      </w:smartTag>
      <w:r>
        <w:t xml:space="preserve"> and the </w:t>
      </w:r>
      <w:smartTag w:uri="urn:schemas-microsoft-com:office:smarttags" w:element="place">
        <w:smartTag w:uri="urn:schemas-microsoft-com:office:smarttags" w:element="PlaceName">
          <w:r>
            <w:t>Slovak</w:t>
          </w:r>
        </w:smartTag>
        <w:r>
          <w:t xml:space="preserve"> </w:t>
        </w:r>
        <w:smartTag w:uri="urn:schemas-microsoft-com:office:smarttags" w:element="PlaceType">
          <w:r>
            <w:t>Republic</w:t>
          </w:r>
        </w:smartTag>
      </w:smartTag>
      <w:r>
        <w:t xml:space="preserve"> positive and significant coefficients hinted at increased levels of trade since they adopted the Euro. The question of causality however remains unanswered by testing solely for a relation between Euro introduction and exports. Is it the case that countries adopt the Euro because they </w:t>
      </w:r>
      <w:r w:rsidRPr="004D482F">
        <w:t>already</w:t>
      </w:r>
      <w:r>
        <w:t xml:space="preserve"> trade a lot with EMU members? Or do countries adopt the Euro because they want to increase their trade with EMU members? Since the critique of lacking causality in Rose’s (2001) paper on the currency union trade effect, author’s started to apply the country-pair fixed effect model. In using this model, any existing large trade patterns between a pair of countries is controlled for, thereby reducing a potential </w:t>
      </w:r>
      <w:proofErr w:type="spellStart"/>
      <w:r>
        <w:t>endogeneity</w:t>
      </w:r>
      <w:proofErr w:type="spellEnd"/>
      <w:r>
        <w:t xml:space="preserve"> problem (</w:t>
      </w:r>
      <w:proofErr w:type="spellStart"/>
      <w:r>
        <w:t>Micco</w:t>
      </w:r>
      <w:proofErr w:type="spellEnd"/>
      <w:r>
        <w:t xml:space="preserve"> et al., 2003). Although this is a correct reasoning, no research actually tests for causality. This with the exception of Barr et al. (2003) and </w:t>
      </w:r>
      <w:proofErr w:type="spellStart"/>
      <w:r>
        <w:t>Belke</w:t>
      </w:r>
      <w:proofErr w:type="spellEnd"/>
      <w:r>
        <w:t xml:space="preserve"> and Spies (2008) who use instrumental variables to control for </w:t>
      </w:r>
      <w:proofErr w:type="spellStart"/>
      <w:r>
        <w:t>endogeneity</w:t>
      </w:r>
      <w:proofErr w:type="spellEnd"/>
      <w:r>
        <w:t xml:space="preserve"> biases. Therefore, to be ahead of potential critiques on the few positive findings in this research, and to strengthen these findings, they will be subject to a test of causality test. </w:t>
      </w:r>
    </w:p>
    <w:p w:rsidR="00FE33D6" w:rsidRDefault="00FE33D6" w:rsidP="00FE33D6">
      <w:pPr>
        <w:spacing w:line="360" w:lineRule="auto"/>
        <w:jc w:val="both"/>
      </w:pPr>
      <w:r>
        <w:t xml:space="preserve">The </w:t>
      </w:r>
      <w:proofErr w:type="spellStart"/>
      <w:r>
        <w:t>Pairwise</w:t>
      </w:r>
      <w:proofErr w:type="spellEnd"/>
      <w:r>
        <w:t xml:space="preserve"> Granger Causality Test is used to test for causality in the relation between Euro adoption and increased trade with the 12 existing EMU countries (EMU12)</w:t>
      </w:r>
      <w:r>
        <w:rPr>
          <w:rStyle w:val="FootnoteReference"/>
        </w:rPr>
        <w:footnoteReference w:id="17"/>
      </w:r>
      <w:r>
        <w:t xml:space="preserve">. This test investigates any potential relation that might exist between the dummy variable of Euro adoption </w:t>
      </w:r>
      <w:r w:rsidRPr="00802ADA">
        <w:rPr>
          <w:i/>
          <w:iCs/>
        </w:rPr>
        <w:t>(x)</w:t>
      </w:r>
      <w:r>
        <w:t xml:space="preserve"> and lagged values of trade </w:t>
      </w:r>
      <w:r w:rsidRPr="00802ADA">
        <w:rPr>
          <w:i/>
          <w:iCs/>
        </w:rPr>
        <w:t>(y)</w:t>
      </w:r>
      <w:r>
        <w:t>, and vice versa. The test is best explained by its functional form, as displayed in equation 8.1 and reversed in equation 8.2 (</w:t>
      </w:r>
      <w:proofErr w:type="spellStart"/>
      <w:r>
        <w:t>Eviews</w:t>
      </w:r>
      <w:proofErr w:type="spellEnd"/>
      <w:r>
        <w:t xml:space="preserve"> 7 User’s Guide I, 2009).</w:t>
      </w:r>
    </w:p>
    <w:p w:rsidR="00FE33D6" w:rsidRDefault="00FE33D6" w:rsidP="00FE33D6">
      <w:pPr>
        <w:spacing w:line="360" w:lineRule="auto"/>
        <w:jc w:val="both"/>
      </w:pPr>
      <w:r>
        <w:tab/>
      </w:r>
      <w:proofErr w:type="spellStart"/>
      <w:r>
        <w:t>Y</w:t>
      </w:r>
      <w:r>
        <w:rPr>
          <w:vertAlign w:val="subscript"/>
        </w:rPr>
        <w:t>t</w:t>
      </w:r>
      <w:proofErr w:type="spellEnd"/>
      <w:r>
        <w:t xml:space="preserve"> = </w:t>
      </w:r>
      <w:r w:rsidRPr="00802ADA">
        <w:t>α</w:t>
      </w:r>
      <w:r>
        <w:rPr>
          <w:vertAlign w:val="subscript"/>
        </w:rPr>
        <w:t>0</w:t>
      </w:r>
      <w:r>
        <w:t xml:space="preserve"> + α</w:t>
      </w:r>
      <w:r>
        <w:rPr>
          <w:vertAlign w:val="subscript"/>
        </w:rPr>
        <w:t>1</w:t>
      </w:r>
      <w:r>
        <w:t>Y</w:t>
      </w:r>
      <w:r>
        <w:rPr>
          <w:vertAlign w:val="subscript"/>
        </w:rPr>
        <w:t>t-1</w:t>
      </w:r>
      <w:r>
        <w:t xml:space="preserve"> + … + </w:t>
      </w:r>
      <w:proofErr w:type="spellStart"/>
      <w:r>
        <w:t>α</w:t>
      </w:r>
      <w:r>
        <w:rPr>
          <w:vertAlign w:val="subscript"/>
        </w:rPr>
        <w:t>l</w:t>
      </w:r>
      <w:r>
        <w:rPr>
          <w:vertAlign w:val="subscript"/>
        </w:rPr>
        <w:softHyphen/>
      </w:r>
      <w:r>
        <w:t>Y</w:t>
      </w:r>
      <w:r>
        <w:rPr>
          <w:vertAlign w:val="subscript"/>
        </w:rPr>
        <w:t>t</w:t>
      </w:r>
      <w:proofErr w:type="spellEnd"/>
      <w:r>
        <w:rPr>
          <w:vertAlign w:val="subscript"/>
        </w:rPr>
        <w:t>-l</w:t>
      </w:r>
      <w:r>
        <w:t xml:space="preserve"> + </w:t>
      </w:r>
      <w:r w:rsidRPr="00802ADA">
        <w:t>β</w:t>
      </w:r>
      <w:r>
        <w:rPr>
          <w:vertAlign w:val="subscript"/>
        </w:rPr>
        <w:t>1</w:t>
      </w:r>
      <w:r>
        <w:t>X</w:t>
      </w:r>
      <w:r>
        <w:rPr>
          <w:vertAlign w:val="subscript"/>
        </w:rPr>
        <w:t>t-1</w:t>
      </w:r>
      <w:r>
        <w:t xml:space="preserve"> + … + </w:t>
      </w:r>
      <w:proofErr w:type="spellStart"/>
      <w:r w:rsidRPr="00802ADA">
        <w:t>β</w:t>
      </w:r>
      <w:r>
        <w:rPr>
          <w:vertAlign w:val="subscript"/>
        </w:rPr>
        <w:t>l</w:t>
      </w:r>
      <w:r>
        <w:t>X</w:t>
      </w:r>
      <w:r>
        <w:rPr>
          <w:vertAlign w:val="subscript"/>
        </w:rPr>
        <w:t>t</w:t>
      </w:r>
      <w:proofErr w:type="spellEnd"/>
      <w:r>
        <w:rPr>
          <w:vertAlign w:val="subscript"/>
        </w:rPr>
        <w:t>-l</w:t>
      </w:r>
      <w:r>
        <w:t xml:space="preserve"> + </w:t>
      </w:r>
      <w:proofErr w:type="spellStart"/>
      <w:r>
        <w:t>ε</w:t>
      </w:r>
      <w:r>
        <w:rPr>
          <w:vertAlign w:val="subscript"/>
        </w:rPr>
        <w:t>t</w:t>
      </w:r>
      <w:proofErr w:type="spellEnd"/>
      <w:r>
        <w:t xml:space="preserve"> </w:t>
      </w:r>
      <w:r>
        <w:tab/>
      </w:r>
      <w:r>
        <w:tab/>
      </w:r>
      <w:r>
        <w:tab/>
      </w:r>
      <w:r>
        <w:tab/>
      </w:r>
      <w:r>
        <w:tab/>
        <w:t>(8.1)</w:t>
      </w:r>
    </w:p>
    <w:p w:rsidR="00FE33D6" w:rsidRPr="001A1F3E" w:rsidRDefault="00FE33D6" w:rsidP="00FE33D6">
      <w:pPr>
        <w:spacing w:line="360" w:lineRule="auto"/>
        <w:jc w:val="both"/>
      </w:pPr>
      <w:r>
        <w:tab/>
      </w:r>
      <w:proofErr w:type="spellStart"/>
      <w:r>
        <w:t>X</w:t>
      </w:r>
      <w:r>
        <w:rPr>
          <w:vertAlign w:val="subscript"/>
        </w:rPr>
        <w:t>t</w:t>
      </w:r>
      <w:proofErr w:type="spellEnd"/>
      <w:r>
        <w:t xml:space="preserve"> = </w:t>
      </w:r>
      <w:r w:rsidRPr="00802ADA">
        <w:t>α</w:t>
      </w:r>
      <w:r>
        <w:rPr>
          <w:vertAlign w:val="subscript"/>
        </w:rPr>
        <w:t>0</w:t>
      </w:r>
      <w:r>
        <w:t xml:space="preserve"> + α</w:t>
      </w:r>
      <w:r>
        <w:rPr>
          <w:vertAlign w:val="subscript"/>
        </w:rPr>
        <w:t>1</w:t>
      </w:r>
      <w:r>
        <w:t>X</w:t>
      </w:r>
      <w:r>
        <w:rPr>
          <w:vertAlign w:val="subscript"/>
        </w:rPr>
        <w:t>t-1</w:t>
      </w:r>
      <w:r>
        <w:t xml:space="preserve"> + … + </w:t>
      </w:r>
      <w:proofErr w:type="spellStart"/>
      <w:r>
        <w:t>α</w:t>
      </w:r>
      <w:r>
        <w:rPr>
          <w:vertAlign w:val="subscript"/>
        </w:rPr>
        <w:t>l</w:t>
      </w:r>
      <w:r>
        <w:rPr>
          <w:vertAlign w:val="subscript"/>
        </w:rPr>
        <w:softHyphen/>
      </w:r>
      <w:r>
        <w:t>X</w:t>
      </w:r>
      <w:r>
        <w:rPr>
          <w:vertAlign w:val="subscript"/>
        </w:rPr>
        <w:t>t</w:t>
      </w:r>
      <w:proofErr w:type="spellEnd"/>
      <w:r>
        <w:rPr>
          <w:vertAlign w:val="subscript"/>
        </w:rPr>
        <w:t>-l</w:t>
      </w:r>
      <w:r>
        <w:t xml:space="preserve"> + </w:t>
      </w:r>
      <w:r w:rsidRPr="00802ADA">
        <w:t>β</w:t>
      </w:r>
      <w:r>
        <w:rPr>
          <w:vertAlign w:val="subscript"/>
        </w:rPr>
        <w:t>1</w:t>
      </w:r>
      <w:r>
        <w:t>Y</w:t>
      </w:r>
      <w:r>
        <w:rPr>
          <w:vertAlign w:val="subscript"/>
        </w:rPr>
        <w:t>t-1</w:t>
      </w:r>
      <w:r>
        <w:t xml:space="preserve"> + … + </w:t>
      </w:r>
      <w:proofErr w:type="spellStart"/>
      <w:r w:rsidRPr="00802ADA">
        <w:t>β</w:t>
      </w:r>
      <w:r>
        <w:rPr>
          <w:vertAlign w:val="subscript"/>
        </w:rPr>
        <w:t>l</w:t>
      </w:r>
      <w:r>
        <w:t>Y</w:t>
      </w:r>
      <w:r>
        <w:rPr>
          <w:vertAlign w:val="subscript"/>
        </w:rPr>
        <w:t>t</w:t>
      </w:r>
      <w:proofErr w:type="spellEnd"/>
      <w:r>
        <w:rPr>
          <w:vertAlign w:val="subscript"/>
        </w:rPr>
        <w:t>-l</w:t>
      </w:r>
      <w:r>
        <w:t xml:space="preserve"> + </w:t>
      </w:r>
      <w:proofErr w:type="spellStart"/>
      <w:r>
        <w:t>ε</w:t>
      </w:r>
      <w:r>
        <w:rPr>
          <w:vertAlign w:val="subscript"/>
        </w:rPr>
        <w:t>t</w:t>
      </w:r>
      <w:proofErr w:type="spellEnd"/>
      <w:r>
        <w:t xml:space="preserve"> </w:t>
      </w:r>
      <w:r>
        <w:tab/>
      </w:r>
      <w:r>
        <w:tab/>
      </w:r>
      <w:r>
        <w:tab/>
      </w:r>
      <w:r>
        <w:tab/>
      </w:r>
      <w:r>
        <w:tab/>
        <w:t>(8.2)</w:t>
      </w:r>
    </w:p>
    <w:p w:rsidR="00FE33D6" w:rsidRDefault="00FE33D6" w:rsidP="00FE33D6">
      <w:pPr>
        <w:spacing w:line="360" w:lineRule="auto"/>
        <w:jc w:val="both"/>
      </w:pPr>
      <w:r>
        <w:lastRenderedPageBreak/>
        <w:t xml:space="preserve">In these functions </w:t>
      </w:r>
      <w:proofErr w:type="spellStart"/>
      <w:r w:rsidRPr="00802ADA">
        <w:t>α</w:t>
      </w:r>
      <w:r>
        <w:rPr>
          <w:vertAlign w:val="subscript"/>
        </w:rPr>
        <w:t>l</w:t>
      </w:r>
      <w:proofErr w:type="spellEnd"/>
      <w:r>
        <w:t xml:space="preserve"> represents the coefficient for values of the dependent variable at lag </w:t>
      </w:r>
      <w:r w:rsidRPr="00DE3850">
        <w:rPr>
          <w:i/>
          <w:iCs/>
        </w:rPr>
        <w:t>l</w:t>
      </w:r>
      <w:r>
        <w:t xml:space="preserve"> </w:t>
      </w:r>
      <w:r w:rsidRPr="00DE3850">
        <w:t>and</w:t>
      </w:r>
      <w:r>
        <w:t xml:space="preserve"> </w:t>
      </w:r>
      <w:proofErr w:type="spellStart"/>
      <w:r w:rsidRPr="00802ADA">
        <w:t>β</w:t>
      </w:r>
      <w:r>
        <w:rPr>
          <w:vertAlign w:val="subscript"/>
        </w:rPr>
        <w:t>l</w:t>
      </w:r>
      <w:proofErr w:type="spellEnd"/>
      <w:r>
        <w:t xml:space="preserve"> the coefficient for values of the independent variable at lag </w:t>
      </w:r>
      <w:r>
        <w:rPr>
          <w:i/>
          <w:iCs/>
        </w:rPr>
        <w:t>l</w:t>
      </w:r>
      <w:r>
        <w:t xml:space="preserve">. </w:t>
      </w:r>
      <w:r w:rsidRPr="00DE3850">
        <w:t>The</w:t>
      </w:r>
      <w:r>
        <w:t xml:space="preserve"> output of such a test as produced by the statistical software displays the F-statistic which follows from a Wald coefficient restriction test that take the following form:</w:t>
      </w:r>
    </w:p>
    <w:p w:rsidR="00FE33D6" w:rsidRPr="008D4087" w:rsidRDefault="00FE33D6" w:rsidP="00FE33D6">
      <w:pPr>
        <w:spacing w:line="360" w:lineRule="auto"/>
        <w:jc w:val="both"/>
      </w:pPr>
      <w:r>
        <w:tab/>
      </w:r>
      <w:r w:rsidRPr="00802ADA">
        <w:t>β</w:t>
      </w:r>
      <w:r>
        <w:rPr>
          <w:vertAlign w:val="subscript"/>
        </w:rPr>
        <w:t xml:space="preserve"> 1</w:t>
      </w:r>
      <w:r>
        <w:t xml:space="preserve"> = </w:t>
      </w:r>
      <w:r w:rsidRPr="00802ADA">
        <w:t>β</w:t>
      </w:r>
      <w:r>
        <w:rPr>
          <w:vertAlign w:val="subscript"/>
        </w:rPr>
        <w:t>2</w:t>
      </w:r>
      <w:r>
        <w:t xml:space="preserve"> = … = </w:t>
      </w:r>
      <w:proofErr w:type="spellStart"/>
      <w:r w:rsidRPr="00802ADA">
        <w:t>β</w:t>
      </w:r>
      <w:r>
        <w:rPr>
          <w:vertAlign w:val="subscript"/>
        </w:rPr>
        <w:t>l</w:t>
      </w:r>
      <w:proofErr w:type="spellEnd"/>
      <w:r>
        <w:t xml:space="preserve"> = 0</w:t>
      </w:r>
      <w:r>
        <w:tab/>
      </w:r>
      <w:r>
        <w:tab/>
      </w:r>
      <w:r>
        <w:tab/>
      </w:r>
      <w:r>
        <w:tab/>
      </w:r>
      <w:r>
        <w:tab/>
      </w:r>
      <w:r>
        <w:tab/>
      </w:r>
      <w:r>
        <w:tab/>
      </w:r>
      <w:r>
        <w:tab/>
        <w:t>(8.3)</w:t>
      </w:r>
    </w:p>
    <w:p w:rsidR="00FE33D6" w:rsidRDefault="00FE33D6" w:rsidP="00FE33D6">
      <w:pPr>
        <w:spacing w:line="360" w:lineRule="auto"/>
        <w:jc w:val="both"/>
      </w:pPr>
      <w:r>
        <w:t xml:space="preserve">If the null hypothesis that X does not Granger-cause Y, as displayed in 8.3, is rejected, then at least one of the coefficients in 8.3 is other than 0, meaning that some lagged value of X </w:t>
      </w:r>
      <w:r w:rsidRPr="0057446A">
        <w:rPr>
          <w:i/>
          <w:iCs/>
        </w:rPr>
        <w:t>(Y)</w:t>
      </w:r>
      <w:r>
        <w:t xml:space="preserve"> has an effect on Y </w:t>
      </w:r>
      <w:r w:rsidRPr="0057446A">
        <w:rPr>
          <w:i/>
          <w:iCs/>
        </w:rPr>
        <w:t>(X)</w:t>
      </w:r>
      <w:r w:rsidRPr="00BB13C7">
        <w:t xml:space="preserve"> </w:t>
      </w:r>
      <w:r>
        <w:t>(</w:t>
      </w:r>
      <w:proofErr w:type="spellStart"/>
      <w:r>
        <w:t>Eviews</w:t>
      </w:r>
      <w:proofErr w:type="spellEnd"/>
      <w:r>
        <w:t xml:space="preserve"> 2007 Users Guide I, 2009). If the null hypothesis that X does not Granger-cause Y cannot be rejected, then no evidence is found that any lagged values of X </w:t>
      </w:r>
      <w:r w:rsidRPr="00BB13C7">
        <w:rPr>
          <w:i/>
          <w:iCs/>
        </w:rPr>
        <w:t>(Y)</w:t>
      </w:r>
      <w:r>
        <w:t xml:space="preserve"> do have an impact on Y </w:t>
      </w:r>
      <w:r w:rsidRPr="00BB13C7">
        <w:rPr>
          <w:i/>
          <w:iCs/>
        </w:rPr>
        <w:t>(X)</w:t>
      </w:r>
      <w:r>
        <w:t xml:space="preserve">. </w:t>
      </w:r>
    </w:p>
    <w:p w:rsidR="00FE33D6" w:rsidRDefault="00FE33D6" w:rsidP="00FE33D6">
      <w:pPr>
        <w:spacing w:line="360" w:lineRule="auto"/>
        <w:jc w:val="both"/>
      </w:pPr>
      <w:r>
        <w:t>The name ‘</w:t>
      </w:r>
      <w:proofErr w:type="spellStart"/>
      <w:r>
        <w:t>Pairwise</w:t>
      </w:r>
      <w:proofErr w:type="spellEnd"/>
      <w:r>
        <w:t xml:space="preserve"> Granger </w:t>
      </w:r>
      <w:r w:rsidRPr="00F3478A">
        <w:rPr>
          <w:i/>
          <w:iCs/>
        </w:rPr>
        <w:t>Causality</w:t>
      </w:r>
      <w:r>
        <w:t xml:space="preserve"> Test’ might be a bit too strong in this setup, since ‘causality simply implies a chronological ordering of movements in the series’ (Brooks, 2008: p312). Therefore, before going into the tests and results, a remark should be made about the potential results. On the one hand did the new EMU countries recently join the EU (2004), something that had a positive effect on trade. On the other hand did the financial and European debt crisis break loose right after Euro adoption, which oppositely had a negative effect on trade. This thus means that the new EMU members adopted the Euro right </w:t>
      </w:r>
      <w:r w:rsidRPr="00621A11">
        <w:rPr>
          <w:i/>
          <w:iCs/>
        </w:rPr>
        <w:t>after</w:t>
      </w:r>
      <w:r>
        <w:t xml:space="preserve"> a period of growth in trade and right </w:t>
      </w:r>
      <w:r w:rsidRPr="00621A11">
        <w:rPr>
          <w:i/>
          <w:iCs/>
        </w:rPr>
        <w:t>before</w:t>
      </w:r>
      <w:r>
        <w:t xml:space="preserve"> a period of decreased trade, which makes causality testing in this form a bit of a haphazard undertaking.</w:t>
      </w:r>
    </w:p>
    <w:p w:rsidR="00FE33D6" w:rsidRDefault="00FE33D6" w:rsidP="00FE33D6">
      <w:pPr>
        <w:spacing w:line="360" w:lineRule="auto"/>
        <w:jc w:val="both"/>
      </w:pPr>
      <w:r>
        <w:t xml:space="preserve">The best way to clarify the Granger causality test is to actually conduct it. The test will be conducted for the three cases out of the previous chapter where evidence was found in favor of the currency union theory, i.e. that Euro adoption had a positive effect on trade with the EMU12 countries. On the individual country’s level this evidence was found for </w:t>
      </w:r>
      <w:smartTag w:uri="urn:schemas-microsoft-com:office:smarttags" w:element="place">
        <w:smartTag w:uri="urn:schemas-microsoft-com:office:smarttags" w:element="country-region">
          <w:r>
            <w:t>Slovenia</w:t>
          </w:r>
        </w:smartTag>
      </w:smartTag>
      <w:r>
        <w:t xml:space="preserve"> and the </w:t>
      </w:r>
      <w:smartTag w:uri="urn:schemas-microsoft-com:office:smarttags" w:element="place">
        <w:smartTag w:uri="urn:schemas-microsoft-com:office:smarttags" w:element="PlaceName">
          <w:r>
            <w:t>Slovak</w:t>
          </w:r>
        </w:smartTag>
        <w:r>
          <w:t xml:space="preserve"> </w:t>
        </w:r>
        <w:smartTag w:uri="urn:schemas-microsoft-com:office:smarttags" w:element="PlaceType">
          <w:r>
            <w:t>Republic</w:t>
          </w:r>
        </w:smartTag>
      </w:smartTag>
      <w:r>
        <w:t xml:space="preserve">. On the group level, albeit in the CFE model, this was found for the </w:t>
      </w:r>
      <w:proofErr w:type="spellStart"/>
      <w:r>
        <w:t>newEMU</w:t>
      </w:r>
      <w:proofErr w:type="spellEnd"/>
      <w:r>
        <w:t xml:space="preserve"> group. </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1</w:t>
      </w:r>
      <w:r>
        <w:rPr>
          <w:color w:val="auto"/>
          <w:sz w:val="28"/>
        </w:rPr>
        <w:fldChar w:fldCharType="end"/>
      </w:r>
      <w:r w:rsidR="00FE33D6" w:rsidRPr="00FE33D6">
        <w:rPr>
          <w:color w:val="auto"/>
          <w:sz w:val="28"/>
        </w:rPr>
        <w:t xml:space="preserve"> – Causality Test Slovenia</w:t>
      </w:r>
    </w:p>
    <w:tbl>
      <w:tblPr>
        <w:tblStyle w:val="Lichtearcering-accent12"/>
        <w:tblW w:w="0" w:type="auto"/>
        <w:tblLook w:val="04A0"/>
      </w:tblPr>
      <w:tblGrid>
        <w:gridCol w:w="6345"/>
        <w:gridCol w:w="1418"/>
        <w:gridCol w:w="439"/>
        <w:gridCol w:w="979"/>
      </w:tblGrid>
      <w:tr w:rsidR="00FE33D6" w:rsidRPr="005C2B2E" w:rsidTr="00FE33D6">
        <w:trPr>
          <w:cnfStyle w:val="100000000000"/>
        </w:trPr>
        <w:tc>
          <w:tcPr>
            <w:cnfStyle w:val="001000000000"/>
            <w:tcW w:w="8202" w:type="dxa"/>
            <w:gridSpan w:val="3"/>
          </w:tcPr>
          <w:p w:rsidR="00FE33D6" w:rsidRPr="005C2B2E" w:rsidRDefault="00FE33D6" w:rsidP="00FE33D6">
            <w:pPr>
              <w:spacing w:line="276" w:lineRule="auto"/>
              <w:jc w:val="both"/>
              <w:rPr>
                <w:color w:val="auto"/>
                <w:vertAlign w:val="superscript"/>
              </w:rPr>
            </w:pPr>
            <w:proofErr w:type="spellStart"/>
            <w:r w:rsidRPr="00FE33D6">
              <w:rPr>
                <w:color w:val="auto"/>
                <w:sz w:val="24"/>
              </w:rPr>
              <w:t>Pairwise</w:t>
            </w:r>
            <w:proofErr w:type="spellEnd"/>
            <w:r w:rsidRPr="00FE33D6">
              <w:rPr>
                <w:color w:val="auto"/>
                <w:sz w:val="24"/>
              </w:rPr>
              <w:t xml:space="preserve"> Granger Causality Test</w:t>
            </w:r>
            <w:r>
              <w:rPr>
                <w:color w:val="auto"/>
                <w:vertAlign w:val="superscript"/>
              </w:rPr>
              <w:t>(</w:t>
            </w:r>
            <w:proofErr w:type="spellStart"/>
            <w:r>
              <w:rPr>
                <w:color w:val="auto"/>
                <w:vertAlign w:val="superscript"/>
              </w:rPr>
              <w:t>i</w:t>
            </w:r>
            <w:proofErr w:type="spellEnd"/>
            <w:r>
              <w:rPr>
                <w:color w:val="auto"/>
                <w:vertAlign w:val="superscript"/>
              </w:rPr>
              <w:t>)</w:t>
            </w:r>
          </w:p>
          <w:p w:rsidR="00FE33D6" w:rsidRPr="005C2B2E" w:rsidRDefault="00FE33D6" w:rsidP="00FE33D6">
            <w:pPr>
              <w:spacing w:line="276" w:lineRule="auto"/>
              <w:jc w:val="both"/>
              <w:rPr>
                <w:b w:val="0"/>
                <w:bCs w:val="0"/>
                <w:color w:val="auto"/>
              </w:rPr>
            </w:pPr>
            <w:r w:rsidRPr="005C2B2E">
              <w:rPr>
                <w:b w:val="0"/>
                <w:color w:val="auto"/>
              </w:rPr>
              <w:t>Sample 2000 – 2011</w:t>
            </w:r>
          </w:p>
        </w:tc>
        <w:tc>
          <w:tcPr>
            <w:tcW w:w="979" w:type="dxa"/>
          </w:tcPr>
          <w:p w:rsidR="00FE33D6" w:rsidRPr="00FE33D6" w:rsidRDefault="00FE33D6" w:rsidP="00FE33D6">
            <w:pPr>
              <w:spacing w:line="360" w:lineRule="auto"/>
              <w:jc w:val="both"/>
              <w:cnfStyle w:val="100000000000"/>
              <w:rPr>
                <w:b w:val="0"/>
                <w:color w:val="auto"/>
                <w:u w:val="single"/>
                <w:vertAlign w:val="superscript"/>
              </w:rPr>
            </w:pPr>
            <w:r w:rsidRPr="00AB3FE4">
              <w:rPr>
                <w:b w:val="0"/>
                <w:color w:val="auto"/>
                <w:u w:val="single"/>
              </w:rPr>
              <w:t>Lags: 3</w:t>
            </w:r>
            <w:r>
              <w:rPr>
                <w:b w:val="0"/>
                <w:color w:val="auto"/>
                <w:u w:val="single"/>
                <w:vertAlign w:val="superscript"/>
              </w:rPr>
              <w:t>(ii)</w:t>
            </w:r>
          </w:p>
        </w:tc>
      </w:tr>
      <w:tr w:rsidR="00FE33D6" w:rsidRPr="005C2B2E" w:rsidTr="00FE33D6">
        <w:trPr>
          <w:cnfStyle w:val="000000100000"/>
        </w:trPr>
        <w:tc>
          <w:tcPr>
            <w:cnfStyle w:val="001000000000"/>
            <w:tcW w:w="6345" w:type="dxa"/>
            <w:vAlign w:val="bottom"/>
          </w:tcPr>
          <w:p w:rsidR="00FE33D6" w:rsidRPr="005C2B2E" w:rsidRDefault="00FE33D6" w:rsidP="00FE33D6">
            <w:pPr>
              <w:spacing w:line="360" w:lineRule="auto"/>
              <w:rPr>
                <w:b w:val="0"/>
                <w:i/>
                <w:color w:val="auto"/>
              </w:rPr>
            </w:pPr>
            <w:r w:rsidRPr="005C2B2E">
              <w:rPr>
                <w:i/>
                <w:color w:val="auto"/>
              </w:rPr>
              <w:t xml:space="preserve"> </w:t>
            </w:r>
            <w:r w:rsidRPr="005C2B2E">
              <w:rPr>
                <w:b w:val="0"/>
                <w:i/>
                <w:color w:val="auto"/>
              </w:rPr>
              <w:t>Null Hypothesis:</w:t>
            </w:r>
          </w:p>
        </w:tc>
        <w:tc>
          <w:tcPr>
            <w:tcW w:w="1418" w:type="dxa"/>
            <w:vAlign w:val="bottom"/>
          </w:tcPr>
          <w:p w:rsidR="00FE33D6" w:rsidRPr="005C2B2E" w:rsidRDefault="00FE33D6" w:rsidP="00FE33D6">
            <w:pPr>
              <w:spacing w:line="360" w:lineRule="auto"/>
              <w:jc w:val="right"/>
              <w:cnfStyle w:val="000000100000"/>
              <w:rPr>
                <w:i/>
                <w:color w:val="auto"/>
              </w:rPr>
            </w:pPr>
            <w:r w:rsidRPr="005C2B2E">
              <w:rPr>
                <w:i/>
                <w:color w:val="auto"/>
              </w:rPr>
              <w:t>F-Statistic</w:t>
            </w:r>
          </w:p>
        </w:tc>
        <w:tc>
          <w:tcPr>
            <w:tcW w:w="1418" w:type="dxa"/>
            <w:gridSpan w:val="2"/>
            <w:vAlign w:val="bottom"/>
          </w:tcPr>
          <w:p w:rsidR="00FE33D6" w:rsidRPr="005C2B2E" w:rsidRDefault="00FE33D6" w:rsidP="00FE33D6">
            <w:pPr>
              <w:spacing w:line="360" w:lineRule="auto"/>
              <w:jc w:val="right"/>
              <w:cnfStyle w:val="000000100000"/>
              <w:rPr>
                <w:i/>
                <w:color w:val="auto"/>
              </w:rPr>
            </w:pPr>
            <w:r w:rsidRPr="005C2B2E">
              <w:rPr>
                <w:i/>
                <w:color w:val="auto"/>
              </w:rPr>
              <w:t xml:space="preserve">Prob. </w:t>
            </w:r>
          </w:p>
        </w:tc>
      </w:tr>
      <w:tr w:rsidR="00FE33D6" w:rsidRPr="005C2B2E" w:rsidTr="00FE33D6">
        <w:tc>
          <w:tcPr>
            <w:cnfStyle w:val="001000000000"/>
            <w:tcW w:w="6345" w:type="dxa"/>
            <w:vAlign w:val="bottom"/>
          </w:tcPr>
          <w:p w:rsidR="00FE33D6" w:rsidRPr="005C2B2E" w:rsidRDefault="00FE33D6" w:rsidP="00FE33D6">
            <w:pPr>
              <w:spacing w:line="360" w:lineRule="auto"/>
              <w:rPr>
                <w:b w:val="0"/>
                <w:color w:val="auto"/>
                <w:vertAlign w:val="superscript"/>
              </w:rPr>
            </w:pPr>
            <w:r>
              <w:rPr>
                <w:b w:val="0"/>
                <w:color w:val="auto"/>
              </w:rPr>
              <w:t xml:space="preserve"> </w:t>
            </w:r>
            <w:proofErr w:type="spellStart"/>
            <w:r>
              <w:rPr>
                <w:b w:val="0"/>
                <w:color w:val="auto"/>
              </w:rPr>
              <w:t>SLO</w:t>
            </w:r>
            <w:r w:rsidRPr="005C2B2E">
              <w:rPr>
                <w:b w:val="0"/>
                <w:color w:val="auto"/>
              </w:rPr>
              <w:t>_EMU</w:t>
            </w:r>
            <w:r>
              <w:rPr>
                <w:b w:val="0"/>
                <w:color w:val="auto"/>
              </w:rPr>
              <w:t>_Entry</w:t>
            </w:r>
            <w:proofErr w:type="spellEnd"/>
            <w:r>
              <w:rPr>
                <w:b w:val="0"/>
                <w:color w:val="auto"/>
                <w:vertAlign w:val="superscript"/>
              </w:rPr>
              <w:t>(a</w:t>
            </w:r>
            <w:r w:rsidRPr="005C2B2E">
              <w:rPr>
                <w:b w:val="0"/>
                <w:color w:val="auto"/>
                <w:vertAlign w:val="superscript"/>
              </w:rPr>
              <w:t>)</w:t>
            </w:r>
            <w:r>
              <w:rPr>
                <w:b w:val="0"/>
                <w:color w:val="auto"/>
              </w:rPr>
              <w:t xml:space="preserve"> does not Granger Cause SLO_EMU12</w:t>
            </w:r>
            <w:r w:rsidRPr="005C2B2E">
              <w:rPr>
                <w:b w:val="0"/>
                <w:color w:val="auto"/>
              </w:rPr>
              <w:t>_T</w:t>
            </w:r>
            <w:r>
              <w:rPr>
                <w:b w:val="0"/>
                <w:color w:val="auto"/>
              </w:rPr>
              <w:t>rade</w:t>
            </w:r>
            <w:r>
              <w:rPr>
                <w:b w:val="0"/>
                <w:color w:val="auto"/>
                <w:vertAlign w:val="superscript"/>
              </w:rPr>
              <w:t>(b</w:t>
            </w:r>
            <w:r w:rsidRPr="005C2B2E">
              <w:rPr>
                <w:b w:val="0"/>
                <w:color w:val="auto"/>
                <w:vertAlign w:val="superscript"/>
              </w:rPr>
              <w:t>)</w:t>
            </w:r>
          </w:p>
        </w:tc>
        <w:tc>
          <w:tcPr>
            <w:tcW w:w="1418" w:type="dxa"/>
            <w:vAlign w:val="bottom"/>
          </w:tcPr>
          <w:p w:rsidR="00FE33D6" w:rsidRDefault="00FE33D6" w:rsidP="00FE33D6">
            <w:pPr>
              <w:spacing w:line="360" w:lineRule="auto"/>
              <w:jc w:val="right"/>
              <w:cnfStyle w:val="000000000000"/>
              <w:rPr>
                <w:color w:val="000000"/>
              </w:rPr>
            </w:pPr>
            <w:r>
              <w:rPr>
                <w:color w:val="000000"/>
              </w:rPr>
              <w:t>16.26</w:t>
            </w:r>
          </w:p>
        </w:tc>
        <w:tc>
          <w:tcPr>
            <w:tcW w:w="1418" w:type="dxa"/>
            <w:gridSpan w:val="2"/>
            <w:vAlign w:val="bottom"/>
          </w:tcPr>
          <w:p w:rsidR="00FE33D6" w:rsidRDefault="00FE33D6" w:rsidP="00FE33D6">
            <w:pPr>
              <w:spacing w:line="360" w:lineRule="auto"/>
              <w:jc w:val="right"/>
              <w:cnfStyle w:val="000000000000"/>
              <w:rPr>
                <w:color w:val="000000"/>
              </w:rPr>
            </w:pPr>
            <w:r>
              <w:rPr>
                <w:color w:val="000000"/>
              </w:rPr>
              <w:t>0.059</w:t>
            </w:r>
          </w:p>
        </w:tc>
      </w:tr>
      <w:tr w:rsidR="00FE33D6" w:rsidRPr="005C2B2E" w:rsidTr="00FE33D6">
        <w:trPr>
          <w:cnfStyle w:val="000000100000"/>
        </w:trPr>
        <w:tc>
          <w:tcPr>
            <w:cnfStyle w:val="001000000000"/>
            <w:tcW w:w="6345" w:type="dxa"/>
            <w:vAlign w:val="bottom"/>
          </w:tcPr>
          <w:p w:rsidR="00FE33D6" w:rsidRPr="005C2B2E" w:rsidRDefault="00FE33D6" w:rsidP="00FE33D6">
            <w:pPr>
              <w:spacing w:line="360" w:lineRule="auto"/>
              <w:rPr>
                <w:b w:val="0"/>
                <w:color w:val="auto"/>
              </w:rPr>
            </w:pPr>
            <w:r>
              <w:rPr>
                <w:b w:val="0"/>
                <w:color w:val="auto"/>
              </w:rPr>
              <w:t xml:space="preserve"> SLO_EMU12</w:t>
            </w:r>
            <w:r w:rsidRPr="005C2B2E">
              <w:rPr>
                <w:b w:val="0"/>
                <w:color w:val="auto"/>
              </w:rPr>
              <w:t>_T</w:t>
            </w:r>
            <w:r>
              <w:rPr>
                <w:b w:val="0"/>
                <w:color w:val="auto"/>
              </w:rPr>
              <w:t>rade</w:t>
            </w:r>
            <w:r w:rsidRPr="005C2B2E">
              <w:rPr>
                <w:b w:val="0"/>
                <w:color w:val="auto"/>
              </w:rPr>
              <w:t xml:space="preserve"> does not Granger Cause </w:t>
            </w:r>
            <w:proofErr w:type="spellStart"/>
            <w:r w:rsidRPr="005C2B2E">
              <w:rPr>
                <w:b w:val="0"/>
                <w:color w:val="auto"/>
              </w:rPr>
              <w:t>SLO_EMU</w:t>
            </w:r>
            <w:r>
              <w:rPr>
                <w:b w:val="0"/>
                <w:color w:val="auto"/>
              </w:rPr>
              <w:t>_Entry</w:t>
            </w:r>
            <w:proofErr w:type="spellEnd"/>
          </w:p>
        </w:tc>
        <w:tc>
          <w:tcPr>
            <w:tcW w:w="1418" w:type="dxa"/>
            <w:vAlign w:val="bottom"/>
          </w:tcPr>
          <w:p w:rsidR="00FE33D6" w:rsidRDefault="00FE33D6" w:rsidP="00FE33D6">
            <w:pPr>
              <w:spacing w:line="360" w:lineRule="auto"/>
              <w:jc w:val="right"/>
              <w:cnfStyle w:val="000000100000"/>
              <w:rPr>
                <w:color w:val="000000"/>
              </w:rPr>
            </w:pPr>
            <w:r>
              <w:rPr>
                <w:color w:val="000000"/>
              </w:rPr>
              <w:t>3.44</w:t>
            </w:r>
          </w:p>
        </w:tc>
        <w:tc>
          <w:tcPr>
            <w:tcW w:w="1418" w:type="dxa"/>
            <w:gridSpan w:val="2"/>
            <w:vAlign w:val="bottom"/>
          </w:tcPr>
          <w:p w:rsidR="00FE33D6" w:rsidRDefault="00FE33D6" w:rsidP="00FE33D6">
            <w:pPr>
              <w:spacing w:line="360" w:lineRule="auto"/>
              <w:jc w:val="right"/>
              <w:cnfStyle w:val="000000100000"/>
              <w:rPr>
                <w:color w:val="000000"/>
              </w:rPr>
            </w:pPr>
            <w:r>
              <w:rPr>
                <w:color w:val="000000"/>
              </w:rPr>
              <w:t>0.233</w:t>
            </w:r>
          </w:p>
        </w:tc>
      </w:tr>
    </w:tbl>
    <w:p w:rsidR="00FE33D6" w:rsidRPr="005C2B2E" w:rsidRDefault="00FE33D6" w:rsidP="00FE33D6">
      <w:pPr>
        <w:pStyle w:val="Caption"/>
        <w:jc w:val="both"/>
        <w:rPr>
          <w:color w:val="auto"/>
        </w:rPr>
      </w:pPr>
      <w:r>
        <w:rPr>
          <w:color w:val="auto"/>
        </w:rPr>
        <w:t>N</w:t>
      </w:r>
      <w:r w:rsidRPr="005C2B2E">
        <w:rPr>
          <w:color w:val="auto"/>
        </w:rPr>
        <w:t>otes: (</w:t>
      </w:r>
      <w:r>
        <w:rPr>
          <w:color w:val="auto"/>
        </w:rPr>
        <w:t>a</w:t>
      </w:r>
      <w:r w:rsidRPr="005C2B2E">
        <w:rPr>
          <w:color w:val="auto"/>
        </w:rPr>
        <w:t xml:space="preserve">) </w:t>
      </w:r>
      <w:proofErr w:type="spellStart"/>
      <w:r w:rsidRPr="005C2B2E">
        <w:rPr>
          <w:color w:val="auto"/>
        </w:rPr>
        <w:t>SLO_EMU</w:t>
      </w:r>
      <w:r>
        <w:rPr>
          <w:color w:val="auto"/>
        </w:rPr>
        <w:t>_Entry</w:t>
      </w:r>
      <w:proofErr w:type="spellEnd"/>
      <w:r w:rsidRPr="005C2B2E">
        <w:rPr>
          <w:color w:val="auto"/>
        </w:rPr>
        <w:t xml:space="preserve"> is the dummy variable that takes the value 1 from the year of Euro adoption onwards, 2007 for Slovenia</w:t>
      </w:r>
      <w:r>
        <w:rPr>
          <w:color w:val="auto"/>
        </w:rPr>
        <w:t>;</w:t>
      </w:r>
      <w:r w:rsidRPr="005C2B2E">
        <w:rPr>
          <w:color w:val="auto"/>
        </w:rPr>
        <w:t xml:space="preserve"> (</w:t>
      </w:r>
      <w:r>
        <w:rPr>
          <w:color w:val="auto"/>
        </w:rPr>
        <w:t>b</w:t>
      </w:r>
      <w:r w:rsidRPr="005C2B2E">
        <w:rPr>
          <w:color w:val="auto"/>
        </w:rPr>
        <w:t>) SLO_</w:t>
      </w:r>
      <w:r>
        <w:rPr>
          <w:color w:val="auto"/>
        </w:rPr>
        <w:t>EMU12_</w:t>
      </w:r>
      <w:r w:rsidRPr="005C2B2E">
        <w:rPr>
          <w:color w:val="auto"/>
        </w:rPr>
        <w:t>T</w:t>
      </w:r>
      <w:r>
        <w:rPr>
          <w:color w:val="auto"/>
        </w:rPr>
        <w:t>rade</w:t>
      </w:r>
      <w:r w:rsidRPr="005C2B2E">
        <w:rPr>
          <w:color w:val="auto"/>
        </w:rPr>
        <w:t xml:space="preserve"> is constructed by adding total import and total export of Slovenia </w:t>
      </w:r>
      <w:r>
        <w:rPr>
          <w:color w:val="auto"/>
        </w:rPr>
        <w:t xml:space="preserve">with the 12 existing EMU countries </w:t>
      </w:r>
      <w:r w:rsidRPr="005C2B2E">
        <w:rPr>
          <w:color w:val="auto"/>
        </w:rPr>
        <w:t>together</w:t>
      </w:r>
      <w:r>
        <w:rPr>
          <w:color w:val="auto"/>
        </w:rPr>
        <w:t>; (</w:t>
      </w:r>
      <w:proofErr w:type="spellStart"/>
      <w:r>
        <w:rPr>
          <w:color w:val="auto"/>
        </w:rPr>
        <w:t>i</w:t>
      </w:r>
      <w:proofErr w:type="spellEnd"/>
      <w:r>
        <w:rPr>
          <w:color w:val="auto"/>
        </w:rPr>
        <w:t xml:space="preserve">) The </w:t>
      </w:r>
      <w:proofErr w:type="spellStart"/>
      <w:r>
        <w:rPr>
          <w:color w:val="auto"/>
        </w:rPr>
        <w:t>Pairwise</w:t>
      </w:r>
      <w:proofErr w:type="spellEnd"/>
      <w:r>
        <w:rPr>
          <w:color w:val="auto"/>
        </w:rPr>
        <w:t xml:space="preserve"> Granger Causality Test tests for any effect of lagged values of one variable on the current value of the other variable; (ii) the number of lags tested in this causality test is 3 (years)</w:t>
      </w:r>
    </w:p>
    <w:p w:rsidR="00FE33D6" w:rsidRDefault="00FE33D6" w:rsidP="00FE33D6">
      <w:pPr>
        <w:spacing w:line="360" w:lineRule="auto"/>
        <w:jc w:val="both"/>
      </w:pPr>
      <w:r>
        <w:t xml:space="preserve">In the table above the relation between Slovenia adopting the Euro and lagged values of Slovenia’s trade with EMU countries, as measured in export plus import, is tested, and vice versa. Three lags are included in the test since this is the maximum possible given the few years available that Slovenia had adopted the Euro. The results show that the first null hypothesis, that Slovenia adopting the Euro is unrelated to future values of trade between Slovenia and EMU12, cannot rejected at the 5% significance level. This would mean that Euro adoption had no effect on future trade between Slovenia and EMU12.  However, when applying a looser required significance level of 10%, the outcome of the causality test would imply that Euro adoption by Slovenia did have an effect on future trade between Slovenia and EMU12. The results on the second null hypothesis, that no relation exists between increased trade between Slovenia and the EMU12 countries and future values of the EMU entry dummy variable, can definitely not be rejected. This thus implies that trade between Slovenia and the EMU12 countries did not have an effect on Slovenia’s decision to adopt the Euro. If only two lags are included in the causality test, then neither of the null hypotheses can be rejected, implying that there is no effect of Euro adoption by Slovenia on trade between Slovenia and the EMU12 countries, and vice versa. When only one lag is included, the results are reversed, meaning that trade between Slovenia and the EMU12 countries has an effect on Euro adoption and that Euro adoption has no effect on future trade between Slovenia and the EMU12 countries. Combining these outcomes, the image arises that on the long run Euro adoption had an effect on trade between Slovenia and the EMU12 countries, which could well be possible. On the short run this would imply that trade between Slovenia and the EMU12 countries had an effect on the decision for Euro adoption, which oppositely is an unlikely short-term indicator for such a policy decision. </w:t>
      </w:r>
    </w:p>
    <w:p w:rsidR="00FE33D6" w:rsidRDefault="00FE33D6" w:rsidP="00FE33D6">
      <w:pPr>
        <w:spacing w:line="360" w:lineRule="auto"/>
        <w:jc w:val="both"/>
      </w:pPr>
      <w:r>
        <w:t xml:space="preserve">The same causality test is undertaken on the results found for the Slovak Republic, which also indicated a positive effect of Euro adoption on trade with existing EMU countries. The results of the causality test are displayed in Table 8-2. Only two lags are included in this test, since the Slovak Republic adopted the Euro in 2009, leaving insufficient years of data available for causality testing with more lags. </w:t>
      </w:r>
    </w:p>
    <w:p w:rsidR="00F92A01" w:rsidRDefault="00F92A01" w:rsidP="00FE33D6">
      <w:pPr>
        <w:spacing w:line="360" w:lineRule="auto"/>
        <w:jc w:val="both"/>
      </w:pPr>
    </w:p>
    <w:p w:rsidR="00F92A01" w:rsidRDefault="00F92A01" w:rsidP="00FE33D6">
      <w:pPr>
        <w:spacing w:line="360" w:lineRule="auto"/>
        <w:jc w:val="both"/>
      </w:pPr>
    </w:p>
    <w:p w:rsidR="00F92A01" w:rsidRDefault="00F92A01" w:rsidP="00FE33D6">
      <w:pPr>
        <w:spacing w:line="360" w:lineRule="auto"/>
        <w:jc w:val="both"/>
      </w:pP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2</w:t>
      </w:r>
      <w:r>
        <w:rPr>
          <w:color w:val="auto"/>
          <w:sz w:val="28"/>
        </w:rPr>
        <w:fldChar w:fldCharType="end"/>
      </w:r>
      <w:r w:rsidR="00FE33D6" w:rsidRPr="00FE33D6">
        <w:rPr>
          <w:color w:val="auto"/>
          <w:sz w:val="28"/>
        </w:rPr>
        <w:t xml:space="preserve"> – Causality Test Slovak Republic</w:t>
      </w:r>
    </w:p>
    <w:tbl>
      <w:tblPr>
        <w:tblStyle w:val="Lichtearcering-accent12"/>
        <w:tblW w:w="0" w:type="auto"/>
        <w:tblLook w:val="04A0"/>
      </w:tblPr>
      <w:tblGrid>
        <w:gridCol w:w="6487"/>
        <w:gridCol w:w="1276"/>
        <w:gridCol w:w="439"/>
        <w:gridCol w:w="979"/>
      </w:tblGrid>
      <w:tr w:rsidR="00FE33D6" w:rsidRPr="005C2B2E" w:rsidTr="00FE33D6">
        <w:trPr>
          <w:cnfStyle w:val="100000000000"/>
        </w:trPr>
        <w:tc>
          <w:tcPr>
            <w:cnfStyle w:val="001000000000"/>
            <w:tcW w:w="8202" w:type="dxa"/>
            <w:gridSpan w:val="3"/>
          </w:tcPr>
          <w:p w:rsidR="00FE33D6" w:rsidRPr="005C2B2E" w:rsidRDefault="00FE33D6" w:rsidP="00FE33D6">
            <w:pPr>
              <w:spacing w:line="276" w:lineRule="auto"/>
              <w:jc w:val="both"/>
              <w:rPr>
                <w:color w:val="auto"/>
                <w:vertAlign w:val="superscript"/>
              </w:rPr>
            </w:pPr>
            <w:proofErr w:type="spellStart"/>
            <w:r w:rsidRPr="00FE33D6">
              <w:rPr>
                <w:color w:val="auto"/>
                <w:sz w:val="24"/>
              </w:rPr>
              <w:t>Pairwise</w:t>
            </w:r>
            <w:proofErr w:type="spellEnd"/>
            <w:r w:rsidRPr="00FE33D6">
              <w:rPr>
                <w:color w:val="auto"/>
                <w:sz w:val="24"/>
              </w:rPr>
              <w:t xml:space="preserve"> Granger Causality Test</w:t>
            </w:r>
            <w:r>
              <w:rPr>
                <w:color w:val="auto"/>
                <w:vertAlign w:val="superscript"/>
              </w:rPr>
              <w:t>(</w:t>
            </w:r>
            <w:proofErr w:type="spellStart"/>
            <w:r>
              <w:rPr>
                <w:color w:val="auto"/>
                <w:vertAlign w:val="superscript"/>
              </w:rPr>
              <w:t>i</w:t>
            </w:r>
            <w:proofErr w:type="spellEnd"/>
            <w:r>
              <w:rPr>
                <w:color w:val="auto"/>
                <w:vertAlign w:val="superscript"/>
              </w:rPr>
              <w:t>)</w:t>
            </w:r>
          </w:p>
          <w:p w:rsidR="00FE33D6" w:rsidRPr="005C2B2E" w:rsidRDefault="00FE33D6" w:rsidP="00FE33D6">
            <w:pPr>
              <w:spacing w:line="276" w:lineRule="auto"/>
              <w:jc w:val="both"/>
              <w:rPr>
                <w:b w:val="0"/>
                <w:bCs w:val="0"/>
                <w:color w:val="auto"/>
              </w:rPr>
            </w:pPr>
            <w:r w:rsidRPr="005C2B2E">
              <w:rPr>
                <w:b w:val="0"/>
                <w:color w:val="auto"/>
              </w:rPr>
              <w:t>Sample 2000 – 2011</w:t>
            </w:r>
          </w:p>
        </w:tc>
        <w:tc>
          <w:tcPr>
            <w:tcW w:w="979" w:type="dxa"/>
          </w:tcPr>
          <w:p w:rsidR="00FE33D6" w:rsidRPr="00FE33D6" w:rsidRDefault="00FE33D6" w:rsidP="00FE33D6">
            <w:pPr>
              <w:spacing w:line="360" w:lineRule="auto"/>
              <w:jc w:val="both"/>
              <w:cnfStyle w:val="100000000000"/>
              <w:rPr>
                <w:b w:val="0"/>
                <w:color w:val="auto"/>
                <w:u w:val="single"/>
                <w:vertAlign w:val="superscript"/>
              </w:rPr>
            </w:pPr>
            <w:r w:rsidRPr="00AB3FE4">
              <w:rPr>
                <w:b w:val="0"/>
                <w:color w:val="auto"/>
                <w:u w:val="single"/>
              </w:rPr>
              <w:t xml:space="preserve">Lags: </w:t>
            </w:r>
            <w:r>
              <w:rPr>
                <w:b w:val="0"/>
                <w:color w:val="auto"/>
                <w:u w:val="single"/>
              </w:rPr>
              <w:t>2</w:t>
            </w:r>
            <w:r>
              <w:rPr>
                <w:b w:val="0"/>
                <w:color w:val="auto"/>
                <w:u w:val="single"/>
                <w:vertAlign w:val="superscript"/>
              </w:rPr>
              <w:t>(ii)</w:t>
            </w:r>
          </w:p>
        </w:tc>
      </w:tr>
      <w:tr w:rsidR="00FE33D6" w:rsidRPr="005C2B2E" w:rsidTr="00FE33D6">
        <w:trPr>
          <w:cnfStyle w:val="000000100000"/>
        </w:trPr>
        <w:tc>
          <w:tcPr>
            <w:cnfStyle w:val="001000000000"/>
            <w:tcW w:w="6487" w:type="dxa"/>
            <w:vAlign w:val="bottom"/>
          </w:tcPr>
          <w:p w:rsidR="00FE33D6" w:rsidRPr="005C2B2E" w:rsidRDefault="00FE33D6" w:rsidP="00FE33D6">
            <w:pPr>
              <w:spacing w:line="360" w:lineRule="auto"/>
              <w:rPr>
                <w:b w:val="0"/>
                <w:i/>
                <w:color w:val="auto"/>
              </w:rPr>
            </w:pPr>
            <w:r w:rsidRPr="005C2B2E">
              <w:rPr>
                <w:i/>
                <w:color w:val="auto"/>
              </w:rPr>
              <w:t xml:space="preserve"> </w:t>
            </w:r>
            <w:r w:rsidRPr="005C2B2E">
              <w:rPr>
                <w:b w:val="0"/>
                <w:i/>
                <w:color w:val="auto"/>
              </w:rPr>
              <w:t>Null Hypothesis:</w:t>
            </w:r>
          </w:p>
        </w:tc>
        <w:tc>
          <w:tcPr>
            <w:tcW w:w="1276" w:type="dxa"/>
            <w:vAlign w:val="bottom"/>
          </w:tcPr>
          <w:p w:rsidR="00FE33D6" w:rsidRPr="005C2B2E" w:rsidRDefault="00FE33D6" w:rsidP="00FE33D6">
            <w:pPr>
              <w:spacing w:line="360" w:lineRule="auto"/>
              <w:jc w:val="right"/>
              <w:cnfStyle w:val="000000100000"/>
              <w:rPr>
                <w:i/>
                <w:color w:val="auto"/>
              </w:rPr>
            </w:pPr>
            <w:r w:rsidRPr="005C2B2E">
              <w:rPr>
                <w:i/>
                <w:color w:val="auto"/>
              </w:rPr>
              <w:t>F-Statistic</w:t>
            </w:r>
          </w:p>
        </w:tc>
        <w:tc>
          <w:tcPr>
            <w:tcW w:w="1418" w:type="dxa"/>
            <w:gridSpan w:val="2"/>
            <w:vAlign w:val="bottom"/>
          </w:tcPr>
          <w:p w:rsidR="00FE33D6" w:rsidRPr="005C2B2E" w:rsidRDefault="00FE33D6" w:rsidP="00FE33D6">
            <w:pPr>
              <w:spacing w:line="360" w:lineRule="auto"/>
              <w:jc w:val="right"/>
              <w:cnfStyle w:val="000000100000"/>
              <w:rPr>
                <w:i/>
                <w:color w:val="auto"/>
              </w:rPr>
            </w:pPr>
            <w:r w:rsidRPr="005C2B2E">
              <w:rPr>
                <w:i/>
                <w:color w:val="auto"/>
              </w:rPr>
              <w:t xml:space="preserve">Prob. </w:t>
            </w:r>
          </w:p>
        </w:tc>
      </w:tr>
      <w:tr w:rsidR="00FE33D6" w:rsidRPr="005C2B2E" w:rsidTr="00FE33D6">
        <w:tc>
          <w:tcPr>
            <w:cnfStyle w:val="001000000000"/>
            <w:tcW w:w="6487" w:type="dxa"/>
            <w:vAlign w:val="bottom"/>
          </w:tcPr>
          <w:p w:rsidR="00FE33D6" w:rsidRPr="005C2B2E" w:rsidRDefault="00FE33D6" w:rsidP="00FE33D6">
            <w:pPr>
              <w:spacing w:line="360" w:lineRule="auto"/>
              <w:rPr>
                <w:b w:val="0"/>
                <w:color w:val="auto"/>
                <w:vertAlign w:val="superscript"/>
              </w:rPr>
            </w:pPr>
            <w:r>
              <w:rPr>
                <w:b w:val="0"/>
                <w:color w:val="auto"/>
              </w:rPr>
              <w:t xml:space="preserve"> </w:t>
            </w:r>
            <w:proofErr w:type="spellStart"/>
            <w:r>
              <w:rPr>
                <w:b w:val="0"/>
                <w:color w:val="auto"/>
              </w:rPr>
              <w:t>SLVK</w:t>
            </w:r>
            <w:r w:rsidRPr="005C2B2E">
              <w:rPr>
                <w:b w:val="0"/>
                <w:color w:val="auto"/>
              </w:rPr>
              <w:t>_EMU</w:t>
            </w:r>
            <w:r>
              <w:rPr>
                <w:b w:val="0"/>
                <w:color w:val="auto"/>
              </w:rPr>
              <w:t>_Entry</w:t>
            </w:r>
            <w:proofErr w:type="spellEnd"/>
            <w:r>
              <w:rPr>
                <w:b w:val="0"/>
                <w:color w:val="auto"/>
                <w:vertAlign w:val="superscript"/>
              </w:rPr>
              <w:t>(a</w:t>
            </w:r>
            <w:r w:rsidRPr="005C2B2E">
              <w:rPr>
                <w:b w:val="0"/>
                <w:color w:val="auto"/>
                <w:vertAlign w:val="superscript"/>
              </w:rPr>
              <w:t>)</w:t>
            </w:r>
            <w:r>
              <w:rPr>
                <w:b w:val="0"/>
                <w:color w:val="auto"/>
              </w:rPr>
              <w:t xml:space="preserve"> does not Granger Cause SLVK_EMU12</w:t>
            </w:r>
            <w:r w:rsidRPr="005C2B2E">
              <w:rPr>
                <w:b w:val="0"/>
                <w:color w:val="auto"/>
              </w:rPr>
              <w:t>_T</w:t>
            </w:r>
            <w:r>
              <w:rPr>
                <w:b w:val="0"/>
                <w:color w:val="auto"/>
              </w:rPr>
              <w:t>rade</w:t>
            </w:r>
            <w:r>
              <w:rPr>
                <w:b w:val="0"/>
                <w:color w:val="auto"/>
                <w:vertAlign w:val="superscript"/>
              </w:rPr>
              <w:t>(b</w:t>
            </w:r>
            <w:r w:rsidRPr="005C2B2E">
              <w:rPr>
                <w:b w:val="0"/>
                <w:color w:val="auto"/>
                <w:vertAlign w:val="superscript"/>
              </w:rPr>
              <w:t>)</w:t>
            </w:r>
          </w:p>
        </w:tc>
        <w:tc>
          <w:tcPr>
            <w:tcW w:w="1276" w:type="dxa"/>
            <w:vAlign w:val="bottom"/>
          </w:tcPr>
          <w:p w:rsidR="00FE33D6" w:rsidRDefault="00FE33D6" w:rsidP="00FE33D6">
            <w:pPr>
              <w:spacing w:line="360" w:lineRule="auto"/>
              <w:jc w:val="right"/>
              <w:cnfStyle w:val="000000000000"/>
              <w:rPr>
                <w:color w:val="000000"/>
              </w:rPr>
            </w:pPr>
            <w:r>
              <w:rPr>
                <w:color w:val="000000"/>
              </w:rPr>
              <w:t>2.40</w:t>
            </w:r>
          </w:p>
        </w:tc>
        <w:tc>
          <w:tcPr>
            <w:tcW w:w="1418" w:type="dxa"/>
            <w:gridSpan w:val="2"/>
            <w:vAlign w:val="bottom"/>
          </w:tcPr>
          <w:p w:rsidR="00FE33D6" w:rsidRDefault="00FE33D6" w:rsidP="00FE33D6">
            <w:pPr>
              <w:spacing w:line="360" w:lineRule="auto"/>
              <w:jc w:val="right"/>
              <w:cnfStyle w:val="000000000000"/>
              <w:rPr>
                <w:color w:val="000000"/>
              </w:rPr>
            </w:pPr>
            <w:r>
              <w:rPr>
                <w:color w:val="000000"/>
              </w:rPr>
              <w:t>0.186</w:t>
            </w:r>
          </w:p>
        </w:tc>
      </w:tr>
      <w:tr w:rsidR="00FE33D6" w:rsidRPr="005C2B2E" w:rsidTr="00FE33D6">
        <w:trPr>
          <w:cnfStyle w:val="000000100000"/>
        </w:trPr>
        <w:tc>
          <w:tcPr>
            <w:cnfStyle w:val="001000000000"/>
            <w:tcW w:w="6487" w:type="dxa"/>
            <w:vAlign w:val="bottom"/>
          </w:tcPr>
          <w:p w:rsidR="00FE33D6" w:rsidRPr="005C2B2E" w:rsidRDefault="00FE33D6" w:rsidP="00FE33D6">
            <w:pPr>
              <w:spacing w:line="360" w:lineRule="auto"/>
              <w:rPr>
                <w:b w:val="0"/>
                <w:color w:val="auto"/>
              </w:rPr>
            </w:pPr>
            <w:r>
              <w:rPr>
                <w:b w:val="0"/>
                <w:color w:val="auto"/>
              </w:rPr>
              <w:t xml:space="preserve"> SLVK_EMU12</w:t>
            </w:r>
            <w:r w:rsidRPr="005C2B2E">
              <w:rPr>
                <w:b w:val="0"/>
                <w:color w:val="auto"/>
              </w:rPr>
              <w:t>_T</w:t>
            </w:r>
            <w:r>
              <w:rPr>
                <w:b w:val="0"/>
                <w:color w:val="auto"/>
              </w:rPr>
              <w:t xml:space="preserve">rade does not Granger Cause </w:t>
            </w:r>
            <w:proofErr w:type="spellStart"/>
            <w:r>
              <w:rPr>
                <w:b w:val="0"/>
                <w:color w:val="auto"/>
              </w:rPr>
              <w:t>SLVK</w:t>
            </w:r>
            <w:r w:rsidRPr="005C2B2E">
              <w:rPr>
                <w:b w:val="0"/>
                <w:color w:val="auto"/>
              </w:rPr>
              <w:t>_EMU</w:t>
            </w:r>
            <w:r>
              <w:rPr>
                <w:b w:val="0"/>
                <w:color w:val="auto"/>
              </w:rPr>
              <w:t>_Entry</w:t>
            </w:r>
            <w:proofErr w:type="spellEnd"/>
          </w:p>
        </w:tc>
        <w:tc>
          <w:tcPr>
            <w:tcW w:w="1276" w:type="dxa"/>
            <w:vAlign w:val="bottom"/>
          </w:tcPr>
          <w:p w:rsidR="00FE33D6" w:rsidRDefault="00FE33D6" w:rsidP="00FE33D6">
            <w:pPr>
              <w:spacing w:line="360" w:lineRule="auto"/>
              <w:jc w:val="right"/>
              <w:cnfStyle w:val="000000100000"/>
              <w:rPr>
                <w:color w:val="000000"/>
              </w:rPr>
            </w:pPr>
            <w:r>
              <w:rPr>
                <w:color w:val="000000"/>
              </w:rPr>
              <w:t>7.15</w:t>
            </w:r>
          </w:p>
        </w:tc>
        <w:tc>
          <w:tcPr>
            <w:tcW w:w="1418" w:type="dxa"/>
            <w:gridSpan w:val="2"/>
            <w:vAlign w:val="bottom"/>
          </w:tcPr>
          <w:p w:rsidR="00FE33D6" w:rsidRDefault="00FE33D6" w:rsidP="00FE33D6">
            <w:pPr>
              <w:spacing w:line="360" w:lineRule="auto"/>
              <w:jc w:val="right"/>
              <w:cnfStyle w:val="000000100000"/>
              <w:rPr>
                <w:color w:val="000000"/>
              </w:rPr>
            </w:pPr>
            <w:r>
              <w:rPr>
                <w:color w:val="000000"/>
              </w:rPr>
              <w:t>0.034</w:t>
            </w:r>
          </w:p>
        </w:tc>
      </w:tr>
    </w:tbl>
    <w:p w:rsidR="00FE33D6" w:rsidRPr="005C2B2E" w:rsidRDefault="00FE33D6" w:rsidP="00FE33D6">
      <w:pPr>
        <w:pStyle w:val="Caption"/>
        <w:jc w:val="both"/>
        <w:rPr>
          <w:color w:val="auto"/>
        </w:rPr>
      </w:pPr>
      <w:r>
        <w:rPr>
          <w:color w:val="auto"/>
        </w:rPr>
        <w:t>N</w:t>
      </w:r>
      <w:r w:rsidRPr="005C2B2E">
        <w:rPr>
          <w:color w:val="auto"/>
        </w:rPr>
        <w:t>otes: (</w:t>
      </w:r>
      <w:r>
        <w:rPr>
          <w:color w:val="auto"/>
        </w:rPr>
        <w:t xml:space="preserve">a) </w:t>
      </w:r>
      <w:proofErr w:type="spellStart"/>
      <w:r>
        <w:rPr>
          <w:color w:val="auto"/>
        </w:rPr>
        <w:t>SLVK</w:t>
      </w:r>
      <w:r w:rsidRPr="005C2B2E">
        <w:rPr>
          <w:color w:val="auto"/>
        </w:rPr>
        <w:t>_EMU</w:t>
      </w:r>
      <w:r>
        <w:rPr>
          <w:color w:val="auto"/>
        </w:rPr>
        <w:t>_Entry</w:t>
      </w:r>
      <w:proofErr w:type="spellEnd"/>
      <w:r w:rsidRPr="005C2B2E">
        <w:rPr>
          <w:color w:val="auto"/>
        </w:rPr>
        <w:t xml:space="preserve"> is the dummy variable that takes the value 1 from the year of Euro adoption onwards, 200</w:t>
      </w:r>
      <w:r>
        <w:rPr>
          <w:color w:val="auto"/>
        </w:rPr>
        <w:t>9 for the Slovak Republic;</w:t>
      </w:r>
      <w:r w:rsidRPr="005C2B2E">
        <w:rPr>
          <w:color w:val="auto"/>
        </w:rPr>
        <w:t xml:space="preserve"> (</w:t>
      </w:r>
      <w:r>
        <w:rPr>
          <w:color w:val="auto"/>
        </w:rPr>
        <w:t>b</w:t>
      </w:r>
      <w:r w:rsidRPr="005C2B2E">
        <w:rPr>
          <w:color w:val="auto"/>
        </w:rPr>
        <w:t>) SL</w:t>
      </w:r>
      <w:r>
        <w:rPr>
          <w:color w:val="auto"/>
        </w:rPr>
        <w:t>VK</w:t>
      </w:r>
      <w:r w:rsidRPr="005C2B2E">
        <w:rPr>
          <w:color w:val="auto"/>
        </w:rPr>
        <w:t>_</w:t>
      </w:r>
      <w:r>
        <w:rPr>
          <w:color w:val="auto"/>
        </w:rPr>
        <w:t>EMU12_</w:t>
      </w:r>
      <w:r w:rsidRPr="005C2B2E">
        <w:rPr>
          <w:color w:val="auto"/>
        </w:rPr>
        <w:t>T</w:t>
      </w:r>
      <w:r>
        <w:rPr>
          <w:color w:val="auto"/>
        </w:rPr>
        <w:t>rade</w:t>
      </w:r>
      <w:r w:rsidRPr="005C2B2E">
        <w:rPr>
          <w:color w:val="auto"/>
        </w:rPr>
        <w:t xml:space="preserve"> is constructed by adding total import and total export of </w:t>
      </w:r>
      <w:r>
        <w:rPr>
          <w:color w:val="auto"/>
        </w:rPr>
        <w:t>the Slovak Republic</w:t>
      </w:r>
      <w:r w:rsidRPr="005C2B2E">
        <w:rPr>
          <w:color w:val="auto"/>
        </w:rPr>
        <w:t xml:space="preserve"> </w:t>
      </w:r>
      <w:r>
        <w:rPr>
          <w:color w:val="auto"/>
        </w:rPr>
        <w:t xml:space="preserve">with the 12 existing EMU countries </w:t>
      </w:r>
      <w:r w:rsidRPr="005C2B2E">
        <w:rPr>
          <w:color w:val="auto"/>
        </w:rPr>
        <w:t>together</w:t>
      </w:r>
      <w:r>
        <w:rPr>
          <w:color w:val="auto"/>
        </w:rPr>
        <w:t>; (</w:t>
      </w:r>
      <w:proofErr w:type="spellStart"/>
      <w:r>
        <w:rPr>
          <w:color w:val="auto"/>
        </w:rPr>
        <w:t>i</w:t>
      </w:r>
      <w:proofErr w:type="spellEnd"/>
      <w:r>
        <w:rPr>
          <w:color w:val="auto"/>
        </w:rPr>
        <w:t xml:space="preserve">) The </w:t>
      </w:r>
      <w:proofErr w:type="spellStart"/>
      <w:r>
        <w:rPr>
          <w:color w:val="auto"/>
        </w:rPr>
        <w:t>Pairwise</w:t>
      </w:r>
      <w:proofErr w:type="spellEnd"/>
      <w:r>
        <w:rPr>
          <w:color w:val="auto"/>
        </w:rPr>
        <w:t xml:space="preserve"> Granger Causality Test tests for any effect of lagged values of one variable on the current value of the other variable; (ii) the number of lags tested in this causality test is 2 (years)</w:t>
      </w:r>
    </w:p>
    <w:p w:rsidR="00FE33D6" w:rsidRDefault="00FE33D6" w:rsidP="00FE33D6">
      <w:pPr>
        <w:spacing w:line="360" w:lineRule="auto"/>
        <w:jc w:val="both"/>
      </w:pPr>
      <w:r>
        <w:t>As can be seen above, the first null hypothesis cannot be rejected. This means that Euro adoption by the Slovak Republic had no effect on future trade between the Slovak Republic and the EMU12 countries. The second null hypothesis, that trade between the Slovak Republic and EMU12 had no effect on Euro adoption, is rejected. This would imply that increased trade between the Slovak Republic and EMU12 has had an effect on the decision for the Slovak Republic to adopt the Euro. These results are consistent when only one lag is included in the test.</w:t>
      </w:r>
    </w:p>
    <w:p w:rsidR="00FE33D6" w:rsidRDefault="00FE33D6" w:rsidP="00FE33D6">
      <w:pPr>
        <w:spacing w:line="360" w:lineRule="auto"/>
        <w:jc w:val="both"/>
      </w:pPr>
      <w:r>
        <w:t xml:space="preserve">Finally, given the evidence in the Country Fixed Effect model that the new EMU members realized a larger increase in trade with the existing EMU countries compared to their 2004 EU entrant peers, these outcomes will also be subject to the </w:t>
      </w:r>
      <w:proofErr w:type="spellStart"/>
      <w:r>
        <w:t>Pairwise</w:t>
      </w:r>
      <w:proofErr w:type="spellEnd"/>
      <w:r>
        <w:t xml:space="preserve"> Granger Causality Test. The results are displayed in Table 8-3.</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3</w:t>
      </w:r>
      <w:r>
        <w:rPr>
          <w:color w:val="auto"/>
          <w:sz w:val="28"/>
        </w:rPr>
        <w:fldChar w:fldCharType="end"/>
      </w:r>
      <w:r w:rsidR="00FE33D6" w:rsidRPr="00FE33D6">
        <w:rPr>
          <w:color w:val="auto"/>
          <w:sz w:val="28"/>
        </w:rPr>
        <w:t xml:space="preserve"> – Causality Test new EMU members</w:t>
      </w:r>
    </w:p>
    <w:tbl>
      <w:tblPr>
        <w:tblStyle w:val="Lichtearcering-accent12"/>
        <w:tblW w:w="0" w:type="auto"/>
        <w:tblLook w:val="04A0"/>
      </w:tblPr>
      <w:tblGrid>
        <w:gridCol w:w="7054"/>
        <w:gridCol w:w="1148"/>
        <w:gridCol w:w="979"/>
      </w:tblGrid>
      <w:tr w:rsidR="00FE33D6" w:rsidRPr="005C2B2E" w:rsidTr="00FE33D6">
        <w:trPr>
          <w:cnfStyle w:val="100000000000"/>
        </w:trPr>
        <w:tc>
          <w:tcPr>
            <w:cnfStyle w:val="001000000000"/>
            <w:tcW w:w="8202" w:type="dxa"/>
            <w:gridSpan w:val="2"/>
          </w:tcPr>
          <w:p w:rsidR="00FE33D6" w:rsidRPr="005C2B2E" w:rsidRDefault="00FE33D6" w:rsidP="00FE33D6">
            <w:pPr>
              <w:spacing w:line="276" w:lineRule="auto"/>
              <w:jc w:val="both"/>
              <w:rPr>
                <w:color w:val="auto"/>
                <w:vertAlign w:val="superscript"/>
              </w:rPr>
            </w:pPr>
            <w:proofErr w:type="spellStart"/>
            <w:r w:rsidRPr="00FE33D6">
              <w:rPr>
                <w:color w:val="auto"/>
                <w:sz w:val="24"/>
              </w:rPr>
              <w:t>Pairwise</w:t>
            </w:r>
            <w:proofErr w:type="spellEnd"/>
            <w:r w:rsidRPr="00FE33D6">
              <w:rPr>
                <w:color w:val="auto"/>
                <w:sz w:val="24"/>
              </w:rPr>
              <w:t xml:space="preserve"> Granger Causality Test</w:t>
            </w:r>
            <w:r>
              <w:rPr>
                <w:color w:val="auto"/>
                <w:vertAlign w:val="superscript"/>
              </w:rPr>
              <w:t>(</w:t>
            </w:r>
            <w:proofErr w:type="spellStart"/>
            <w:r>
              <w:rPr>
                <w:color w:val="auto"/>
                <w:vertAlign w:val="superscript"/>
              </w:rPr>
              <w:t>i</w:t>
            </w:r>
            <w:proofErr w:type="spellEnd"/>
            <w:r>
              <w:rPr>
                <w:color w:val="auto"/>
                <w:vertAlign w:val="superscript"/>
              </w:rPr>
              <w:t>)</w:t>
            </w:r>
          </w:p>
          <w:p w:rsidR="00FE33D6" w:rsidRPr="005C2B2E" w:rsidRDefault="00FE33D6" w:rsidP="00FE33D6">
            <w:pPr>
              <w:spacing w:line="276" w:lineRule="auto"/>
              <w:jc w:val="both"/>
              <w:rPr>
                <w:b w:val="0"/>
                <w:bCs w:val="0"/>
                <w:color w:val="auto"/>
              </w:rPr>
            </w:pPr>
            <w:r w:rsidRPr="005C2B2E">
              <w:rPr>
                <w:b w:val="0"/>
                <w:color w:val="auto"/>
              </w:rPr>
              <w:t>Sample 2000 – 2011</w:t>
            </w:r>
          </w:p>
        </w:tc>
        <w:tc>
          <w:tcPr>
            <w:tcW w:w="979" w:type="dxa"/>
          </w:tcPr>
          <w:p w:rsidR="00FE33D6" w:rsidRPr="00FE33D6" w:rsidRDefault="00FE33D6" w:rsidP="00FE33D6">
            <w:pPr>
              <w:spacing w:line="360" w:lineRule="auto"/>
              <w:jc w:val="both"/>
              <w:cnfStyle w:val="100000000000"/>
              <w:rPr>
                <w:b w:val="0"/>
                <w:color w:val="auto"/>
                <w:u w:val="single"/>
                <w:vertAlign w:val="superscript"/>
              </w:rPr>
            </w:pPr>
            <w:r w:rsidRPr="00AB3FE4">
              <w:rPr>
                <w:b w:val="0"/>
                <w:color w:val="auto"/>
                <w:u w:val="single"/>
              </w:rPr>
              <w:t>Lags: 3</w:t>
            </w:r>
            <w:r>
              <w:rPr>
                <w:b w:val="0"/>
                <w:color w:val="auto"/>
                <w:u w:val="single"/>
                <w:vertAlign w:val="superscript"/>
              </w:rPr>
              <w:t>(ii)</w:t>
            </w:r>
          </w:p>
        </w:tc>
      </w:tr>
      <w:tr w:rsidR="00FE33D6" w:rsidRPr="005C2B2E" w:rsidTr="00FE33D6">
        <w:trPr>
          <w:cnfStyle w:val="000000100000"/>
        </w:trPr>
        <w:tc>
          <w:tcPr>
            <w:cnfStyle w:val="001000000000"/>
            <w:tcW w:w="7054" w:type="dxa"/>
            <w:vAlign w:val="bottom"/>
          </w:tcPr>
          <w:p w:rsidR="00FE33D6" w:rsidRPr="005C2B2E" w:rsidRDefault="00FE33D6" w:rsidP="00FE33D6">
            <w:pPr>
              <w:spacing w:line="360" w:lineRule="auto"/>
              <w:rPr>
                <w:b w:val="0"/>
                <w:i/>
                <w:color w:val="auto"/>
              </w:rPr>
            </w:pPr>
            <w:r w:rsidRPr="005C2B2E">
              <w:rPr>
                <w:i/>
                <w:color w:val="auto"/>
              </w:rPr>
              <w:t xml:space="preserve"> </w:t>
            </w:r>
            <w:r w:rsidRPr="005C2B2E">
              <w:rPr>
                <w:b w:val="0"/>
                <w:i/>
                <w:color w:val="auto"/>
              </w:rPr>
              <w:t>Null Hypothesis:</w:t>
            </w:r>
          </w:p>
        </w:tc>
        <w:tc>
          <w:tcPr>
            <w:tcW w:w="1148" w:type="dxa"/>
            <w:vAlign w:val="bottom"/>
          </w:tcPr>
          <w:p w:rsidR="00FE33D6" w:rsidRPr="005C2B2E" w:rsidRDefault="00FE33D6" w:rsidP="00FE33D6">
            <w:pPr>
              <w:spacing w:line="360" w:lineRule="auto"/>
              <w:jc w:val="right"/>
              <w:cnfStyle w:val="000000100000"/>
              <w:rPr>
                <w:i/>
                <w:color w:val="auto"/>
              </w:rPr>
            </w:pPr>
            <w:r w:rsidRPr="005C2B2E">
              <w:rPr>
                <w:i/>
                <w:color w:val="auto"/>
              </w:rPr>
              <w:t>F-Statistic</w:t>
            </w:r>
          </w:p>
        </w:tc>
        <w:tc>
          <w:tcPr>
            <w:tcW w:w="979" w:type="dxa"/>
            <w:vAlign w:val="bottom"/>
          </w:tcPr>
          <w:p w:rsidR="00FE33D6" w:rsidRPr="005C2B2E" w:rsidRDefault="00FE33D6" w:rsidP="00FE33D6">
            <w:pPr>
              <w:spacing w:line="360" w:lineRule="auto"/>
              <w:jc w:val="right"/>
              <w:cnfStyle w:val="000000100000"/>
              <w:rPr>
                <w:i/>
                <w:color w:val="auto"/>
              </w:rPr>
            </w:pPr>
            <w:r w:rsidRPr="005C2B2E">
              <w:rPr>
                <w:i/>
                <w:color w:val="auto"/>
              </w:rPr>
              <w:t xml:space="preserve">Prob. </w:t>
            </w:r>
          </w:p>
        </w:tc>
      </w:tr>
      <w:tr w:rsidR="00FE33D6" w:rsidRPr="005C2B2E" w:rsidTr="00FE33D6">
        <w:tc>
          <w:tcPr>
            <w:cnfStyle w:val="001000000000"/>
            <w:tcW w:w="7054" w:type="dxa"/>
            <w:vAlign w:val="bottom"/>
          </w:tcPr>
          <w:p w:rsidR="00FE33D6" w:rsidRPr="005C2B2E" w:rsidRDefault="00FE33D6" w:rsidP="00FE33D6">
            <w:pPr>
              <w:spacing w:line="360" w:lineRule="auto"/>
              <w:rPr>
                <w:b w:val="0"/>
                <w:color w:val="auto"/>
                <w:vertAlign w:val="superscript"/>
              </w:rPr>
            </w:pPr>
            <w:proofErr w:type="spellStart"/>
            <w:r>
              <w:rPr>
                <w:b w:val="0"/>
                <w:color w:val="auto"/>
              </w:rPr>
              <w:t>newEMU</w:t>
            </w:r>
            <w:r w:rsidRPr="005C2B2E">
              <w:rPr>
                <w:b w:val="0"/>
                <w:color w:val="auto"/>
              </w:rPr>
              <w:t>_EMU</w:t>
            </w:r>
            <w:r>
              <w:rPr>
                <w:b w:val="0"/>
                <w:color w:val="auto"/>
              </w:rPr>
              <w:t>_Entry</w:t>
            </w:r>
            <w:proofErr w:type="spellEnd"/>
            <w:r>
              <w:rPr>
                <w:b w:val="0"/>
                <w:color w:val="auto"/>
                <w:vertAlign w:val="superscript"/>
              </w:rPr>
              <w:t>(a</w:t>
            </w:r>
            <w:r w:rsidRPr="005C2B2E">
              <w:rPr>
                <w:b w:val="0"/>
                <w:color w:val="auto"/>
                <w:vertAlign w:val="superscript"/>
              </w:rPr>
              <w:t>)</w:t>
            </w:r>
            <w:r>
              <w:rPr>
                <w:b w:val="0"/>
                <w:color w:val="auto"/>
              </w:rPr>
              <w:t xml:space="preserve"> does not Granger Cause </w:t>
            </w:r>
            <w:r w:rsidRPr="005C68BF">
              <w:rPr>
                <w:b w:val="0"/>
                <w:color w:val="auto"/>
              </w:rPr>
              <w:t>newEMU</w:t>
            </w:r>
            <w:r>
              <w:rPr>
                <w:b w:val="0"/>
                <w:color w:val="auto"/>
              </w:rPr>
              <w:t>_EMU12</w:t>
            </w:r>
            <w:r w:rsidRPr="005C2B2E">
              <w:rPr>
                <w:b w:val="0"/>
                <w:color w:val="auto"/>
              </w:rPr>
              <w:t>_T</w:t>
            </w:r>
            <w:r>
              <w:rPr>
                <w:b w:val="0"/>
                <w:color w:val="auto"/>
              </w:rPr>
              <w:t>rade</w:t>
            </w:r>
            <w:r>
              <w:rPr>
                <w:b w:val="0"/>
                <w:color w:val="auto"/>
                <w:vertAlign w:val="superscript"/>
              </w:rPr>
              <w:t>(b</w:t>
            </w:r>
            <w:r w:rsidRPr="005C2B2E">
              <w:rPr>
                <w:b w:val="0"/>
                <w:color w:val="auto"/>
                <w:vertAlign w:val="superscript"/>
              </w:rPr>
              <w:t>)</w:t>
            </w:r>
          </w:p>
        </w:tc>
        <w:tc>
          <w:tcPr>
            <w:tcW w:w="1148" w:type="dxa"/>
            <w:vAlign w:val="bottom"/>
          </w:tcPr>
          <w:p w:rsidR="00FE33D6" w:rsidRDefault="00FE33D6" w:rsidP="00FE33D6">
            <w:pPr>
              <w:spacing w:line="360" w:lineRule="auto"/>
              <w:jc w:val="right"/>
              <w:cnfStyle w:val="000000000000"/>
              <w:rPr>
                <w:color w:val="000000"/>
              </w:rPr>
            </w:pPr>
            <w:r>
              <w:rPr>
                <w:color w:val="000000"/>
              </w:rPr>
              <w:t>65.57</w:t>
            </w:r>
          </w:p>
        </w:tc>
        <w:tc>
          <w:tcPr>
            <w:tcW w:w="979" w:type="dxa"/>
            <w:vAlign w:val="bottom"/>
          </w:tcPr>
          <w:p w:rsidR="00FE33D6" w:rsidRDefault="00FE33D6" w:rsidP="00FE33D6">
            <w:pPr>
              <w:spacing w:line="360" w:lineRule="auto"/>
              <w:jc w:val="right"/>
              <w:cnfStyle w:val="000000000000"/>
              <w:rPr>
                <w:color w:val="000000"/>
              </w:rPr>
            </w:pPr>
            <w:r>
              <w:rPr>
                <w:color w:val="000000"/>
              </w:rPr>
              <w:t>0.015</w:t>
            </w:r>
          </w:p>
        </w:tc>
      </w:tr>
      <w:tr w:rsidR="00FE33D6" w:rsidRPr="005C2B2E" w:rsidTr="00FE33D6">
        <w:trPr>
          <w:cnfStyle w:val="000000100000"/>
        </w:trPr>
        <w:tc>
          <w:tcPr>
            <w:cnfStyle w:val="001000000000"/>
            <w:tcW w:w="7054" w:type="dxa"/>
            <w:vAlign w:val="bottom"/>
          </w:tcPr>
          <w:p w:rsidR="00FE33D6" w:rsidRPr="005C2B2E" w:rsidRDefault="00FE33D6" w:rsidP="00FE33D6">
            <w:pPr>
              <w:spacing w:line="360" w:lineRule="auto"/>
              <w:rPr>
                <w:b w:val="0"/>
                <w:color w:val="auto"/>
              </w:rPr>
            </w:pPr>
            <w:r>
              <w:rPr>
                <w:b w:val="0"/>
                <w:color w:val="auto"/>
              </w:rPr>
              <w:t xml:space="preserve"> </w:t>
            </w:r>
            <w:r w:rsidRPr="005C68BF">
              <w:rPr>
                <w:b w:val="0"/>
                <w:color w:val="auto"/>
              </w:rPr>
              <w:t>newEMU</w:t>
            </w:r>
            <w:r>
              <w:rPr>
                <w:b w:val="0"/>
                <w:color w:val="auto"/>
              </w:rPr>
              <w:t>_EMU12</w:t>
            </w:r>
            <w:r w:rsidRPr="005C2B2E">
              <w:rPr>
                <w:b w:val="0"/>
                <w:color w:val="auto"/>
              </w:rPr>
              <w:t>_T</w:t>
            </w:r>
            <w:r>
              <w:rPr>
                <w:b w:val="0"/>
                <w:color w:val="auto"/>
              </w:rPr>
              <w:t>rade</w:t>
            </w:r>
            <w:r w:rsidRPr="005C2B2E">
              <w:rPr>
                <w:b w:val="0"/>
                <w:color w:val="auto"/>
              </w:rPr>
              <w:t xml:space="preserve"> does not Granger Cause </w:t>
            </w:r>
            <w:proofErr w:type="spellStart"/>
            <w:r w:rsidRPr="005C68BF">
              <w:rPr>
                <w:b w:val="0"/>
                <w:color w:val="auto"/>
              </w:rPr>
              <w:t>newEMU</w:t>
            </w:r>
            <w:r w:rsidRPr="005C2B2E">
              <w:rPr>
                <w:b w:val="0"/>
                <w:color w:val="auto"/>
              </w:rPr>
              <w:t>_EMU</w:t>
            </w:r>
            <w:r>
              <w:rPr>
                <w:b w:val="0"/>
                <w:color w:val="auto"/>
              </w:rPr>
              <w:t>_Entry</w:t>
            </w:r>
            <w:proofErr w:type="spellEnd"/>
          </w:p>
        </w:tc>
        <w:tc>
          <w:tcPr>
            <w:tcW w:w="1148" w:type="dxa"/>
            <w:vAlign w:val="bottom"/>
          </w:tcPr>
          <w:p w:rsidR="00FE33D6" w:rsidRDefault="00FE33D6" w:rsidP="00FE33D6">
            <w:pPr>
              <w:spacing w:line="360" w:lineRule="auto"/>
              <w:jc w:val="right"/>
              <w:cnfStyle w:val="000000100000"/>
              <w:rPr>
                <w:color w:val="000000"/>
              </w:rPr>
            </w:pPr>
            <w:r>
              <w:rPr>
                <w:color w:val="000000"/>
              </w:rPr>
              <w:t>1.42</w:t>
            </w:r>
          </w:p>
        </w:tc>
        <w:tc>
          <w:tcPr>
            <w:tcW w:w="979" w:type="dxa"/>
            <w:vAlign w:val="bottom"/>
          </w:tcPr>
          <w:p w:rsidR="00FE33D6" w:rsidRDefault="00FE33D6" w:rsidP="00FE33D6">
            <w:pPr>
              <w:spacing w:line="360" w:lineRule="auto"/>
              <w:jc w:val="right"/>
              <w:cnfStyle w:val="000000100000"/>
              <w:rPr>
                <w:color w:val="000000"/>
              </w:rPr>
            </w:pPr>
            <w:r>
              <w:rPr>
                <w:color w:val="000000"/>
              </w:rPr>
              <w:t>0.439</w:t>
            </w:r>
          </w:p>
        </w:tc>
      </w:tr>
    </w:tbl>
    <w:p w:rsidR="00FE33D6" w:rsidRPr="005C2B2E" w:rsidRDefault="00FE33D6" w:rsidP="00FE33D6">
      <w:pPr>
        <w:pStyle w:val="Caption"/>
        <w:jc w:val="both"/>
        <w:rPr>
          <w:color w:val="auto"/>
        </w:rPr>
      </w:pPr>
      <w:r>
        <w:rPr>
          <w:color w:val="auto"/>
        </w:rPr>
        <w:t>N</w:t>
      </w:r>
      <w:r w:rsidRPr="005C2B2E">
        <w:rPr>
          <w:color w:val="auto"/>
        </w:rPr>
        <w:t>otes: (</w:t>
      </w:r>
      <w:r>
        <w:rPr>
          <w:color w:val="auto"/>
        </w:rPr>
        <w:t>a</w:t>
      </w:r>
      <w:r w:rsidRPr="005C2B2E">
        <w:rPr>
          <w:color w:val="auto"/>
        </w:rPr>
        <w:t xml:space="preserve">) </w:t>
      </w:r>
      <w:proofErr w:type="spellStart"/>
      <w:r>
        <w:rPr>
          <w:color w:val="auto"/>
        </w:rPr>
        <w:t>newEMU</w:t>
      </w:r>
      <w:r w:rsidRPr="005C2B2E">
        <w:rPr>
          <w:color w:val="auto"/>
        </w:rPr>
        <w:t>_EMU</w:t>
      </w:r>
      <w:r>
        <w:rPr>
          <w:color w:val="auto"/>
        </w:rPr>
        <w:t>_Entry</w:t>
      </w:r>
      <w:proofErr w:type="spellEnd"/>
      <w:r w:rsidRPr="005C2B2E">
        <w:rPr>
          <w:color w:val="auto"/>
        </w:rPr>
        <w:t xml:space="preserve"> is the dummy variable that takes the value 1 from the year of Euro adoption onwards, </w:t>
      </w:r>
      <w:r>
        <w:rPr>
          <w:color w:val="auto"/>
        </w:rPr>
        <w:t xml:space="preserve">which is set at </w:t>
      </w:r>
      <w:r w:rsidRPr="005C2B2E">
        <w:rPr>
          <w:color w:val="auto"/>
        </w:rPr>
        <w:t xml:space="preserve">2007 for </w:t>
      </w:r>
      <w:r>
        <w:rPr>
          <w:color w:val="auto"/>
        </w:rPr>
        <w:t>the new EMU members as a group;</w:t>
      </w:r>
      <w:r w:rsidRPr="005C2B2E">
        <w:rPr>
          <w:color w:val="auto"/>
        </w:rPr>
        <w:t xml:space="preserve"> (</w:t>
      </w:r>
      <w:r>
        <w:rPr>
          <w:color w:val="auto"/>
        </w:rPr>
        <w:t>b</w:t>
      </w:r>
      <w:r w:rsidRPr="005C2B2E">
        <w:rPr>
          <w:color w:val="auto"/>
        </w:rPr>
        <w:t xml:space="preserve">) </w:t>
      </w:r>
      <w:r>
        <w:rPr>
          <w:color w:val="auto"/>
        </w:rPr>
        <w:t>newEMU</w:t>
      </w:r>
      <w:r w:rsidRPr="005C2B2E">
        <w:rPr>
          <w:color w:val="auto"/>
        </w:rPr>
        <w:t>_</w:t>
      </w:r>
      <w:r>
        <w:rPr>
          <w:color w:val="auto"/>
        </w:rPr>
        <w:t>EMU12_</w:t>
      </w:r>
      <w:r w:rsidRPr="005C2B2E">
        <w:rPr>
          <w:color w:val="auto"/>
        </w:rPr>
        <w:t>T</w:t>
      </w:r>
      <w:r>
        <w:rPr>
          <w:color w:val="auto"/>
        </w:rPr>
        <w:t>rade</w:t>
      </w:r>
      <w:r w:rsidRPr="005C2B2E">
        <w:rPr>
          <w:color w:val="auto"/>
        </w:rPr>
        <w:t xml:space="preserve"> is constructed by adding total import and total export of </w:t>
      </w:r>
      <w:r>
        <w:rPr>
          <w:color w:val="auto"/>
        </w:rPr>
        <w:t>the four new EMU members</w:t>
      </w:r>
      <w:r w:rsidRPr="005C2B2E">
        <w:rPr>
          <w:color w:val="auto"/>
        </w:rPr>
        <w:t xml:space="preserve"> </w:t>
      </w:r>
      <w:r>
        <w:rPr>
          <w:color w:val="auto"/>
        </w:rPr>
        <w:t xml:space="preserve">with the 12 existing EMU countries </w:t>
      </w:r>
      <w:r w:rsidRPr="005C2B2E">
        <w:rPr>
          <w:color w:val="auto"/>
        </w:rPr>
        <w:t>together</w:t>
      </w:r>
      <w:r>
        <w:rPr>
          <w:color w:val="auto"/>
        </w:rPr>
        <w:t>; (</w:t>
      </w:r>
      <w:proofErr w:type="spellStart"/>
      <w:r>
        <w:rPr>
          <w:color w:val="auto"/>
        </w:rPr>
        <w:t>i</w:t>
      </w:r>
      <w:proofErr w:type="spellEnd"/>
      <w:r>
        <w:rPr>
          <w:color w:val="auto"/>
        </w:rPr>
        <w:t xml:space="preserve">) The </w:t>
      </w:r>
      <w:proofErr w:type="spellStart"/>
      <w:r>
        <w:rPr>
          <w:color w:val="auto"/>
        </w:rPr>
        <w:t>Pairwise</w:t>
      </w:r>
      <w:proofErr w:type="spellEnd"/>
      <w:r>
        <w:rPr>
          <w:color w:val="auto"/>
        </w:rPr>
        <w:t xml:space="preserve"> Granger Causality Test tests for any effect of lagged values of one variable on the current value of the other variable; (ii) the number of lags tested in this causality test is 3 (years)</w:t>
      </w:r>
    </w:p>
    <w:p w:rsidR="00F92A01" w:rsidRPr="00F92A01" w:rsidRDefault="00FE33D6" w:rsidP="00F92A01">
      <w:pPr>
        <w:spacing w:line="360" w:lineRule="auto"/>
        <w:jc w:val="both"/>
      </w:pPr>
      <w:r w:rsidRPr="00F92A01">
        <w:t xml:space="preserve">The outcomes of this causality test are comparable to those found for Slovenia. The first null hypothesis is rejected, implying that Euro adoption by the new EMU members in 2007 has had an effect on trade between the new EMU members and the EMU12 countries. Also is the second null hypothesis not rejected, implying that there is no evidence that trade between the new EMU members and the EMU12 countries has had an effect on the decision to adopt the Euro. When using only one lag in the test the outcomes reverse, so that Euro adoption no longer has an effect on trade between the new EMU members and the EMU12 countries, while trade between these two groups of countries </w:t>
      </w:r>
      <w:r w:rsidRPr="00F92A01">
        <w:rPr>
          <w:i/>
        </w:rPr>
        <w:t>does</w:t>
      </w:r>
      <w:r w:rsidRPr="00F92A01">
        <w:t xml:space="preserve"> have an effect on the decision to adopt the Euro. </w:t>
      </w:r>
    </w:p>
    <w:p w:rsidR="00FE33D6" w:rsidRPr="00F92A01" w:rsidRDefault="00120B71" w:rsidP="00F92A01">
      <w:pPr>
        <w:spacing w:line="360" w:lineRule="auto"/>
        <w:jc w:val="both"/>
      </w:pPr>
      <w:r w:rsidRPr="00F92A01">
        <w:t>With</w:t>
      </w:r>
      <w:r w:rsidR="00FE33D6" w:rsidRPr="00F92A01">
        <w:t xml:space="preserve"> the results </w:t>
      </w:r>
      <w:r w:rsidRPr="00F92A01">
        <w:t>of</w:t>
      </w:r>
      <w:r w:rsidR="00FE33D6" w:rsidRPr="00F92A01">
        <w:t xml:space="preserve"> the </w:t>
      </w:r>
      <w:proofErr w:type="spellStart"/>
      <w:r w:rsidRPr="00F92A01">
        <w:t>Pairwise</w:t>
      </w:r>
      <w:proofErr w:type="spellEnd"/>
      <w:r w:rsidRPr="00F92A01">
        <w:t xml:space="preserve"> </w:t>
      </w:r>
      <w:r w:rsidR="00FE33D6" w:rsidRPr="00F92A01">
        <w:t xml:space="preserve">Granger </w:t>
      </w:r>
      <w:r w:rsidRPr="00F92A01">
        <w:t>Causality T</w:t>
      </w:r>
      <w:r w:rsidR="00FE33D6" w:rsidRPr="00F92A01">
        <w:t>est</w:t>
      </w:r>
      <w:r w:rsidRPr="00F92A01">
        <w:t>s</w:t>
      </w:r>
      <w:r w:rsidR="00FE33D6" w:rsidRPr="00F92A01">
        <w:t xml:space="preserve"> </w:t>
      </w:r>
      <w:r w:rsidRPr="00F92A01">
        <w:t>some</w:t>
      </w:r>
      <w:r w:rsidR="00FE33D6" w:rsidRPr="00F92A01">
        <w:t xml:space="preserve"> evidence of causality is found that </w:t>
      </w:r>
      <w:r w:rsidRPr="00F92A01">
        <w:t xml:space="preserve">Euro adoption has led to increased trade </w:t>
      </w:r>
      <w:r w:rsidR="004800A2" w:rsidRPr="00F92A01">
        <w:t>between on the one hand Slovenia and the new EMU members as a group and on the other hand the</w:t>
      </w:r>
      <w:r w:rsidRPr="00F92A01">
        <w:t xml:space="preserve"> existing EMU countries</w:t>
      </w:r>
      <w:r w:rsidR="004800A2" w:rsidRPr="00F92A01">
        <w:t>. These outcomes would</w:t>
      </w:r>
      <w:r w:rsidRPr="00F92A01">
        <w:t xml:space="preserve"> thus</w:t>
      </w:r>
      <w:r w:rsidR="004800A2" w:rsidRPr="00F92A01">
        <w:t xml:space="preserve"> strengthen</w:t>
      </w:r>
      <w:r w:rsidR="00FE33D6" w:rsidRPr="00F92A01">
        <w:t xml:space="preserve"> the inferences to be drawn from the results found in the previous chapter. </w:t>
      </w:r>
      <w:r w:rsidR="00F92A01">
        <w:t>This</w:t>
      </w:r>
      <w:r w:rsidRPr="00F92A01">
        <w:t xml:space="preserve"> causality </w:t>
      </w:r>
      <w:r w:rsidR="00F92A01">
        <w:t xml:space="preserve">however </w:t>
      </w:r>
      <w:r w:rsidRPr="00F92A01">
        <w:t xml:space="preserve">is not very consistent, nor is it found for all cases under investigation. </w:t>
      </w:r>
      <w:r w:rsidR="004800A2" w:rsidRPr="00F92A01">
        <w:t xml:space="preserve">There is also the case of the Slovak Republic in which causality is found that existing levels of trade between the Slovak Republic and the existing EMU countries had an effect on the decision to adopt the Euro. </w:t>
      </w:r>
      <w:r w:rsidR="00FE33D6" w:rsidRPr="00F92A01">
        <w:t>The</w:t>
      </w:r>
      <w:r w:rsidR="004800A2" w:rsidRPr="00F92A01">
        <w:t xml:space="preserve"> results found in this section are the</w:t>
      </w:r>
      <w:r w:rsidR="00FE33D6" w:rsidRPr="00F92A01">
        <w:t>refore not</w:t>
      </w:r>
      <w:r w:rsidR="004800A2" w:rsidRPr="00F92A01">
        <w:t xml:space="preserve"> very robust, and causality testing in this form not very useful</w:t>
      </w:r>
      <w:r w:rsidR="00FE33D6" w:rsidRPr="00F92A01">
        <w:t xml:space="preserve">. However, as discussed before, </w:t>
      </w:r>
      <w:r w:rsidR="00F92A01" w:rsidRPr="00F92A01">
        <w:t xml:space="preserve">this can be explained </w:t>
      </w:r>
      <w:r w:rsidR="00FE33D6" w:rsidRPr="00F92A01">
        <w:t>b</w:t>
      </w:r>
      <w:r w:rsidR="00F92A01" w:rsidRPr="00F92A01">
        <w:t>y</w:t>
      </w:r>
      <w:r w:rsidR="00FE33D6" w:rsidRPr="00F92A01">
        <w:t xml:space="preserve"> the inconsistent patterns of trade </w:t>
      </w:r>
      <w:r w:rsidR="00F92A01" w:rsidRPr="00F92A01">
        <w:t>before and after Euro adoption.</w:t>
      </w:r>
    </w:p>
    <w:p w:rsidR="00250259" w:rsidRDefault="00250259" w:rsidP="00770C4A">
      <w:pPr>
        <w:pStyle w:val="Heading2"/>
        <w:numPr>
          <w:ilvl w:val="1"/>
          <w:numId w:val="1"/>
        </w:numPr>
      </w:pPr>
      <w:r>
        <w:t xml:space="preserve"> </w:t>
      </w:r>
      <w:r>
        <w:tab/>
      </w:r>
      <w:bookmarkStart w:id="43" w:name="_Toc353348802"/>
      <w:r>
        <w:t>Excluding Cyprus</w:t>
      </w:r>
      <w:bookmarkEnd w:id="43"/>
      <w:r>
        <w:t xml:space="preserve"> </w:t>
      </w:r>
    </w:p>
    <w:p w:rsidR="0038776F" w:rsidRDefault="00F247C0" w:rsidP="0038776F">
      <w:pPr>
        <w:spacing w:line="360" w:lineRule="auto"/>
        <w:jc w:val="both"/>
      </w:pPr>
      <w:r>
        <w:t>The</w:t>
      </w:r>
      <w:r w:rsidR="008627CE">
        <w:t xml:space="preserve"> next section </w:t>
      </w:r>
      <w:r w:rsidR="00545BE0">
        <w:t xml:space="preserve">in testing the robustness of the findings of the previous chapter continues with excluding Cyprus from the group of </w:t>
      </w:r>
      <w:proofErr w:type="spellStart"/>
      <w:r w:rsidR="00545BE0">
        <w:t>newEMU</w:t>
      </w:r>
      <w:proofErr w:type="spellEnd"/>
      <w:r w:rsidR="00545BE0">
        <w:t xml:space="preserve"> members. As found in the results of testing hypothesis 1</w:t>
      </w:r>
      <w:r>
        <w:t xml:space="preserve"> (Table 7-1)</w:t>
      </w:r>
      <w:r w:rsidR="00545BE0">
        <w:t xml:space="preserve">, which inquired into the specific trade effects of individual countries after Euro adoption, Cyprus displayed a dramatic fall in trade since Euro adoption. </w:t>
      </w:r>
      <w:r w:rsidR="00AA0022">
        <w:t>Recall that</w:t>
      </w:r>
      <w:r w:rsidR="00545BE0">
        <w:t xml:space="preserve"> hypotheses 4-6 inquire</w:t>
      </w:r>
      <w:r w:rsidR="00AA0022">
        <w:t>d</w:t>
      </w:r>
      <w:r w:rsidR="00545BE0">
        <w:t xml:space="preserve"> into the marginal trade effects of the average of the new EMU members over the average trade effects of </w:t>
      </w:r>
      <w:r>
        <w:t xml:space="preserve">all </w:t>
      </w:r>
      <w:r w:rsidR="00545BE0">
        <w:t>the 2004 EU entrants</w:t>
      </w:r>
      <w:r w:rsidR="00AA0022">
        <w:t xml:space="preserve">. Cyprus as being one out of four in the group of new EMU members thus has a strong distorting effect on the </w:t>
      </w:r>
      <w:proofErr w:type="spellStart"/>
      <w:r w:rsidR="00AA0022">
        <w:t>newEMU</w:t>
      </w:r>
      <w:proofErr w:type="spellEnd"/>
      <w:r w:rsidR="00AA0022">
        <w:t xml:space="preserve"> group average. Furthermore, the assumption was made that the countries in both the </w:t>
      </w:r>
      <w:proofErr w:type="spellStart"/>
      <w:r w:rsidR="00AA0022">
        <w:t>newEMU</w:t>
      </w:r>
      <w:proofErr w:type="spellEnd"/>
      <w:r w:rsidR="00AA0022">
        <w:t xml:space="preserve"> group and the benchmark group are affected to a comparable </w:t>
      </w:r>
      <w:r w:rsidR="00536993">
        <w:t>degree</w:t>
      </w:r>
      <w:r w:rsidR="00AA0022">
        <w:t xml:space="preserve"> by exogenous factors such as the financial crisis and the European debt crisis. </w:t>
      </w:r>
      <w:r w:rsidR="00536993">
        <w:t xml:space="preserve">However, given the relatively intertwined economies and financial sectors of Cyprus and Greece, and Greece being extremely affected by recent economic events and corresponding problems, this assumption does not hold when Cyprus is included. </w:t>
      </w:r>
      <w:r w:rsidR="00D84535">
        <w:t xml:space="preserve">It would therefore be justified to exclude Cyprus from both the </w:t>
      </w:r>
      <w:proofErr w:type="spellStart"/>
      <w:r w:rsidR="00D84535">
        <w:t>newEMU</w:t>
      </w:r>
      <w:proofErr w:type="spellEnd"/>
      <w:r w:rsidR="00D84535">
        <w:t xml:space="preserve"> group and the benchmark group, and re-test hypotheses 4-6 to investigate whether this exclusion has any effects on the previously estimated coefficients. </w:t>
      </w:r>
    </w:p>
    <w:p w:rsidR="0038776F" w:rsidRDefault="009E17A7" w:rsidP="00357977">
      <w:pPr>
        <w:spacing w:line="360" w:lineRule="auto"/>
        <w:jc w:val="both"/>
      </w:pPr>
      <w:r>
        <w:t>The results of re-testing hypothesis 4 are displayed in table 8</w:t>
      </w:r>
      <w:r w:rsidR="00F247C0">
        <w:t>-</w:t>
      </w:r>
      <w:r w:rsidR="009F5CD3">
        <w:t>4</w:t>
      </w:r>
      <w:r>
        <w:t xml:space="preserve">. </w:t>
      </w:r>
      <w:r w:rsidR="00357977">
        <w:t xml:space="preserve">For clarity reasons only the coefficients of the variables of interest are displayed. Also, to ease comparison, the results of the analysis found when Cyprus is included are displayed as well. For the Country Fixed Effect (CFE) model, the negative and significant (at p = 0.093) coefficient found for trade by the 2004 EU entrants benchmark group loses its significance when Cyprus is excluded from the group. </w:t>
      </w:r>
      <w:r w:rsidR="00620A88">
        <w:t xml:space="preserve">This would imply that instead of a decrease in average trades by the 2004 EU entrants since 2007, no evidence </w:t>
      </w:r>
      <w:r w:rsidR="00A15A45">
        <w:t xml:space="preserve">of any form of trade effects are found. </w:t>
      </w:r>
      <w:r w:rsidR="00357977">
        <w:t xml:space="preserve">For the Country Pair Fixed Effect (CPFE) model the coefficient increases slightly by excluding Cyprus. </w:t>
      </w:r>
      <w:r w:rsidR="00620A88">
        <w:t xml:space="preserve">This thus means that by excluding Cyprus from the benchmark group in the CPFE </w:t>
      </w:r>
      <w:r w:rsidR="00120B71">
        <w:t>model that</w:t>
      </w:r>
      <w:r w:rsidR="00620A88">
        <w:t xml:space="preserve"> the</w:t>
      </w:r>
      <w:r w:rsidR="00A15A45">
        <w:t>ir</w:t>
      </w:r>
      <w:r w:rsidR="00620A88">
        <w:t xml:space="preserve"> average increase in trade since 2007 </w:t>
      </w:r>
      <w:r w:rsidR="00A15A45">
        <w:t>slightly increases.</w:t>
      </w:r>
    </w:p>
    <w:p w:rsidR="00FE33D6" w:rsidRDefault="008A5472" w:rsidP="00FE33D6">
      <w:pPr>
        <w:pStyle w:val="Caption"/>
        <w:keepNext/>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4</w:t>
      </w:r>
      <w:r>
        <w:rPr>
          <w:color w:val="auto"/>
          <w:sz w:val="28"/>
        </w:rPr>
        <w:fldChar w:fldCharType="end"/>
      </w:r>
      <w:r w:rsidR="00FE33D6" w:rsidRPr="00FE33D6">
        <w:rPr>
          <w:color w:val="auto"/>
          <w:sz w:val="44"/>
        </w:rPr>
        <w:t xml:space="preserve"> </w:t>
      </w:r>
      <w:r w:rsidR="00FE33D6" w:rsidRPr="0038776F">
        <w:rPr>
          <w:color w:val="auto"/>
          <w:sz w:val="28"/>
        </w:rPr>
        <w:t>Re-testing Hypothesis 4 - Excluding Cyprus</w:t>
      </w:r>
    </w:p>
    <w:tbl>
      <w:tblPr>
        <w:tblStyle w:val="Lichtearcering-accent11"/>
        <w:tblW w:w="9242" w:type="dxa"/>
        <w:tblLook w:val="04A0"/>
      </w:tblPr>
      <w:tblGrid>
        <w:gridCol w:w="1918"/>
        <w:gridCol w:w="1830"/>
        <w:gridCol w:w="1831"/>
        <w:gridCol w:w="1831"/>
        <w:gridCol w:w="1832"/>
      </w:tblGrid>
      <w:tr w:rsidR="0028188C" w:rsidRPr="0038776F" w:rsidTr="0028188C">
        <w:trPr>
          <w:cnfStyle w:val="100000000000"/>
        </w:trPr>
        <w:tc>
          <w:tcPr>
            <w:cnfStyle w:val="001000000000"/>
            <w:tcW w:w="9242" w:type="dxa"/>
            <w:gridSpan w:val="5"/>
          </w:tcPr>
          <w:p w:rsidR="0028188C" w:rsidRPr="0038776F" w:rsidRDefault="0028188C" w:rsidP="00A15A45">
            <w:pPr>
              <w:rPr>
                <w:color w:val="auto"/>
                <w:sz w:val="24"/>
              </w:rPr>
            </w:pPr>
            <w:r w:rsidRPr="0038776F">
              <w:rPr>
                <w:color w:val="auto"/>
                <w:sz w:val="24"/>
              </w:rPr>
              <w:t>Total</w:t>
            </w:r>
            <w:r>
              <w:rPr>
                <w:color w:val="auto"/>
                <w:sz w:val="24"/>
                <w:vertAlign w:val="superscript"/>
              </w:rPr>
              <w:t>(a)</w:t>
            </w:r>
            <w:r w:rsidRPr="0038776F">
              <w:rPr>
                <w:color w:val="auto"/>
                <w:sz w:val="24"/>
              </w:rPr>
              <w:t xml:space="preserve"> Marginal</w:t>
            </w:r>
            <w:r>
              <w:rPr>
                <w:color w:val="auto"/>
                <w:sz w:val="24"/>
                <w:vertAlign w:val="superscript"/>
              </w:rPr>
              <w:t>(b)</w:t>
            </w:r>
            <w:r w:rsidRPr="0038776F">
              <w:rPr>
                <w:color w:val="auto"/>
                <w:sz w:val="24"/>
              </w:rPr>
              <w:t xml:space="preserve"> Average</w:t>
            </w:r>
            <w:r>
              <w:rPr>
                <w:color w:val="auto"/>
                <w:sz w:val="24"/>
                <w:vertAlign w:val="superscript"/>
              </w:rPr>
              <w:t>(c)</w:t>
            </w:r>
            <w:r w:rsidRPr="0038776F">
              <w:rPr>
                <w:color w:val="auto"/>
                <w:sz w:val="24"/>
              </w:rPr>
              <w:t xml:space="preserve"> Trade Effects of new EMU members over 2004 EU Entrants</w:t>
            </w:r>
            <w:r>
              <w:rPr>
                <w:color w:val="auto"/>
                <w:sz w:val="24"/>
              </w:rPr>
              <w:t>, including and excluding Cyprus</w:t>
            </w:r>
          </w:p>
        </w:tc>
      </w:tr>
      <w:tr w:rsidR="0028188C" w:rsidRPr="0038776F" w:rsidTr="0028188C">
        <w:trPr>
          <w:cnfStyle w:val="000000100000"/>
        </w:trPr>
        <w:tc>
          <w:tcPr>
            <w:cnfStyle w:val="001000000000"/>
            <w:tcW w:w="3748" w:type="dxa"/>
            <w:gridSpan w:val="2"/>
          </w:tcPr>
          <w:p w:rsidR="0028188C" w:rsidRPr="0038776F" w:rsidRDefault="0028188C">
            <w:pPr>
              <w:rPr>
                <w:color w:val="auto"/>
              </w:rPr>
            </w:pPr>
            <w:r w:rsidRPr="0038776F">
              <w:rPr>
                <w:rFonts w:ascii="Calibri" w:hAnsi="Calibri" w:cs="Calibri"/>
                <w:color w:val="auto"/>
              </w:rPr>
              <w:t>Dependent Variable: LN_NOM_EX</w:t>
            </w:r>
          </w:p>
        </w:tc>
        <w:tc>
          <w:tcPr>
            <w:tcW w:w="1831" w:type="dxa"/>
          </w:tcPr>
          <w:p w:rsidR="0028188C" w:rsidRPr="0038776F" w:rsidRDefault="0028188C">
            <w:pPr>
              <w:cnfStyle w:val="000000100000"/>
              <w:rPr>
                <w:color w:val="auto"/>
              </w:rPr>
            </w:pPr>
          </w:p>
        </w:tc>
        <w:tc>
          <w:tcPr>
            <w:tcW w:w="1831" w:type="dxa"/>
          </w:tcPr>
          <w:p w:rsidR="0028188C" w:rsidRPr="0038776F" w:rsidRDefault="0028188C">
            <w:pPr>
              <w:cnfStyle w:val="000000100000"/>
              <w:rPr>
                <w:color w:val="auto"/>
              </w:rPr>
            </w:pPr>
          </w:p>
        </w:tc>
        <w:tc>
          <w:tcPr>
            <w:tcW w:w="1832" w:type="dxa"/>
          </w:tcPr>
          <w:p w:rsidR="0028188C" w:rsidRPr="0038776F" w:rsidRDefault="0028188C">
            <w:pPr>
              <w:cnfStyle w:val="000000100000"/>
              <w:rPr>
                <w:color w:val="auto"/>
              </w:rPr>
            </w:pPr>
          </w:p>
        </w:tc>
      </w:tr>
      <w:tr w:rsidR="0028188C" w:rsidRPr="0038776F" w:rsidTr="0028188C">
        <w:tc>
          <w:tcPr>
            <w:cnfStyle w:val="001000000000"/>
            <w:tcW w:w="3748" w:type="dxa"/>
            <w:gridSpan w:val="2"/>
          </w:tcPr>
          <w:p w:rsidR="0028188C" w:rsidRPr="0038776F" w:rsidRDefault="0028188C">
            <w:pPr>
              <w:rPr>
                <w:color w:val="auto"/>
              </w:rPr>
            </w:pPr>
            <w:r w:rsidRPr="0038776F">
              <w:rPr>
                <w:rFonts w:ascii="Calibri" w:hAnsi="Calibri" w:cs="Calibri"/>
                <w:color w:val="auto"/>
              </w:rPr>
              <w:t>Method: Panel Least Squares</w:t>
            </w:r>
          </w:p>
        </w:tc>
        <w:tc>
          <w:tcPr>
            <w:tcW w:w="1831" w:type="dxa"/>
          </w:tcPr>
          <w:p w:rsidR="0028188C" w:rsidRPr="0038776F" w:rsidRDefault="0028188C">
            <w:pPr>
              <w:cnfStyle w:val="000000000000"/>
              <w:rPr>
                <w:color w:val="auto"/>
              </w:rPr>
            </w:pPr>
          </w:p>
        </w:tc>
        <w:tc>
          <w:tcPr>
            <w:tcW w:w="1831" w:type="dxa"/>
          </w:tcPr>
          <w:p w:rsidR="0028188C" w:rsidRPr="0038776F" w:rsidRDefault="0028188C">
            <w:pPr>
              <w:cnfStyle w:val="000000000000"/>
              <w:rPr>
                <w:color w:val="auto"/>
              </w:rPr>
            </w:pPr>
          </w:p>
        </w:tc>
        <w:tc>
          <w:tcPr>
            <w:tcW w:w="1832" w:type="dxa"/>
          </w:tcPr>
          <w:p w:rsidR="0028188C" w:rsidRPr="0038776F" w:rsidRDefault="0028188C">
            <w:pPr>
              <w:cnfStyle w:val="000000000000"/>
              <w:rPr>
                <w:color w:val="auto"/>
              </w:rPr>
            </w:pPr>
          </w:p>
        </w:tc>
      </w:tr>
      <w:tr w:rsidR="0028188C" w:rsidRPr="0038776F" w:rsidTr="0044786B">
        <w:trPr>
          <w:cnfStyle w:val="000000100000"/>
        </w:trPr>
        <w:tc>
          <w:tcPr>
            <w:cnfStyle w:val="001000000000"/>
            <w:tcW w:w="1918" w:type="dxa"/>
          </w:tcPr>
          <w:p w:rsidR="0028188C" w:rsidRPr="0038776F" w:rsidRDefault="0028188C" w:rsidP="00A15A45">
            <w:pPr>
              <w:rPr>
                <w:rFonts w:ascii="Calibri" w:hAnsi="Calibri" w:cs="Calibri"/>
                <w:i/>
                <w:color w:val="auto"/>
              </w:rPr>
            </w:pPr>
          </w:p>
        </w:tc>
        <w:tc>
          <w:tcPr>
            <w:tcW w:w="1830" w:type="dxa"/>
          </w:tcPr>
          <w:p w:rsidR="0028188C" w:rsidRPr="0038776F" w:rsidRDefault="0028188C" w:rsidP="00A15A45">
            <w:pPr>
              <w:cnfStyle w:val="000000100000"/>
              <w:rPr>
                <w:color w:val="auto"/>
              </w:rPr>
            </w:pPr>
          </w:p>
        </w:tc>
        <w:tc>
          <w:tcPr>
            <w:tcW w:w="1831" w:type="dxa"/>
          </w:tcPr>
          <w:p w:rsidR="0028188C" w:rsidRPr="0038776F" w:rsidRDefault="0028188C" w:rsidP="0038776F">
            <w:pPr>
              <w:cnfStyle w:val="000000100000"/>
              <w:rPr>
                <w:color w:val="auto"/>
              </w:rPr>
            </w:pPr>
          </w:p>
        </w:tc>
        <w:tc>
          <w:tcPr>
            <w:tcW w:w="1831" w:type="dxa"/>
            <w:tcBorders>
              <w:bottom w:val="nil"/>
            </w:tcBorders>
          </w:tcPr>
          <w:p w:rsidR="0028188C" w:rsidRPr="0038776F" w:rsidRDefault="0028188C" w:rsidP="00A15A45">
            <w:pPr>
              <w:cnfStyle w:val="000000100000"/>
              <w:rPr>
                <w:color w:val="auto"/>
              </w:rPr>
            </w:pPr>
          </w:p>
        </w:tc>
        <w:tc>
          <w:tcPr>
            <w:tcW w:w="1832" w:type="dxa"/>
          </w:tcPr>
          <w:p w:rsidR="0028188C" w:rsidRPr="0038776F" w:rsidRDefault="0028188C" w:rsidP="00A15A45">
            <w:pPr>
              <w:cnfStyle w:val="000000100000"/>
              <w:rPr>
                <w:color w:val="auto"/>
              </w:rPr>
            </w:pPr>
          </w:p>
        </w:tc>
      </w:tr>
      <w:tr w:rsidR="0028188C" w:rsidRPr="0038776F" w:rsidTr="0044786B">
        <w:tc>
          <w:tcPr>
            <w:cnfStyle w:val="001000000000"/>
            <w:tcW w:w="1918" w:type="dxa"/>
            <w:vAlign w:val="center"/>
          </w:tcPr>
          <w:p w:rsidR="0028188C" w:rsidRPr="0038776F" w:rsidRDefault="0028188C" w:rsidP="00C30540">
            <w:pPr>
              <w:rPr>
                <w:rFonts w:ascii="Calibri" w:hAnsi="Calibri" w:cs="Calibri"/>
                <w:i/>
                <w:color w:val="auto"/>
              </w:rPr>
            </w:pPr>
            <w:r w:rsidRPr="0038776F">
              <w:rPr>
                <w:rFonts w:ascii="Calibri" w:hAnsi="Calibri" w:cs="Calibri"/>
                <w:i/>
                <w:color w:val="auto"/>
              </w:rPr>
              <w:t>Model:</w:t>
            </w:r>
          </w:p>
        </w:tc>
        <w:tc>
          <w:tcPr>
            <w:tcW w:w="1830" w:type="dxa"/>
            <w:vAlign w:val="center"/>
          </w:tcPr>
          <w:p w:rsidR="0028188C" w:rsidRPr="00C30540" w:rsidRDefault="0028188C" w:rsidP="00C30540">
            <w:pPr>
              <w:cnfStyle w:val="000000000000"/>
              <w:rPr>
                <w:i/>
                <w:color w:val="auto"/>
              </w:rPr>
            </w:pPr>
            <w:r w:rsidRPr="00C30540">
              <w:rPr>
                <w:i/>
                <w:color w:val="auto"/>
              </w:rPr>
              <w:t>Country Fixed Effect Model</w:t>
            </w:r>
          </w:p>
          <w:p w:rsidR="0028188C" w:rsidRPr="0028188C" w:rsidRDefault="0028188C" w:rsidP="00C30540">
            <w:pPr>
              <w:cnfStyle w:val="000000000000"/>
              <w:rPr>
                <w:i/>
                <w:color w:val="auto"/>
                <w:vertAlign w:val="superscript"/>
              </w:rPr>
            </w:pPr>
            <w:r w:rsidRPr="00C30540">
              <w:rPr>
                <w:i/>
                <w:color w:val="auto"/>
              </w:rPr>
              <w:t>Fixed time effects</w:t>
            </w:r>
            <w:r>
              <w:rPr>
                <w:i/>
                <w:color w:val="auto"/>
                <w:vertAlign w:val="superscript"/>
              </w:rPr>
              <w:t>(d)</w:t>
            </w:r>
          </w:p>
        </w:tc>
        <w:tc>
          <w:tcPr>
            <w:tcW w:w="1831" w:type="dxa"/>
            <w:tcBorders>
              <w:right w:val="single" w:sz="8" w:space="0" w:color="4F81BD" w:themeColor="accent1"/>
            </w:tcBorders>
            <w:vAlign w:val="center"/>
          </w:tcPr>
          <w:p w:rsidR="0028188C" w:rsidRPr="00C30540" w:rsidRDefault="0028188C" w:rsidP="00C30540">
            <w:pPr>
              <w:cnfStyle w:val="000000000000"/>
              <w:rPr>
                <w:i/>
                <w:color w:val="auto"/>
              </w:rPr>
            </w:pPr>
            <w:r w:rsidRPr="00C30540">
              <w:rPr>
                <w:i/>
                <w:color w:val="auto"/>
              </w:rPr>
              <w:t>Country Fixed Effect Model</w:t>
            </w:r>
          </w:p>
          <w:p w:rsidR="0028188C" w:rsidRPr="00C30540" w:rsidRDefault="0028188C" w:rsidP="00C30540">
            <w:pPr>
              <w:cnfStyle w:val="000000000000"/>
              <w:rPr>
                <w:i/>
                <w:color w:val="auto"/>
              </w:rPr>
            </w:pPr>
            <w:r w:rsidRPr="00C30540">
              <w:rPr>
                <w:i/>
                <w:color w:val="auto"/>
              </w:rPr>
              <w:t>Fixed time effects</w:t>
            </w:r>
            <w:r>
              <w:rPr>
                <w:i/>
                <w:color w:val="auto"/>
                <w:vertAlign w:val="superscript"/>
              </w:rPr>
              <w:t>(d)</w:t>
            </w:r>
          </w:p>
        </w:tc>
        <w:tc>
          <w:tcPr>
            <w:tcW w:w="1831" w:type="dxa"/>
            <w:tcBorders>
              <w:top w:val="nil"/>
              <w:left w:val="single" w:sz="8" w:space="0" w:color="4F81BD" w:themeColor="accent1"/>
              <w:bottom w:val="nil"/>
            </w:tcBorders>
            <w:vAlign w:val="center"/>
          </w:tcPr>
          <w:p w:rsidR="0028188C" w:rsidRPr="00C30540" w:rsidRDefault="0028188C" w:rsidP="00C30540">
            <w:pPr>
              <w:cnfStyle w:val="000000000000"/>
              <w:rPr>
                <w:i/>
                <w:color w:val="auto"/>
              </w:rPr>
            </w:pPr>
            <w:r w:rsidRPr="00C30540">
              <w:rPr>
                <w:i/>
                <w:color w:val="auto"/>
              </w:rPr>
              <w:t>Country Pair Fixed Effect Model</w:t>
            </w:r>
          </w:p>
          <w:p w:rsidR="0028188C" w:rsidRPr="00C30540" w:rsidRDefault="0028188C" w:rsidP="00C30540">
            <w:pPr>
              <w:cnfStyle w:val="000000000000"/>
              <w:rPr>
                <w:i/>
                <w:color w:val="auto"/>
              </w:rPr>
            </w:pPr>
            <w:r w:rsidRPr="00C30540">
              <w:rPr>
                <w:i/>
                <w:color w:val="auto"/>
              </w:rPr>
              <w:t>Fixed time effects</w:t>
            </w:r>
            <w:r>
              <w:rPr>
                <w:i/>
                <w:color w:val="auto"/>
                <w:vertAlign w:val="superscript"/>
              </w:rPr>
              <w:t>(e)</w:t>
            </w:r>
          </w:p>
        </w:tc>
        <w:tc>
          <w:tcPr>
            <w:tcW w:w="1832" w:type="dxa"/>
            <w:vAlign w:val="center"/>
          </w:tcPr>
          <w:p w:rsidR="0028188C" w:rsidRPr="00C30540" w:rsidRDefault="0028188C" w:rsidP="00C30540">
            <w:pPr>
              <w:cnfStyle w:val="000000000000"/>
              <w:rPr>
                <w:i/>
                <w:color w:val="auto"/>
              </w:rPr>
            </w:pPr>
            <w:r w:rsidRPr="00C30540">
              <w:rPr>
                <w:i/>
                <w:color w:val="auto"/>
              </w:rPr>
              <w:t>Country Pair Fixed Effect Model</w:t>
            </w:r>
          </w:p>
          <w:p w:rsidR="0028188C" w:rsidRPr="00C30540" w:rsidRDefault="0028188C" w:rsidP="00C30540">
            <w:pPr>
              <w:cnfStyle w:val="000000000000"/>
              <w:rPr>
                <w:i/>
                <w:color w:val="auto"/>
              </w:rPr>
            </w:pPr>
            <w:r w:rsidRPr="00C30540">
              <w:rPr>
                <w:i/>
                <w:color w:val="auto"/>
              </w:rPr>
              <w:t>Fixed time effects</w:t>
            </w:r>
            <w:r>
              <w:rPr>
                <w:i/>
                <w:color w:val="auto"/>
                <w:vertAlign w:val="superscript"/>
              </w:rPr>
              <w:t>(e)</w:t>
            </w:r>
          </w:p>
        </w:tc>
      </w:tr>
      <w:tr w:rsidR="0028188C" w:rsidRPr="0038776F" w:rsidTr="0044786B">
        <w:trPr>
          <w:cnfStyle w:val="000000100000"/>
        </w:trPr>
        <w:tc>
          <w:tcPr>
            <w:cnfStyle w:val="001000000000"/>
            <w:tcW w:w="1918" w:type="dxa"/>
            <w:vAlign w:val="center"/>
          </w:tcPr>
          <w:p w:rsidR="0028188C" w:rsidRPr="0038776F" w:rsidRDefault="0028188C" w:rsidP="00C30540">
            <w:pPr>
              <w:rPr>
                <w:rFonts w:ascii="Calibri" w:hAnsi="Calibri" w:cs="Calibri"/>
                <w:color w:val="auto"/>
              </w:rPr>
            </w:pPr>
            <w:r w:rsidRPr="0038776F">
              <w:rPr>
                <w:rFonts w:ascii="Calibri" w:hAnsi="Calibri" w:cs="Calibri"/>
                <w:i/>
                <w:color w:val="auto"/>
                <w:u w:val="single"/>
              </w:rPr>
              <w:t>Variable:</w:t>
            </w:r>
          </w:p>
        </w:tc>
        <w:tc>
          <w:tcPr>
            <w:tcW w:w="1830" w:type="dxa"/>
            <w:vAlign w:val="center"/>
          </w:tcPr>
          <w:p w:rsidR="0028188C" w:rsidRPr="0038776F" w:rsidRDefault="0028188C" w:rsidP="00C30540">
            <w:pPr>
              <w:cnfStyle w:val="000000100000"/>
              <w:rPr>
                <w:color w:val="auto"/>
              </w:rPr>
            </w:pPr>
          </w:p>
        </w:tc>
        <w:tc>
          <w:tcPr>
            <w:tcW w:w="1831" w:type="dxa"/>
            <w:tcBorders>
              <w:right w:val="single" w:sz="8" w:space="0" w:color="4F81BD" w:themeColor="accent1"/>
            </w:tcBorders>
            <w:vAlign w:val="center"/>
          </w:tcPr>
          <w:p w:rsidR="0028188C" w:rsidRPr="0038776F" w:rsidRDefault="0028188C" w:rsidP="00C30540">
            <w:pPr>
              <w:cnfStyle w:val="000000100000"/>
              <w:rPr>
                <w:rFonts w:ascii="Calibri" w:hAnsi="Calibri"/>
                <w:color w:val="auto"/>
              </w:rPr>
            </w:pPr>
            <w:r w:rsidRPr="0038776F">
              <w:rPr>
                <w:rFonts w:ascii="Calibri" w:hAnsi="Calibri"/>
                <w:color w:val="auto"/>
              </w:rPr>
              <w:t>Excl. Cyprus</w:t>
            </w:r>
          </w:p>
        </w:tc>
        <w:tc>
          <w:tcPr>
            <w:tcW w:w="1831" w:type="dxa"/>
            <w:tcBorders>
              <w:top w:val="nil"/>
              <w:left w:val="single" w:sz="8" w:space="0" w:color="4F81BD" w:themeColor="accent1"/>
              <w:bottom w:val="nil"/>
            </w:tcBorders>
            <w:vAlign w:val="center"/>
          </w:tcPr>
          <w:p w:rsidR="0028188C" w:rsidRPr="0038776F" w:rsidRDefault="0028188C" w:rsidP="00C30540">
            <w:pPr>
              <w:cnfStyle w:val="000000100000"/>
              <w:rPr>
                <w:color w:val="auto"/>
              </w:rPr>
            </w:pPr>
          </w:p>
        </w:tc>
        <w:tc>
          <w:tcPr>
            <w:tcW w:w="1832" w:type="dxa"/>
            <w:vAlign w:val="center"/>
          </w:tcPr>
          <w:p w:rsidR="0028188C" w:rsidRPr="0038776F" w:rsidRDefault="0028188C" w:rsidP="00C30540">
            <w:pPr>
              <w:cnfStyle w:val="000000100000"/>
              <w:rPr>
                <w:rFonts w:ascii="Calibri" w:hAnsi="Calibri"/>
                <w:color w:val="auto"/>
              </w:rPr>
            </w:pPr>
            <w:r w:rsidRPr="0038776F">
              <w:rPr>
                <w:rFonts w:ascii="Calibri" w:hAnsi="Calibri"/>
                <w:color w:val="auto"/>
              </w:rPr>
              <w:t>Excl. Cyprus</w:t>
            </w:r>
          </w:p>
        </w:tc>
      </w:tr>
      <w:tr w:rsidR="0028188C" w:rsidRPr="0038776F" w:rsidTr="0044786B">
        <w:tc>
          <w:tcPr>
            <w:cnfStyle w:val="001000000000"/>
            <w:tcW w:w="1918" w:type="dxa"/>
            <w:vAlign w:val="center"/>
          </w:tcPr>
          <w:p w:rsidR="0028188C" w:rsidRPr="0038776F" w:rsidRDefault="0028188C" w:rsidP="00C30540">
            <w:pPr>
              <w:rPr>
                <w:rFonts w:ascii="Calibri" w:hAnsi="Calibri" w:cs="Calibri"/>
                <w:color w:val="auto"/>
              </w:rPr>
            </w:pPr>
            <w:r w:rsidRPr="0038776F">
              <w:rPr>
                <w:rFonts w:ascii="Calibri" w:hAnsi="Calibri" w:cs="Calibri"/>
                <w:color w:val="auto"/>
              </w:rPr>
              <w:t>2004_X_M_07</w:t>
            </w:r>
          </w:p>
        </w:tc>
        <w:tc>
          <w:tcPr>
            <w:tcW w:w="1830" w:type="dxa"/>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-0.022</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(0.093)*</w:t>
            </w:r>
          </w:p>
        </w:tc>
        <w:tc>
          <w:tcPr>
            <w:tcW w:w="1831" w:type="dxa"/>
            <w:tcBorders>
              <w:right w:val="single" w:sz="8" w:space="0" w:color="4F81BD" w:themeColor="accent1"/>
            </w:tcBorders>
            <w:vAlign w:val="center"/>
          </w:tcPr>
          <w:p w:rsidR="0028188C" w:rsidRPr="0038776F" w:rsidRDefault="0028188C" w:rsidP="00C30540">
            <w:pPr>
              <w:cnfStyle w:val="000000000000"/>
              <w:rPr>
                <w:rFonts w:ascii="Calibri" w:hAnsi="Calibri"/>
                <w:b/>
                <w:color w:val="auto"/>
              </w:rPr>
            </w:pPr>
            <w:r w:rsidRPr="0038776F">
              <w:rPr>
                <w:rFonts w:ascii="Calibri" w:hAnsi="Calibri"/>
                <w:b/>
                <w:color w:val="auto"/>
              </w:rPr>
              <w:t>-0.004</w:t>
            </w:r>
          </w:p>
          <w:p w:rsidR="0028188C" w:rsidRPr="0038776F" w:rsidRDefault="0028188C" w:rsidP="00C30540">
            <w:pPr>
              <w:cnfStyle w:val="000000000000"/>
              <w:rPr>
                <w:rFonts w:ascii="Calibri" w:hAnsi="Calibri"/>
                <w:b/>
                <w:color w:val="auto"/>
              </w:rPr>
            </w:pPr>
            <w:r w:rsidRPr="0038776F">
              <w:rPr>
                <w:rFonts w:ascii="Calibri" w:hAnsi="Calibri" w:cs="Calibri"/>
                <w:i/>
                <w:color w:val="auto"/>
                <w:sz w:val="16"/>
                <w:szCs w:val="16"/>
              </w:rPr>
              <w:t>(0.764)</w:t>
            </w:r>
          </w:p>
        </w:tc>
        <w:tc>
          <w:tcPr>
            <w:tcW w:w="1831" w:type="dxa"/>
            <w:tcBorders>
              <w:top w:val="nil"/>
              <w:left w:val="single" w:sz="8" w:space="0" w:color="4F81BD" w:themeColor="accent1"/>
              <w:bottom w:val="nil"/>
            </w:tcBorders>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0.079</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(0.000)***</w:t>
            </w:r>
          </w:p>
        </w:tc>
        <w:tc>
          <w:tcPr>
            <w:tcW w:w="1832" w:type="dxa"/>
            <w:vAlign w:val="center"/>
          </w:tcPr>
          <w:p w:rsidR="0028188C" w:rsidRPr="0038776F" w:rsidRDefault="0028188C" w:rsidP="00C30540">
            <w:pPr>
              <w:cnfStyle w:val="000000000000"/>
              <w:rPr>
                <w:rFonts w:ascii="Calibri" w:hAnsi="Calibri"/>
                <w:b/>
                <w:color w:val="auto"/>
              </w:rPr>
            </w:pPr>
            <w:r w:rsidRPr="0038776F">
              <w:rPr>
                <w:rFonts w:ascii="Calibri" w:hAnsi="Calibri"/>
                <w:b/>
                <w:color w:val="auto"/>
              </w:rPr>
              <w:t>0.083</w:t>
            </w:r>
          </w:p>
          <w:p w:rsidR="0028188C" w:rsidRPr="0038776F" w:rsidRDefault="0028188C" w:rsidP="00C30540">
            <w:pPr>
              <w:cnfStyle w:val="000000000000"/>
              <w:rPr>
                <w:rFonts w:ascii="Calibri" w:hAnsi="Calibri"/>
                <w:b/>
                <w:color w:val="auto"/>
              </w:rPr>
            </w:pPr>
            <w:r w:rsidRPr="0038776F">
              <w:rPr>
                <w:rFonts w:ascii="Calibri" w:hAnsi="Calibri" w:cs="Calibri"/>
                <w:i/>
                <w:color w:val="auto"/>
                <w:sz w:val="16"/>
                <w:szCs w:val="16"/>
              </w:rPr>
              <w:t>(0.000)***</w:t>
            </w:r>
          </w:p>
        </w:tc>
      </w:tr>
      <w:tr w:rsidR="0028188C" w:rsidRPr="0038776F" w:rsidTr="0044786B">
        <w:trPr>
          <w:cnfStyle w:val="000000100000"/>
        </w:trPr>
        <w:tc>
          <w:tcPr>
            <w:cnfStyle w:val="001000000000"/>
            <w:tcW w:w="1918" w:type="dxa"/>
            <w:vAlign w:val="center"/>
          </w:tcPr>
          <w:p w:rsidR="0028188C" w:rsidRPr="0038776F" w:rsidRDefault="0028188C" w:rsidP="00C30540">
            <w:pPr>
              <w:rPr>
                <w:rFonts w:ascii="Calibri" w:hAnsi="Calibri" w:cs="Calibri"/>
                <w:color w:val="auto"/>
              </w:rPr>
            </w:pPr>
            <w:r w:rsidRPr="0038776F">
              <w:rPr>
                <w:rFonts w:ascii="Calibri" w:hAnsi="Calibri" w:cs="Calibri"/>
                <w:color w:val="auto"/>
              </w:rPr>
              <w:t>newEMU_X_M_07</w:t>
            </w:r>
          </w:p>
        </w:tc>
        <w:tc>
          <w:tcPr>
            <w:tcW w:w="1830" w:type="dxa"/>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0.027</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(0.097)*</w:t>
            </w:r>
          </w:p>
        </w:tc>
        <w:tc>
          <w:tcPr>
            <w:tcW w:w="1831" w:type="dxa"/>
            <w:tcBorders>
              <w:right w:val="single" w:sz="8" w:space="0" w:color="4F81BD" w:themeColor="accent1"/>
            </w:tcBorders>
            <w:vAlign w:val="center"/>
          </w:tcPr>
          <w:p w:rsidR="0028188C" w:rsidRPr="0038776F" w:rsidRDefault="0028188C" w:rsidP="00C30540">
            <w:pPr>
              <w:cnfStyle w:val="000000100000"/>
              <w:rPr>
                <w:rFonts w:ascii="Calibri" w:hAnsi="Calibri"/>
                <w:b/>
                <w:color w:val="auto"/>
              </w:rPr>
            </w:pPr>
            <w:r w:rsidRPr="0038776F">
              <w:rPr>
                <w:rFonts w:ascii="Calibri" w:hAnsi="Calibri"/>
                <w:b/>
                <w:color w:val="auto"/>
              </w:rPr>
              <w:t>0.071</w:t>
            </w:r>
          </w:p>
          <w:p w:rsidR="0028188C" w:rsidRPr="0038776F" w:rsidRDefault="0028188C" w:rsidP="00C30540">
            <w:pPr>
              <w:cnfStyle w:val="000000100000"/>
              <w:rPr>
                <w:rFonts w:ascii="Calibri" w:hAnsi="Calibri"/>
                <w:b/>
                <w:color w:val="auto"/>
              </w:rPr>
            </w:pPr>
            <w:r w:rsidRPr="0038776F">
              <w:rPr>
                <w:rFonts w:ascii="Calibri" w:hAnsi="Calibri" w:cs="Calibri"/>
                <w:i/>
                <w:color w:val="auto"/>
                <w:sz w:val="16"/>
                <w:szCs w:val="16"/>
              </w:rPr>
              <w:t>(0.000)***</w:t>
            </w:r>
          </w:p>
        </w:tc>
        <w:tc>
          <w:tcPr>
            <w:tcW w:w="1831" w:type="dxa"/>
            <w:tcBorders>
              <w:top w:val="nil"/>
              <w:left w:val="single" w:sz="8" w:space="0" w:color="4F81BD" w:themeColor="accent1"/>
              <w:bottom w:val="single" w:sz="8" w:space="0" w:color="4F81BD" w:themeColor="accent1"/>
            </w:tcBorders>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-0.023</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(0.005)***</w:t>
            </w:r>
          </w:p>
        </w:tc>
        <w:tc>
          <w:tcPr>
            <w:tcW w:w="1832" w:type="dxa"/>
            <w:vAlign w:val="center"/>
          </w:tcPr>
          <w:p w:rsidR="0028188C" w:rsidRPr="0038776F" w:rsidRDefault="0028188C" w:rsidP="00C30540">
            <w:pPr>
              <w:cnfStyle w:val="000000100000"/>
              <w:rPr>
                <w:rFonts w:ascii="Calibri" w:hAnsi="Calibri"/>
                <w:b/>
                <w:color w:val="auto"/>
              </w:rPr>
            </w:pPr>
            <w:r w:rsidRPr="0038776F">
              <w:rPr>
                <w:rFonts w:ascii="Calibri" w:hAnsi="Calibri"/>
                <w:b/>
                <w:color w:val="auto"/>
              </w:rPr>
              <w:t>0.008</w:t>
            </w:r>
          </w:p>
          <w:p w:rsidR="0028188C" w:rsidRPr="0038776F" w:rsidRDefault="0028188C" w:rsidP="0028188C">
            <w:pPr>
              <w:keepNext/>
              <w:cnfStyle w:val="000000100000"/>
              <w:rPr>
                <w:rFonts w:ascii="Calibri" w:hAnsi="Calibri"/>
                <w:b/>
                <w:color w:val="auto"/>
              </w:rPr>
            </w:pPr>
            <w:r w:rsidRPr="0038776F">
              <w:rPr>
                <w:rFonts w:ascii="Calibri" w:hAnsi="Calibri" w:cs="Calibri"/>
                <w:i/>
                <w:color w:val="auto"/>
                <w:sz w:val="16"/>
                <w:szCs w:val="16"/>
              </w:rPr>
              <w:t>(0.382)</w:t>
            </w:r>
          </w:p>
        </w:tc>
      </w:tr>
    </w:tbl>
    <w:p w:rsidR="0028188C" w:rsidRPr="00770C4A" w:rsidRDefault="0028188C" w:rsidP="0028188C">
      <w:pPr>
        <w:pStyle w:val="Caption"/>
        <w:jc w:val="both"/>
        <w:rPr>
          <w:color w:val="auto"/>
        </w:rPr>
      </w:pPr>
      <w:r w:rsidRPr="00770C4A">
        <w:rPr>
          <w:color w:val="auto"/>
        </w:rPr>
        <w:t>Notes: (a) Total refers to total trade effects with all countries in the sample; (b) marginal refers to the extra trade effects of the new EMU members compared to the benchmark group; (c) average refers to the average trade effects over the four new EMU members (Slovenia, Cyprus, Malta, the Slovak Republic); (d) rejection of redundant period fixed effects at p = 0.000; (e) rejection of redundant period and cross-section fixed effects at p = 0.000; (</w:t>
      </w:r>
      <w:proofErr w:type="spellStart"/>
      <w:r w:rsidRPr="00770C4A">
        <w:rPr>
          <w:color w:val="auto"/>
        </w:rPr>
        <w:t>i</w:t>
      </w:r>
      <w:proofErr w:type="spellEnd"/>
      <w:r w:rsidRPr="00770C4A">
        <w:rPr>
          <w:color w:val="auto"/>
        </w:rPr>
        <w:t xml:space="preserve">) p-values are in parentheses, p***&lt;0.01, p**&lt;0.05, p*&lt;0.10; (ii) </w:t>
      </w:r>
      <w:r w:rsidRPr="00770C4A">
        <w:rPr>
          <w:i/>
          <w:color w:val="auto"/>
        </w:rPr>
        <w:t>group</w:t>
      </w:r>
      <w:r w:rsidRPr="00770C4A">
        <w:rPr>
          <w:color w:val="auto"/>
        </w:rPr>
        <w:t>_x_m_</w:t>
      </w:r>
      <w:r w:rsidR="00F247C0">
        <w:rPr>
          <w:i/>
          <w:color w:val="auto"/>
        </w:rPr>
        <w:t xml:space="preserve">07 </w:t>
      </w:r>
      <w:r w:rsidRPr="00770C4A">
        <w:rPr>
          <w:color w:val="auto"/>
        </w:rPr>
        <w:t xml:space="preserve">indicates trade effects for either the new EMU members or the 2004 EU entrants, from 2007 onwards. </w:t>
      </w:r>
    </w:p>
    <w:p w:rsidR="00C30540" w:rsidRDefault="00A15A45" w:rsidP="00A15A45">
      <w:pPr>
        <w:spacing w:line="360" w:lineRule="auto"/>
        <w:jc w:val="both"/>
      </w:pPr>
      <w:r>
        <w:t xml:space="preserve">For the </w:t>
      </w:r>
      <w:proofErr w:type="spellStart"/>
      <w:r>
        <w:t>newEMU</w:t>
      </w:r>
      <w:proofErr w:type="spellEnd"/>
      <w:r>
        <w:t xml:space="preserve"> group it can be seen that in the CFE model, the small and weakly significant trade effect of Euro adoption increases in size and significance when Cyprus is excluded. In the CPFE model the negative and significant coefficients of the </w:t>
      </w:r>
      <w:proofErr w:type="spellStart"/>
      <w:r>
        <w:t>newEMU</w:t>
      </w:r>
      <w:proofErr w:type="spellEnd"/>
      <w:r>
        <w:t xml:space="preserve"> group, which indicated that the </w:t>
      </w:r>
      <w:proofErr w:type="spellStart"/>
      <w:r>
        <w:t>newEMU</w:t>
      </w:r>
      <w:proofErr w:type="spellEnd"/>
      <w:r>
        <w:t xml:space="preserve"> group displayed on average a weaker growth in trade than the benchmark group, loses significance. Thus </w:t>
      </w:r>
      <w:r w:rsidR="00F247C0">
        <w:t xml:space="preserve">in the CPFE model, </w:t>
      </w:r>
      <w:r>
        <w:t xml:space="preserve">by excluding Cyprus from the groups, the </w:t>
      </w:r>
      <w:proofErr w:type="spellStart"/>
      <w:r>
        <w:t>newEMU</w:t>
      </w:r>
      <w:proofErr w:type="spellEnd"/>
      <w:r>
        <w:t xml:space="preserve"> group is no longer ‘performing’ worse on average compared to the benchmark group. </w:t>
      </w:r>
    </w:p>
    <w:p w:rsidR="00A15A45" w:rsidRDefault="00A15A45" w:rsidP="00A15A45">
      <w:pPr>
        <w:spacing w:line="360" w:lineRule="auto"/>
        <w:jc w:val="both"/>
      </w:pPr>
      <w:r>
        <w:t xml:space="preserve">When looking at these results and relating it back to currency union theory, only in the CFE model </w:t>
      </w:r>
      <w:r w:rsidR="00F247C0">
        <w:t xml:space="preserve">evidence </w:t>
      </w:r>
      <w:r>
        <w:t xml:space="preserve">is found in favor of this theory. In this model the </w:t>
      </w:r>
      <w:proofErr w:type="spellStart"/>
      <w:r>
        <w:t>newEMU</w:t>
      </w:r>
      <w:proofErr w:type="spellEnd"/>
      <w:r>
        <w:t xml:space="preserve"> group is trading on average significantly more compared to the 2004 EU entrants, since 2007. In the CPFE model, the preferred model in this thesis, however no evidence is found that the </w:t>
      </w:r>
      <w:proofErr w:type="spellStart"/>
      <w:r>
        <w:t>newEMU</w:t>
      </w:r>
      <w:proofErr w:type="spellEnd"/>
      <w:r>
        <w:t xml:space="preserve"> group is trading more than the benchmark group. </w:t>
      </w:r>
    </w:p>
    <w:p w:rsidR="00C30540" w:rsidRDefault="00A15A45" w:rsidP="00D20C5E">
      <w:pPr>
        <w:spacing w:line="360" w:lineRule="auto"/>
        <w:jc w:val="both"/>
      </w:pPr>
      <w:r>
        <w:t xml:space="preserve">Next hypotheses 5 and 6 are re-tested, </w:t>
      </w:r>
      <w:r w:rsidR="00F247C0">
        <w:t xml:space="preserve">in order </w:t>
      </w:r>
      <w:r>
        <w:t>to investig</w:t>
      </w:r>
      <w:r w:rsidR="00F247C0">
        <w:t>ate the effects on trade with specific trading partners if Cyprus is excluded</w:t>
      </w:r>
      <w:r>
        <w:t xml:space="preserve">. </w:t>
      </w:r>
      <w:r w:rsidR="00D20C5E">
        <w:t>The r</w:t>
      </w:r>
      <w:r w:rsidR="00F247C0">
        <w:t>esults are displayed in table 8-</w:t>
      </w:r>
      <w:r w:rsidR="009F5CD3">
        <w:t>5</w:t>
      </w:r>
      <w:r w:rsidR="00D20C5E">
        <w:t>. For trade patterns of the 2004 EU entrants in the CFE model there is a slight decrease in the fall of average trade of this group with EMU members</w:t>
      </w:r>
      <w:r w:rsidR="006F5E8E">
        <w:t xml:space="preserve"> when Cyprus is excluded</w:t>
      </w:r>
      <w:r w:rsidR="00D20C5E">
        <w:t xml:space="preserve">. For trade patterns with the rest of the world, the exclusion of Cyprus leads to a positive and significant increase in trade since 2007. The exclusion of Cyprus does not lead to major changes in trade patterns of the 2004 EU entrants in the CPFE model. </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5</w:t>
      </w:r>
      <w:r>
        <w:rPr>
          <w:color w:val="auto"/>
          <w:sz w:val="28"/>
        </w:rPr>
        <w:fldChar w:fldCharType="end"/>
      </w:r>
      <w:r w:rsidR="00FE33D6" w:rsidRPr="00FE33D6">
        <w:rPr>
          <w:color w:val="auto"/>
          <w:sz w:val="28"/>
        </w:rPr>
        <w:t xml:space="preserve"> Re-testing Hypotheses 5 &amp; 6 – Excluding Cyprus</w:t>
      </w:r>
    </w:p>
    <w:tbl>
      <w:tblPr>
        <w:tblStyle w:val="Lichtearcering-accent11"/>
        <w:tblW w:w="9411" w:type="dxa"/>
        <w:tblLook w:val="04A0"/>
      </w:tblPr>
      <w:tblGrid>
        <w:gridCol w:w="2470"/>
        <w:gridCol w:w="1735"/>
        <w:gridCol w:w="1735"/>
        <w:gridCol w:w="1735"/>
        <w:gridCol w:w="1736"/>
      </w:tblGrid>
      <w:tr w:rsidR="0028188C" w:rsidRPr="0038776F" w:rsidTr="0028188C">
        <w:trPr>
          <w:cnfStyle w:val="100000000000"/>
        </w:trPr>
        <w:tc>
          <w:tcPr>
            <w:cnfStyle w:val="001000000000"/>
            <w:tcW w:w="9411" w:type="dxa"/>
            <w:gridSpan w:val="5"/>
          </w:tcPr>
          <w:p w:rsidR="0028188C" w:rsidRPr="00C30540" w:rsidRDefault="0028188C" w:rsidP="00A15A45">
            <w:pPr>
              <w:rPr>
                <w:color w:val="auto"/>
                <w:sz w:val="24"/>
              </w:rPr>
            </w:pPr>
            <w:r w:rsidRPr="00C30540">
              <w:rPr>
                <w:rFonts w:ascii="Calibri" w:hAnsi="Calibri" w:cs="Calibri"/>
                <w:bCs w:val="0"/>
                <w:color w:val="auto"/>
                <w:sz w:val="24"/>
              </w:rPr>
              <w:t>Marginal</w:t>
            </w:r>
            <w:r>
              <w:rPr>
                <w:rFonts w:ascii="Calibri" w:hAnsi="Calibri" w:cs="Calibri"/>
                <w:bCs w:val="0"/>
                <w:color w:val="auto"/>
                <w:sz w:val="24"/>
                <w:vertAlign w:val="superscript"/>
              </w:rPr>
              <w:t>(a)</w:t>
            </w:r>
            <w:r w:rsidRPr="00C30540">
              <w:rPr>
                <w:rFonts w:ascii="Calibri" w:hAnsi="Calibri" w:cs="Calibri"/>
                <w:bCs w:val="0"/>
                <w:color w:val="auto"/>
                <w:sz w:val="24"/>
              </w:rPr>
              <w:t xml:space="preserve"> Average</w:t>
            </w:r>
            <w:r>
              <w:rPr>
                <w:rFonts w:ascii="Calibri" w:hAnsi="Calibri" w:cs="Calibri"/>
                <w:bCs w:val="0"/>
                <w:color w:val="auto"/>
                <w:sz w:val="24"/>
              </w:rPr>
              <w:softHyphen/>
            </w:r>
            <w:r>
              <w:rPr>
                <w:rFonts w:ascii="Calibri" w:hAnsi="Calibri" w:cs="Calibri"/>
                <w:bCs w:val="0"/>
                <w:color w:val="auto"/>
                <w:sz w:val="24"/>
                <w:vertAlign w:val="superscript"/>
              </w:rPr>
              <w:t>(b)</w:t>
            </w:r>
            <w:r w:rsidRPr="00C30540">
              <w:rPr>
                <w:rFonts w:ascii="Calibri" w:hAnsi="Calibri" w:cs="Calibri"/>
                <w:bCs w:val="0"/>
                <w:color w:val="auto"/>
                <w:sz w:val="24"/>
              </w:rPr>
              <w:t xml:space="preserve"> Trade Effects per Trading Partner Group (EMU or Rest of the World) of new EMU members over 2004 EU entrants</w:t>
            </w:r>
            <w:r>
              <w:rPr>
                <w:rFonts w:ascii="Calibri" w:hAnsi="Calibri" w:cs="Calibri"/>
                <w:bCs w:val="0"/>
                <w:color w:val="auto"/>
                <w:sz w:val="24"/>
              </w:rPr>
              <w:t>, including and excluding Cyprus</w:t>
            </w:r>
          </w:p>
        </w:tc>
      </w:tr>
      <w:tr w:rsidR="0028188C" w:rsidRPr="0038776F" w:rsidTr="0028188C">
        <w:trPr>
          <w:cnfStyle w:val="000000100000"/>
        </w:trPr>
        <w:tc>
          <w:tcPr>
            <w:cnfStyle w:val="001000000000"/>
            <w:tcW w:w="4205" w:type="dxa"/>
            <w:gridSpan w:val="2"/>
          </w:tcPr>
          <w:p w:rsidR="0028188C" w:rsidRPr="0038776F" w:rsidRDefault="0028188C" w:rsidP="00A15A45">
            <w:pPr>
              <w:rPr>
                <w:color w:val="auto"/>
              </w:rPr>
            </w:pPr>
            <w:r w:rsidRPr="0038776F">
              <w:rPr>
                <w:rFonts w:ascii="Calibri" w:hAnsi="Calibri" w:cs="Calibri"/>
                <w:color w:val="auto"/>
              </w:rPr>
              <w:t>Dependent Variable: LN_NOM_EX</w:t>
            </w:r>
          </w:p>
        </w:tc>
        <w:tc>
          <w:tcPr>
            <w:tcW w:w="1735" w:type="dxa"/>
          </w:tcPr>
          <w:p w:rsidR="0028188C" w:rsidRPr="0038776F" w:rsidRDefault="0028188C" w:rsidP="00A15A45">
            <w:pPr>
              <w:cnfStyle w:val="000000100000"/>
              <w:rPr>
                <w:color w:val="auto"/>
              </w:rPr>
            </w:pPr>
          </w:p>
        </w:tc>
        <w:tc>
          <w:tcPr>
            <w:tcW w:w="1735" w:type="dxa"/>
          </w:tcPr>
          <w:p w:rsidR="0028188C" w:rsidRPr="0038776F" w:rsidRDefault="0028188C" w:rsidP="00A15A45">
            <w:pPr>
              <w:cnfStyle w:val="000000100000"/>
              <w:rPr>
                <w:color w:val="auto"/>
              </w:rPr>
            </w:pPr>
          </w:p>
        </w:tc>
        <w:tc>
          <w:tcPr>
            <w:tcW w:w="1736" w:type="dxa"/>
          </w:tcPr>
          <w:p w:rsidR="0028188C" w:rsidRPr="0038776F" w:rsidRDefault="0028188C" w:rsidP="00A15A45">
            <w:pPr>
              <w:cnfStyle w:val="000000100000"/>
              <w:rPr>
                <w:color w:val="auto"/>
              </w:rPr>
            </w:pPr>
          </w:p>
        </w:tc>
      </w:tr>
      <w:tr w:rsidR="0028188C" w:rsidRPr="0038776F" w:rsidTr="0028188C">
        <w:tc>
          <w:tcPr>
            <w:cnfStyle w:val="001000000000"/>
            <w:tcW w:w="4205" w:type="dxa"/>
            <w:gridSpan w:val="2"/>
          </w:tcPr>
          <w:p w:rsidR="0028188C" w:rsidRPr="0038776F" w:rsidRDefault="0028188C" w:rsidP="00A15A45">
            <w:pPr>
              <w:rPr>
                <w:color w:val="auto"/>
              </w:rPr>
            </w:pPr>
            <w:r w:rsidRPr="0038776F">
              <w:rPr>
                <w:rFonts w:ascii="Calibri" w:hAnsi="Calibri" w:cs="Calibri"/>
                <w:color w:val="auto"/>
              </w:rPr>
              <w:t>Method: Panel Least Squares</w:t>
            </w:r>
          </w:p>
        </w:tc>
        <w:tc>
          <w:tcPr>
            <w:tcW w:w="1735" w:type="dxa"/>
          </w:tcPr>
          <w:p w:rsidR="0028188C" w:rsidRPr="0038776F" w:rsidRDefault="0028188C" w:rsidP="00A15A45">
            <w:pPr>
              <w:cnfStyle w:val="000000000000"/>
              <w:rPr>
                <w:color w:val="auto"/>
              </w:rPr>
            </w:pPr>
          </w:p>
        </w:tc>
        <w:tc>
          <w:tcPr>
            <w:tcW w:w="1735" w:type="dxa"/>
          </w:tcPr>
          <w:p w:rsidR="0028188C" w:rsidRPr="0038776F" w:rsidRDefault="0028188C" w:rsidP="00A15A45">
            <w:pPr>
              <w:cnfStyle w:val="000000000000"/>
              <w:rPr>
                <w:color w:val="auto"/>
              </w:rPr>
            </w:pPr>
          </w:p>
        </w:tc>
        <w:tc>
          <w:tcPr>
            <w:tcW w:w="1736" w:type="dxa"/>
          </w:tcPr>
          <w:p w:rsidR="0028188C" w:rsidRPr="0038776F" w:rsidRDefault="0028188C" w:rsidP="00A15A45">
            <w:pPr>
              <w:cnfStyle w:val="000000000000"/>
              <w:rPr>
                <w:color w:val="auto"/>
              </w:rPr>
            </w:pPr>
          </w:p>
        </w:tc>
      </w:tr>
      <w:tr w:rsidR="0028188C" w:rsidRPr="0038776F" w:rsidTr="006C7E2A">
        <w:trPr>
          <w:cnfStyle w:val="000000100000"/>
        </w:trPr>
        <w:tc>
          <w:tcPr>
            <w:cnfStyle w:val="001000000000"/>
            <w:tcW w:w="2470" w:type="dxa"/>
          </w:tcPr>
          <w:p w:rsidR="0028188C" w:rsidRPr="0038776F" w:rsidRDefault="0028188C" w:rsidP="00A15A45">
            <w:pPr>
              <w:rPr>
                <w:rFonts w:ascii="Calibri" w:hAnsi="Calibri" w:cs="Calibri"/>
                <w:i/>
                <w:color w:val="auto"/>
              </w:rPr>
            </w:pPr>
          </w:p>
        </w:tc>
        <w:tc>
          <w:tcPr>
            <w:tcW w:w="1735" w:type="dxa"/>
          </w:tcPr>
          <w:p w:rsidR="0028188C" w:rsidRPr="0038776F" w:rsidRDefault="0028188C" w:rsidP="00A15A45">
            <w:pPr>
              <w:cnfStyle w:val="000000100000"/>
              <w:rPr>
                <w:color w:val="auto"/>
              </w:rPr>
            </w:pPr>
          </w:p>
        </w:tc>
        <w:tc>
          <w:tcPr>
            <w:tcW w:w="1735" w:type="dxa"/>
          </w:tcPr>
          <w:p w:rsidR="0028188C" w:rsidRPr="0038776F" w:rsidRDefault="0028188C" w:rsidP="00A15A45">
            <w:pPr>
              <w:cnfStyle w:val="000000100000"/>
              <w:rPr>
                <w:color w:val="auto"/>
              </w:rPr>
            </w:pPr>
          </w:p>
        </w:tc>
        <w:tc>
          <w:tcPr>
            <w:tcW w:w="1735" w:type="dxa"/>
            <w:tcBorders>
              <w:bottom w:val="nil"/>
            </w:tcBorders>
          </w:tcPr>
          <w:p w:rsidR="0028188C" w:rsidRPr="0038776F" w:rsidRDefault="0028188C" w:rsidP="00A15A45">
            <w:pPr>
              <w:cnfStyle w:val="000000100000"/>
              <w:rPr>
                <w:color w:val="auto"/>
              </w:rPr>
            </w:pPr>
          </w:p>
        </w:tc>
        <w:tc>
          <w:tcPr>
            <w:tcW w:w="1736" w:type="dxa"/>
          </w:tcPr>
          <w:p w:rsidR="0028188C" w:rsidRPr="0038776F" w:rsidRDefault="0028188C" w:rsidP="00A15A45">
            <w:pPr>
              <w:cnfStyle w:val="000000100000"/>
              <w:rPr>
                <w:color w:val="auto"/>
              </w:rPr>
            </w:pPr>
          </w:p>
        </w:tc>
      </w:tr>
      <w:tr w:rsidR="0028188C" w:rsidRPr="0038776F" w:rsidTr="006C7E2A">
        <w:tc>
          <w:tcPr>
            <w:cnfStyle w:val="001000000000"/>
            <w:tcW w:w="2470" w:type="dxa"/>
            <w:vAlign w:val="center"/>
          </w:tcPr>
          <w:p w:rsidR="0028188C" w:rsidRPr="0038776F" w:rsidRDefault="0028188C" w:rsidP="00A15A45">
            <w:pPr>
              <w:rPr>
                <w:rFonts w:ascii="Calibri" w:hAnsi="Calibri" w:cs="Calibri"/>
                <w:i/>
                <w:color w:val="auto"/>
              </w:rPr>
            </w:pPr>
            <w:r w:rsidRPr="0038776F">
              <w:rPr>
                <w:rFonts w:ascii="Calibri" w:hAnsi="Calibri" w:cs="Calibri"/>
                <w:i/>
                <w:color w:val="auto"/>
              </w:rPr>
              <w:t>Model:</w:t>
            </w:r>
          </w:p>
        </w:tc>
        <w:tc>
          <w:tcPr>
            <w:tcW w:w="1735" w:type="dxa"/>
          </w:tcPr>
          <w:p w:rsidR="0028188C" w:rsidRPr="00C30540" w:rsidRDefault="0028188C" w:rsidP="0028188C">
            <w:pPr>
              <w:cnfStyle w:val="000000000000"/>
              <w:rPr>
                <w:i/>
                <w:color w:val="auto"/>
              </w:rPr>
            </w:pPr>
            <w:r w:rsidRPr="00C30540">
              <w:rPr>
                <w:i/>
                <w:color w:val="auto"/>
              </w:rPr>
              <w:t>Country Fixed Effect Model</w:t>
            </w:r>
          </w:p>
          <w:p w:rsidR="0028188C" w:rsidRPr="0028188C" w:rsidRDefault="0028188C" w:rsidP="0028188C">
            <w:pPr>
              <w:cnfStyle w:val="000000000000"/>
              <w:rPr>
                <w:i/>
                <w:color w:val="auto"/>
                <w:vertAlign w:val="superscript"/>
              </w:rPr>
            </w:pPr>
            <w:r w:rsidRPr="00C30540">
              <w:rPr>
                <w:i/>
                <w:color w:val="auto"/>
              </w:rPr>
              <w:t>Fixed time effects</w:t>
            </w:r>
            <w:r>
              <w:rPr>
                <w:i/>
                <w:color w:val="auto"/>
                <w:vertAlign w:val="superscript"/>
              </w:rPr>
              <w:t>(c)</w:t>
            </w:r>
          </w:p>
        </w:tc>
        <w:tc>
          <w:tcPr>
            <w:tcW w:w="1735" w:type="dxa"/>
            <w:tcBorders>
              <w:right w:val="single" w:sz="8" w:space="0" w:color="4F81BD" w:themeColor="accent1"/>
            </w:tcBorders>
          </w:tcPr>
          <w:p w:rsidR="0028188C" w:rsidRPr="00C30540" w:rsidRDefault="0028188C" w:rsidP="0028188C">
            <w:pPr>
              <w:cnfStyle w:val="000000000000"/>
              <w:rPr>
                <w:i/>
                <w:color w:val="auto"/>
              </w:rPr>
            </w:pPr>
            <w:r w:rsidRPr="00C30540">
              <w:rPr>
                <w:i/>
                <w:color w:val="auto"/>
              </w:rPr>
              <w:t>Country Fixed Effect Model</w:t>
            </w:r>
          </w:p>
          <w:p w:rsidR="0028188C" w:rsidRPr="00C30540" w:rsidRDefault="0028188C" w:rsidP="0028188C">
            <w:pPr>
              <w:cnfStyle w:val="000000000000"/>
              <w:rPr>
                <w:i/>
                <w:color w:val="auto"/>
              </w:rPr>
            </w:pPr>
            <w:r w:rsidRPr="00C30540">
              <w:rPr>
                <w:i/>
                <w:color w:val="auto"/>
              </w:rPr>
              <w:t>Fixed time effects</w:t>
            </w:r>
            <w:r>
              <w:rPr>
                <w:i/>
                <w:color w:val="auto"/>
                <w:vertAlign w:val="superscript"/>
              </w:rPr>
              <w:t>(c)</w:t>
            </w:r>
          </w:p>
        </w:tc>
        <w:tc>
          <w:tcPr>
            <w:tcW w:w="1735" w:type="dxa"/>
            <w:tcBorders>
              <w:top w:val="nil"/>
              <w:left w:val="single" w:sz="8" w:space="0" w:color="4F81BD" w:themeColor="accent1"/>
              <w:bottom w:val="nil"/>
            </w:tcBorders>
          </w:tcPr>
          <w:p w:rsidR="0028188C" w:rsidRPr="00C30540" w:rsidRDefault="0028188C" w:rsidP="0028188C">
            <w:pPr>
              <w:cnfStyle w:val="000000000000"/>
              <w:rPr>
                <w:i/>
                <w:color w:val="auto"/>
              </w:rPr>
            </w:pPr>
            <w:r w:rsidRPr="00C30540">
              <w:rPr>
                <w:i/>
                <w:color w:val="auto"/>
              </w:rPr>
              <w:t>Country Pair Fixed Effect Model</w:t>
            </w:r>
          </w:p>
          <w:p w:rsidR="0028188C" w:rsidRPr="00C30540" w:rsidRDefault="0028188C" w:rsidP="0028188C">
            <w:pPr>
              <w:cnfStyle w:val="000000000000"/>
              <w:rPr>
                <w:i/>
                <w:color w:val="auto"/>
              </w:rPr>
            </w:pPr>
            <w:r w:rsidRPr="00C30540">
              <w:rPr>
                <w:i/>
                <w:color w:val="auto"/>
              </w:rPr>
              <w:t>Fixed time effects</w:t>
            </w:r>
            <w:r>
              <w:rPr>
                <w:i/>
                <w:color w:val="auto"/>
                <w:vertAlign w:val="superscript"/>
              </w:rPr>
              <w:t>(d)</w:t>
            </w:r>
          </w:p>
        </w:tc>
        <w:tc>
          <w:tcPr>
            <w:tcW w:w="1736" w:type="dxa"/>
          </w:tcPr>
          <w:p w:rsidR="0028188C" w:rsidRPr="00C30540" w:rsidRDefault="0028188C" w:rsidP="0028188C">
            <w:pPr>
              <w:cnfStyle w:val="000000000000"/>
              <w:rPr>
                <w:i/>
                <w:color w:val="auto"/>
              </w:rPr>
            </w:pPr>
            <w:r w:rsidRPr="00C30540">
              <w:rPr>
                <w:i/>
                <w:color w:val="auto"/>
              </w:rPr>
              <w:t>Country Pair Fixed Effect Model</w:t>
            </w:r>
          </w:p>
          <w:p w:rsidR="0028188C" w:rsidRPr="00C30540" w:rsidRDefault="0028188C" w:rsidP="0028188C">
            <w:pPr>
              <w:cnfStyle w:val="000000000000"/>
              <w:rPr>
                <w:i/>
                <w:color w:val="auto"/>
              </w:rPr>
            </w:pPr>
            <w:r w:rsidRPr="00C30540">
              <w:rPr>
                <w:i/>
                <w:color w:val="auto"/>
              </w:rPr>
              <w:t>Fixed time effects</w:t>
            </w:r>
            <w:r>
              <w:rPr>
                <w:i/>
                <w:color w:val="auto"/>
                <w:vertAlign w:val="superscript"/>
              </w:rPr>
              <w:t>(d)</w:t>
            </w:r>
          </w:p>
        </w:tc>
      </w:tr>
      <w:tr w:rsidR="0028188C" w:rsidRPr="0038776F" w:rsidTr="006C7E2A">
        <w:trPr>
          <w:cnfStyle w:val="000000100000"/>
        </w:trPr>
        <w:tc>
          <w:tcPr>
            <w:cnfStyle w:val="001000000000"/>
            <w:tcW w:w="2470" w:type="dxa"/>
            <w:vAlign w:val="center"/>
          </w:tcPr>
          <w:p w:rsidR="0028188C" w:rsidRPr="0038776F" w:rsidRDefault="0028188C" w:rsidP="00A15A45">
            <w:pPr>
              <w:rPr>
                <w:rFonts w:ascii="Calibri" w:hAnsi="Calibri" w:cs="Calibri"/>
                <w:color w:val="auto"/>
              </w:rPr>
            </w:pPr>
            <w:r w:rsidRPr="0038776F">
              <w:rPr>
                <w:rFonts w:ascii="Calibri" w:hAnsi="Calibri" w:cs="Calibri"/>
                <w:i/>
                <w:color w:val="auto"/>
                <w:u w:val="single"/>
              </w:rPr>
              <w:t>Variable:</w:t>
            </w:r>
          </w:p>
        </w:tc>
        <w:tc>
          <w:tcPr>
            <w:tcW w:w="1735" w:type="dxa"/>
            <w:vAlign w:val="center"/>
          </w:tcPr>
          <w:p w:rsidR="0028188C" w:rsidRPr="0038776F" w:rsidRDefault="0028188C" w:rsidP="00A15A45">
            <w:pPr>
              <w:cnfStyle w:val="000000100000"/>
              <w:rPr>
                <w:color w:val="auto"/>
              </w:rPr>
            </w:pPr>
          </w:p>
        </w:tc>
        <w:tc>
          <w:tcPr>
            <w:tcW w:w="1735" w:type="dxa"/>
            <w:tcBorders>
              <w:right w:val="single" w:sz="8" w:space="0" w:color="4F81BD" w:themeColor="accent1"/>
            </w:tcBorders>
            <w:vAlign w:val="center"/>
          </w:tcPr>
          <w:p w:rsidR="0028188C" w:rsidRPr="0028188C" w:rsidRDefault="0028188C" w:rsidP="00A15A45">
            <w:pPr>
              <w:cnfStyle w:val="000000100000"/>
              <w:rPr>
                <w:rFonts w:ascii="Calibri" w:hAnsi="Calibri"/>
                <w:color w:val="auto"/>
                <w:u w:val="single"/>
              </w:rPr>
            </w:pPr>
            <w:r w:rsidRPr="0028188C">
              <w:rPr>
                <w:rFonts w:ascii="Calibri" w:hAnsi="Calibri"/>
                <w:color w:val="auto"/>
                <w:u w:val="single"/>
              </w:rPr>
              <w:t>Excl. Cyprus</w:t>
            </w:r>
          </w:p>
        </w:tc>
        <w:tc>
          <w:tcPr>
            <w:tcW w:w="1735" w:type="dxa"/>
            <w:tcBorders>
              <w:top w:val="nil"/>
              <w:left w:val="single" w:sz="8" w:space="0" w:color="4F81BD" w:themeColor="accent1"/>
              <w:bottom w:val="nil"/>
            </w:tcBorders>
            <w:vAlign w:val="center"/>
          </w:tcPr>
          <w:p w:rsidR="0028188C" w:rsidRPr="0028188C" w:rsidRDefault="0028188C" w:rsidP="00A15A45">
            <w:pPr>
              <w:cnfStyle w:val="000000100000"/>
              <w:rPr>
                <w:color w:val="auto"/>
                <w:u w:val="single"/>
              </w:rPr>
            </w:pPr>
          </w:p>
        </w:tc>
        <w:tc>
          <w:tcPr>
            <w:tcW w:w="1736" w:type="dxa"/>
            <w:vAlign w:val="center"/>
          </w:tcPr>
          <w:p w:rsidR="0028188C" w:rsidRPr="0028188C" w:rsidRDefault="0028188C" w:rsidP="00A15A45">
            <w:pPr>
              <w:cnfStyle w:val="000000100000"/>
              <w:rPr>
                <w:rFonts w:ascii="Calibri" w:hAnsi="Calibri"/>
                <w:color w:val="auto"/>
                <w:u w:val="single"/>
              </w:rPr>
            </w:pPr>
            <w:r w:rsidRPr="0028188C">
              <w:rPr>
                <w:rFonts w:ascii="Calibri" w:hAnsi="Calibri"/>
                <w:color w:val="auto"/>
                <w:u w:val="single"/>
              </w:rPr>
              <w:t>Excl. Cyprus</w:t>
            </w:r>
          </w:p>
        </w:tc>
      </w:tr>
      <w:tr w:rsidR="0028188C" w:rsidRPr="0038776F" w:rsidTr="006C7E2A">
        <w:tc>
          <w:tcPr>
            <w:cnfStyle w:val="001000000000"/>
            <w:tcW w:w="2470" w:type="dxa"/>
            <w:vAlign w:val="center"/>
          </w:tcPr>
          <w:p w:rsidR="0028188C" w:rsidRPr="0038776F" w:rsidRDefault="0028188C" w:rsidP="00A15A45">
            <w:pPr>
              <w:rPr>
                <w:rFonts w:ascii="Calibri" w:hAnsi="Calibri" w:cs="Calibri"/>
                <w:color w:val="auto"/>
              </w:rPr>
            </w:pPr>
            <w:r w:rsidRPr="0038776F">
              <w:rPr>
                <w:rFonts w:ascii="Calibri" w:hAnsi="Calibri" w:cs="Calibri"/>
                <w:color w:val="auto"/>
              </w:rPr>
              <w:t>2004_X_M_</w:t>
            </w:r>
            <w:r>
              <w:rPr>
                <w:rFonts w:ascii="Calibri" w:hAnsi="Calibri" w:cs="Calibri"/>
                <w:color w:val="auto"/>
              </w:rPr>
              <w:t>EMU</w:t>
            </w:r>
            <w:r>
              <w:rPr>
                <w:rFonts w:ascii="Calibri" w:hAnsi="Calibri" w:cs="Calibri"/>
                <w:color w:val="auto"/>
                <w:lang w:val="nl-NL"/>
              </w:rPr>
              <w:t>_</w:t>
            </w:r>
            <w:r w:rsidRPr="0038776F">
              <w:rPr>
                <w:rFonts w:ascii="Calibri" w:hAnsi="Calibri" w:cs="Calibri"/>
                <w:color w:val="auto"/>
              </w:rPr>
              <w:t>07</w:t>
            </w:r>
          </w:p>
        </w:tc>
        <w:tc>
          <w:tcPr>
            <w:tcW w:w="1735" w:type="dxa"/>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-0.064</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(0.000)***</w:t>
            </w:r>
          </w:p>
        </w:tc>
        <w:tc>
          <w:tcPr>
            <w:tcW w:w="1735" w:type="dxa"/>
            <w:tcBorders>
              <w:right w:val="single" w:sz="8" w:space="0" w:color="4F81BD" w:themeColor="accent1"/>
            </w:tcBorders>
            <w:vAlign w:val="bottom"/>
          </w:tcPr>
          <w:p w:rsidR="0028188C" w:rsidRDefault="0028188C" w:rsidP="00A15A45">
            <w:pPr>
              <w:cnfStyle w:val="000000000000"/>
              <w:rPr>
                <w:rFonts w:ascii="Calibri" w:hAnsi="Calibri"/>
                <w:b/>
                <w:color w:val="000000"/>
              </w:rPr>
            </w:pPr>
            <w:r>
              <w:rPr>
                <w:rFonts w:ascii="Calibri" w:hAnsi="Calibri"/>
                <w:b/>
                <w:color w:val="000000"/>
              </w:rPr>
              <w:t>-0.050</w:t>
            </w:r>
          </w:p>
          <w:p w:rsidR="0028188C" w:rsidRPr="006053D4" w:rsidRDefault="0028188C" w:rsidP="00A15A45">
            <w:pPr>
              <w:cnfStyle w:val="000000000000"/>
              <w:rPr>
                <w:rFonts w:ascii="Calibri" w:hAnsi="Calibri"/>
                <w:b/>
                <w:color w:val="000000"/>
              </w:rPr>
            </w:pPr>
            <w:r>
              <w:rPr>
                <w:rFonts w:ascii="Calibri" w:hAnsi="Calibri" w:cs="Calibri"/>
                <w:i/>
                <w:color w:val="000000"/>
                <w:sz w:val="16"/>
                <w:szCs w:val="16"/>
              </w:rPr>
              <w:t>(0.003</w:t>
            </w:r>
            <w:r w:rsidRPr="00BD7CED">
              <w:rPr>
                <w:rFonts w:ascii="Calibri" w:hAnsi="Calibri" w:cs="Calibri"/>
                <w:i/>
                <w:color w:val="000000"/>
                <w:sz w:val="16"/>
                <w:szCs w:val="16"/>
              </w:rPr>
              <w:t>)***</w:t>
            </w:r>
          </w:p>
        </w:tc>
        <w:tc>
          <w:tcPr>
            <w:tcW w:w="1735" w:type="dxa"/>
            <w:tcBorders>
              <w:top w:val="nil"/>
              <w:left w:val="single" w:sz="8" w:space="0" w:color="4F81BD" w:themeColor="accent1"/>
              <w:bottom w:val="nil"/>
            </w:tcBorders>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0.058</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(0.000)***</w:t>
            </w:r>
          </w:p>
        </w:tc>
        <w:tc>
          <w:tcPr>
            <w:tcW w:w="1736" w:type="dxa"/>
            <w:vAlign w:val="bottom"/>
          </w:tcPr>
          <w:p w:rsidR="0028188C" w:rsidRDefault="0028188C" w:rsidP="00A15A45">
            <w:pPr>
              <w:cnfStyle w:val="000000000000"/>
              <w:rPr>
                <w:rFonts w:ascii="Calibri" w:hAnsi="Calibri"/>
                <w:b/>
                <w:color w:val="000000"/>
              </w:rPr>
            </w:pPr>
            <w:r>
              <w:rPr>
                <w:rFonts w:ascii="Calibri" w:hAnsi="Calibri"/>
                <w:b/>
                <w:color w:val="000000"/>
              </w:rPr>
              <w:t>0.063</w:t>
            </w:r>
          </w:p>
          <w:p w:rsidR="0028188C" w:rsidRPr="006053D4" w:rsidRDefault="0028188C" w:rsidP="00A15A45">
            <w:pPr>
              <w:cnfStyle w:val="0000000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000)***</w:t>
            </w:r>
          </w:p>
        </w:tc>
      </w:tr>
      <w:tr w:rsidR="0028188C" w:rsidRPr="0038776F" w:rsidTr="006C7E2A">
        <w:trPr>
          <w:cnfStyle w:val="000000100000"/>
        </w:trPr>
        <w:tc>
          <w:tcPr>
            <w:cnfStyle w:val="001000000000"/>
            <w:tcW w:w="2470" w:type="dxa"/>
            <w:vAlign w:val="center"/>
          </w:tcPr>
          <w:p w:rsidR="0028188C" w:rsidRPr="0038776F" w:rsidRDefault="0028188C" w:rsidP="00A15A45">
            <w:pPr>
              <w:rPr>
                <w:rFonts w:ascii="Calibri" w:hAnsi="Calibri" w:cs="Calibri"/>
                <w:color w:val="auto"/>
              </w:rPr>
            </w:pPr>
            <w:r>
              <w:rPr>
                <w:rFonts w:ascii="Calibri" w:hAnsi="Calibri" w:cs="Calibri"/>
                <w:color w:val="auto"/>
              </w:rPr>
              <w:t>2004_X_M_RW_07</w:t>
            </w:r>
          </w:p>
        </w:tc>
        <w:tc>
          <w:tcPr>
            <w:tcW w:w="1735" w:type="dxa"/>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0.011</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(0.503)</w:t>
            </w:r>
          </w:p>
        </w:tc>
        <w:tc>
          <w:tcPr>
            <w:tcW w:w="1735" w:type="dxa"/>
            <w:tcBorders>
              <w:right w:val="single" w:sz="8" w:space="0" w:color="4F81BD" w:themeColor="accent1"/>
            </w:tcBorders>
            <w:vAlign w:val="bottom"/>
          </w:tcPr>
          <w:p w:rsidR="0028188C" w:rsidRDefault="0028188C" w:rsidP="00A15A45">
            <w:pPr>
              <w:cnfStyle w:val="000000100000"/>
              <w:rPr>
                <w:rFonts w:ascii="Calibri" w:hAnsi="Calibri"/>
                <w:b/>
                <w:color w:val="000000"/>
              </w:rPr>
            </w:pPr>
            <w:r>
              <w:rPr>
                <w:rFonts w:ascii="Calibri" w:hAnsi="Calibri"/>
                <w:b/>
                <w:color w:val="000000"/>
              </w:rPr>
              <w:t>0.036</w:t>
            </w:r>
          </w:p>
          <w:p w:rsidR="0028188C" w:rsidRPr="006053D4" w:rsidRDefault="0028188C" w:rsidP="00A15A45">
            <w:pPr>
              <w:cnfStyle w:val="000000100000"/>
              <w:rPr>
                <w:rFonts w:ascii="Calibri" w:hAnsi="Calibri"/>
                <w:b/>
                <w:color w:val="000000"/>
              </w:rPr>
            </w:pPr>
            <w:r w:rsidRPr="00BD7CED">
              <w:rPr>
                <w:rFonts w:ascii="Calibri" w:hAnsi="Calibri" w:cs="Calibri"/>
                <w:i/>
                <w:color w:val="000000"/>
                <w:sz w:val="16"/>
                <w:szCs w:val="16"/>
              </w:rPr>
              <w:t>(0.0</w:t>
            </w:r>
            <w:r>
              <w:rPr>
                <w:rFonts w:ascii="Calibri" w:hAnsi="Calibri" w:cs="Calibri"/>
                <w:i/>
                <w:color w:val="000000"/>
                <w:sz w:val="16"/>
                <w:szCs w:val="16"/>
              </w:rPr>
              <w:t>20)**</w:t>
            </w:r>
          </w:p>
        </w:tc>
        <w:tc>
          <w:tcPr>
            <w:tcW w:w="1735" w:type="dxa"/>
            <w:tcBorders>
              <w:top w:val="nil"/>
              <w:left w:val="single" w:sz="8" w:space="0" w:color="4F81BD" w:themeColor="accent1"/>
              <w:bottom w:val="nil"/>
            </w:tcBorders>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0.095</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(0.000)***</w:t>
            </w:r>
          </w:p>
        </w:tc>
        <w:tc>
          <w:tcPr>
            <w:tcW w:w="1736" w:type="dxa"/>
            <w:vAlign w:val="bottom"/>
          </w:tcPr>
          <w:p w:rsidR="0028188C" w:rsidRDefault="0028188C" w:rsidP="00A15A45">
            <w:pPr>
              <w:cnfStyle w:val="000000100000"/>
              <w:rPr>
                <w:rFonts w:ascii="Calibri" w:hAnsi="Calibri"/>
                <w:b/>
                <w:color w:val="000000"/>
              </w:rPr>
            </w:pPr>
            <w:r>
              <w:rPr>
                <w:rFonts w:ascii="Calibri" w:hAnsi="Calibri"/>
                <w:b/>
                <w:color w:val="000000"/>
              </w:rPr>
              <w:t>0.099</w:t>
            </w:r>
          </w:p>
          <w:p w:rsidR="0028188C" w:rsidRPr="006053D4" w:rsidRDefault="0028188C" w:rsidP="00A15A45">
            <w:pPr>
              <w:cnfStyle w:val="000000100000"/>
              <w:rPr>
                <w:rFonts w:ascii="Calibri" w:hAnsi="Calibri"/>
                <w:b/>
                <w:color w:val="000000"/>
              </w:rPr>
            </w:pPr>
            <w:r w:rsidRPr="00BD7CED">
              <w:rPr>
                <w:rFonts w:ascii="Calibri" w:hAnsi="Calibri" w:cs="Calibri"/>
                <w:i/>
                <w:color w:val="000000"/>
                <w:sz w:val="16"/>
                <w:szCs w:val="16"/>
              </w:rPr>
              <w:t>(0.000)***</w:t>
            </w:r>
          </w:p>
        </w:tc>
      </w:tr>
      <w:tr w:rsidR="0028188C" w:rsidRPr="0038776F" w:rsidTr="006C7E2A">
        <w:tc>
          <w:tcPr>
            <w:cnfStyle w:val="001000000000"/>
            <w:tcW w:w="2470" w:type="dxa"/>
            <w:vAlign w:val="center"/>
          </w:tcPr>
          <w:p w:rsidR="0028188C" w:rsidRPr="00C30540" w:rsidRDefault="0028188C" w:rsidP="00A15A45">
            <w:pPr>
              <w:rPr>
                <w:rFonts w:ascii="Calibri" w:hAnsi="Calibri" w:cs="Calibri"/>
                <w:color w:val="auto"/>
              </w:rPr>
            </w:pPr>
            <w:r>
              <w:rPr>
                <w:rFonts w:ascii="Calibri" w:hAnsi="Calibri" w:cs="Calibri"/>
                <w:color w:val="auto"/>
              </w:rPr>
              <w:t>newEMU_X_M_EMU_07</w:t>
            </w:r>
          </w:p>
        </w:tc>
        <w:tc>
          <w:tcPr>
            <w:tcW w:w="1735" w:type="dxa"/>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0.072</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(0.002)***</w:t>
            </w:r>
          </w:p>
        </w:tc>
        <w:tc>
          <w:tcPr>
            <w:tcW w:w="1735" w:type="dxa"/>
            <w:tcBorders>
              <w:right w:val="single" w:sz="8" w:space="0" w:color="4F81BD" w:themeColor="accent1"/>
            </w:tcBorders>
            <w:vAlign w:val="bottom"/>
          </w:tcPr>
          <w:p w:rsidR="0028188C" w:rsidRDefault="0028188C" w:rsidP="00A15A45">
            <w:pPr>
              <w:cnfStyle w:val="000000000000"/>
              <w:rPr>
                <w:rFonts w:ascii="Calibri" w:hAnsi="Calibri"/>
                <w:b/>
                <w:color w:val="000000"/>
              </w:rPr>
            </w:pPr>
            <w:r>
              <w:rPr>
                <w:rFonts w:ascii="Calibri" w:hAnsi="Calibri"/>
                <w:b/>
                <w:color w:val="000000"/>
              </w:rPr>
              <w:t>0.072</w:t>
            </w:r>
          </w:p>
          <w:p w:rsidR="0028188C" w:rsidRPr="006053D4" w:rsidRDefault="0028188C" w:rsidP="00A15A45">
            <w:pPr>
              <w:cnfStyle w:val="000000000000"/>
              <w:rPr>
                <w:rFonts w:ascii="Calibri" w:hAnsi="Calibri"/>
                <w:b/>
                <w:color w:val="000000"/>
              </w:rPr>
            </w:pPr>
            <w:r>
              <w:rPr>
                <w:rFonts w:ascii="Calibri" w:hAnsi="Calibri" w:cs="Calibri"/>
                <w:i/>
                <w:color w:val="000000"/>
                <w:sz w:val="16"/>
                <w:szCs w:val="16"/>
              </w:rPr>
              <w:t>(0.005</w:t>
            </w:r>
            <w:r w:rsidRPr="00BD7CED">
              <w:rPr>
                <w:rFonts w:ascii="Calibri" w:hAnsi="Calibri" w:cs="Calibri"/>
                <w:i/>
                <w:color w:val="000000"/>
                <w:sz w:val="16"/>
                <w:szCs w:val="16"/>
              </w:rPr>
              <w:t>)***</w:t>
            </w:r>
          </w:p>
        </w:tc>
        <w:tc>
          <w:tcPr>
            <w:tcW w:w="1735" w:type="dxa"/>
            <w:tcBorders>
              <w:top w:val="nil"/>
              <w:left w:val="single" w:sz="8" w:space="0" w:color="4F81BD" w:themeColor="accent1"/>
              <w:bottom w:val="nil"/>
            </w:tcBorders>
            <w:vAlign w:val="bottom"/>
          </w:tcPr>
          <w:p w:rsidR="0028188C" w:rsidRPr="00770C4A" w:rsidRDefault="0028188C" w:rsidP="00A15A45">
            <w:pPr>
              <w:cnfStyle w:val="000000000000"/>
              <w:rPr>
                <w:rFonts w:ascii="Calibri" w:hAnsi="Calibri"/>
                <w:b/>
                <w:color w:val="auto"/>
              </w:rPr>
            </w:pPr>
            <w:r w:rsidRPr="00770C4A">
              <w:rPr>
                <w:rFonts w:ascii="Calibri" w:hAnsi="Calibri"/>
                <w:b/>
                <w:color w:val="auto"/>
              </w:rPr>
              <w:t>0.011</w:t>
            </w:r>
          </w:p>
          <w:p w:rsidR="0028188C" w:rsidRPr="00770C4A" w:rsidRDefault="0028188C" w:rsidP="00A15A45">
            <w:pPr>
              <w:cnfStyle w:val="000000000000"/>
              <w:rPr>
                <w:rFonts w:ascii="Calibri" w:hAnsi="Calibri"/>
                <w:b/>
                <w:color w:val="auto"/>
              </w:rPr>
            </w:pPr>
            <w:r w:rsidRPr="00770C4A">
              <w:rPr>
                <w:rFonts w:ascii="Calibri" w:hAnsi="Calibri" w:cs="Calibri"/>
                <w:i/>
                <w:color w:val="auto"/>
                <w:sz w:val="16"/>
                <w:szCs w:val="16"/>
              </w:rPr>
              <w:t>(0.401)</w:t>
            </w:r>
          </w:p>
        </w:tc>
        <w:tc>
          <w:tcPr>
            <w:tcW w:w="1736" w:type="dxa"/>
            <w:vAlign w:val="bottom"/>
          </w:tcPr>
          <w:p w:rsidR="0028188C" w:rsidRDefault="0028188C" w:rsidP="00A15A45">
            <w:pPr>
              <w:cnfStyle w:val="000000000000"/>
              <w:rPr>
                <w:rFonts w:ascii="Calibri" w:hAnsi="Calibri"/>
                <w:b/>
                <w:color w:val="000000"/>
              </w:rPr>
            </w:pPr>
            <w:r>
              <w:rPr>
                <w:rFonts w:ascii="Calibri" w:hAnsi="Calibri"/>
                <w:b/>
                <w:color w:val="000000"/>
              </w:rPr>
              <w:t>0.018</w:t>
            </w:r>
          </w:p>
          <w:p w:rsidR="0028188C" w:rsidRPr="006053D4" w:rsidRDefault="0028188C" w:rsidP="00A15A45">
            <w:pPr>
              <w:cnfStyle w:val="000000000000"/>
              <w:rPr>
                <w:rFonts w:ascii="Calibri" w:hAnsi="Calibri"/>
                <w:b/>
                <w:color w:val="000000"/>
              </w:rPr>
            </w:pPr>
            <w:r>
              <w:rPr>
                <w:rFonts w:ascii="Calibri" w:hAnsi="Calibri" w:cs="Calibri"/>
                <w:i/>
                <w:color w:val="000000"/>
                <w:sz w:val="16"/>
                <w:szCs w:val="16"/>
              </w:rPr>
              <w:t>(0.211)</w:t>
            </w:r>
          </w:p>
        </w:tc>
      </w:tr>
      <w:tr w:rsidR="0028188C" w:rsidRPr="0038776F" w:rsidTr="006C7E2A">
        <w:trPr>
          <w:cnfStyle w:val="000000100000"/>
        </w:trPr>
        <w:tc>
          <w:tcPr>
            <w:cnfStyle w:val="001000000000"/>
            <w:tcW w:w="2470" w:type="dxa"/>
            <w:vAlign w:val="center"/>
          </w:tcPr>
          <w:p w:rsidR="0028188C" w:rsidRPr="00C30540" w:rsidRDefault="0028188C" w:rsidP="00A15A45">
            <w:pPr>
              <w:rPr>
                <w:rFonts w:ascii="Calibri" w:hAnsi="Calibri" w:cs="Calibri"/>
                <w:color w:val="auto"/>
              </w:rPr>
            </w:pPr>
            <w:r>
              <w:rPr>
                <w:rFonts w:ascii="Calibri" w:hAnsi="Calibri" w:cs="Calibri"/>
                <w:color w:val="auto"/>
              </w:rPr>
              <w:t>newEMU_X_M_RW_07</w:t>
            </w:r>
          </w:p>
        </w:tc>
        <w:tc>
          <w:tcPr>
            <w:tcW w:w="1735" w:type="dxa"/>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-0.007</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(0.736)</w:t>
            </w:r>
          </w:p>
        </w:tc>
        <w:tc>
          <w:tcPr>
            <w:tcW w:w="1735" w:type="dxa"/>
            <w:tcBorders>
              <w:right w:val="single" w:sz="8" w:space="0" w:color="4F81BD" w:themeColor="accent1"/>
            </w:tcBorders>
            <w:vAlign w:val="bottom"/>
          </w:tcPr>
          <w:p w:rsidR="0028188C" w:rsidRDefault="0028188C" w:rsidP="00A15A45">
            <w:pPr>
              <w:cnfStyle w:val="000000100000"/>
              <w:rPr>
                <w:rFonts w:ascii="Calibri" w:hAnsi="Calibri"/>
                <w:b/>
                <w:color w:val="000000"/>
              </w:rPr>
            </w:pPr>
            <w:r>
              <w:rPr>
                <w:rFonts w:ascii="Calibri" w:hAnsi="Calibri"/>
                <w:b/>
                <w:color w:val="000000"/>
              </w:rPr>
              <w:t>0.061</w:t>
            </w:r>
          </w:p>
          <w:p w:rsidR="0028188C" w:rsidRPr="006053D4" w:rsidRDefault="0028188C" w:rsidP="00A15A45">
            <w:pPr>
              <w:cnfStyle w:val="000000100000"/>
              <w:rPr>
                <w:rFonts w:ascii="Calibri" w:hAnsi="Calibri"/>
                <w:b/>
                <w:color w:val="000000"/>
              </w:rPr>
            </w:pPr>
            <w:r>
              <w:rPr>
                <w:rFonts w:ascii="Calibri" w:hAnsi="Calibri" w:cs="Calibri"/>
                <w:i/>
                <w:color w:val="000000"/>
                <w:sz w:val="16"/>
                <w:szCs w:val="16"/>
              </w:rPr>
              <w:t>(0.003</w:t>
            </w:r>
            <w:r w:rsidRPr="00BD7CED">
              <w:rPr>
                <w:rFonts w:ascii="Calibri" w:hAnsi="Calibri" w:cs="Calibri"/>
                <w:i/>
                <w:color w:val="000000"/>
                <w:sz w:val="16"/>
                <w:szCs w:val="16"/>
              </w:rPr>
              <w:t>)**</w:t>
            </w:r>
            <w:r w:rsidR="000B2B72">
              <w:rPr>
                <w:rFonts w:ascii="Calibri" w:hAnsi="Calibri" w:cs="Calibri"/>
                <w:i/>
                <w:color w:val="000000"/>
                <w:sz w:val="16"/>
                <w:szCs w:val="16"/>
              </w:rPr>
              <w:t>*</w:t>
            </w:r>
          </w:p>
        </w:tc>
        <w:tc>
          <w:tcPr>
            <w:tcW w:w="1735" w:type="dxa"/>
            <w:tcBorders>
              <w:top w:val="nil"/>
              <w:left w:val="single" w:sz="8" w:space="0" w:color="4F81BD" w:themeColor="accent1"/>
              <w:bottom w:val="single" w:sz="8" w:space="0" w:color="4F81BD" w:themeColor="accent1"/>
            </w:tcBorders>
            <w:vAlign w:val="bottom"/>
          </w:tcPr>
          <w:p w:rsidR="0028188C" w:rsidRPr="00770C4A" w:rsidRDefault="0028188C" w:rsidP="00A15A45">
            <w:pPr>
              <w:cnfStyle w:val="000000100000"/>
              <w:rPr>
                <w:rFonts w:ascii="Calibri" w:hAnsi="Calibri"/>
                <w:b/>
                <w:color w:val="auto"/>
              </w:rPr>
            </w:pPr>
            <w:r w:rsidRPr="00770C4A">
              <w:rPr>
                <w:rFonts w:ascii="Calibri" w:hAnsi="Calibri"/>
                <w:b/>
                <w:color w:val="auto"/>
              </w:rPr>
              <w:t>-0.047</w:t>
            </w:r>
          </w:p>
          <w:p w:rsidR="0028188C" w:rsidRPr="00770C4A" w:rsidRDefault="0028188C" w:rsidP="00A15A45">
            <w:pPr>
              <w:cnfStyle w:val="000000100000"/>
              <w:rPr>
                <w:rFonts w:ascii="Calibri" w:hAnsi="Calibri"/>
                <w:b/>
                <w:color w:val="auto"/>
              </w:rPr>
            </w:pPr>
            <w:r w:rsidRPr="00770C4A">
              <w:rPr>
                <w:rFonts w:ascii="Calibri" w:hAnsi="Calibri" w:cs="Calibri"/>
                <w:i/>
                <w:color w:val="auto"/>
                <w:sz w:val="16"/>
                <w:szCs w:val="16"/>
              </w:rPr>
              <w:t>(0.000)***</w:t>
            </w:r>
          </w:p>
        </w:tc>
        <w:tc>
          <w:tcPr>
            <w:tcW w:w="1736" w:type="dxa"/>
            <w:vAlign w:val="bottom"/>
          </w:tcPr>
          <w:p w:rsidR="0028188C" w:rsidRDefault="0028188C" w:rsidP="00A15A45">
            <w:pPr>
              <w:cnfStyle w:val="000000100000"/>
              <w:rPr>
                <w:rFonts w:ascii="Calibri" w:hAnsi="Calibri"/>
                <w:b/>
                <w:color w:val="000000"/>
              </w:rPr>
            </w:pPr>
            <w:r>
              <w:rPr>
                <w:rFonts w:ascii="Calibri" w:hAnsi="Calibri"/>
                <w:b/>
                <w:color w:val="000000"/>
              </w:rPr>
              <w:t>-0.001</w:t>
            </w:r>
          </w:p>
          <w:p w:rsidR="0028188C" w:rsidRPr="006053D4" w:rsidRDefault="0028188C" w:rsidP="0028188C">
            <w:pPr>
              <w:keepNext/>
              <w:cnfStyle w:val="0000001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921)</w:t>
            </w:r>
          </w:p>
        </w:tc>
      </w:tr>
    </w:tbl>
    <w:p w:rsidR="0028188C" w:rsidRPr="00770C4A" w:rsidRDefault="0028188C" w:rsidP="0028188C">
      <w:pPr>
        <w:pStyle w:val="Caption"/>
        <w:jc w:val="both"/>
        <w:rPr>
          <w:color w:val="auto"/>
        </w:rPr>
      </w:pPr>
      <w:r w:rsidRPr="00770C4A">
        <w:rPr>
          <w:color w:val="auto"/>
        </w:rPr>
        <w:t xml:space="preserve">Notes: (a) Marginal refers to the extra trade effects of the new EMU members compared to the benchmark group; (b) average refers to the average trade effects over the </w:t>
      </w:r>
      <w:r w:rsidR="006F5E8E">
        <w:rPr>
          <w:color w:val="auto"/>
        </w:rPr>
        <w:t xml:space="preserve">three </w:t>
      </w:r>
      <w:r w:rsidRPr="00770C4A">
        <w:rPr>
          <w:color w:val="auto"/>
        </w:rPr>
        <w:t>new EMU members (Slovenia, Malta, the Slovak Republic); (c) rejection of redundant period fixed effects at p = 0.000; (d) rejection of redundant period and cross-section fixed effects at p = 0.000; (</w:t>
      </w:r>
      <w:proofErr w:type="spellStart"/>
      <w:r w:rsidRPr="00770C4A">
        <w:rPr>
          <w:color w:val="auto"/>
        </w:rPr>
        <w:t>i</w:t>
      </w:r>
      <w:proofErr w:type="spellEnd"/>
      <w:r w:rsidRPr="00770C4A">
        <w:rPr>
          <w:color w:val="auto"/>
        </w:rPr>
        <w:t xml:space="preserve">) p-values are in parentheses, p***&lt;0.01, p**&lt;0.05, p*&lt;0.10; (ii) </w:t>
      </w:r>
      <w:r w:rsidRPr="00770C4A">
        <w:rPr>
          <w:i/>
          <w:color w:val="auto"/>
        </w:rPr>
        <w:t>group</w:t>
      </w:r>
      <w:r w:rsidRPr="00770C4A">
        <w:rPr>
          <w:color w:val="auto"/>
        </w:rPr>
        <w:t>_x_m_</w:t>
      </w:r>
      <w:r w:rsidRPr="00770C4A">
        <w:rPr>
          <w:i/>
          <w:color w:val="auto"/>
        </w:rPr>
        <w:t>partner_</w:t>
      </w:r>
      <w:r w:rsidR="006F5E8E">
        <w:rPr>
          <w:i/>
          <w:color w:val="auto"/>
        </w:rPr>
        <w:t>07</w:t>
      </w:r>
      <w:r w:rsidRPr="00770C4A">
        <w:rPr>
          <w:color w:val="auto"/>
        </w:rPr>
        <w:t xml:space="preserve"> indicates trade effects for the new EMU members or the 2004 EU entrants with either EMU members</w:t>
      </w:r>
      <w:r>
        <w:rPr>
          <w:color w:val="auto"/>
        </w:rPr>
        <w:t xml:space="preserve"> (EMU)</w:t>
      </w:r>
      <w:r w:rsidRPr="00770C4A">
        <w:rPr>
          <w:color w:val="auto"/>
        </w:rPr>
        <w:t xml:space="preserve"> or the Rest of the World</w:t>
      </w:r>
      <w:r>
        <w:rPr>
          <w:color w:val="auto"/>
        </w:rPr>
        <w:t xml:space="preserve"> (RW)</w:t>
      </w:r>
      <w:r w:rsidRPr="00770C4A">
        <w:rPr>
          <w:color w:val="auto"/>
        </w:rPr>
        <w:t>, from 2007 onwards.</w:t>
      </w:r>
    </w:p>
    <w:p w:rsidR="003613D5" w:rsidRDefault="00D20C5E" w:rsidP="00D20C5E">
      <w:pPr>
        <w:spacing w:line="360" w:lineRule="auto"/>
        <w:jc w:val="both"/>
      </w:pPr>
      <w:r>
        <w:t xml:space="preserve">The effect of excluding Cyprus from the </w:t>
      </w:r>
      <w:proofErr w:type="spellStart"/>
      <w:r>
        <w:t>newEMU</w:t>
      </w:r>
      <w:proofErr w:type="spellEnd"/>
      <w:r>
        <w:t xml:space="preserve"> group has very little effect on the coefficient capturing trade with EMU members in either the CFE or the CPFE model. </w:t>
      </w:r>
      <w:r w:rsidR="000B2B72">
        <w:t>For the effect on trade with the rest of the world a comparable pattern is found as in table 8</w:t>
      </w:r>
      <w:r w:rsidR="009F5CD3">
        <w:t>-4</w:t>
      </w:r>
      <w:r w:rsidR="000B2B72">
        <w:t xml:space="preserve">. Also here in the CFE model, by excluding Cyprus, a positive and significant coefficient is found, implying that </w:t>
      </w:r>
      <w:r w:rsidR="006F5E8E">
        <w:t>trade be</w:t>
      </w:r>
      <w:r w:rsidR="002F25A0">
        <w:t xml:space="preserve">tween the </w:t>
      </w:r>
      <w:proofErr w:type="spellStart"/>
      <w:r w:rsidR="002F25A0">
        <w:t>newEMU</w:t>
      </w:r>
      <w:proofErr w:type="spellEnd"/>
      <w:r w:rsidR="002F25A0">
        <w:t xml:space="preserve"> group and the R</w:t>
      </w:r>
      <w:r w:rsidR="006F5E8E">
        <w:t xml:space="preserve">est of the </w:t>
      </w:r>
      <w:r w:rsidR="002F25A0">
        <w:t>W</w:t>
      </w:r>
      <w:r w:rsidR="006F5E8E">
        <w:t>orld increased significantly more than trade between</w:t>
      </w:r>
      <w:r w:rsidR="002F25A0">
        <w:t xml:space="preserve"> the 2004 group and the Rest of the World.</w:t>
      </w:r>
      <w:r w:rsidR="000B2B72">
        <w:t xml:space="preserve"> In the CPFE model, the negative and significant coefficient found for </w:t>
      </w:r>
      <w:r w:rsidR="002F25A0">
        <w:t xml:space="preserve">trade between </w:t>
      </w:r>
      <w:r w:rsidR="000B2B72">
        <w:t xml:space="preserve">the </w:t>
      </w:r>
      <w:proofErr w:type="spellStart"/>
      <w:r w:rsidR="000B2B72">
        <w:t>newEMU</w:t>
      </w:r>
      <w:proofErr w:type="spellEnd"/>
      <w:r w:rsidR="000B2B72">
        <w:t xml:space="preserve"> group </w:t>
      </w:r>
      <w:r w:rsidR="002F25A0">
        <w:t>and</w:t>
      </w:r>
      <w:r w:rsidR="000B2B72">
        <w:t xml:space="preserve"> </w:t>
      </w:r>
      <w:r w:rsidR="002F25A0">
        <w:t xml:space="preserve">the rest of the world </w:t>
      </w:r>
      <w:r w:rsidR="000B2B72">
        <w:t>loses its signi</w:t>
      </w:r>
      <w:r w:rsidR="002F25A0">
        <w:t>ficance by excluding Cyprus. This thus implies that the</w:t>
      </w:r>
      <w:r w:rsidR="000B2B72">
        <w:t xml:space="preserve"> </w:t>
      </w:r>
      <w:proofErr w:type="spellStart"/>
      <w:r w:rsidR="000B2B72">
        <w:t>newEMU</w:t>
      </w:r>
      <w:proofErr w:type="spellEnd"/>
      <w:r w:rsidR="000B2B72">
        <w:t xml:space="preserve"> group therefore no longer trades less with the rest of the world compared to the benchmark group. </w:t>
      </w:r>
    </w:p>
    <w:p w:rsidR="006C7E2A" w:rsidRDefault="003613D5" w:rsidP="00D20C5E">
      <w:pPr>
        <w:spacing w:line="360" w:lineRule="auto"/>
        <w:jc w:val="both"/>
      </w:pPr>
      <w:r>
        <w:t xml:space="preserve">Summing up, </w:t>
      </w:r>
      <w:r w:rsidR="002F25A0">
        <w:t>when</w:t>
      </w:r>
      <w:r>
        <w:t xml:space="preserve"> looking at trade patterns with different trading groups</w:t>
      </w:r>
      <w:r w:rsidR="002F25A0">
        <w:t xml:space="preserve"> in the CFE model</w:t>
      </w:r>
      <w:r>
        <w:t xml:space="preserve">, evidence is found in line with currency union theory. There is even evidence of trade creation in this model, since </w:t>
      </w:r>
      <w:r w:rsidR="004F3489">
        <w:t xml:space="preserve">the </w:t>
      </w:r>
      <w:proofErr w:type="spellStart"/>
      <w:r w:rsidR="004F3489">
        <w:t>newEMU</w:t>
      </w:r>
      <w:proofErr w:type="spellEnd"/>
      <w:r w:rsidR="004F3489">
        <w:t xml:space="preserve"> group trades significantly more with both EMU countries and the Rest of the World, compared to the 2004 group.</w:t>
      </w:r>
      <w:r>
        <w:t xml:space="preserve"> In the CPFE model, however, no evidence of this kind is found.</w:t>
      </w:r>
    </w:p>
    <w:p w:rsidR="00250259" w:rsidRDefault="00880E66" w:rsidP="00770C4A">
      <w:pPr>
        <w:pStyle w:val="Heading2"/>
        <w:numPr>
          <w:ilvl w:val="1"/>
          <w:numId w:val="1"/>
        </w:numPr>
      </w:pPr>
      <w:r>
        <w:t xml:space="preserve"> </w:t>
      </w:r>
      <w:r>
        <w:tab/>
      </w:r>
      <w:bookmarkStart w:id="44" w:name="_Toc353348803"/>
      <w:r>
        <w:t>Changing Year</w:t>
      </w:r>
      <w:r w:rsidR="00C577F0">
        <w:t>s</w:t>
      </w:r>
      <w:r>
        <w:t xml:space="preserve"> of Euro Adoption</w:t>
      </w:r>
      <w:bookmarkEnd w:id="44"/>
    </w:p>
    <w:p w:rsidR="00880E66" w:rsidRDefault="00BA26CA" w:rsidP="00BA26CA">
      <w:pPr>
        <w:spacing w:line="360" w:lineRule="auto"/>
        <w:jc w:val="both"/>
      </w:pPr>
      <w:r>
        <w:t>A final test o</w:t>
      </w:r>
      <w:r w:rsidR="0038776F">
        <w:t>n the</w:t>
      </w:r>
      <w:r>
        <w:t xml:space="preserve"> sensitivity of the results found in chapter 7 is </w:t>
      </w:r>
      <w:r w:rsidR="00685856">
        <w:t>conducted</w:t>
      </w:r>
      <w:r>
        <w:t xml:space="preserve"> in this last section. In the results pr</w:t>
      </w:r>
      <w:r w:rsidR="00685856">
        <w:t>esented in the previous chapter</w:t>
      </w:r>
      <w:r>
        <w:t xml:space="preserve"> the dummy variables of interest where constructed in such a way that the trade effects of Euro ad</w:t>
      </w:r>
      <w:r w:rsidR="00685856">
        <w:t>option of the new EMU members were</w:t>
      </w:r>
      <w:r>
        <w:t xml:space="preserve"> measured from 2007 onwards. In other words, the </w:t>
      </w:r>
      <w:r w:rsidR="00685856">
        <w:t>group was constructed with the pretention that</w:t>
      </w:r>
      <w:r>
        <w:t xml:space="preserve"> all new EMU members adopted the Euro in 2007. Therefore the trade effects of the </w:t>
      </w:r>
      <w:proofErr w:type="spellStart"/>
      <w:r>
        <w:t>newEMU</w:t>
      </w:r>
      <w:proofErr w:type="spellEnd"/>
      <w:r>
        <w:t xml:space="preserve"> group compared to the 2004 EU entrant group was tested on trade volumes from 2007 onward. This base year was chosen since it was the year that the first of the four new EMU members adopted the Euro; Slovenia. </w:t>
      </w:r>
      <w:r w:rsidR="004670D1">
        <w:t xml:space="preserve">This might however not be the appropriate starting year of investigating trade effects for several reasons. First of all, the increased trade of EU expansion might not have completely fulfilled its potential, which might distort the measurement of trade effects caused by Euro adoption. Secondly, there might be a lag in the effect of Euro adoption on trade. Both these aspects reason in favor of a later starting year of measuring trade effects of Euro adoption. Finally, there might also be a so-called ‘announcement effect’. This effect could potentially increase trade for a country that has announced to adopt the Euro, which would oppositely argue in favor of earlier trade effects caused by ‘announced’ Euro adoption. Therefore, in order to cover a sufficiently broad span of years, the regressions </w:t>
      </w:r>
      <w:r w:rsidR="002F5EE7">
        <w:t xml:space="preserve">testing hypotheses 4-6 in the previous chapter are tested with different years of Euro adoption: 2006 – 2009. </w:t>
      </w:r>
      <w:r w:rsidR="00C40BB8">
        <w:t>The results are displayed in tables 8</w:t>
      </w:r>
      <w:r w:rsidR="00685856">
        <w:t>-</w:t>
      </w:r>
      <w:r w:rsidR="009F5CD3">
        <w:t>6</w:t>
      </w:r>
      <w:r w:rsidR="00C40BB8">
        <w:t xml:space="preserve"> </w:t>
      </w:r>
      <w:r w:rsidR="00685856">
        <w:t>to</w:t>
      </w:r>
      <w:r w:rsidR="00C40BB8">
        <w:t xml:space="preserve"> 8</w:t>
      </w:r>
      <w:r w:rsidR="00685856">
        <w:t>-</w:t>
      </w:r>
      <w:r w:rsidR="009F5CD3">
        <w:t>8</w:t>
      </w:r>
      <w:r w:rsidR="00C40BB8">
        <w:t xml:space="preserve">. </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6</w:t>
      </w:r>
      <w:r>
        <w:rPr>
          <w:color w:val="auto"/>
          <w:sz w:val="28"/>
        </w:rPr>
        <w:fldChar w:fldCharType="end"/>
      </w:r>
      <w:r w:rsidR="00FE33D6" w:rsidRPr="00FE33D6">
        <w:rPr>
          <w:color w:val="auto"/>
          <w:sz w:val="28"/>
        </w:rPr>
        <w:t xml:space="preserve"> Sensitivity Test of Coefficients in Hypothesis 4</w:t>
      </w:r>
    </w:p>
    <w:tbl>
      <w:tblPr>
        <w:tblStyle w:val="Lichtearcering-accent11"/>
        <w:tblW w:w="0" w:type="auto"/>
        <w:tblLook w:val="04A0"/>
      </w:tblPr>
      <w:tblGrid>
        <w:gridCol w:w="1849"/>
        <w:gridCol w:w="1847"/>
        <w:gridCol w:w="1849"/>
        <w:gridCol w:w="1848"/>
        <w:gridCol w:w="1849"/>
      </w:tblGrid>
      <w:tr w:rsidR="00380070" w:rsidRPr="00517B8D" w:rsidTr="000367EC">
        <w:trPr>
          <w:cnfStyle w:val="100000000000"/>
        </w:trPr>
        <w:tc>
          <w:tcPr>
            <w:cnfStyle w:val="001000000000"/>
            <w:tcW w:w="7393" w:type="dxa"/>
            <w:gridSpan w:val="4"/>
          </w:tcPr>
          <w:p w:rsidR="00380070" w:rsidRPr="00517B8D" w:rsidRDefault="00380070" w:rsidP="00D90875">
            <w:pPr>
              <w:rPr>
                <w:color w:val="auto"/>
              </w:rPr>
            </w:pPr>
            <w:r w:rsidRPr="00517B8D">
              <w:rPr>
                <w:color w:val="auto"/>
                <w:sz w:val="24"/>
              </w:rPr>
              <w:t>Coefficient Sensitivity Testing for different years of Euro adoption</w:t>
            </w:r>
          </w:p>
        </w:tc>
        <w:tc>
          <w:tcPr>
            <w:tcW w:w="1849" w:type="dxa"/>
          </w:tcPr>
          <w:p w:rsidR="00380070" w:rsidRPr="00517B8D" w:rsidRDefault="00380070" w:rsidP="00D90875">
            <w:pPr>
              <w:cnfStyle w:val="100000000000"/>
              <w:rPr>
                <w:color w:val="auto"/>
              </w:rPr>
            </w:pPr>
          </w:p>
        </w:tc>
      </w:tr>
      <w:tr w:rsidR="00644000" w:rsidRPr="00517B8D" w:rsidTr="00517B8D">
        <w:trPr>
          <w:cnfStyle w:val="000000100000"/>
        </w:trPr>
        <w:tc>
          <w:tcPr>
            <w:cnfStyle w:val="001000000000"/>
            <w:tcW w:w="5545" w:type="dxa"/>
            <w:gridSpan w:val="3"/>
          </w:tcPr>
          <w:p w:rsidR="00644000" w:rsidRPr="00517B8D" w:rsidRDefault="00644000" w:rsidP="00D90875">
            <w:pPr>
              <w:rPr>
                <w:b w:val="0"/>
                <w:color w:val="auto"/>
              </w:rPr>
            </w:pPr>
            <w:r w:rsidRPr="00517B8D">
              <w:rPr>
                <w:b w:val="0"/>
                <w:color w:val="auto"/>
              </w:rPr>
              <w:t>Country Pair Fixed Effect model with time fixed effects</w:t>
            </w:r>
          </w:p>
        </w:tc>
        <w:tc>
          <w:tcPr>
            <w:tcW w:w="1848" w:type="dxa"/>
          </w:tcPr>
          <w:p w:rsidR="00644000" w:rsidRPr="00517B8D" w:rsidRDefault="00644000" w:rsidP="00D90875">
            <w:pPr>
              <w:cnfStyle w:val="000000100000"/>
              <w:rPr>
                <w:color w:val="auto"/>
              </w:rPr>
            </w:pPr>
          </w:p>
        </w:tc>
        <w:tc>
          <w:tcPr>
            <w:tcW w:w="1849" w:type="dxa"/>
          </w:tcPr>
          <w:p w:rsidR="00644000" w:rsidRPr="00517B8D" w:rsidRDefault="00644000" w:rsidP="00D90875">
            <w:pPr>
              <w:cnfStyle w:val="000000100000"/>
              <w:rPr>
                <w:color w:val="auto"/>
              </w:rPr>
            </w:pPr>
          </w:p>
        </w:tc>
      </w:tr>
      <w:tr w:rsidR="00517B8D" w:rsidRPr="00517B8D" w:rsidTr="00517B8D">
        <w:tc>
          <w:tcPr>
            <w:cnfStyle w:val="001000000000"/>
            <w:tcW w:w="5545" w:type="dxa"/>
            <w:gridSpan w:val="3"/>
          </w:tcPr>
          <w:p w:rsidR="00517B8D" w:rsidRPr="00517B8D" w:rsidRDefault="00517B8D" w:rsidP="00D90875">
            <w:pPr>
              <w:rPr>
                <w:b w:val="0"/>
                <w:i/>
              </w:rPr>
            </w:pPr>
          </w:p>
        </w:tc>
        <w:tc>
          <w:tcPr>
            <w:tcW w:w="1848" w:type="dxa"/>
          </w:tcPr>
          <w:p w:rsidR="00517B8D" w:rsidRPr="00517B8D" w:rsidRDefault="00517B8D" w:rsidP="00D90875">
            <w:pPr>
              <w:cnfStyle w:val="000000000000"/>
            </w:pPr>
          </w:p>
        </w:tc>
        <w:tc>
          <w:tcPr>
            <w:tcW w:w="1849" w:type="dxa"/>
          </w:tcPr>
          <w:p w:rsidR="00517B8D" w:rsidRPr="00517B8D" w:rsidRDefault="00517B8D" w:rsidP="00D90875">
            <w:pPr>
              <w:cnfStyle w:val="000000000000"/>
            </w:pPr>
          </w:p>
        </w:tc>
      </w:tr>
      <w:tr w:rsidR="00380070" w:rsidRPr="00517B8D" w:rsidTr="000367EC">
        <w:trPr>
          <w:cnfStyle w:val="000000100000"/>
        </w:trPr>
        <w:tc>
          <w:tcPr>
            <w:cnfStyle w:val="001000000000"/>
            <w:tcW w:w="1849" w:type="dxa"/>
            <w:vAlign w:val="center"/>
          </w:tcPr>
          <w:p w:rsidR="00380070" w:rsidRPr="00517B8D" w:rsidRDefault="00380070" w:rsidP="00D90875">
            <w:pPr>
              <w:rPr>
                <w:i/>
                <w:color w:val="auto"/>
              </w:rPr>
            </w:pPr>
            <w:r w:rsidRPr="00517B8D">
              <w:rPr>
                <w:i/>
                <w:color w:val="auto"/>
              </w:rPr>
              <w:t>Variable:</w:t>
            </w:r>
          </w:p>
        </w:tc>
        <w:tc>
          <w:tcPr>
            <w:tcW w:w="1847" w:type="dxa"/>
          </w:tcPr>
          <w:p w:rsidR="00380070" w:rsidRPr="00517B8D" w:rsidRDefault="00380070" w:rsidP="00D90875">
            <w:pPr>
              <w:cnfStyle w:val="000000100000"/>
              <w:rPr>
                <w:i/>
                <w:color w:val="auto"/>
              </w:rPr>
            </w:pPr>
            <w:r w:rsidRPr="00517B8D">
              <w:rPr>
                <w:i/>
                <w:color w:val="auto"/>
              </w:rPr>
              <w:t>2004</w:t>
            </w:r>
          </w:p>
        </w:tc>
        <w:tc>
          <w:tcPr>
            <w:tcW w:w="1849" w:type="dxa"/>
            <w:tcBorders>
              <w:top w:val="nil"/>
              <w:bottom w:val="nil"/>
              <w:right w:val="single" w:sz="8" w:space="0" w:color="4F81BD" w:themeColor="accent1"/>
            </w:tcBorders>
          </w:tcPr>
          <w:p w:rsidR="00380070" w:rsidRPr="00517B8D" w:rsidRDefault="00380070" w:rsidP="00D90875">
            <w:pPr>
              <w:cnfStyle w:val="000000100000"/>
              <w:rPr>
                <w:i/>
                <w:color w:val="auto"/>
              </w:rPr>
            </w:pPr>
            <w:proofErr w:type="spellStart"/>
            <w:r w:rsidRPr="00517B8D">
              <w:rPr>
                <w:i/>
                <w:color w:val="auto"/>
              </w:rPr>
              <w:t>newEMU</w:t>
            </w:r>
            <w:proofErr w:type="spellEnd"/>
          </w:p>
        </w:tc>
        <w:tc>
          <w:tcPr>
            <w:tcW w:w="1848" w:type="dxa"/>
            <w:tcBorders>
              <w:left w:val="single" w:sz="8" w:space="0" w:color="4F81BD" w:themeColor="accent1"/>
            </w:tcBorders>
          </w:tcPr>
          <w:p w:rsidR="00380070" w:rsidRPr="00517B8D" w:rsidRDefault="00380070" w:rsidP="00D90875">
            <w:pPr>
              <w:cnfStyle w:val="000000100000"/>
              <w:rPr>
                <w:i/>
                <w:color w:val="auto"/>
              </w:rPr>
            </w:pPr>
            <w:r w:rsidRPr="00517B8D">
              <w:rPr>
                <w:i/>
                <w:color w:val="auto"/>
              </w:rPr>
              <w:t>2004</w:t>
            </w:r>
          </w:p>
        </w:tc>
        <w:tc>
          <w:tcPr>
            <w:tcW w:w="1849" w:type="dxa"/>
          </w:tcPr>
          <w:p w:rsidR="00380070" w:rsidRPr="00517B8D" w:rsidRDefault="00380070" w:rsidP="00D90875">
            <w:pPr>
              <w:cnfStyle w:val="000000100000"/>
              <w:rPr>
                <w:i/>
                <w:color w:val="auto"/>
              </w:rPr>
            </w:pPr>
            <w:proofErr w:type="spellStart"/>
            <w:r w:rsidRPr="00517B8D">
              <w:rPr>
                <w:i/>
                <w:color w:val="auto"/>
              </w:rPr>
              <w:t>newEMU</w:t>
            </w:r>
            <w:proofErr w:type="spellEnd"/>
          </w:p>
        </w:tc>
      </w:tr>
      <w:tr w:rsidR="00380070" w:rsidRPr="00517B8D" w:rsidTr="000367EC">
        <w:tc>
          <w:tcPr>
            <w:cnfStyle w:val="001000000000"/>
            <w:tcW w:w="1849" w:type="dxa"/>
            <w:vAlign w:val="center"/>
          </w:tcPr>
          <w:p w:rsidR="00380070" w:rsidRPr="00517B8D" w:rsidRDefault="00380070" w:rsidP="00D90875">
            <w:pPr>
              <w:rPr>
                <w:i/>
                <w:color w:val="auto"/>
                <w:u w:val="single"/>
              </w:rPr>
            </w:pPr>
            <w:r w:rsidRPr="00517B8D">
              <w:rPr>
                <w:i/>
                <w:color w:val="auto"/>
                <w:u w:val="single"/>
              </w:rPr>
              <w:t>Year:</w:t>
            </w:r>
          </w:p>
        </w:tc>
        <w:tc>
          <w:tcPr>
            <w:tcW w:w="1847" w:type="dxa"/>
          </w:tcPr>
          <w:p w:rsidR="00380070" w:rsidRPr="00517B8D" w:rsidRDefault="00380070" w:rsidP="00D90875">
            <w:pPr>
              <w:cnfStyle w:val="000000000000"/>
              <w:rPr>
                <w:rFonts w:ascii="Calibri" w:hAnsi="Calibri" w:cs="Calibri"/>
                <w:b/>
                <w:color w:val="auto"/>
              </w:rPr>
            </w:pPr>
          </w:p>
        </w:tc>
        <w:tc>
          <w:tcPr>
            <w:tcW w:w="1849" w:type="dxa"/>
            <w:tcBorders>
              <w:top w:val="nil"/>
              <w:bottom w:val="nil"/>
              <w:right w:val="single" w:sz="8" w:space="0" w:color="4F81BD" w:themeColor="accent1"/>
            </w:tcBorders>
          </w:tcPr>
          <w:p w:rsidR="00380070" w:rsidRPr="00517B8D" w:rsidRDefault="00380070" w:rsidP="00D90875">
            <w:pPr>
              <w:cnfStyle w:val="000000000000"/>
              <w:rPr>
                <w:rFonts w:ascii="Calibri" w:hAnsi="Calibri" w:cs="Calibri"/>
                <w:b/>
                <w:color w:val="auto"/>
              </w:rPr>
            </w:pPr>
          </w:p>
        </w:tc>
        <w:tc>
          <w:tcPr>
            <w:tcW w:w="1848" w:type="dxa"/>
            <w:tcBorders>
              <w:left w:val="single" w:sz="8" w:space="0" w:color="4F81BD" w:themeColor="accent1"/>
            </w:tcBorders>
          </w:tcPr>
          <w:p w:rsidR="00380070" w:rsidRPr="00517B8D" w:rsidRDefault="00380070" w:rsidP="00D90875">
            <w:pPr>
              <w:cnfStyle w:val="000000000000"/>
              <w:rPr>
                <w:rFonts w:ascii="Calibri" w:hAnsi="Calibri" w:cs="Calibri"/>
                <w:color w:val="auto"/>
                <w:sz w:val="20"/>
              </w:rPr>
            </w:pPr>
            <w:r w:rsidRPr="00517B8D">
              <w:rPr>
                <w:rFonts w:ascii="Calibri" w:hAnsi="Calibri" w:cs="Calibri"/>
                <w:color w:val="auto"/>
                <w:sz w:val="20"/>
              </w:rPr>
              <w:t>Excl. Cyprus</w:t>
            </w:r>
          </w:p>
        </w:tc>
        <w:tc>
          <w:tcPr>
            <w:tcW w:w="1849" w:type="dxa"/>
          </w:tcPr>
          <w:p w:rsidR="00380070" w:rsidRPr="00517B8D" w:rsidRDefault="00380070" w:rsidP="00D90875">
            <w:pPr>
              <w:cnfStyle w:val="000000000000"/>
              <w:rPr>
                <w:rFonts w:ascii="Calibri" w:hAnsi="Calibri" w:cs="Calibri"/>
                <w:color w:val="auto"/>
                <w:sz w:val="20"/>
              </w:rPr>
            </w:pPr>
            <w:r w:rsidRPr="00517B8D">
              <w:rPr>
                <w:rFonts w:ascii="Calibri" w:hAnsi="Calibri" w:cs="Calibri"/>
                <w:color w:val="auto"/>
                <w:sz w:val="20"/>
              </w:rPr>
              <w:t>Excl. Cyprus</w:t>
            </w:r>
          </w:p>
        </w:tc>
      </w:tr>
      <w:tr w:rsidR="00380070" w:rsidRPr="00517B8D" w:rsidTr="000367EC">
        <w:trPr>
          <w:cnfStyle w:val="000000100000"/>
        </w:trPr>
        <w:tc>
          <w:tcPr>
            <w:cnfStyle w:val="001000000000"/>
            <w:tcW w:w="1849" w:type="dxa"/>
            <w:vAlign w:val="center"/>
          </w:tcPr>
          <w:p w:rsidR="00380070" w:rsidRPr="00517B8D" w:rsidRDefault="00380070" w:rsidP="00D90875">
            <w:pPr>
              <w:rPr>
                <w:color w:val="auto"/>
              </w:rPr>
            </w:pPr>
            <w:r w:rsidRPr="00517B8D">
              <w:rPr>
                <w:color w:val="auto"/>
              </w:rPr>
              <w:t>2006</w:t>
            </w:r>
          </w:p>
        </w:tc>
        <w:tc>
          <w:tcPr>
            <w:tcW w:w="1847" w:type="dxa"/>
          </w:tcPr>
          <w:p w:rsidR="00380070" w:rsidRPr="00517B8D" w:rsidRDefault="007E1F5C" w:rsidP="00D90875">
            <w:pPr>
              <w:jc w:val="both"/>
              <w:cnfStyle w:val="000000100000"/>
              <w:rPr>
                <w:rFonts w:ascii="Calibri" w:hAnsi="Calibri" w:cs="Calibri"/>
                <w:b/>
                <w:color w:val="auto"/>
              </w:rPr>
            </w:pPr>
            <w:r w:rsidRPr="00517B8D">
              <w:rPr>
                <w:rFonts w:ascii="Calibri" w:hAnsi="Calibri" w:cs="Calibri"/>
                <w:b/>
                <w:color w:val="auto"/>
              </w:rPr>
              <w:t>0.085</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9" w:type="dxa"/>
            <w:tcBorders>
              <w:top w:val="nil"/>
              <w:bottom w:val="nil"/>
              <w:right w:val="single" w:sz="8" w:space="0" w:color="4F81BD" w:themeColor="accent1"/>
            </w:tcBorders>
          </w:tcPr>
          <w:p w:rsidR="00380070" w:rsidRPr="00517B8D" w:rsidRDefault="007E1F5C" w:rsidP="00D90875">
            <w:pPr>
              <w:jc w:val="both"/>
              <w:cnfStyle w:val="000000100000"/>
              <w:rPr>
                <w:rFonts w:ascii="Calibri" w:hAnsi="Calibri" w:cs="Calibri"/>
                <w:b/>
                <w:color w:val="auto"/>
              </w:rPr>
            </w:pPr>
            <w:r w:rsidRPr="00517B8D">
              <w:rPr>
                <w:rFonts w:ascii="Calibri" w:hAnsi="Calibri" w:cs="Calibri"/>
                <w:b/>
                <w:color w:val="auto"/>
              </w:rPr>
              <w:t>-0.028</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8" w:type="dxa"/>
            <w:tcBorders>
              <w:left w:val="single" w:sz="8" w:space="0" w:color="4F81BD" w:themeColor="accent1"/>
            </w:tcBorders>
          </w:tcPr>
          <w:p w:rsidR="00380070" w:rsidRPr="00517B8D" w:rsidRDefault="007E1F5C" w:rsidP="00D90875">
            <w:pPr>
              <w:jc w:val="both"/>
              <w:cnfStyle w:val="000000100000"/>
              <w:rPr>
                <w:rFonts w:ascii="Calibri" w:hAnsi="Calibri" w:cs="Calibri"/>
                <w:b/>
                <w:color w:val="auto"/>
              </w:rPr>
            </w:pPr>
            <w:r w:rsidRPr="00517B8D">
              <w:rPr>
                <w:rFonts w:ascii="Calibri" w:hAnsi="Calibri" w:cs="Calibri"/>
                <w:b/>
                <w:color w:val="auto"/>
              </w:rPr>
              <w:t>0.089</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9" w:type="dxa"/>
          </w:tcPr>
          <w:p w:rsidR="00380070" w:rsidRPr="00517B8D" w:rsidRDefault="0049060F" w:rsidP="00D90875">
            <w:pPr>
              <w:jc w:val="both"/>
              <w:cnfStyle w:val="000000100000"/>
              <w:rPr>
                <w:rFonts w:ascii="Calibri" w:hAnsi="Calibri" w:cs="Calibri"/>
                <w:b/>
                <w:color w:val="auto"/>
              </w:rPr>
            </w:pPr>
            <w:r w:rsidRPr="00517B8D">
              <w:rPr>
                <w:rFonts w:ascii="Calibri" w:hAnsi="Calibri" w:cs="Calibri"/>
                <w:b/>
                <w:color w:val="auto"/>
              </w:rPr>
              <w:t>0.003</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w:t>
            </w:r>
            <w:r w:rsidR="0049060F" w:rsidRPr="00517B8D">
              <w:rPr>
                <w:rFonts w:ascii="Calibri" w:hAnsi="Calibri" w:cs="Calibri"/>
                <w:i/>
                <w:color w:val="auto"/>
                <w:sz w:val="16"/>
                <w:szCs w:val="16"/>
              </w:rPr>
              <w:t>726)</w:t>
            </w:r>
          </w:p>
        </w:tc>
      </w:tr>
      <w:tr w:rsidR="00380070" w:rsidRPr="00517B8D" w:rsidTr="000367EC">
        <w:tc>
          <w:tcPr>
            <w:cnfStyle w:val="001000000000"/>
            <w:tcW w:w="1849" w:type="dxa"/>
            <w:vAlign w:val="center"/>
          </w:tcPr>
          <w:p w:rsidR="00380070" w:rsidRPr="00517B8D" w:rsidRDefault="00380070" w:rsidP="00D90875">
            <w:pPr>
              <w:rPr>
                <w:color w:val="auto"/>
              </w:rPr>
            </w:pPr>
            <w:r w:rsidRPr="00517B8D">
              <w:rPr>
                <w:color w:val="auto"/>
              </w:rPr>
              <w:t>2007</w:t>
            </w:r>
          </w:p>
        </w:tc>
        <w:tc>
          <w:tcPr>
            <w:tcW w:w="1847" w:type="dxa"/>
          </w:tcPr>
          <w:p w:rsidR="00380070" w:rsidRPr="00517B8D" w:rsidRDefault="007E1F5C" w:rsidP="00D90875">
            <w:pPr>
              <w:jc w:val="both"/>
              <w:cnfStyle w:val="000000000000"/>
              <w:rPr>
                <w:rFonts w:ascii="Calibri" w:hAnsi="Calibri" w:cs="Calibri"/>
                <w:b/>
                <w:color w:val="auto"/>
              </w:rPr>
            </w:pPr>
            <w:r w:rsidRPr="00517B8D">
              <w:rPr>
                <w:rFonts w:ascii="Calibri" w:hAnsi="Calibri" w:cs="Calibri"/>
                <w:b/>
                <w:color w:val="auto"/>
              </w:rPr>
              <w:t>0.079</w:t>
            </w:r>
          </w:p>
          <w:p w:rsidR="00380070" w:rsidRPr="00517B8D" w:rsidRDefault="00380070" w:rsidP="00D90875">
            <w:pPr>
              <w:jc w:val="both"/>
              <w:cnfStyle w:val="000000000000"/>
              <w:rPr>
                <w:b/>
                <w:color w:val="auto"/>
              </w:rPr>
            </w:pPr>
            <w:r w:rsidRPr="00517B8D">
              <w:rPr>
                <w:rFonts w:ascii="Calibri" w:hAnsi="Calibri" w:cs="Calibri"/>
                <w:i/>
                <w:color w:val="auto"/>
                <w:sz w:val="16"/>
                <w:szCs w:val="16"/>
              </w:rPr>
              <w:t>(0.000)***</w:t>
            </w:r>
          </w:p>
        </w:tc>
        <w:tc>
          <w:tcPr>
            <w:tcW w:w="1849" w:type="dxa"/>
            <w:tcBorders>
              <w:top w:val="nil"/>
              <w:bottom w:val="nil"/>
              <w:right w:val="single" w:sz="8" w:space="0" w:color="4F81BD" w:themeColor="accent1"/>
            </w:tcBorders>
          </w:tcPr>
          <w:p w:rsidR="007E1F5C" w:rsidRPr="00517B8D" w:rsidRDefault="007E1F5C" w:rsidP="00D90875">
            <w:pPr>
              <w:jc w:val="both"/>
              <w:cnfStyle w:val="000000000000"/>
              <w:rPr>
                <w:rFonts w:ascii="Calibri" w:hAnsi="Calibri" w:cs="Calibri"/>
                <w:b/>
                <w:color w:val="auto"/>
              </w:rPr>
            </w:pPr>
            <w:r w:rsidRPr="00517B8D">
              <w:rPr>
                <w:rFonts w:ascii="Calibri" w:hAnsi="Calibri" w:cs="Calibri"/>
                <w:b/>
                <w:color w:val="auto"/>
              </w:rPr>
              <w:t>-0.023</w:t>
            </w:r>
          </w:p>
          <w:p w:rsidR="00380070" w:rsidRPr="00517B8D" w:rsidRDefault="007E1F5C" w:rsidP="00D90875">
            <w:pPr>
              <w:jc w:val="both"/>
              <w:cnfStyle w:val="000000000000"/>
              <w:rPr>
                <w:b/>
                <w:color w:val="auto"/>
              </w:rPr>
            </w:pPr>
            <w:r w:rsidRPr="00517B8D">
              <w:rPr>
                <w:rFonts w:ascii="Calibri" w:hAnsi="Calibri" w:cs="Calibri"/>
                <w:i/>
                <w:color w:val="auto"/>
                <w:sz w:val="16"/>
                <w:szCs w:val="16"/>
              </w:rPr>
              <w:t>(0.005</w:t>
            </w:r>
            <w:r w:rsidR="00380070" w:rsidRPr="00517B8D">
              <w:rPr>
                <w:rFonts w:ascii="Calibri" w:hAnsi="Calibri" w:cs="Calibri"/>
                <w:i/>
                <w:color w:val="auto"/>
                <w:sz w:val="16"/>
                <w:szCs w:val="16"/>
              </w:rPr>
              <w:t>)***</w:t>
            </w:r>
          </w:p>
        </w:tc>
        <w:tc>
          <w:tcPr>
            <w:tcW w:w="1848" w:type="dxa"/>
            <w:tcBorders>
              <w:left w:val="single" w:sz="8" w:space="0" w:color="4F81BD" w:themeColor="accent1"/>
            </w:tcBorders>
          </w:tcPr>
          <w:p w:rsidR="00380070" w:rsidRPr="00517B8D" w:rsidRDefault="00380070" w:rsidP="00D90875">
            <w:pPr>
              <w:jc w:val="both"/>
              <w:cnfStyle w:val="000000000000"/>
              <w:rPr>
                <w:rFonts w:ascii="Calibri" w:hAnsi="Calibri" w:cs="Calibri"/>
                <w:b/>
                <w:color w:val="auto"/>
              </w:rPr>
            </w:pPr>
            <w:r w:rsidRPr="00517B8D">
              <w:rPr>
                <w:rFonts w:ascii="Calibri" w:hAnsi="Calibri" w:cs="Calibri"/>
                <w:b/>
                <w:color w:val="auto"/>
              </w:rPr>
              <w:t>0.</w:t>
            </w:r>
            <w:r w:rsidR="0049060F" w:rsidRPr="00517B8D">
              <w:rPr>
                <w:rFonts w:ascii="Calibri" w:hAnsi="Calibri" w:cs="Calibri"/>
                <w:b/>
                <w:color w:val="auto"/>
              </w:rPr>
              <w:t>083</w:t>
            </w:r>
          </w:p>
          <w:p w:rsidR="00380070" w:rsidRPr="00517B8D" w:rsidRDefault="00380070" w:rsidP="00D90875">
            <w:pPr>
              <w:jc w:val="both"/>
              <w:cnfStyle w:val="000000000000"/>
              <w:rPr>
                <w:b/>
                <w:color w:val="auto"/>
              </w:rPr>
            </w:pPr>
            <w:r w:rsidRPr="00517B8D">
              <w:rPr>
                <w:rFonts w:ascii="Calibri" w:hAnsi="Calibri" w:cs="Calibri"/>
                <w:i/>
                <w:color w:val="auto"/>
                <w:sz w:val="16"/>
                <w:szCs w:val="16"/>
              </w:rPr>
              <w:t>(0.000)***</w:t>
            </w:r>
          </w:p>
        </w:tc>
        <w:tc>
          <w:tcPr>
            <w:tcW w:w="1849" w:type="dxa"/>
          </w:tcPr>
          <w:p w:rsidR="00380070" w:rsidRPr="00517B8D" w:rsidRDefault="00380070" w:rsidP="00D90875">
            <w:pPr>
              <w:jc w:val="both"/>
              <w:cnfStyle w:val="000000000000"/>
              <w:rPr>
                <w:rFonts w:ascii="Calibri" w:hAnsi="Calibri" w:cs="Calibri"/>
                <w:b/>
                <w:color w:val="auto"/>
              </w:rPr>
            </w:pPr>
            <w:r w:rsidRPr="00517B8D">
              <w:rPr>
                <w:rFonts w:ascii="Calibri" w:hAnsi="Calibri" w:cs="Calibri"/>
                <w:b/>
                <w:color w:val="auto"/>
              </w:rPr>
              <w:t>0.0</w:t>
            </w:r>
            <w:r w:rsidR="0049060F" w:rsidRPr="00517B8D">
              <w:rPr>
                <w:rFonts w:ascii="Calibri" w:hAnsi="Calibri" w:cs="Calibri"/>
                <w:b/>
                <w:color w:val="auto"/>
              </w:rPr>
              <w:t>08</w:t>
            </w:r>
          </w:p>
          <w:p w:rsidR="00380070" w:rsidRPr="00517B8D" w:rsidRDefault="00380070" w:rsidP="0049060F">
            <w:pPr>
              <w:jc w:val="both"/>
              <w:cnfStyle w:val="000000000000"/>
              <w:rPr>
                <w:b/>
                <w:color w:val="auto"/>
              </w:rPr>
            </w:pPr>
            <w:r w:rsidRPr="00517B8D">
              <w:rPr>
                <w:rFonts w:ascii="Calibri" w:hAnsi="Calibri" w:cs="Calibri"/>
                <w:i/>
                <w:color w:val="auto"/>
                <w:sz w:val="16"/>
                <w:szCs w:val="16"/>
              </w:rPr>
              <w:t>(0.</w:t>
            </w:r>
            <w:r w:rsidR="0049060F" w:rsidRPr="00517B8D">
              <w:rPr>
                <w:rFonts w:ascii="Calibri" w:hAnsi="Calibri" w:cs="Calibri"/>
                <w:i/>
                <w:color w:val="auto"/>
                <w:sz w:val="16"/>
                <w:szCs w:val="16"/>
              </w:rPr>
              <w:t>382)</w:t>
            </w:r>
          </w:p>
        </w:tc>
      </w:tr>
      <w:tr w:rsidR="00380070" w:rsidRPr="00517B8D" w:rsidTr="000367EC">
        <w:trPr>
          <w:cnfStyle w:val="000000100000"/>
        </w:trPr>
        <w:tc>
          <w:tcPr>
            <w:cnfStyle w:val="001000000000"/>
            <w:tcW w:w="1849" w:type="dxa"/>
            <w:vAlign w:val="center"/>
          </w:tcPr>
          <w:p w:rsidR="00380070" w:rsidRPr="00517B8D" w:rsidRDefault="00380070" w:rsidP="00D90875">
            <w:pPr>
              <w:rPr>
                <w:color w:val="auto"/>
              </w:rPr>
            </w:pPr>
            <w:r w:rsidRPr="00517B8D">
              <w:rPr>
                <w:color w:val="auto"/>
              </w:rPr>
              <w:t>2008</w:t>
            </w:r>
          </w:p>
        </w:tc>
        <w:tc>
          <w:tcPr>
            <w:tcW w:w="1847" w:type="dxa"/>
          </w:tcPr>
          <w:p w:rsidR="00380070" w:rsidRPr="00517B8D" w:rsidRDefault="007E1F5C" w:rsidP="00D90875">
            <w:pPr>
              <w:jc w:val="both"/>
              <w:cnfStyle w:val="000000100000"/>
              <w:rPr>
                <w:rFonts w:ascii="Calibri" w:hAnsi="Calibri" w:cs="Calibri"/>
                <w:b/>
                <w:color w:val="auto"/>
              </w:rPr>
            </w:pPr>
            <w:r w:rsidRPr="00517B8D">
              <w:rPr>
                <w:rFonts w:ascii="Calibri" w:hAnsi="Calibri" w:cs="Calibri"/>
                <w:b/>
                <w:color w:val="auto"/>
              </w:rPr>
              <w:t>0.079</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9" w:type="dxa"/>
            <w:tcBorders>
              <w:top w:val="nil"/>
              <w:bottom w:val="nil"/>
              <w:right w:val="single" w:sz="8" w:space="0" w:color="4F81BD" w:themeColor="accent1"/>
            </w:tcBorders>
          </w:tcPr>
          <w:p w:rsidR="00380070" w:rsidRPr="00517B8D" w:rsidRDefault="007E1F5C" w:rsidP="00D90875">
            <w:pPr>
              <w:jc w:val="both"/>
              <w:cnfStyle w:val="000000100000"/>
              <w:rPr>
                <w:rFonts w:ascii="Calibri" w:hAnsi="Calibri" w:cs="Calibri"/>
                <w:b/>
                <w:color w:val="auto"/>
              </w:rPr>
            </w:pPr>
            <w:r w:rsidRPr="00517B8D">
              <w:rPr>
                <w:rFonts w:ascii="Calibri" w:hAnsi="Calibri" w:cs="Calibri"/>
                <w:b/>
                <w:color w:val="auto"/>
              </w:rPr>
              <w:t>-0.032</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8" w:type="dxa"/>
            <w:tcBorders>
              <w:left w:val="single" w:sz="8" w:space="0" w:color="4F81BD" w:themeColor="accent1"/>
            </w:tcBorders>
          </w:tcPr>
          <w:p w:rsidR="00380070" w:rsidRPr="00517B8D" w:rsidRDefault="0049060F" w:rsidP="00D90875">
            <w:pPr>
              <w:jc w:val="both"/>
              <w:cnfStyle w:val="000000100000"/>
              <w:rPr>
                <w:rFonts w:ascii="Calibri" w:hAnsi="Calibri" w:cs="Calibri"/>
                <w:b/>
                <w:color w:val="auto"/>
              </w:rPr>
            </w:pPr>
            <w:r w:rsidRPr="00517B8D">
              <w:rPr>
                <w:rFonts w:ascii="Calibri" w:hAnsi="Calibri" w:cs="Calibri"/>
                <w:b/>
                <w:color w:val="auto"/>
              </w:rPr>
              <w:t>0.085</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(0.000)***</w:t>
            </w:r>
          </w:p>
        </w:tc>
        <w:tc>
          <w:tcPr>
            <w:tcW w:w="1849" w:type="dxa"/>
          </w:tcPr>
          <w:p w:rsidR="00380070" w:rsidRPr="00517B8D" w:rsidRDefault="0049060F" w:rsidP="00D90875">
            <w:pPr>
              <w:jc w:val="both"/>
              <w:cnfStyle w:val="000000100000"/>
              <w:rPr>
                <w:rFonts w:ascii="Calibri" w:hAnsi="Calibri" w:cs="Calibri"/>
                <w:b/>
                <w:color w:val="auto"/>
              </w:rPr>
            </w:pPr>
            <w:r w:rsidRPr="00517B8D">
              <w:rPr>
                <w:rFonts w:ascii="Calibri" w:hAnsi="Calibri" w:cs="Calibri"/>
                <w:b/>
                <w:color w:val="auto"/>
              </w:rPr>
              <w:t>-0.004</w:t>
            </w:r>
          </w:p>
          <w:p w:rsidR="00380070" w:rsidRPr="00517B8D" w:rsidRDefault="00380070" w:rsidP="00D90875">
            <w:pPr>
              <w:jc w:val="both"/>
              <w:cnfStyle w:val="000000100000"/>
              <w:rPr>
                <w:b/>
                <w:color w:val="auto"/>
              </w:rPr>
            </w:pPr>
            <w:r w:rsidRPr="00517B8D">
              <w:rPr>
                <w:rFonts w:ascii="Calibri" w:hAnsi="Calibri" w:cs="Calibri"/>
                <w:i/>
                <w:color w:val="auto"/>
                <w:sz w:val="16"/>
                <w:szCs w:val="16"/>
              </w:rPr>
              <w:t>(0.</w:t>
            </w:r>
            <w:r w:rsidR="0049060F" w:rsidRPr="00517B8D">
              <w:rPr>
                <w:rFonts w:ascii="Calibri" w:hAnsi="Calibri" w:cs="Calibri"/>
                <w:i/>
                <w:color w:val="auto"/>
                <w:sz w:val="16"/>
                <w:szCs w:val="16"/>
              </w:rPr>
              <w:t>698</w:t>
            </w:r>
            <w:r w:rsidRPr="00517B8D">
              <w:rPr>
                <w:rFonts w:ascii="Calibri" w:hAnsi="Calibri" w:cs="Calibri"/>
                <w:i/>
                <w:color w:val="auto"/>
                <w:sz w:val="16"/>
                <w:szCs w:val="16"/>
              </w:rPr>
              <w:t>)</w:t>
            </w:r>
          </w:p>
        </w:tc>
      </w:tr>
      <w:tr w:rsidR="00380070" w:rsidRPr="00517B8D" w:rsidTr="000367EC">
        <w:tc>
          <w:tcPr>
            <w:cnfStyle w:val="001000000000"/>
            <w:tcW w:w="1849" w:type="dxa"/>
            <w:vAlign w:val="center"/>
          </w:tcPr>
          <w:p w:rsidR="00380070" w:rsidRPr="00517B8D" w:rsidRDefault="00380070" w:rsidP="00D90875">
            <w:pPr>
              <w:rPr>
                <w:color w:val="auto"/>
              </w:rPr>
            </w:pPr>
            <w:r w:rsidRPr="00517B8D">
              <w:rPr>
                <w:color w:val="auto"/>
              </w:rPr>
              <w:t>2009</w:t>
            </w:r>
          </w:p>
        </w:tc>
        <w:tc>
          <w:tcPr>
            <w:tcW w:w="1847" w:type="dxa"/>
          </w:tcPr>
          <w:p w:rsidR="00380070" w:rsidRPr="00517B8D" w:rsidRDefault="007E1F5C" w:rsidP="00D90875">
            <w:pPr>
              <w:jc w:val="both"/>
              <w:cnfStyle w:val="000000000000"/>
              <w:rPr>
                <w:rFonts w:ascii="Calibri" w:hAnsi="Calibri" w:cs="Calibri"/>
                <w:b/>
                <w:color w:val="auto"/>
              </w:rPr>
            </w:pPr>
            <w:r w:rsidRPr="00517B8D">
              <w:rPr>
                <w:rFonts w:ascii="Calibri" w:hAnsi="Calibri" w:cs="Calibri"/>
                <w:b/>
                <w:color w:val="auto"/>
              </w:rPr>
              <w:t>0.090</w:t>
            </w:r>
          </w:p>
          <w:p w:rsidR="00380070" w:rsidRPr="00517B8D" w:rsidRDefault="00380070" w:rsidP="00D90875">
            <w:pPr>
              <w:jc w:val="both"/>
              <w:cnfStyle w:val="000000000000"/>
              <w:rPr>
                <w:b/>
                <w:color w:val="auto"/>
              </w:rPr>
            </w:pPr>
            <w:r w:rsidRPr="00517B8D">
              <w:rPr>
                <w:rFonts w:ascii="Calibri" w:hAnsi="Calibri" w:cs="Calibri"/>
                <w:i/>
                <w:color w:val="auto"/>
                <w:sz w:val="16"/>
                <w:szCs w:val="16"/>
              </w:rPr>
              <w:t>(0.000)***</w:t>
            </w:r>
          </w:p>
        </w:tc>
        <w:tc>
          <w:tcPr>
            <w:tcW w:w="1849" w:type="dxa"/>
            <w:tcBorders>
              <w:top w:val="nil"/>
              <w:bottom w:val="single" w:sz="8" w:space="0" w:color="4F81BD" w:themeColor="accent1"/>
              <w:right w:val="single" w:sz="8" w:space="0" w:color="4F81BD" w:themeColor="accent1"/>
            </w:tcBorders>
          </w:tcPr>
          <w:p w:rsidR="00380070" w:rsidRPr="00517B8D" w:rsidRDefault="007E1F5C" w:rsidP="00D90875">
            <w:pPr>
              <w:jc w:val="both"/>
              <w:cnfStyle w:val="000000000000"/>
              <w:rPr>
                <w:rFonts w:ascii="Calibri" w:hAnsi="Calibri" w:cs="Calibri"/>
                <w:b/>
                <w:color w:val="auto"/>
              </w:rPr>
            </w:pPr>
            <w:r w:rsidRPr="00517B8D">
              <w:rPr>
                <w:rFonts w:ascii="Calibri" w:hAnsi="Calibri" w:cs="Calibri"/>
                <w:b/>
                <w:color w:val="auto"/>
              </w:rPr>
              <w:t>-0.035</w:t>
            </w:r>
          </w:p>
          <w:p w:rsidR="00380070" w:rsidRPr="00517B8D" w:rsidRDefault="00380070" w:rsidP="00D90875">
            <w:pPr>
              <w:jc w:val="both"/>
              <w:cnfStyle w:val="000000000000"/>
              <w:rPr>
                <w:b/>
                <w:color w:val="auto"/>
              </w:rPr>
            </w:pPr>
            <w:r w:rsidRPr="00517B8D">
              <w:rPr>
                <w:rFonts w:ascii="Calibri" w:hAnsi="Calibri" w:cs="Calibri"/>
                <w:i/>
                <w:color w:val="auto"/>
                <w:sz w:val="16"/>
                <w:szCs w:val="16"/>
              </w:rPr>
              <w:t>(0.000)***</w:t>
            </w:r>
          </w:p>
        </w:tc>
        <w:tc>
          <w:tcPr>
            <w:tcW w:w="1848" w:type="dxa"/>
            <w:tcBorders>
              <w:left w:val="single" w:sz="8" w:space="0" w:color="4F81BD" w:themeColor="accent1"/>
            </w:tcBorders>
          </w:tcPr>
          <w:p w:rsidR="00380070" w:rsidRPr="00517B8D" w:rsidRDefault="00380070" w:rsidP="00D90875">
            <w:pPr>
              <w:jc w:val="both"/>
              <w:cnfStyle w:val="000000000000"/>
              <w:rPr>
                <w:rFonts w:ascii="Calibri" w:hAnsi="Calibri" w:cs="Calibri"/>
                <w:b/>
                <w:color w:val="auto"/>
              </w:rPr>
            </w:pPr>
            <w:r w:rsidRPr="00517B8D">
              <w:rPr>
                <w:rFonts w:ascii="Calibri" w:hAnsi="Calibri" w:cs="Calibri"/>
                <w:b/>
                <w:color w:val="auto"/>
              </w:rPr>
              <w:t>0.</w:t>
            </w:r>
            <w:r w:rsidR="0049060F" w:rsidRPr="00517B8D">
              <w:rPr>
                <w:rFonts w:ascii="Calibri" w:hAnsi="Calibri" w:cs="Calibri"/>
                <w:b/>
                <w:color w:val="auto"/>
              </w:rPr>
              <w:t>097</w:t>
            </w:r>
          </w:p>
          <w:p w:rsidR="00380070" w:rsidRPr="00517B8D" w:rsidRDefault="00380070" w:rsidP="00D90875">
            <w:pPr>
              <w:jc w:val="both"/>
              <w:cnfStyle w:val="000000000000"/>
              <w:rPr>
                <w:b/>
                <w:color w:val="auto"/>
              </w:rPr>
            </w:pPr>
            <w:r w:rsidRPr="00517B8D">
              <w:rPr>
                <w:rFonts w:ascii="Calibri" w:hAnsi="Calibri" w:cs="Calibri"/>
                <w:i/>
                <w:color w:val="auto"/>
                <w:sz w:val="16"/>
                <w:szCs w:val="16"/>
              </w:rPr>
              <w:t>(0.000)***</w:t>
            </w:r>
          </w:p>
        </w:tc>
        <w:tc>
          <w:tcPr>
            <w:tcW w:w="1849" w:type="dxa"/>
          </w:tcPr>
          <w:p w:rsidR="00380070" w:rsidRPr="00517B8D" w:rsidRDefault="0049060F" w:rsidP="00D90875">
            <w:pPr>
              <w:jc w:val="both"/>
              <w:cnfStyle w:val="000000000000"/>
              <w:rPr>
                <w:rFonts w:ascii="Calibri" w:hAnsi="Calibri" w:cs="Calibri"/>
                <w:b/>
                <w:color w:val="auto"/>
              </w:rPr>
            </w:pPr>
            <w:r w:rsidRPr="00517B8D">
              <w:rPr>
                <w:rFonts w:ascii="Calibri" w:hAnsi="Calibri" w:cs="Calibri"/>
                <w:b/>
                <w:color w:val="auto"/>
              </w:rPr>
              <w:t>-</w:t>
            </w:r>
            <w:r w:rsidR="00380070" w:rsidRPr="00517B8D">
              <w:rPr>
                <w:rFonts w:ascii="Calibri" w:hAnsi="Calibri" w:cs="Calibri"/>
                <w:b/>
                <w:color w:val="auto"/>
              </w:rPr>
              <w:t>0.0</w:t>
            </w:r>
            <w:r w:rsidRPr="00517B8D">
              <w:rPr>
                <w:rFonts w:ascii="Calibri" w:hAnsi="Calibri" w:cs="Calibri"/>
                <w:b/>
                <w:color w:val="auto"/>
              </w:rPr>
              <w:t>0</w:t>
            </w:r>
            <w:r w:rsidR="00380070" w:rsidRPr="00517B8D">
              <w:rPr>
                <w:rFonts w:ascii="Calibri" w:hAnsi="Calibri" w:cs="Calibri"/>
                <w:b/>
                <w:color w:val="auto"/>
              </w:rPr>
              <w:t>5</w:t>
            </w:r>
          </w:p>
          <w:p w:rsidR="00380070" w:rsidRPr="00517B8D" w:rsidRDefault="00380070" w:rsidP="0044786B">
            <w:pPr>
              <w:keepNext/>
              <w:jc w:val="both"/>
              <w:cnfStyle w:val="000000000000"/>
              <w:rPr>
                <w:b/>
                <w:color w:val="auto"/>
              </w:rPr>
            </w:pPr>
            <w:r w:rsidRPr="00517B8D">
              <w:rPr>
                <w:rFonts w:ascii="Calibri" w:hAnsi="Calibri" w:cs="Calibri"/>
                <w:i/>
                <w:color w:val="auto"/>
                <w:sz w:val="16"/>
                <w:szCs w:val="16"/>
              </w:rPr>
              <w:t>(0.</w:t>
            </w:r>
            <w:r w:rsidR="0049060F" w:rsidRPr="00517B8D">
              <w:rPr>
                <w:rFonts w:ascii="Calibri" w:hAnsi="Calibri" w:cs="Calibri"/>
                <w:i/>
                <w:color w:val="auto"/>
                <w:sz w:val="16"/>
                <w:szCs w:val="16"/>
              </w:rPr>
              <w:t>605)</w:t>
            </w:r>
          </w:p>
        </w:tc>
      </w:tr>
    </w:tbl>
    <w:p w:rsidR="00F73078" w:rsidRPr="0044786B" w:rsidRDefault="00831AF7" w:rsidP="00831AF7">
      <w:pPr>
        <w:pStyle w:val="Caption"/>
        <w:jc w:val="both"/>
        <w:rPr>
          <w:color w:val="auto"/>
        </w:rPr>
      </w:pPr>
      <w:r>
        <w:rPr>
          <w:color w:val="auto"/>
        </w:rPr>
        <w:t>N</w:t>
      </w:r>
      <w:r w:rsidR="0044786B" w:rsidRPr="0044786B">
        <w:rPr>
          <w:color w:val="auto"/>
        </w:rPr>
        <w:t xml:space="preserve">otes: </w:t>
      </w:r>
      <w:r>
        <w:rPr>
          <w:color w:val="auto"/>
        </w:rPr>
        <w:t>The table displays the results of testing</w:t>
      </w:r>
      <w:r w:rsidR="00AD79EE">
        <w:rPr>
          <w:color w:val="auto"/>
        </w:rPr>
        <w:t xml:space="preserve"> for</w:t>
      </w:r>
      <w:r>
        <w:rPr>
          <w:color w:val="auto"/>
        </w:rPr>
        <w:t xml:space="preserve"> trade effects </w:t>
      </w:r>
      <w:r w:rsidR="00AD79EE">
        <w:rPr>
          <w:color w:val="auto"/>
        </w:rPr>
        <w:t>of</w:t>
      </w:r>
      <w:r>
        <w:rPr>
          <w:color w:val="auto"/>
        </w:rPr>
        <w:t xml:space="preserve"> assuming different years of simultaneous Euro adoption by the new EMU members. The second column displays the trade effects of the average 2004 EU entrants since the assumed year of Euro adoption for the new EMU members. The third column displays how the average trade effects of the new EMU members relate to the average of the 2004 EU entrants. The fourth and fifth column, respectively, do the same while excluding Cyprus.</w:t>
      </w:r>
    </w:p>
    <w:p w:rsidR="003B1B98" w:rsidRPr="00FE33D6" w:rsidRDefault="003B1B98" w:rsidP="003B1B98">
      <w:pPr>
        <w:spacing w:line="360" w:lineRule="auto"/>
        <w:jc w:val="both"/>
      </w:pPr>
      <w:r>
        <w:t xml:space="preserve">In table 8-6 the Country Pair Fixed Effect model, testing hypothesis 4, for different years of Euro adoption is displayed. The second and third columns present the results of testing the original sample. The fourth and fifth column display the results where Cyprus is excluded from both the benchmark group and the </w:t>
      </w:r>
      <w:proofErr w:type="spellStart"/>
      <w:r>
        <w:t>newEMU</w:t>
      </w:r>
      <w:proofErr w:type="spellEnd"/>
      <w:r>
        <w:t xml:space="preserve"> group, for reasons discussed in the section 8.2. </w:t>
      </w:r>
    </w:p>
    <w:p w:rsidR="00C40BB8" w:rsidRDefault="00C40BB8" w:rsidP="00C40BB8">
      <w:pPr>
        <w:spacing w:line="360" w:lineRule="auto"/>
        <w:jc w:val="both"/>
      </w:pPr>
      <w:r>
        <w:t xml:space="preserve">As can be seen in the table for the original sample, for all of the different years of Euro adoption the </w:t>
      </w:r>
      <w:proofErr w:type="spellStart"/>
      <w:r>
        <w:t>newEMU</w:t>
      </w:r>
      <w:proofErr w:type="spellEnd"/>
      <w:r>
        <w:t xml:space="preserve"> group witnesses a smaller increase in trade compared to the benchmark group.</w:t>
      </w:r>
      <w:r w:rsidR="00644000">
        <w:t xml:space="preserve"> When assuming Euro adoption in 2007, it can be seen that in this year the </w:t>
      </w:r>
      <w:proofErr w:type="spellStart"/>
      <w:r w:rsidR="00644000">
        <w:t>newEMU</w:t>
      </w:r>
      <w:proofErr w:type="spellEnd"/>
      <w:r w:rsidR="00644000">
        <w:t xml:space="preserve"> group displays the smallest deviating in growth in trade with the benchmark group (-2.3% compared to -3.5% in 2009). For the </w:t>
      </w:r>
      <w:r w:rsidR="00685856">
        <w:t>sample where Cyprus is excluded</w:t>
      </w:r>
      <w:r w:rsidR="00644000">
        <w:t xml:space="preserve"> no evidence is found that the </w:t>
      </w:r>
      <w:proofErr w:type="spellStart"/>
      <w:r w:rsidR="00644000">
        <w:t>newEMU</w:t>
      </w:r>
      <w:proofErr w:type="spellEnd"/>
      <w:r w:rsidR="00644000">
        <w:t xml:space="preserve"> group has witnessed </w:t>
      </w:r>
      <w:r w:rsidR="00685856">
        <w:t>significantly</w:t>
      </w:r>
      <w:r w:rsidR="00644000">
        <w:t xml:space="preserve"> </w:t>
      </w:r>
      <w:r w:rsidR="00685856">
        <w:t>more</w:t>
      </w:r>
      <w:r w:rsidR="00644000">
        <w:t xml:space="preserve"> trade compared to the average of the benchmark group</w:t>
      </w:r>
      <w:r w:rsidR="003A635C" w:rsidRPr="003A635C">
        <w:t xml:space="preserve"> </w:t>
      </w:r>
      <w:r w:rsidR="003A635C">
        <w:t>in any of the years</w:t>
      </w:r>
      <w:r w:rsidR="00644000">
        <w:t xml:space="preserve">. </w:t>
      </w:r>
    </w:p>
    <w:p w:rsidR="00517B8D" w:rsidRDefault="00CA6F01" w:rsidP="00C40BB8">
      <w:pPr>
        <w:spacing w:line="360" w:lineRule="auto"/>
        <w:jc w:val="both"/>
      </w:pPr>
      <w:r>
        <w:t>In table 8-7</w:t>
      </w:r>
      <w:r w:rsidR="00517B8D">
        <w:t xml:space="preserve"> the results are displayed of testing hypotheses 5 and 6 for different years of Euro adoption on the original sample. Recall that whereas hypothesis 4 inquired into the total average trade effects of Euro adoption by the </w:t>
      </w:r>
      <w:proofErr w:type="spellStart"/>
      <w:r w:rsidR="00517B8D">
        <w:t>newEMU</w:t>
      </w:r>
      <w:proofErr w:type="spellEnd"/>
      <w:r w:rsidR="00517B8D">
        <w:t xml:space="preserve"> group, hypotheses 5 and 6 inquired into trade effects with the</w:t>
      </w:r>
      <w:r w:rsidR="000738D0">
        <w:t xml:space="preserve"> specific trading partner groups; EMU members and the rest of the world. Looking at the results on trade between the 2004 benchmark group and EMU members and the rest of the world, only minor changes in trade patterns are witnessed when the year of Euro adoption is changed. </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7</w:t>
      </w:r>
      <w:r>
        <w:rPr>
          <w:color w:val="auto"/>
          <w:sz w:val="28"/>
        </w:rPr>
        <w:fldChar w:fldCharType="end"/>
      </w:r>
      <w:r w:rsidR="00FE33D6" w:rsidRPr="00FE33D6">
        <w:rPr>
          <w:color w:val="auto"/>
          <w:sz w:val="28"/>
        </w:rPr>
        <w:t xml:space="preserve"> Sensitivity Test of Coefficients in Hypotheses 5 &amp; 6</w:t>
      </w:r>
    </w:p>
    <w:tbl>
      <w:tblPr>
        <w:tblStyle w:val="Lichtearcering-accent11"/>
        <w:tblW w:w="0" w:type="auto"/>
        <w:tblLook w:val="04A0"/>
      </w:tblPr>
      <w:tblGrid>
        <w:gridCol w:w="1843"/>
        <w:gridCol w:w="1847"/>
        <w:gridCol w:w="1846"/>
        <w:gridCol w:w="1854"/>
        <w:gridCol w:w="1852"/>
      </w:tblGrid>
      <w:tr w:rsidR="00380070" w:rsidRPr="00517B8D" w:rsidTr="000367EC">
        <w:trPr>
          <w:cnfStyle w:val="100000000000"/>
        </w:trPr>
        <w:tc>
          <w:tcPr>
            <w:cnfStyle w:val="001000000000"/>
            <w:tcW w:w="7390" w:type="dxa"/>
            <w:gridSpan w:val="4"/>
          </w:tcPr>
          <w:p w:rsidR="00380070" w:rsidRPr="00517B8D" w:rsidRDefault="00380070" w:rsidP="00D90875">
            <w:pPr>
              <w:rPr>
                <w:color w:val="auto"/>
              </w:rPr>
            </w:pPr>
            <w:r w:rsidRPr="00517B8D">
              <w:rPr>
                <w:color w:val="auto"/>
                <w:sz w:val="24"/>
              </w:rPr>
              <w:t>Coefficient Sensitivity Testing for different years of Euro adoption</w:t>
            </w:r>
          </w:p>
        </w:tc>
        <w:tc>
          <w:tcPr>
            <w:tcW w:w="1852" w:type="dxa"/>
          </w:tcPr>
          <w:p w:rsidR="00380070" w:rsidRPr="00517B8D" w:rsidRDefault="00380070" w:rsidP="00D90875">
            <w:pPr>
              <w:cnfStyle w:val="100000000000"/>
              <w:rPr>
                <w:color w:val="auto"/>
              </w:rPr>
            </w:pPr>
          </w:p>
        </w:tc>
      </w:tr>
      <w:tr w:rsidR="00644000" w:rsidRPr="00517B8D" w:rsidTr="00517B8D">
        <w:trPr>
          <w:cnfStyle w:val="000000100000"/>
        </w:trPr>
        <w:tc>
          <w:tcPr>
            <w:cnfStyle w:val="001000000000"/>
            <w:tcW w:w="5536" w:type="dxa"/>
            <w:gridSpan w:val="3"/>
          </w:tcPr>
          <w:p w:rsidR="00644000" w:rsidRPr="00517B8D" w:rsidRDefault="00644000" w:rsidP="00517B8D">
            <w:pPr>
              <w:rPr>
                <w:b w:val="0"/>
                <w:color w:val="auto"/>
              </w:rPr>
            </w:pPr>
            <w:r w:rsidRPr="00517B8D">
              <w:rPr>
                <w:b w:val="0"/>
                <w:color w:val="auto"/>
              </w:rPr>
              <w:t>Country Pair Fixed Effect model with time fixed effects</w:t>
            </w:r>
          </w:p>
        </w:tc>
        <w:tc>
          <w:tcPr>
            <w:tcW w:w="1854" w:type="dxa"/>
          </w:tcPr>
          <w:p w:rsidR="00644000" w:rsidRPr="00517B8D" w:rsidRDefault="00644000" w:rsidP="00D90875">
            <w:pPr>
              <w:cnfStyle w:val="000000100000"/>
              <w:rPr>
                <w:color w:val="auto"/>
              </w:rPr>
            </w:pPr>
          </w:p>
        </w:tc>
        <w:tc>
          <w:tcPr>
            <w:tcW w:w="1852" w:type="dxa"/>
          </w:tcPr>
          <w:p w:rsidR="00644000" w:rsidRPr="00517B8D" w:rsidRDefault="00644000" w:rsidP="00D90875">
            <w:pPr>
              <w:cnfStyle w:val="000000100000"/>
              <w:rPr>
                <w:color w:val="auto"/>
              </w:rPr>
            </w:pPr>
          </w:p>
        </w:tc>
      </w:tr>
      <w:tr w:rsidR="00517B8D" w:rsidRPr="00517B8D" w:rsidTr="000367EC">
        <w:tc>
          <w:tcPr>
            <w:cnfStyle w:val="001000000000"/>
            <w:tcW w:w="1843" w:type="dxa"/>
            <w:vAlign w:val="center"/>
          </w:tcPr>
          <w:p w:rsidR="00517B8D" w:rsidRPr="00517B8D" w:rsidRDefault="00517B8D" w:rsidP="00D90875">
            <w:pPr>
              <w:rPr>
                <w:i/>
              </w:rPr>
            </w:pPr>
          </w:p>
        </w:tc>
        <w:tc>
          <w:tcPr>
            <w:tcW w:w="1847" w:type="dxa"/>
          </w:tcPr>
          <w:p w:rsidR="00517B8D" w:rsidRPr="00517B8D" w:rsidRDefault="00517B8D" w:rsidP="00D90875">
            <w:pPr>
              <w:cnfStyle w:val="000000000000"/>
            </w:pPr>
          </w:p>
        </w:tc>
        <w:tc>
          <w:tcPr>
            <w:tcW w:w="1846" w:type="dxa"/>
          </w:tcPr>
          <w:p w:rsidR="00517B8D" w:rsidRPr="00517B8D" w:rsidRDefault="00517B8D" w:rsidP="00D90875">
            <w:pPr>
              <w:cnfStyle w:val="000000000000"/>
            </w:pPr>
          </w:p>
        </w:tc>
        <w:tc>
          <w:tcPr>
            <w:tcW w:w="1854" w:type="dxa"/>
          </w:tcPr>
          <w:p w:rsidR="00517B8D" w:rsidRPr="00517B8D" w:rsidRDefault="00517B8D" w:rsidP="00D90875">
            <w:pPr>
              <w:cnfStyle w:val="000000000000"/>
            </w:pPr>
          </w:p>
        </w:tc>
        <w:tc>
          <w:tcPr>
            <w:tcW w:w="1852" w:type="dxa"/>
          </w:tcPr>
          <w:p w:rsidR="00517B8D" w:rsidRPr="00517B8D" w:rsidRDefault="00517B8D" w:rsidP="00D90875">
            <w:pPr>
              <w:cnfStyle w:val="000000000000"/>
            </w:pPr>
          </w:p>
        </w:tc>
      </w:tr>
      <w:tr w:rsidR="00644000" w:rsidRPr="00517B8D" w:rsidTr="000367EC">
        <w:trPr>
          <w:cnfStyle w:val="000000100000"/>
        </w:trPr>
        <w:tc>
          <w:tcPr>
            <w:cnfStyle w:val="001000000000"/>
            <w:tcW w:w="1843" w:type="dxa"/>
            <w:vAlign w:val="center"/>
          </w:tcPr>
          <w:p w:rsidR="00644000" w:rsidRPr="00517B8D" w:rsidRDefault="00644000" w:rsidP="00D90875">
            <w:pPr>
              <w:rPr>
                <w:i/>
                <w:color w:val="auto"/>
              </w:rPr>
            </w:pPr>
            <w:r w:rsidRPr="00517B8D">
              <w:rPr>
                <w:i/>
                <w:color w:val="auto"/>
              </w:rPr>
              <w:t>Variable:</w:t>
            </w:r>
          </w:p>
        </w:tc>
        <w:tc>
          <w:tcPr>
            <w:tcW w:w="1847" w:type="dxa"/>
          </w:tcPr>
          <w:p w:rsidR="00644000" w:rsidRPr="00517B8D" w:rsidRDefault="00644000" w:rsidP="00D90875">
            <w:pPr>
              <w:cnfStyle w:val="000000100000"/>
              <w:rPr>
                <w:i/>
                <w:color w:val="auto"/>
              </w:rPr>
            </w:pPr>
            <w:r w:rsidRPr="00517B8D">
              <w:rPr>
                <w:i/>
                <w:color w:val="auto"/>
              </w:rPr>
              <w:t>2004_EMU</w:t>
            </w:r>
          </w:p>
        </w:tc>
        <w:tc>
          <w:tcPr>
            <w:tcW w:w="1846" w:type="dxa"/>
          </w:tcPr>
          <w:p w:rsidR="00644000" w:rsidRPr="00517B8D" w:rsidRDefault="00644000" w:rsidP="00D90875">
            <w:pPr>
              <w:cnfStyle w:val="000000100000"/>
              <w:rPr>
                <w:i/>
                <w:color w:val="auto"/>
              </w:rPr>
            </w:pPr>
            <w:r w:rsidRPr="00517B8D">
              <w:rPr>
                <w:i/>
                <w:color w:val="auto"/>
              </w:rPr>
              <w:t>2004_RW</w:t>
            </w:r>
          </w:p>
        </w:tc>
        <w:tc>
          <w:tcPr>
            <w:tcW w:w="1854" w:type="dxa"/>
          </w:tcPr>
          <w:p w:rsidR="00644000" w:rsidRPr="00517B8D" w:rsidRDefault="00644000" w:rsidP="00D90875">
            <w:pPr>
              <w:cnfStyle w:val="000000100000"/>
              <w:rPr>
                <w:i/>
                <w:color w:val="auto"/>
              </w:rPr>
            </w:pPr>
            <w:proofErr w:type="spellStart"/>
            <w:r w:rsidRPr="00517B8D">
              <w:rPr>
                <w:i/>
                <w:color w:val="auto"/>
              </w:rPr>
              <w:t>newEMU_EMU</w:t>
            </w:r>
            <w:proofErr w:type="spellEnd"/>
          </w:p>
        </w:tc>
        <w:tc>
          <w:tcPr>
            <w:tcW w:w="1852" w:type="dxa"/>
          </w:tcPr>
          <w:p w:rsidR="00644000" w:rsidRPr="00517B8D" w:rsidRDefault="00644000" w:rsidP="00D90875">
            <w:pPr>
              <w:cnfStyle w:val="000000100000"/>
              <w:rPr>
                <w:i/>
                <w:color w:val="auto"/>
              </w:rPr>
            </w:pPr>
            <w:proofErr w:type="spellStart"/>
            <w:r w:rsidRPr="00517B8D">
              <w:rPr>
                <w:i/>
                <w:color w:val="auto"/>
              </w:rPr>
              <w:t>newEMU_RW</w:t>
            </w:r>
            <w:proofErr w:type="spellEnd"/>
          </w:p>
        </w:tc>
      </w:tr>
      <w:tr w:rsidR="00644000" w:rsidRPr="00517B8D" w:rsidTr="000367EC">
        <w:tc>
          <w:tcPr>
            <w:cnfStyle w:val="001000000000"/>
            <w:tcW w:w="1843" w:type="dxa"/>
            <w:vAlign w:val="center"/>
          </w:tcPr>
          <w:p w:rsidR="00644000" w:rsidRPr="00517B8D" w:rsidRDefault="00644000" w:rsidP="00D90875">
            <w:pPr>
              <w:rPr>
                <w:i/>
                <w:color w:val="auto"/>
                <w:u w:val="single"/>
              </w:rPr>
            </w:pPr>
            <w:r w:rsidRPr="00517B8D">
              <w:rPr>
                <w:i/>
                <w:color w:val="auto"/>
                <w:u w:val="single"/>
              </w:rPr>
              <w:t>Year:</w:t>
            </w:r>
          </w:p>
        </w:tc>
        <w:tc>
          <w:tcPr>
            <w:tcW w:w="1847" w:type="dxa"/>
          </w:tcPr>
          <w:p w:rsidR="00644000" w:rsidRPr="00517B8D" w:rsidRDefault="00644000" w:rsidP="00D90875">
            <w:pPr>
              <w:cnfStyle w:val="000000000000"/>
              <w:rPr>
                <w:rFonts w:ascii="Calibri" w:hAnsi="Calibri" w:cs="Calibri"/>
                <w:b/>
                <w:color w:val="auto"/>
              </w:rPr>
            </w:pPr>
          </w:p>
        </w:tc>
        <w:tc>
          <w:tcPr>
            <w:tcW w:w="1846" w:type="dxa"/>
          </w:tcPr>
          <w:p w:rsidR="00644000" w:rsidRPr="00517B8D" w:rsidRDefault="00644000" w:rsidP="00D90875">
            <w:pPr>
              <w:cnfStyle w:val="000000000000"/>
              <w:rPr>
                <w:rFonts w:ascii="Calibri" w:hAnsi="Calibri" w:cs="Calibri"/>
                <w:b/>
                <w:color w:val="auto"/>
              </w:rPr>
            </w:pPr>
          </w:p>
        </w:tc>
        <w:tc>
          <w:tcPr>
            <w:tcW w:w="1854" w:type="dxa"/>
          </w:tcPr>
          <w:p w:rsidR="00644000" w:rsidRPr="00517B8D" w:rsidRDefault="00644000" w:rsidP="00D90875">
            <w:pPr>
              <w:cnfStyle w:val="000000000000"/>
              <w:rPr>
                <w:rFonts w:ascii="Calibri" w:hAnsi="Calibri" w:cs="Calibri"/>
                <w:b/>
                <w:color w:val="auto"/>
              </w:rPr>
            </w:pPr>
          </w:p>
        </w:tc>
        <w:tc>
          <w:tcPr>
            <w:tcW w:w="1852" w:type="dxa"/>
          </w:tcPr>
          <w:p w:rsidR="00644000" w:rsidRPr="00517B8D" w:rsidRDefault="00644000" w:rsidP="00D90875">
            <w:pPr>
              <w:cnfStyle w:val="000000000000"/>
              <w:rPr>
                <w:rFonts w:ascii="Calibri" w:hAnsi="Calibri" w:cs="Calibri"/>
                <w:b/>
                <w:color w:val="auto"/>
              </w:rPr>
            </w:pPr>
          </w:p>
        </w:tc>
      </w:tr>
      <w:tr w:rsidR="00644000" w:rsidRPr="00517B8D" w:rsidTr="000367EC">
        <w:trPr>
          <w:cnfStyle w:val="000000100000"/>
        </w:trPr>
        <w:tc>
          <w:tcPr>
            <w:cnfStyle w:val="001000000000"/>
            <w:tcW w:w="1843" w:type="dxa"/>
            <w:vAlign w:val="center"/>
          </w:tcPr>
          <w:p w:rsidR="00644000" w:rsidRPr="00517B8D" w:rsidRDefault="00644000" w:rsidP="00D90875">
            <w:pPr>
              <w:rPr>
                <w:color w:val="auto"/>
              </w:rPr>
            </w:pPr>
            <w:r w:rsidRPr="00517B8D">
              <w:rPr>
                <w:color w:val="auto"/>
              </w:rPr>
              <w:t>2006</w:t>
            </w:r>
          </w:p>
        </w:tc>
        <w:tc>
          <w:tcPr>
            <w:tcW w:w="1847"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0.055</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c>
          <w:tcPr>
            <w:tcW w:w="1846"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0.107</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c>
          <w:tcPr>
            <w:tcW w:w="1854"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0.027</w:t>
            </w:r>
          </w:p>
          <w:p w:rsidR="00644000" w:rsidRPr="00517B8D" w:rsidRDefault="00644000" w:rsidP="00FB2477">
            <w:pPr>
              <w:jc w:val="both"/>
              <w:cnfStyle w:val="000000100000"/>
              <w:rPr>
                <w:b/>
                <w:color w:val="auto"/>
              </w:rPr>
            </w:pPr>
            <w:r w:rsidRPr="00517B8D">
              <w:rPr>
                <w:rFonts w:ascii="Calibri" w:hAnsi="Calibri" w:cs="Calibri"/>
                <w:i/>
                <w:color w:val="auto"/>
                <w:sz w:val="16"/>
                <w:szCs w:val="16"/>
              </w:rPr>
              <w:t>(0.044)**</w:t>
            </w:r>
          </w:p>
        </w:tc>
        <w:tc>
          <w:tcPr>
            <w:tcW w:w="1852"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-0.060</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r>
      <w:tr w:rsidR="00644000" w:rsidRPr="00517B8D" w:rsidTr="000367EC">
        <w:tc>
          <w:tcPr>
            <w:cnfStyle w:val="001000000000"/>
            <w:tcW w:w="1843" w:type="dxa"/>
            <w:vAlign w:val="center"/>
          </w:tcPr>
          <w:p w:rsidR="00644000" w:rsidRPr="00517B8D" w:rsidRDefault="00644000" w:rsidP="00D90875">
            <w:pPr>
              <w:rPr>
                <w:color w:val="auto"/>
              </w:rPr>
            </w:pPr>
            <w:r w:rsidRPr="00517B8D">
              <w:rPr>
                <w:color w:val="auto"/>
              </w:rPr>
              <w:t>2007</w:t>
            </w:r>
          </w:p>
        </w:tc>
        <w:tc>
          <w:tcPr>
            <w:tcW w:w="1847"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0.058</w:t>
            </w:r>
          </w:p>
          <w:p w:rsidR="00644000" w:rsidRPr="00517B8D" w:rsidRDefault="00644000" w:rsidP="00D90875">
            <w:pPr>
              <w:jc w:val="both"/>
              <w:cnfStyle w:val="000000000000"/>
              <w:rPr>
                <w:b/>
                <w:color w:val="auto"/>
              </w:rPr>
            </w:pPr>
            <w:r w:rsidRPr="00517B8D">
              <w:rPr>
                <w:rFonts w:ascii="Calibri" w:hAnsi="Calibri" w:cs="Calibri"/>
                <w:i/>
                <w:color w:val="auto"/>
                <w:sz w:val="16"/>
                <w:szCs w:val="16"/>
              </w:rPr>
              <w:t>(0.000)***</w:t>
            </w:r>
          </w:p>
        </w:tc>
        <w:tc>
          <w:tcPr>
            <w:tcW w:w="1846"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0.095</w:t>
            </w:r>
          </w:p>
          <w:p w:rsidR="00644000" w:rsidRPr="00517B8D" w:rsidRDefault="00644000" w:rsidP="00D90875">
            <w:pPr>
              <w:jc w:val="both"/>
              <w:cnfStyle w:val="000000000000"/>
              <w:rPr>
                <w:b/>
                <w:color w:val="auto"/>
              </w:rPr>
            </w:pPr>
            <w:r w:rsidRPr="00517B8D">
              <w:rPr>
                <w:rFonts w:ascii="Calibri" w:hAnsi="Calibri" w:cs="Calibri"/>
                <w:i/>
                <w:color w:val="auto"/>
                <w:sz w:val="16"/>
                <w:szCs w:val="16"/>
              </w:rPr>
              <w:t>(0.000)***</w:t>
            </w:r>
          </w:p>
        </w:tc>
        <w:tc>
          <w:tcPr>
            <w:tcW w:w="1854"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0.011</w:t>
            </w:r>
          </w:p>
          <w:p w:rsidR="00644000" w:rsidRPr="00517B8D" w:rsidRDefault="00644000" w:rsidP="00FB2477">
            <w:pPr>
              <w:jc w:val="both"/>
              <w:cnfStyle w:val="000000000000"/>
              <w:rPr>
                <w:b/>
                <w:color w:val="auto"/>
              </w:rPr>
            </w:pPr>
            <w:r w:rsidRPr="00517B8D">
              <w:rPr>
                <w:rFonts w:ascii="Calibri" w:hAnsi="Calibri" w:cs="Calibri"/>
                <w:i/>
                <w:color w:val="auto"/>
                <w:sz w:val="16"/>
                <w:szCs w:val="16"/>
              </w:rPr>
              <w:t>(0.401)</w:t>
            </w:r>
          </w:p>
        </w:tc>
        <w:tc>
          <w:tcPr>
            <w:tcW w:w="1852"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-0.047</w:t>
            </w:r>
          </w:p>
          <w:p w:rsidR="00644000" w:rsidRPr="00517B8D" w:rsidRDefault="00644000" w:rsidP="00D90875">
            <w:pPr>
              <w:jc w:val="both"/>
              <w:cnfStyle w:val="000000000000"/>
              <w:rPr>
                <w:b/>
                <w:color w:val="auto"/>
              </w:rPr>
            </w:pPr>
            <w:r w:rsidRPr="00517B8D">
              <w:rPr>
                <w:rFonts w:ascii="Calibri" w:hAnsi="Calibri" w:cs="Calibri"/>
                <w:i/>
                <w:color w:val="auto"/>
                <w:sz w:val="16"/>
                <w:szCs w:val="16"/>
              </w:rPr>
              <w:t>(0.000)***</w:t>
            </w:r>
          </w:p>
        </w:tc>
      </w:tr>
      <w:tr w:rsidR="00644000" w:rsidRPr="00517B8D" w:rsidTr="000367EC">
        <w:trPr>
          <w:cnfStyle w:val="000000100000"/>
        </w:trPr>
        <w:tc>
          <w:tcPr>
            <w:cnfStyle w:val="001000000000"/>
            <w:tcW w:w="1843" w:type="dxa"/>
            <w:vAlign w:val="center"/>
          </w:tcPr>
          <w:p w:rsidR="00644000" w:rsidRPr="00517B8D" w:rsidRDefault="00644000" w:rsidP="00D90875">
            <w:pPr>
              <w:rPr>
                <w:color w:val="auto"/>
              </w:rPr>
            </w:pPr>
            <w:r w:rsidRPr="00517B8D">
              <w:rPr>
                <w:color w:val="auto"/>
              </w:rPr>
              <w:t>2008</w:t>
            </w:r>
          </w:p>
        </w:tc>
        <w:tc>
          <w:tcPr>
            <w:tcW w:w="1847"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0.055</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c>
          <w:tcPr>
            <w:tcW w:w="1846"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0.097</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c>
          <w:tcPr>
            <w:tcW w:w="1854"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0.015</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(0.272)</w:t>
            </w:r>
          </w:p>
        </w:tc>
        <w:tc>
          <w:tcPr>
            <w:tcW w:w="1852" w:type="dxa"/>
          </w:tcPr>
          <w:p w:rsidR="00644000" w:rsidRPr="00517B8D" w:rsidRDefault="00644000" w:rsidP="00D90875">
            <w:pPr>
              <w:jc w:val="both"/>
              <w:cnfStyle w:val="000000100000"/>
              <w:rPr>
                <w:rFonts w:ascii="Calibri" w:hAnsi="Calibri" w:cs="Calibri"/>
                <w:b/>
                <w:color w:val="auto"/>
              </w:rPr>
            </w:pPr>
            <w:r w:rsidRPr="00517B8D">
              <w:rPr>
                <w:rFonts w:ascii="Calibri" w:hAnsi="Calibri" w:cs="Calibri"/>
                <w:b/>
                <w:color w:val="auto"/>
              </w:rPr>
              <w:t>-0.063</w:t>
            </w:r>
          </w:p>
          <w:p w:rsidR="00644000" w:rsidRPr="00517B8D" w:rsidRDefault="00644000" w:rsidP="00D90875">
            <w:pPr>
              <w:jc w:val="both"/>
              <w:cnfStyle w:val="000000100000"/>
              <w:rPr>
                <w:b/>
                <w:color w:val="auto"/>
              </w:rPr>
            </w:pPr>
            <w:r w:rsidRPr="00517B8D">
              <w:rPr>
                <w:rFonts w:ascii="Calibri" w:hAnsi="Calibri" w:cs="Calibri"/>
                <w:i/>
                <w:color w:val="auto"/>
                <w:sz w:val="16"/>
                <w:szCs w:val="16"/>
              </w:rPr>
              <w:t>(0.000)***</w:t>
            </w:r>
          </w:p>
        </w:tc>
      </w:tr>
      <w:tr w:rsidR="00644000" w:rsidRPr="00517B8D" w:rsidTr="000367EC">
        <w:tc>
          <w:tcPr>
            <w:cnfStyle w:val="001000000000"/>
            <w:tcW w:w="1843" w:type="dxa"/>
            <w:vAlign w:val="center"/>
          </w:tcPr>
          <w:p w:rsidR="00644000" w:rsidRPr="00517B8D" w:rsidRDefault="00644000" w:rsidP="00D90875">
            <w:pPr>
              <w:rPr>
                <w:color w:val="auto"/>
              </w:rPr>
            </w:pPr>
            <w:r w:rsidRPr="00517B8D">
              <w:rPr>
                <w:color w:val="auto"/>
              </w:rPr>
              <w:t>2009</w:t>
            </w:r>
          </w:p>
        </w:tc>
        <w:tc>
          <w:tcPr>
            <w:tcW w:w="1847"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0.065</w:t>
            </w:r>
          </w:p>
          <w:p w:rsidR="00644000" w:rsidRPr="00517B8D" w:rsidRDefault="00644000" w:rsidP="00FB2477">
            <w:pPr>
              <w:jc w:val="both"/>
              <w:cnfStyle w:val="000000000000"/>
              <w:rPr>
                <w:b/>
                <w:color w:val="auto"/>
              </w:rPr>
            </w:pPr>
            <w:r w:rsidRPr="00517B8D">
              <w:rPr>
                <w:rFonts w:ascii="Calibri" w:hAnsi="Calibri" w:cs="Calibri"/>
                <w:i/>
                <w:color w:val="auto"/>
                <w:sz w:val="16"/>
                <w:szCs w:val="16"/>
              </w:rPr>
              <w:t>(0.000)***</w:t>
            </w:r>
          </w:p>
        </w:tc>
        <w:tc>
          <w:tcPr>
            <w:tcW w:w="1846"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0.109</w:t>
            </w:r>
          </w:p>
          <w:p w:rsidR="00644000" w:rsidRPr="00517B8D" w:rsidRDefault="00644000" w:rsidP="00D90875">
            <w:pPr>
              <w:jc w:val="both"/>
              <w:cnfStyle w:val="000000000000"/>
              <w:rPr>
                <w:b/>
                <w:color w:val="auto"/>
              </w:rPr>
            </w:pPr>
            <w:r w:rsidRPr="00517B8D">
              <w:rPr>
                <w:rFonts w:ascii="Calibri" w:hAnsi="Calibri" w:cs="Calibri"/>
                <w:i/>
                <w:color w:val="auto"/>
                <w:sz w:val="16"/>
                <w:szCs w:val="16"/>
              </w:rPr>
              <w:t>(0.000)***</w:t>
            </w:r>
          </w:p>
        </w:tc>
        <w:tc>
          <w:tcPr>
            <w:tcW w:w="1854"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0.011</w:t>
            </w:r>
          </w:p>
          <w:p w:rsidR="00644000" w:rsidRPr="00517B8D" w:rsidRDefault="00644000" w:rsidP="00FB2477">
            <w:pPr>
              <w:jc w:val="both"/>
              <w:cnfStyle w:val="000000000000"/>
              <w:rPr>
                <w:b/>
                <w:color w:val="auto"/>
              </w:rPr>
            </w:pPr>
            <w:r w:rsidRPr="00517B8D">
              <w:rPr>
                <w:rFonts w:ascii="Calibri" w:hAnsi="Calibri" w:cs="Calibri"/>
                <w:i/>
                <w:color w:val="auto"/>
                <w:sz w:val="16"/>
                <w:szCs w:val="16"/>
              </w:rPr>
              <w:t>(0.486)</w:t>
            </w:r>
          </w:p>
        </w:tc>
        <w:tc>
          <w:tcPr>
            <w:tcW w:w="1852" w:type="dxa"/>
          </w:tcPr>
          <w:p w:rsidR="00644000" w:rsidRPr="00517B8D" w:rsidRDefault="00644000" w:rsidP="00D90875">
            <w:pPr>
              <w:jc w:val="both"/>
              <w:cnfStyle w:val="000000000000"/>
              <w:rPr>
                <w:rFonts w:ascii="Calibri" w:hAnsi="Calibri" w:cs="Calibri"/>
                <w:b/>
                <w:color w:val="auto"/>
              </w:rPr>
            </w:pPr>
            <w:r w:rsidRPr="00517B8D">
              <w:rPr>
                <w:rFonts w:ascii="Calibri" w:hAnsi="Calibri" w:cs="Calibri"/>
                <w:b/>
                <w:color w:val="auto"/>
              </w:rPr>
              <w:t>-0.065</w:t>
            </w:r>
          </w:p>
          <w:p w:rsidR="00644000" w:rsidRPr="00517B8D" w:rsidRDefault="00644000" w:rsidP="0044786B">
            <w:pPr>
              <w:keepNext/>
              <w:jc w:val="both"/>
              <w:cnfStyle w:val="000000000000"/>
              <w:rPr>
                <w:b/>
                <w:color w:val="auto"/>
              </w:rPr>
            </w:pPr>
            <w:r w:rsidRPr="00517B8D">
              <w:rPr>
                <w:rFonts w:ascii="Calibri" w:hAnsi="Calibri" w:cs="Calibri"/>
                <w:i/>
                <w:color w:val="auto"/>
                <w:sz w:val="16"/>
                <w:szCs w:val="16"/>
              </w:rPr>
              <w:t>(0.000)***</w:t>
            </w:r>
          </w:p>
        </w:tc>
      </w:tr>
    </w:tbl>
    <w:p w:rsidR="0044786B" w:rsidRPr="0044786B" w:rsidRDefault="00831AF7" w:rsidP="00AD79EE">
      <w:pPr>
        <w:pStyle w:val="Caption"/>
        <w:jc w:val="both"/>
        <w:rPr>
          <w:color w:val="auto"/>
        </w:rPr>
      </w:pPr>
      <w:r w:rsidRPr="0044786B">
        <w:rPr>
          <w:color w:val="auto"/>
        </w:rPr>
        <w:t>Notes</w:t>
      </w:r>
      <w:r w:rsidR="0044786B" w:rsidRPr="0044786B">
        <w:rPr>
          <w:color w:val="auto"/>
        </w:rPr>
        <w:t xml:space="preserve">: </w:t>
      </w:r>
      <w:r w:rsidR="00AD79EE">
        <w:rPr>
          <w:color w:val="auto"/>
        </w:rPr>
        <w:t>The table displays the results of testing for trade effects of assuming different years of simultaneous Euro adoption by the new EMU members. The second and third column display the trade effects of the average 2004 EU entrants with existing EMU members and the Rest of the World, respectively, since the assumed year of Euro adoption for the new EMU members. The fourth and fifth column displays how the average trade effects of the new EMU members with existing EMU members and the Rest of the World, respectively, relate to the average of the 2004 EU entrants.</w:t>
      </w:r>
    </w:p>
    <w:p w:rsidR="001A15FD" w:rsidRDefault="001A15FD" w:rsidP="001A15FD">
      <w:pPr>
        <w:spacing w:line="360" w:lineRule="auto"/>
        <w:jc w:val="both"/>
      </w:pPr>
      <w:r>
        <w:t xml:space="preserve">When looking at the effect of changing </w:t>
      </w:r>
      <w:r w:rsidR="003A635C">
        <w:t xml:space="preserve">the </w:t>
      </w:r>
      <w:r>
        <w:t xml:space="preserve">year of Euro adoption for </w:t>
      </w:r>
      <w:r w:rsidR="003A635C">
        <w:t xml:space="preserve">trade between </w:t>
      </w:r>
      <w:r>
        <w:t xml:space="preserve">the </w:t>
      </w:r>
      <w:proofErr w:type="spellStart"/>
      <w:r>
        <w:t>newEMU</w:t>
      </w:r>
      <w:proofErr w:type="spellEnd"/>
      <w:r>
        <w:t xml:space="preserve"> group </w:t>
      </w:r>
      <w:r w:rsidR="003A635C">
        <w:t>and the</w:t>
      </w:r>
      <w:r>
        <w:t xml:space="preserve"> EMU members and the rest of the world, 2006 displays favorable results. A significant and positive coefficient is found for trade with EMU members. This would imply that from 2006 onwards, the </w:t>
      </w:r>
      <w:proofErr w:type="spellStart"/>
      <w:r>
        <w:t>newEMU</w:t>
      </w:r>
      <w:proofErr w:type="spellEnd"/>
      <w:r>
        <w:t xml:space="preserve"> group on average witnessed a large increase in trade with EMU members than the benchmark group. This argues in favor of the currency union effect. Simultaneously does th</w:t>
      </w:r>
      <w:r w:rsidR="003A635C">
        <w:t xml:space="preserve">e </w:t>
      </w:r>
      <w:proofErr w:type="spellStart"/>
      <w:r w:rsidR="003A635C">
        <w:t>newEMU</w:t>
      </w:r>
      <w:proofErr w:type="spellEnd"/>
      <w:r w:rsidR="003A635C">
        <w:t xml:space="preserve"> group display a small de</w:t>
      </w:r>
      <w:r>
        <w:t xml:space="preserve">crease in trade with the rest of the world, compared to the benchmark group, indicating trade diversion. </w:t>
      </w:r>
      <w:r w:rsidR="003A635C">
        <w:t>These</w:t>
      </w:r>
      <w:r w:rsidR="0022419F">
        <w:t xml:space="preserve"> results </w:t>
      </w:r>
      <w:r w:rsidR="003A635C">
        <w:t xml:space="preserve">could </w:t>
      </w:r>
      <w:r w:rsidR="0022419F">
        <w:t xml:space="preserve">however imply that an announcement of Euro adoption in 2006 has boosted trade for all of the </w:t>
      </w:r>
      <w:proofErr w:type="spellStart"/>
      <w:r w:rsidR="0022419F">
        <w:t>newEMU</w:t>
      </w:r>
      <w:proofErr w:type="spellEnd"/>
      <w:r w:rsidR="0022419F">
        <w:t xml:space="preserve"> members more than for the benchmark group. This is somewhat unlikely given that three out of the four new EMU members only adopted the Euro at least two yea</w:t>
      </w:r>
      <w:r w:rsidR="001D37FB">
        <w:t>rs later. For comparison; Flam and</w:t>
      </w:r>
      <w:r w:rsidR="0022419F">
        <w:t xml:space="preserve"> Nordstrom (2003) find an announcement effect </w:t>
      </w:r>
      <w:r w:rsidR="00094D44">
        <w:t xml:space="preserve">of Euro adoption on trade of one year for the initial EMU members, which compromise much larger economies in a relatively stable global and regional economic environment. </w:t>
      </w:r>
      <w:r w:rsidR="00BB5F62">
        <w:t xml:space="preserve">Continuing with the results, when constructing the variables as if the Euro was adopted simultaneously in 2007, as done in the original analyses, it can be seen that the deviation of trade with the rest of the world of the </w:t>
      </w:r>
      <w:proofErr w:type="spellStart"/>
      <w:r w:rsidR="00BB5F62">
        <w:t>newEMU</w:t>
      </w:r>
      <w:proofErr w:type="spellEnd"/>
      <w:r w:rsidR="00BB5F62">
        <w:t xml:space="preserve"> group compared to the 2004 EU entrants is again the smallest. </w:t>
      </w:r>
    </w:p>
    <w:p w:rsidR="00BB5F62" w:rsidRPr="00517B8D" w:rsidRDefault="003A635C" w:rsidP="001A15FD">
      <w:pPr>
        <w:spacing w:line="360" w:lineRule="auto"/>
        <w:jc w:val="both"/>
      </w:pPr>
      <w:r>
        <w:t>Finally, in table 8-</w:t>
      </w:r>
      <w:r w:rsidR="00CA6F01">
        <w:t>8</w:t>
      </w:r>
      <w:r w:rsidR="00BB5F62">
        <w:t xml:space="preserve"> hypotheses 5 and 6 are </w:t>
      </w:r>
      <w:r>
        <w:t>tested</w:t>
      </w:r>
      <w:r w:rsidR="00BB5F62">
        <w:t xml:space="preserve"> again for the four different years of Euro adoption, but now excluding Cyprus from both the benchmark and the </w:t>
      </w:r>
      <w:proofErr w:type="spellStart"/>
      <w:r w:rsidR="00BB5F62">
        <w:t>newEMU</w:t>
      </w:r>
      <w:proofErr w:type="spellEnd"/>
      <w:r w:rsidR="00BB5F62">
        <w:t xml:space="preserve"> group. </w:t>
      </w:r>
      <w:r>
        <w:t>The results are displayed below and should be compared to the results found in Table 8-</w:t>
      </w:r>
      <w:r w:rsidR="00CA6F01">
        <w:t>7</w:t>
      </w:r>
      <w:r>
        <w:t xml:space="preserve"> to identify any effects of excluding Cyprus from the sample.</w:t>
      </w:r>
    </w:p>
    <w:p w:rsidR="00FE33D6" w:rsidRPr="00FE33D6" w:rsidRDefault="008A5472" w:rsidP="00FE33D6">
      <w:pPr>
        <w:pStyle w:val="Caption"/>
        <w:keepNext/>
        <w:rPr>
          <w:color w:val="auto"/>
          <w:sz w:val="28"/>
        </w:rPr>
      </w:pPr>
      <w:r>
        <w:rPr>
          <w:color w:val="auto"/>
          <w:sz w:val="28"/>
        </w:rPr>
        <w:fldChar w:fldCharType="begin"/>
      </w:r>
      <w:r w:rsidR="009E4CF3">
        <w:rPr>
          <w:color w:val="auto"/>
          <w:sz w:val="28"/>
        </w:rPr>
        <w:instrText xml:space="preserve"> STYLEREF 1 \s </w:instrText>
      </w:r>
      <w:r>
        <w:rPr>
          <w:color w:val="auto"/>
          <w:sz w:val="28"/>
        </w:rPr>
        <w:fldChar w:fldCharType="separate"/>
      </w:r>
      <w:r w:rsidR="009E4CF3">
        <w:rPr>
          <w:noProof/>
          <w:color w:val="auto"/>
          <w:sz w:val="28"/>
        </w:rPr>
        <w:t>8</w:t>
      </w:r>
      <w:r>
        <w:rPr>
          <w:color w:val="auto"/>
          <w:sz w:val="28"/>
        </w:rPr>
        <w:fldChar w:fldCharType="end"/>
      </w:r>
      <w:r w:rsidR="009E4CF3">
        <w:rPr>
          <w:color w:val="auto"/>
          <w:sz w:val="28"/>
        </w:rPr>
        <w:noBreakHyphen/>
      </w:r>
      <w:r>
        <w:rPr>
          <w:color w:val="auto"/>
          <w:sz w:val="28"/>
        </w:rPr>
        <w:fldChar w:fldCharType="begin"/>
      </w:r>
      <w:r w:rsidR="009E4CF3">
        <w:rPr>
          <w:color w:val="auto"/>
          <w:sz w:val="28"/>
        </w:rPr>
        <w:instrText xml:space="preserve"> SEQ Table \* ARABIC \s 1 </w:instrText>
      </w:r>
      <w:r>
        <w:rPr>
          <w:color w:val="auto"/>
          <w:sz w:val="28"/>
        </w:rPr>
        <w:fldChar w:fldCharType="separate"/>
      </w:r>
      <w:r w:rsidR="009E4CF3">
        <w:rPr>
          <w:noProof/>
          <w:color w:val="auto"/>
          <w:sz w:val="28"/>
        </w:rPr>
        <w:t>8</w:t>
      </w:r>
      <w:r>
        <w:rPr>
          <w:color w:val="auto"/>
          <w:sz w:val="28"/>
        </w:rPr>
        <w:fldChar w:fldCharType="end"/>
      </w:r>
      <w:r w:rsidR="00FE33D6" w:rsidRPr="00FE33D6">
        <w:rPr>
          <w:color w:val="auto"/>
          <w:sz w:val="28"/>
        </w:rPr>
        <w:t xml:space="preserve"> Sensitivity Test of Coefficients in Hypotheses 5 &amp; 6 – Excl. Cyprus</w:t>
      </w:r>
    </w:p>
    <w:tbl>
      <w:tblPr>
        <w:tblStyle w:val="Lichtearcering-accent11"/>
        <w:tblW w:w="0" w:type="auto"/>
        <w:tblLook w:val="04A0"/>
      </w:tblPr>
      <w:tblGrid>
        <w:gridCol w:w="1843"/>
        <w:gridCol w:w="1847"/>
        <w:gridCol w:w="1846"/>
        <w:gridCol w:w="1854"/>
        <w:gridCol w:w="1852"/>
      </w:tblGrid>
      <w:tr w:rsidR="00380070" w:rsidRPr="00517B8D" w:rsidTr="000367EC">
        <w:trPr>
          <w:cnfStyle w:val="100000000000"/>
        </w:trPr>
        <w:tc>
          <w:tcPr>
            <w:cnfStyle w:val="001000000000"/>
            <w:tcW w:w="7390" w:type="dxa"/>
            <w:gridSpan w:val="4"/>
          </w:tcPr>
          <w:p w:rsidR="00380070" w:rsidRPr="00517B8D" w:rsidRDefault="00380070" w:rsidP="00D90875">
            <w:pPr>
              <w:rPr>
                <w:color w:val="auto"/>
              </w:rPr>
            </w:pPr>
            <w:r w:rsidRPr="00517B8D">
              <w:rPr>
                <w:color w:val="auto"/>
                <w:sz w:val="24"/>
              </w:rPr>
              <w:t>Coefficient Sensitivity Testing for different years of Euro adoption – Excluding Cyprus</w:t>
            </w:r>
          </w:p>
        </w:tc>
        <w:tc>
          <w:tcPr>
            <w:tcW w:w="1852" w:type="dxa"/>
          </w:tcPr>
          <w:p w:rsidR="00380070" w:rsidRPr="00517B8D" w:rsidRDefault="00380070" w:rsidP="00D90875">
            <w:pPr>
              <w:cnfStyle w:val="100000000000"/>
              <w:rPr>
                <w:color w:val="auto"/>
              </w:rPr>
            </w:pPr>
          </w:p>
        </w:tc>
      </w:tr>
      <w:tr w:rsidR="00644000" w:rsidRPr="00517B8D" w:rsidTr="00517B8D">
        <w:trPr>
          <w:cnfStyle w:val="000000100000"/>
        </w:trPr>
        <w:tc>
          <w:tcPr>
            <w:cnfStyle w:val="001000000000"/>
            <w:tcW w:w="5536" w:type="dxa"/>
            <w:gridSpan w:val="3"/>
          </w:tcPr>
          <w:p w:rsidR="00644000" w:rsidRPr="00517B8D" w:rsidRDefault="00644000" w:rsidP="00D90875">
            <w:pPr>
              <w:rPr>
                <w:color w:val="auto"/>
              </w:rPr>
            </w:pPr>
            <w:r w:rsidRPr="00517B8D">
              <w:rPr>
                <w:b w:val="0"/>
                <w:color w:val="auto"/>
              </w:rPr>
              <w:t>Country Pair Fixed Effect model with time fixed effects</w:t>
            </w:r>
          </w:p>
        </w:tc>
        <w:tc>
          <w:tcPr>
            <w:tcW w:w="1854" w:type="dxa"/>
          </w:tcPr>
          <w:p w:rsidR="00644000" w:rsidRPr="00517B8D" w:rsidRDefault="00644000" w:rsidP="00D90875">
            <w:pPr>
              <w:cnfStyle w:val="000000100000"/>
              <w:rPr>
                <w:color w:val="auto"/>
              </w:rPr>
            </w:pPr>
          </w:p>
        </w:tc>
        <w:tc>
          <w:tcPr>
            <w:tcW w:w="1852" w:type="dxa"/>
          </w:tcPr>
          <w:p w:rsidR="00644000" w:rsidRPr="00517B8D" w:rsidRDefault="00644000" w:rsidP="00D90875">
            <w:pPr>
              <w:cnfStyle w:val="000000100000"/>
              <w:rPr>
                <w:color w:val="auto"/>
              </w:rPr>
            </w:pPr>
          </w:p>
        </w:tc>
      </w:tr>
      <w:tr w:rsidR="00517B8D" w:rsidRPr="00517B8D" w:rsidTr="000367EC">
        <w:tc>
          <w:tcPr>
            <w:cnfStyle w:val="001000000000"/>
            <w:tcW w:w="1843" w:type="dxa"/>
            <w:vAlign w:val="center"/>
          </w:tcPr>
          <w:p w:rsidR="00517B8D" w:rsidRPr="00517B8D" w:rsidRDefault="00517B8D" w:rsidP="00D90875">
            <w:pPr>
              <w:rPr>
                <w:i/>
              </w:rPr>
            </w:pPr>
          </w:p>
        </w:tc>
        <w:tc>
          <w:tcPr>
            <w:tcW w:w="1847" w:type="dxa"/>
          </w:tcPr>
          <w:p w:rsidR="00517B8D" w:rsidRPr="00517B8D" w:rsidRDefault="00517B8D" w:rsidP="00D90875">
            <w:pPr>
              <w:cnfStyle w:val="000000000000"/>
              <w:rPr>
                <w:i/>
              </w:rPr>
            </w:pPr>
          </w:p>
        </w:tc>
        <w:tc>
          <w:tcPr>
            <w:tcW w:w="1846" w:type="dxa"/>
          </w:tcPr>
          <w:p w:rsidR="00517B8D" w:rsidRPr="00517B8D" w:rsidRDefault="00517B8D" w:rsidP="00D90875">
            <w:pPr>
              <w:cnfStyle w:val="000000000000"/>
              <w:rPr>
                <w:i/>
              </w:rPr>
            </w:pPr>
          </w:p>
        </w:tc>
        <w:tc>
          <w:tcPr>
            <w:tcW w:w="1854" w:type="dxa"/>
          </w:tcPr>
          <w:p w:rsidR="00517B8D" w:rsidRPr="00517B8D" w:rsidRDefault="00517B8D" w:rsidP="00D90875">
            <w:pPr>
              <w:cnfStyle w:val="000000000000"/>
              <w:rPr>
                <w:i/>
              </w:rPr>
            </w:pPr>
          </w:p>
        </w:tc>
        <w:tc>
          <w:tcPr>
            <w:tcW w:w="1852" w:type="dxa"/>
          </w:tcPr>
          <w:p w:rsidR="00517B8D" w:rsidRPr="00517B8D" w:rsidRDefault="00517B8D" w:rsidP="00D90875">
            <w:pPr>
              <w:cnfStyle w:val="000000000000"/>
              <w:rPr>
                <w:i/>
              </w:rPr>
            </w:pPr>
          </w:p>
        </w:tc>
      </w:tr>
      <w:tr w:rsidR="00380070" w:rsidRPr="00517B8D" w:rsidTr="000367EC">
        <w:trPr>
          <w:cnfStyle w:val="000000100000"/>
        </w:trPr>
        <w:tc>
          <w:tcPr>
            <w:cnfStyle w:val="001000000000"/>
            <w:tcW w:w="1843" w:type="dxa"/>
            <w:vAlign w:val="center"/>
          </w:tcPr>
          <w:p w:rsidR="00380070" w:rsidRPr="00517B8D" w:rsidRDefault="00380070" w:rsidP="00D90875">
            <w:pPr>
              <w:rPr>
                <w:i/>
                <w:color w:val="auto"/>
              </w:rPr>
            </w:pPr>
            <w:r w:rsidRPr="00517B8D">
              <w:rPr>
                <w:i/>
                <w:color w:val="auto"/>
              </w:rPr>
              <w:t>Variable:</w:t>
            </w:r>
          </w:p>
        </w:tc>
        <w:tc>
          <w:tcPr>
            <w:tcW w:w="1847" w:type="dxa"/>
          </w:tcPr>
          <w:p w:rsidR="00380070" w:rsidRPr="00517B8D" w:rsidRDefault="00380070" w:rsidP="00D90875">
            <w:pPr>
              <w:cnfStyle w:val="000000100000"/>
              <w:rPr>
                <w:i/>
                <w:color w:val="auto"/>
              </w:rPr>
            </w:pPr>
            <w:r w:rsidRPr="00517B8D">
              <w:rPr>
                <w:i/>
                <w:color w:val="auto"/>
              </w:rPr>
              <w:t>2004_EMU</w:t>
            </w:r>
          </w:p>
        </w:tc>
        <w:tc>
          <w:tcPr>
            <w:tcW w:w="1846" w:type="dxa"/>
          </w:tcPr>
          <w:p w:rsidR="00380070" w:rsidRPr="00517B8D" w:rsidRDefault="00380070" w:rsidP="00D90875">
            <w:pPr>
              <w:cnfStyle w:val="000000100000"/>
              <w:rPr>
                <w:i/>
                <w:color w:val="auto"/>
              </w:rPr>
            </w:pPr>
            <w:r w:rsidRPr="00517B8D">
              <w:rPr>
                <w:i/>
                <w:color w:val="auto"/>
              </w:rPr>
              <w:t>2004_RW</w:t>
            </w:r>
          </w:p>
        </w:tc>
        <w:tc>
          <w:tcPr>
            <w:tcW w:w="1854" w:type="dxa"/>
          </w:tcPr>
          <w:p w:rsidR="00380070" w:rsidRPr="00517B8D" w:rsidRDefault="00380070" w:rsidP="00D90875">
            <w:pPr>
              <w:cnfStyle w:val="000000100000"/>
              <w:rPr>
                <w:i/>
                <w:color w:val="auto"/>
              </w:rPr>
            </w:pPr>
            <w:proofErr w:type="spellStart"/>
            <w:r w:rsidRPr="00517B8D">
              <w:rPr>
                <w:i/>
                <w:color w:val="auto"/>
              </w:rPr>
              <w:t>newEMU_EMU</w:t>
            </w:r>
            <w:proofErr w:type="spellEnd"/>
          </w:p>
        </w:tc>
        <w:tc>
          <w:tcPr>
            <w:tcW w:w="1852" w:type="dxa"/>
          </w:tcPr>
          <w:p w:rsidR="00380070" w:rsidRPr="00517B8D" w:rsidRDefault="00380070" w:rsidP="00D90875">
            <w:pPr>
              <w:cnfStyle w:val="000000100000"/>
              <w:rPr>
                <w:i/>
                <w:color w:val="auto"/>
              </w:rPr>
            </w:pPr>
            <w:proofErr w:type="spellStart"/>
            <w:r w:rsidRPr="00517B8D">
              <w:rPr>
                <w:i/>
                <w:color w:val="auto"/>
              </w:rPr>
              <w:t>newEMU_RW</w:t>
            </w:r>
            <w:proofErr w:type="spellEnd"/>
          </w:p>
        </w:tc>
      </w:tr>
      <w:tr w:rsidR="00380070" w:rsidRPr="00517B8D" w:rsidTr="000367EC">
        <w:tc>
          <w:tcPr>
            <w:cnfStyle w:val="001000000000"/>
            <w:tcW w:w="1843" w:type="dxa"/>
            <w:vAlign w:val="center"/>
          </w:tcPr>
          <w:p w:rsidR="00380070" w:rsidRPr="00517B8D" w:rsidRDefault="00380070" w:rsidP="00D90875">
            <w:pPr>
              <w:rPr>
                <w:i/>
                <w:color w:val="auto"/>
                <w:u w:val="single"/>
              </w:rPr>
            </w:pPr>
            <w:r w:rsidRPr="00517B8D">
              <w:rPr>
                <w:i/>
                <w:color w:val="auto"/>
                <w:u w:val="single"/>
              </w:rPr>
              <w:t>Year:</w:t>
            </w:r>
          </w:p>
        </w:tc>
        <w:tc>
          <w:tcPr>
            <w:tcW w:w="1847" w:type="dxa"/>
          </w:tcPr>
          <w:p w:rsidR="00380070" w:rsidRPr="00517B8D" w:rsidRDefault="00380070" w:rsidP="00D90875">
            <w:pPr>
              <w:cnfStyle w:val="000000000000"/>
              <w:rPr>
                <w:rFonts w:ascii="Calibri" w:hAnsi="Calibri" w:cs="Calibri"/>
                <w:b/>
                <w:color w:val="auto"/>
              </w:rPr>
            </w:pPr>
          </w:p>
        </w:tc>
        <w:tc>
          <w:tcPr>
            <w:tcW w:w="1846" w:type="dxa"/>
          </w:tcPr>
          <w:p w:rsidR="00380070" w:rsidRPr="00517B8D" w:rsidRDefault="00380070" w:rsidP="00D90875">
            <w:pPr>
              <w:cnfStyle w:val="000000000000"/>
              <w:rPr>
                <w:rFonts w:ascii="Calibri" w:hAnsi="Calibri" w:cs="Calibri"/>
                <w:b/>
                <w:color w:val="auto"/>
              </w:rPr>
            </w:pPr>
          </w:p>
        </w:tc>
        <w:tc>
          <w:tcPr>
            <w:tcW w:w="1854" w:type="dxa"/>
          </w:tcPr>
          <w:p w:rsidR="00380070" w:rsidRPr="00517B8D" w:rsidRDefault="00380070" w:rsidP="00D90875">
            <w:pPr>
              <w:cnfStyle w:val="000000000000"/>
              <w:rPr>
                <w:rFonts w:ascii="Calibri" w:hAnsi="Calibri" w:cs="Calibri"/>
                <w:b/>
                <w:color w:val="auto"/>
              </w:rPr>
            </w:pPr>
          </w:p>
        </w:tc>
        <w:tc>
          <w:tcPr>
            <w:tcW w:w="1852" w:type="dxa"/>
          </w:tcPr>
          <w:p w:rsidR="00380070" w:rsidRPr="00517B8D" w:rsidRDefault="00380070" w:rsidP="00D90875">
            <w:pPr>
              <w:cnfStyle w:val="000000000000"/>
              <w:rPr>
                <w:rFonts w:ascii="Calibri" w:hAnsi="Calibri" w:cs="Calibri"/>
                <w:b/>
                <w:color w:val="auto"/>
              </w:rPr>
            </w:pPr>
          </w:p>
        </w:tc>
      </w:tr>
      <w:tr w:rsidR="00380070" w:rsidRPr="00517B8D" w:rsidTr="000367EC">
        <w:trPr>
          <w:cnfStyle w:val="000000100000"/>
        </w:trPr>
        <w:tc>
          <w:tcPr>
            <w:cnfStyle w:val="001000000000"/>
            <w:tcW w:w="1843" w:type="dxa"/>
            <w:vAlign w:val="center"/>
          </w:tcPr>
          <w:p w:rsidR="00380070" w:rsidRPr="00517B8D" w:rsidRDefault="00380070" w:rsidP="00D90875">
            <w:pPr>
              <w:rPr>
                <w:color w:val="auto"/>
              </w:rPr>
            </w:pPr>
            <w:r w:rsidRPr="00517B8D">
              <w:rPr>
                <w:color w:val="auto"/>
              </w:rPr>
              <w:t>2006</w:t>
            </w:r>
          </w:p>
        </w:tc>
        <w:tc>
          <w:tcPr>
            <w:tcW w:w="1847"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0.060</w:t>
            </w:r>
          </w:p>
          <w:p w:rsidR="00380070" w:rsidRPr="00517B8D" w:rsidRDefault="00F654AD" w:rsidP="00D90875">
            <w:pPr>
              <w:cnfStyle w:val="000000100000"/>
              <w:rPr>
                <w:b/>
                <w:color w:val="auto"/>
              </w:rPr>
            </w:pPr>
            <w:r w:rsidRPr="00517B8D">
              <w:rPr>
                <w:rFonts w:ascii="Calibri" w:hAnsi="Calibri" w:cs="Calibri"/>
                <w:i/>
                <w:color w:val="auto"/>
                <w:sz w:val="16"/>
                <w:szCs w:val="16"/>
              </w:rPr>
              <w:t>(0.000)***</w:t>
            </w:r>
          </w:p>
        </w:tc>
        <w:tc>
          <w:tcPr>
            <w:tcW w:w="1846"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0.108</w:t>
            </w:r>
          </w:p>
          <w:p w:rsidR="00380070" w:rsidRPr="00517B8D" w:rsidRDefault="00380070" w:rsidP="00D90875">
            <w:pPr>
              <w:cnfStyle w:val="000000100000"/>
              <w:rPr>
                <w:b/>
                <w:color w:val="auto"/>
              </w:rPr>
            </w:pPr>
            <w:r w:rsidRPr="00517B8D">
              <w:rPr>
                <w:rFonts w:ascii="Calibri" w:hAnsi="Calibri" w:cs="Calibri"/>
                <w:i/>
                <w:color w:val="auto"/>
                <w:sz w:val="16"/>
                <w:szCs w:val="16"/>
              </w:rPr>
              <w:t>(0.000)***</w:t>
            </w:r>
          </w:p>
        </w:tc>
        <w:tc>
          <w:tcPr>
            <w:tcW w:w="1854"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0.030</w:t>
            </w:r>
          </w:p>
          <w:p w:rsidR="00380070" w:rsidRPr="00517B8D" w:rsidRDefault="00380070" w:rsidP="00F654AD">
            <w:pPr>
              <w:cnfStyle w:val="000000100000"/>
              <w:rPr>
                <w:b/>
                <w:color w:val="auto"/>
              </w:rPr>
            </w:pPr>
            <w:r w:rsidRPr="00517B8D">
              <w:rPr>
                <w:rFonts w:ascii="Calibri" w:hAnsi="Calibri" w:cs="Calibri"/>
                <w:i/>
                <w:color w:val="auto"/>
                <w:sz w:val="16"/>
                <w:szCs w:val="16"/>
              </w:rPr>
              <w:t>(0.03</w:t>
            </w:r>
            <w:r w:rsidR="00F654AD" w:rsidRPr="00517B8D">
              <w:rPr>
                <w:rFonts w:ascii="Calibri" w:hAnsi="Calibri" w:cs="Calibri"/>
                <w:i/>
                <w:color w:val="auto"/>
                <w:sz w:val="16"/>
                <w:szCs w:val="16"/>
              </w:rPr>
              <w:t>9</w:t>
            </w:r>
            <w:r w:rsidRPr="00517B8D">
              <w:rPr>
                <w:rFonts w:ascii="Calibri" w:hAnsi="Calibri" w:cs="Calibri"/>
                <w:i/>
                <w:color w:val="auto"/>
                <w:sz w:val="16"/>
                <w:szCs w:val="16"/>
              </w:rPr>
              <w:t>)**</w:t>
            </w:r>
          </w:p>
        </w:tc>
        <w:tc>
          <w:tcPr>
            <w:tcW w:w="1852"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-0.011</w:t>
            </w:r>
          </w:p>
          <w:p w:rsidR="00380070" w:rsidRPr="00517B8D" w:rsidRDefault="00380070" w:rsidP="00D90875">
            <w:pPr>
              <w:cnfStyle w:val="0000001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339</w:t>
            </w:r>
            <w:r w:rsidRPr="00517B8D">
              <w:rPr>
                <w:rFonts w:ascii="Calibri" w:hAnsi="Calibri" w:cs="Calibri"/>
                <w:i/>
                <w:color w:val="auto"/>
                <w:sz w:val="16"/>
                <w:szCs w:val="16"/>
              </w:rPr>
              <w:t>)</w:t>
            </w:r>
          </w:p>
        </w:tc>
      </w:tr>
      <w:tr w:rsidR="00380070" w:rsidRPr="00517B8D" w:rsidTr="000367EC">
        <w:tc>
          <w:tcPr>
            <w:cnfStyle w:val="001000000000"/>
            <w:tcW w:w="1843" w:type="dxa"/>
            <w:vAlign w:val="center"/>
          </w:tcPr>
          <w:p w:rsidR="00380070" w:rsidRPr="00517B8D" w:rsidRDefault="00380070" w:rsidP="00D90875">
            <w:pPr>
              <w:rPr>
                <w:color w:val="auto"/>
              </w:rPr>
            </w:pPr>
            <w:r w:rsidRPr="00517B8D">
              <w:rPr>
                <w:color w:val="auto"/>
              </w:rPr>
              <w:t>2007</w:t>
            </w:r>
          </w:p>
        </w:tc>
        <w:tc>
          <w:tcPr>
            <w:tcW w:w="1847"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0.063</w:t>
            </w:r>
          </w:p>
          <w:p w:rsidR="00380070" w:rsidRPr="00517B8D" w:rsidRDefault="00F654AD" w:rsidP="00D90875">
            <w:pPr>
              <w:cnfStyle w:val="000000000000"/>
              <w:rPr>
                <w:b/>
                <w:color w:val="auto"/>
              </w:rPr>
            </w:pPr>
            <w:r w:rsidRPr="00517B8D">
              <w:rPr>
                <w:rFonts w:ascii="Calibri" w:hAnsi="Calibri" w:cs="Calibri"/>
                <w:i/>
                <w:color w:val="auto"/>
                <w:sz w:val="16"/>
                <w:szCs w:val="16"/>
              </w:rPr>
              <w:t>(0.000)***</w:t>
            </w:r>
          </w:p>
        </w:tc>
        <w:tc>
          <w:tcPr>
            <w:tcW w:w="1846"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0.099</w:t>
            </w:r>
          </w:p>
          <w:p w:rsidR="00380070" w:rsidRPr="00517B8D" w:rsidRDefault="00380070" w:rsidP="00D90875">
            <w:pPr>
              <w:cnfStyle w:val="000000000000"/>
              <w:rPr>
                <w:b/>
                <w:color w:val="auto"/>
              </w:rPr>
            </w:pPr>
            <w:r w:rsidRPr="00517B8D">
              <w:rPr>
                <w:rFonts w:ascii="Calibri" w:hAnsi="Calibri" w:cs="Calibri"/>
                <w:i/>
                <w:color w:val="auto"/>
                <w:sz w:val="16"/>
                <w:szCs w:val="16"/>
              </w:rPr>
              <w:t>(0.000)***</w:t>
            </w:r>
          </w:p>
        </w:tc>
        <w:tc>
          <w:tcPr>
            <w:tcW w:w="1854"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0.018</w:t>
            </w:r>
          </w:p>
          <w:p w:rsidR="00380070" w:rsidRPr="00517B8D" w:rsidRDefault="00380070" w:rsidP="00F654AD">
            <w:pPr>
              <w:cnfStyle w:val="0000000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211</w:t>
            </w:r>
            <w:r w:rsidRPr="00517B8D">
              <w:rPr>
                <w:rFonts w:ascii="Calibri" w:hAnsi="Calibri" w:cs="Calibri"/>
                <w:i/>
                <w:color w:val="auto"/>
                <w:sz w:val="16"/>
                <w:szCs w:val="16"/>
              </w:rPr>
              <w:t>)</w:t>
            </w:r>
          </w:p>
        </w:tc>
        <w:tc>
          <w:tcPr>
            <w:tcW w:w="1852"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-0.001</w:t>
            </w:r>
          </w:p>
          <w:p w:rsidR="00380070" w:rsidRPr="00517B8D" w:rsidRDefault="00380070" w:rsidP="00F654AD">
            <w:pPr>
              <w:cnfStyle w:val="0000000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921)</w:t>
            </w:r>
          </w:p>
        </w:tc>
      </w:tr>
      <w:tr w:rsidR="00380070" w:rsidRPr="00517B8D" w:rsidTr="000367EC">
        <w:trPr>
          <w:cnfStyle w:val="000000100000"/>
        </w:trPr>
        <w:tc>
          <w:tcPr>
            <w:cnfStyle w:val="001000000000"/>
            <w:tcW w:w="1843" w:type="dxa"/>
            <w:vAlign w:val="center"/>
          </w:tcPr>
          <w:p w:rsidR="00380070" w:rsidRPr="00517B8D" w:rsidRDefault="00380070" w:rsidP="00D90875">
            <w:pPr>
              <w:rPr>
                <w:color w:val="auto"/>
              </w:rPr>
            </w:pPr>
            <w:r w:rsidRPr="00517B8D">
              <w:rPr>
                <w:color w:val="auto"/>
              </w:rPr>
              <w:t>2008</w:t>
            </w:r>
          </w:p>
        </w:tc>
        <w:tc>
          <w:tcPr>
            <w:tcW w:w="1847"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0.061</w:t>
            </w:r>
          </w:p>
          <w:p w:rsidR="00380070" w:rsidRPr="00517B8D" w:rsidRDefault="00F654AD" w:rsidP="00D90875">
            <w:pPr>
              <w:cnfStyle w:val="000000100000"/>
              <w:rPr>
                <w:b/>
                <w:color w:val="auto"/>
              </w:rPr>
            </w:pPr>
            <w:r w:rsidRPr="00517B8D">
              <w:rPr>
                <w:rFonts w:ascii="Calibri" w:hAnsi="Calibri" w:cs="Calibri"/>
                <w:i/>
                <w:color w:val="auto"/>
                <w:sz w:val="16"/>
                <w:szCs w:val="16"/>
              </w:rPr>
              <w:t>(0.000)***</w:t>
            </w:r>
          </w:p>
        </w:tc>
        <w:tc>
          <w:tcPr>
            <w:tcW w:w="1846"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0.102</w:t>
            </w:r>
          </w:p>
          <w:p w:rsidR="00380070" w:rsidRPr="00517B8D" w:rsidRDefault="00380070" w:rsidP="00D90875">
            <w:pPr>
              <w:cnfStyle w:val="000000100000"/>
              <w:rPr>
                <w:b/>
                <w:color w:val="auto"/>
              </w:rPr>
            </w:pPr>
            <w:r w:rsidRPr="00517B8D">
              <w:rPr>
                <w:rFonts w:ascii="Calibri" w:hAnsi="Calibri" w:cs="Calibri"/>
                <w:i/>
                <w:color w:val="auto"/>
                <w:sz w:val="16"/>
                <w:szCs w:val="16"/>
              </w:rPr>
              <w:t>(0.000)***</w:t>
            </w:r>
          </w:p>
        </w:tc>
        <w:tc>
          <w:tcPr>
            <w:tcW w:w="1854"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0.025</w:t>
            </w:r>
          </w:p>
          <w:p w:rsidR="00380070" w:rsidRPr="00517B8D" w:rsidRDefault="00380070" w:rsidP="00F654AD">
            <w:pPr>
              <w:cnfStyle w:val="0000001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110</w:t>
            </w:r>
            <w:r w:rsidRPr="00517B8D">
              <w:rPr>
                <w:rFonts w:ascii="Calibri" w:hAnsi="Calibri" w:cs="Calibri"/>
                <w:i/>
                <w:color w:val="auto"/>
                <w:sz w:val="16"/>
                <w:szCs w:val="16"/>
              </w:rPr>
              <w:t>)</w:t>
            </w:r>
          </w:p>
        </w:tc>
        <w:tc>
          <w:tcPr>
            <w:tcW w:w="1852" w:type="dxa"/>
          </w:tcPr>
          <w:p w:rsidR="00380070" w:rsidRPr="00517B8D" w:rsidRDefault="00F654AD" w:rsidP="00D90875">
            <w:pPr>
              <w:cnfStyle w:val="000000100000"/>
              <w:rPr>
                <w:rFonts w:ascii="Calibri" w:hAnsi="Calibri" w:cs="Calibri"/>
                <w:b/>
                <w:color w:val="auto"/>
              </w:rPr>
            </w:pPr>
            <w:r w:rsidRPr="00517B8D">
              <w:rPr>
                <w:rFonts w:ascii="Calibri" w:hAnsi="Calibri" w:cs="Calibri"/>
                <w:b/>
                <w:color w:val="auto"/>
              </w:rPr>
              <w:t>-0.023</w:t>
            </w:r>
          </w:p>
          <w:p w:rsidR="00380070" w:rsidRPr="00517B8D" w:rsidRDefault="00380070" w:rsidP="00D90875">
            <w:pPr>
              <w:cnfStyle w:val="0000001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057)*</w:t>
            </w:r>
          </w:p>
        </w:tc>
      </w:tr>
      <w:tr w:rsidR="00380070" w:rsidRPr="00517B8D" w:rsidTr="000367EC">
        <w:tc>
          <w:tcPr>
            <w:cnfStyle w:val="001000000000"/>
            <w:tcW w:w="1843" w:type="dxa"/>
            <w:vAlign w:val="center"/>
          </w:tcPr>
          <w:p w:rsidR="00380070" w:rsidRPr="00517B8D" w:rsidRDefault="00380070" w:rsidP="00D90875">
            <w:pPr>
              <w:rPr>
                <w:color w:val="auto"/>
              </w:rPr>
            </w:pPr>
            <w:r w:rsidRPr="00517B8D">
              <w:rPr>
                <w:color w:val="auto"/>
              </w:rPr>
              <w:t>2009</w:t>
            </w:r>
          </w:p>
        </w:tc>
        <w:tc>
          <w:tcPr>
            <w:tcW w:w="1847"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0.071</w:t>
            </w:r>
          </w:p>
          <w:p w:rsidR="00380070" w:rsidRPr="00517B8D" w:rsidRDefault="00F654AD" w:rsidP="00D90875">
            <w:pPr>
              <w:cnfStyle w:val="000000000000"/>
              <w:rPr>
                <w:b/>
                <w:color w:val="auto"/>
              </w:rPr>
            </w:pPr>
            <w:r w:rsidRPr="00517B8D">
              <w:rPr>
                <w:rFonts w:ascii="Calibri" w:hAnsi="Calibri" w:cs="Calibri"/>
                <w:i/>
                <w:color w:val="auto"/>
                <w:sz w:val="16"/>
                <w:szCs w:val="16"/>
              </w:rPr>
              <w:t>(0.000)***</w:t>
            </w:r>
          </w:p>
        </w:tc>
        <w:tc>
          <w:tcPr>
            <w:tcW w:w="1846"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0.116</w:t>
            </w:r>
          </w:p>
          <w:p w:rsidR="00380070" w:rsidRPr="00517B8D" w:rsidRDefault="00380070" w:rsidP="00D90875">
            <w:pPr>
              <w:cnfStyle w:val="000000000000"/>
              <w:rPr>
                <w:b/>
                <w:color w:val="auto"/>
              </w:rPr>
            </w:pPr>
            <w:r w:rsidRPr="00517B8D">
              <w:rPr>
                <w:rFonts w:ascii="Calibri" w:hAnsi="Calibri" w:cs="Calibri"/>
                <w:i/>
                <w:color w:val="auto"/>
                <w:sz w:val="16"/>
                <w:szCs w:val="16"/>
              </w:rPr>
              <w:t>(0.000)***</w:t>
            </w:r>
          </w:p>
        </w:tc>
        <w:tc>
          <w:tcPr>
            <w:tcW w:w="1854"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0.026</w:t>
            </w:r>
          </w:p>
          <w:p w:rsidR="00380070" w:rsidRPr="00517B8D" w:rsidRDefault="00380070" w:rsidP="00F654AD">
            <w:pPr>
              <w:cnfStyle w:val="0000000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116)</w:t>
            </w:r>
          </w:p>
        </w:tc>
        <w:tc>
          <w:tcPr>
            <w:tcW w:w="1852" w:type="dxa"/>
          </w:tcPr>
          <w:p w:rsidR="00380070" w:rsidRPr="00517B8D" w:rsidRDefault="00F654AD" w:rsidP="00D90875">
            <w:pPr>
              <w:cnfStyle w:val="000000000000"/>
              <w:rPr>
                <w:rFonts w:ascii="Calibri" w:hAnsi="Calibri" w:cs="Calibri"/>
                <w:b/>
                <w:color w:val="auto"/>
              </w:rPr>
            </w:pPr>
            <w:r w:rsidRPr="00517B8D">
              <w:rPr>
                <w:rFonts w:ascii="Calibri" w:hAnsi="Calibri" w:cs="Calibri"/>
                <w:b/>
                <w:color w:val="auto"/>
              </w:rPr>
              <w:t>-0.026</w:t>
            </w:r>
          </w:p>
          <w:p w:rsidR="00380070" w:rsidRPr="00517B8D" w:rsidRDefault="00380070" w:rsidP="0044786B">
            <w:pPr>
              <w:keepNext/>
              <w:cnfStyle w:val="000000000000"/>
              <w:rPr>
                <w:b/>
                <w:color w:val="auto"/>
              </w:rPr>
            </w:pPr>
            <w:r w:rsidRPr="00517B8D">
              <w:rPr>
                <w:rFonts w:ascii="Calibri" w:hAnsi="Calibri" w:cs="Calibri"/>
                <w:i/>
                <w:color w:val="auto"/>
                <w:sz w:val="16"/>
                <w:szCs w:val="16"/>
              </w:rPr>
              <w:t>(0.</w:t>
            </w:r>
            <w:r w:rsidR="00F654AD" w:rsidRPr="00517B8D">
              <w:rPr>
                <w:rFonts w:ascii="Calibri" w:hAnsi="Calibri" w:cs="Calibri"/>
                <w:i/>
                <w:color w:val="auto"/>
                <w:sz w:val="16"/>
                <w:szCs w:val="16"/>
              </w:rPr>
              <w:t>042</w:t>
            </w:r>
            <w:r w:rsidRPr="00517B8D">
              <w:rPr>
                <w:rFonts w:ascii="Calibri" w:hAnsi="Calibri" w:cs="Calibri"/>
                <w:i/>
                <w:color w:val="auto"/>
                <w:sz w:val="16"/>
                <w:szCs w:val="16"/>
              </w:rPr>
              <w:t>)</w:t>
            </w:r>
            <w:r w:rsidR="00F654AD" w:rsidRPr="00517B8D">
              <w:rPr>
                <w:rFonts w:ascii="Calibri" w:hAnsi="Calibri" w:cs="Calibri"/>
                <w:i/>
                <w:color w:val="auto"/>
                <w:sz w:val="16"/>
                <w:szCs w:val="16"/>
              </w:rPr>
              <w:t>**</w:t>
            </w:r>
          </w:p>
        </w:tc>
      </w:tr>
    </w:tbl>
    <w:p w:rsidR="0044786B" w:rsidRPr="0044786B" w:rsidRDefault="004B6C41" w:rsidP="004B6C41">
      <w:pPr>
        <w:pStyle w:val="Caption"/>
        <w:jc w:val="both"/>
        <w:rPr>
          <w:color w:val="auto"/>
        </w:rPr>
      </w:pPr>
      <w:r>
        <w:rPr>
          <w:color w:val="auto"/>
        </w:rPr>
        <w:t>N</w:t>
      </w:r>
      <w:r w:rsidR="0044786B" w:rsidRPr="0044786B">
        <w:rPr>
          <w:color w:val="auto"/>
        </w:rPr>
        <w:t xml:space="preserve">otes: </w:t>
      </w:r>
      <w:r>
        <w:rPr>
          <w:color w:val="auto"/>
        </w:rPr>
        <w:t>The table displays the results of testing for trade effects of assuming different years of simultaneous Euro adoption by the new EMU members, when Cyprus is excluded. The second and third column display the trade effects of the average 2004 EU entrants with existing EMU members and the Rest of the World, respectively, since the assumed year of Euro adoption for the new EMU members. The fourth and fifth column displays how the average trade effects of the new EMU members with existing EMU members and the Rest of the World, respectively, relate to the average of the 2004 EU entrants.</w:t>
      </w:r>
    </w:p>
    <w:p w:rsidR="00380070" w:rsidRDefault="00DE4053" w:rsidP="00BB5F62">
      <w:pPr>
        <w:spacing w:line="360" w:lineRule="auto"/>
        <w:jc w:val="both"/>
      </w:pPr>
      <w:r>
        <w:t>Again the results do</w:t>
      </w:r>
      <w:r w:rsidR="00772F83">
        <w:t xml:space="preserve"> not </w:t>
      </w:r>
      <w:r>
        <w:t xml:space="preserve">deviate </w:t>
      </w:r>
      <w:r w:rsidR="00772F83">
        <w:t>severely from the results found in the original sample</w:t>
      </w:r>
      <w:r w:rsidR="003A635C">
        <w:t xml:space="preserve"> (Table 8-</w:t>
      </w:r>
      <w:r w:rsidR="00CA6F01">
        <w:t>7</w:t>
      </w:r>
      <w:r w:rsidR="003A635C">
        <w:t>)</w:t>
      </w:r>
      <w:r w:rsidR="00772F83">
        <w:t xml:space="preserve">, except for the loss of significance in trade patterns between the </w:t>
      </w:r>
      <w:proofErr w:type="spellStart"/>
      <w:r w:rsidR="00772F83">
        <w:t>newEMU</w:t>
      </w:r>
      <w:proofErr w:type="spellEnd"/>
      <w:r w:rsidR="00772F83">
        <w:t xml:space="preserve"> group and the rest of the world. They are not longer significant for 2006 and 2007, and are reduced in size and significance for 2008 and 2009. However, when looking at the coefficients of trade between the </w:t>
      </w:r>
      <w:proofErr w:type="spellStart"/>
      <w:r w:rsidR="00772F83">
        <w:t>newEMU</w:t>
      </w:r>
      <w:proofErr w:type="spellEnd"/>
      <w:r w:rsidR="00772F83">
        <w:t xml:space="preserve"> group and EMU members from 2008 and 2009 onwards, these become almost significant (albeit at p = 0.10). Thus although statistically insignificant, the results come close to finding (weak) evidence</w:t>
      </w:r>
      <w:r w:rsidR="003A635C">
        <w:t xml:space="preserve"> that the </w:t>
      </w:r>
      <w:proofErr w:type="spellStart"/>
      <w:r w:rsidR="003A635C">
        <w:t>newEMU</w:t>
      </w:r>
      <w:proofErr w:type="spellEnd"/>
      <w:r w:rsidR="003A635C">
        <w:t xml:space="preserve"> group trades more with EMU members compared to the 2004 group, which would be</w:t>
      </w:r>
      <w:r w:rsidR="00772F83">
        <w:t xml:space="preserve"> in line with currency union theory. Also, given the negative coefficients for trade between the </w:t>
      </w:r>
      <w:proofErr w:type="spellStart"/>
      <w:r w:rsidR="00772F83">
        <w:t>newEMU</w:t>
      </w:r>
      <w:proofErr w:type="spellEnd"/>
      <w:r w:rsidR="00772F83">
        <w:t xml:space="preserve"> group and the rest of the world </w:t>
      </w:r>
      <w:r w:rsidR="003A635C">
        <w:t>for</w:t>
      </w:r>
      <w:r w:rsidR="00772F83">
        <w:t xml:space="preserve"> these years, there would be evidence of trade diversion, since trade with EMU members increases at the cost of trade with the rest of the world. </w:t>
      </w:r>
    </w:p>
    <w:p w:rsidR="00F73078" w:rsidRDefault="00F0704C" w:rsidP="00F0704C">
      <w:pPr>
        <w:pStyle w:val="Heading2"/>
        <w:numPr>
          <w:ilvl w:val="1"/>
          <w:numId w:val="1"/>
        </w:numPr>
      </w:pPr>
      <w:r>
        <w:t xml:space="preserve"> </w:t>
      </w:r>
      <w:r>
        <w:tab/>
      </w:r>
      <w:bookmarkStart w:id="45" w:name="_Toc353348804"/>
      <w:r>
        <w:t>Summary</w:t>
      </w:r>
      <w:bookmarkEnd w:id="45"/>
    </w:p>
    <w:p w:rsidR="00F0704C" w:rsidRPr="00F0704C" w:rsidRDefault="00F0704C" w:rsidP="00F0704C">
      <w:pPr>
        <w:spacing w:line="360" w:lineRule="auto"/>
        <w:jc w:val="both"/>
      </w:pPr>
      <w:r>
        <w:t>This chapter has conducted three additional tests on the results found in the previous chapter to test the robust</w:t>
      </w:r>
      <w:r w:rsidR="00FA6F41">
        <w:t>ness of these results.</w:t>
      </w:r>
      <w:r w:rsidR="00B30551">
        <w:t xml:space="preserve"> First </w:t>
      </w:r>
      <w:proofErr w:type="spellStart"/>
      <w:r w:rsidR="00B30551">
        <w:t>Pairwise</w:t>
      </w:r>
      <w:proofErr w:type="spellEnd"/>
      <w:r w:rsidR="00B30551">
        <w:t xml:space="preserve"> </w:t>
      </w:r>
      <w:r>
        <w:t xml:space="preserve">Granger </w:t>
      </w:r>
      <w:r w:rsidR="00B30551">
        <w:t>C</w:t>
      </w:r>
      <w:r>
        <w:t xml:space="preserve">ausality </w:t>
      </w:r>
      <w:r w:rsidR="00B30551">
        <w:t>T</w:t>
      </w:r>
      <w:r>
        <w:t>est</w:t>
      </w:r>
      <w:r w:rsidR="00CA6F01">
        <w:t>s</w:t>
      </w:r>
      <w:r>
        <w:t xml:space="preserve"> w</w:t>
      </w:r>
      <w:r w:rsidR="00B30551">
        <w:t>ere</w:t>
      </w:r>
      <w:r>
        <w:t xml:space="preserve"> c</w:t>
      </w:r>
      <w:r w:rsidR="009118AB">
        <w:t>onducted, in which</w:t>
      </w:r>
      <w:r w:rsidR="00FA6F41">
        <w:t xml:space="preserve"> evidence was found that </w:t>
      </w:r>
      <w:r w:rsidR="009118AB">
        <w:t xml:space="preserve">on the long run </w:t>
      </w:r>
      <w:r w:rsidR="00FA6F41">
        <w:t xml:space="preserve">Euro adoption </w:t>
      </w:r>
      <w:r w:rsidR="009118AB">
        <w:t xml:space="preserve">by Slovenia </w:t>
      </w:r>
      <w:r w:rsidR="00FA6F41">
        <w:t xml:space="preserve">led to increased trade </w:t>
      </w:r>
      <w:r w:rsidR="009118AB">
        <w:t>between Slovenia and existing EMU countries. Similar results were found when testing for causality for the new EMU members as a group. For the Slovak Republic the causality test revealed that trade between this country and the existing EMU countries has had an effect on the decision to adopt the Euro</w:t>
      </w:r>
      <w:r w:rsidR="00FA6F41">
        <w:t xml:space="preserve">. These results however are not very </w:t>
      </w:r>
      <w:r w:rsidR="009118AB">
        <w:t>reliable since they</w:t>
      </w:r>
      <w:r w:rsidR="00FA6F41">
        <w:t xml:space="preserve"> might be distorted given the inconsistent economic environment </w:t>
      </w:r>
      <w:r w:rsidR="005F20D1">
        <w:t>in</w:t>
      </w:r>
      <w:r w:rsidR="00FA6F41">
        <w:t xml:space="preserve"> the period </w:t>
      </w:r>
      <w:r w:rsidR="005F20D1">
        <w:t>before and after Euro adoption by</w:t>
      </w:r>
      <w:r w:rsidR="00FA6F41">
        <w:t xml:space="preserve"> the new EMU members. Secondly, the results were tested for consistency when Cyprus was excluded from both the </w:t>
      </w:r>
      <w:proofErr w:type="spellStart"/>
      <w:r w:rsidR="00FA6F41">
        <w:t>newEMU</w:t>
      </w:r>
      <w:proofErr w:type="spellEnd"/>
      <w:r w:rsidR="00FA6F41">
        <w:t xml:space="preserve"> group and the 2004 EU entrant benchmark group. This was justified given the a-symmetric effect the financial and European debt crisis has had on Cyprus, due to its integrated economy and financial sector with Greece. </w:t>
      </w:r>
      <w:r w:rsidR="00DD689A">
        <w:t>Excluding Cyprus improved the results found in the C</w:t>
      </w:r>
      <w:r w:rsidR="00CA6F01">
        <w:t>F</w:t>
      </w:r>
      <w:r w:rsidR="00DD689A">
        <w:t xml:space="preserve">E model, which suggested evidence in favor of currency union trade effects, and even in favor of trade creation, since average trade of the </w:t>
      </w:r>
      <w:proofErr w:type="spellStart"/>
      <w:r w:rsidR="00DD689A">
        <w:t>newEMU</w:t>
      </w:r>
      <w:proofErr w:type="spellEnd"/>
      <w:r w:rsidR="00DD689A">
        <w:t xml:space="preserve"> group with both EMU members and the rest of the world increased more than the benchmark group. The results found in the CPFE model when Cyprus is excluded do not </w:t>
      </w:r>
      <w:r w:rsidR="00CA6F01">
        <w:t>display</w:t>
      </w:r>
      <w:r w:rsidR="00DD689A">
        <w:t xml:space="preserve"> evidence </w:t>
      </w:r>
      <w:r w:rsidR="00CA6F01">
        <w:t>of</w:t>
      </w:r>
      <w:r w:rsidR="00DD689A">
        <w:t xml:space="preserve"> such effects, but </w:t>
      </w:r>
      <w:r w:rsidR="00CA6F01">
        <w:t>the results</w:t>
      </w:r>
      <w:r w:rsidR="00DD689A">
        <w:t xml:space="preserve"> do</w:t>
      </w:r>
      <w:r w:rsidR="00CA6F01">
        <w:t xml:space="preserve"> improve</w:t>
      </w:r>
      <w:r w:rsidR="00DD689A">
        <w:t xml:space="preserve">, since the </w:t>
      </w:r>
      <w:proofErr w:type="spellStart"/>
      <w:r w:rsidR="00DD689A">
        <w:t>newEMU</w:t>
      </w:r>
      <w:proofErr w:type="spellEnd"/>
      <w:r w:rsidR="00DD689A">
        <w:t xml:space="preserve"> group no longer underperforms in terms of trade compared to the average of the benchmark group</w:t>
      </w:r>
      <w:r w:rsidR="00CA6F01">
        <w:t xml:space="preserve"> when Cyprus is excluded</w:t>
      </w:r>
      <w:r w:rsidR="00DD689A">
        <w:t>. Finally</w:t>
      </w:r>
      <w:r w:rsidR="008459DC">
        <w:t xml:space="preserve">, in a final test of sensitivity to changes in </w:t>
      </w:r>
      <w:r w:rsidR="00CA6F01">
        <w:t xml:space="preserve">the </w:t>
      </w:r>
      <w:r w:rsidR="008459DC">
        <w:t xml:space="preserve">starting year of Euro adoption, the results are quite robust. </w:t>
      </w:r>
      <w:r w:rsidR="00CA6F01">
        <w:t>However, w</w:t>
      </w:r>
      <w:r w:rsidR="008459DC">
        <w:t>hen Cyprus is excluded and one looks at trade patterns with specific trading partners, the results lean towards trade diversion</w:t>
      </w:r>
      <w:r w:rsidR="00FB5F3F">
        <w:t xml:space="preserve"> by the </w:t>
      </w:r>
      <w:proofErr w:type="spellStart"/>
      <w:r w:rsidR="00FB5F3F">
        <w:t>newEMU</w:t>
      </w:r>
      <w:proofErr w:type="spellEnd"/>
      <w:r w:rsidR="00FB5F3F">
        <w:t xml:space="preserve"> group from 2008 and 2009 onwards. These results however are close to, but insignificant at p = 0.10. </w:t>
      </w:r>
    </w:p>
    <w:p w:rsidR="00F73078" w:rsidRDefault="00F73078" w:rsidP="00F73078">
      <w:pPr>
        <w:spacing w:line="360" w:lineRule="auto"/>
      </w:pPr>
    </w:p>
    <w:p w:rsidR="00F73078" w:rsidRDefault="00F73078" w:rsidP="00F73078">
      <w:pPr>
        <w:spacing w:line="360" w:lineRule="auto"/>
      </w:pPr>
    </w:p>
    <w:p w:rsidR="00801312" w:rsidRDefault="00CD7097" w:rsidP="00770C4A">
      <w:pPr>
        <w:pStyle w:val="Heading1"/>
        <w:numPr>
          <w:ilvl w:val="0"/>
          <w:numId w:val="1"/>
        </w:numPr>
        <w:spacing w:line="360" w:lineRule="auto"/>
      </w:pPr>
      <w:r>
        <w:t xml:space="preserve"> </w:t>
      </w:r>
      <w:bookmarkStart w:id="46" w:name="_Toc353180792"/>
      <w:bookmarkStart w:id="47" w:name="_Toc353348805"/>
      <w:r w:rsidR="0012390A">
        <w:t>Extensions</w:t>
      </w:r>
      <w:bookmarkEnd w:id="46"/>
      <w:bookmarkEnd w:id="47"/>
    </w:p>
    <w:p w:rsidR="007A043F" w:rsidRDefault="00D759AB" w:rsidP="00D759AB">
      <w:pPr>
        <w:spacing w:line="360" w:lineRule="auto"/>
        <w:jc w:val="both"/>
      </w:pPr>
      <w:r>
        <w:t xml:space="preserve">This thesis has so far attempted to answer the research question of whether Euro adoption led to increased trade for the new EMU members. The gravity model used to answer this question and the corresponding dataset unfortunately did not provide very strong evidence of a currency union trade effect for the new EMU members. </w:t>
      </w:r>
      <w:r w:rsidR="00726B28">
        <w:t>Nonetheless the constructed model and extensive dataset can be used to investigate some other</w:t>
      </w:r>
      <w:r w:rsidR="001737CA">
        <w:t xml:space="preserve"> interesting</w:t>
      </w:r>
      <w:r w:rsidR="00726B28">
        <w:t xml:space="preserve"> effects of Euro adoption for the new EMU members</w:t>
      </w:r>
      <w:r w:rsidR="001737CA">
        <w:t xml:space="preserve"> and relate these to the literature on predicted trade effects of Euro adoption</w:t>
      </w:r>
      <w:r w:rsidR="007A043F">
        <w:t>, which will be done in this chapter</w:t>
      </w:r>
      <w:r w:rsidR="00726B28">
        <w:t xml:space="preserve">. </w:t>
      </w:r>
      <w:r w:rsidR="00173509">
        <w:t>Finally</w:t>
      </w:r>
      <w:r w:rsidR="007A043F">
        <w:t xml:space="preserve">, </w:t>
      </w:r>
      <w:r w:rsidR="00173509">
        <w:t>given the lack of consensus in the empirical literature on the predicted trade effects for either relatively open or relatively closed economies of 2004 EU entrants, this subject will also be addressed</w:t>
      </w:r>
      <w:r w:rsidR="007A043F">
        <w:t xml:space="preserve">. </w:t>
      </w:r>
    </w:p>
    <w:p w:rsidR="00B634B3" w:rsidRDefault="007A043F" w:rsidP="007A043F">
      <w:pPr>
        <w:pStyle w:val="Heading2"/>
      </w:pPr>
      <w:bookmarkStart w:id="48" w:name="_Toc353348806"/>
      <w:r>
        <w:t xml:space="preserve">9.1 </w:t>
      </w:r>
      <w:r w:rsidR="00AF56EC">
        <w:t xml:space="preserve"> </w:t>
      </w:r>
      <w:r w:rsidR="00AF56EC">
        <w:tab/>
      </w:r>
      <w:r w:rsidR="00DF5B14">
        <w:t>Export and Import</w:t>
      </w:r>
      <w:r>
        <w:t xml:space="preserve"> Trade Effects</w:t>
      </w:r>
      <w:r w:rsidR="00726B28">
        <w:t xml:space="preserve"> </w:t>
      </w:r>
      <w:r w:rsidR="00DF5B14">
        <w:t>of Euro Adoption</w:t>
      </w:r>
      <w:bookmarkEnd w:id="48"/>
    </w:p>
    <w:tbl>
      <w:tblPr>
        <w:tblStyle w:val="Lichtearcering-accent11"/>
        <w:tblpPr w:leftFromText="141" w:rightFromText="141" w:vertAnchor="text" w:horzAnchor="margin" w:tblpY="2039"/>
        <w:tblOverlap w:val="never"/>
        <w:tblW w:w="0" w:type="auto"/>
        <w:tblLook w:val="04A0"/>
      </w:tblPr>
      <w:tblGrid>
        <w:gridCol w:w="2235"/>
        <w:gridCol w:w="141"/>
        <w:gridCol w:w="1332"/>
      </w:tblGrid>
      <w:tr w:rsidR="003F5D67" w:rsidTr="003F5D67">
        <w:trPr>
          <w:cnfStyle w:val="100000000000"/>
        </w:trPr>
        <w:tc>
          <w:tcPr>
            <w:cnfStyle w:val="001000000000"/>
            <w:tcW w:w="3708" w:type="dxa"/>
            <w:gridSpan w:val="3"/>
          </w:tcPr>
          <w:p w:rsidR="003F5D67" w:rsidRPr="001333EC" w:rsidRDefault="003F5D67" w:rsidP="003F5D67">
            <w:pPr>
              <w:rPr>
                <w:color w:val="auto"/>
              </w:rPr>
            </w:pPr>
            <w:r w:rsidRPr="001333EC">
              <w:rPr>
                <w:color w:val="auto"/>
              </w:rPr>
              <w:t>Effects of Euro adoption on total Export and Import per Country</w:t>
            </w:r>
          </w:p>
        </w:tc>
      </w:tr>
      <w:tr w:rsidR="003F5D67" w:rsidTr="003F5D67">
        <w:trPr>
          <w:cnfStyle w:val="000000100000"/>
        </w:trPr>
        <w:tc>
          <w:tcPr>
            <w:cnfStyle w:val="001000000000"/>
            <w:tcW w:w="3708" w:type="dxa"/>
            <w:gridSpan w:val="3"/>
          </w:tcPr>
          <w:p w:rsidR="003F5D67" w:rsidRPr="001333EC" w:rsidRDefault="003F5D67" w:rsidP="003F5D67">
            <w:pPr>
              <w:rPr>
                <w:color w:val="auto"/>
              </w:rPr>
            </w:pPr>
            <w:r w:rsidRPr="001333EC">
              <w:rPr>
                <w:color w:val="auto"/>
              </w:rPr>
              <w:t>Dependent Variable: LN_NOM_EX</w:t>
            </w:r>
          </w:p>
        </w:tc>
      </w:tr>
      <w:tr w:rsidR="003F5D67" w:rsidTr="003F5D67">
        <w:tc>
          <w:tcPr>
            <w:cnfStyle w:val="001000000000"/>
            <w:tcW w:w="3708" w:type="dxa"/>
            <w:gridSpan w:val="3"/>
          </w:tcPr>
          <w:p w:rsidR="003F5D67" w:rsidRPr="001333EC" w:rsidRDefault="003F5D67" w:rsidP="003F5D67">
            <w:pPr>
              <w:rPr>
                <w:b w:val="0"/>
                <w:color w:val="auto"/>
              </w:rPr>
            </w:pPr>
            <w:r w:rsidRPr="001333EC">
              <w:rPr>
                <w:color w:val="auto"/>
              </w:rPr>
              <w:t>Method: Panel Least Squares</w:t>
            </w:r>
          </w:p>
        </w:tc>
      </w:tr>
      <w:tr w:rsidR="003F5D67" w:rsidTr="003F5D67">
        <w:trPr>
          <w:cnfStyle w:val="000000100000"/>
        </w:trPr>
        <w:tc>
          <w:tcPr>
            <w:cnfStyle w:val="001000000000"/>
            <w:tcW w:w="3708" w:type="dxa"/>
            <w:gridSpan w:val="3"/>
          </w:tcPr>
          <w:p w:rsidR="003F5D67" w:rsidRPr="001333EC" w:rsidRDefault="003F5D67" w:rsidP="003F5D67">
            <w:pPr>
              <w:rPr>
                <w:b w:val="0"/>
                <w:color w:val="auto"/>
              </w:rPr>
            </w:pPr>
            <w:r w:rsidRPr="001333EC">
              <w:rPr>
                <w:b w:val="0"/>
                <w:color w:val="auto"/>
              </w:rPr>
              <w:t>Country Pair Fixed Effect with time fixed effects</w:t>
            </w:r>
          </w:p>
        </w:tc>
      </w:tr>
      <w:tr w:rsidR="003F5D67" w:rsidTr="003F5D67">
        <w:tc>
          <w:tcPr>
            <w:cnfStyle w:val="001000000000"/>
            <w:tcW w:w="3708" w:type="dxa"/>
            <w:gridSpan w:val="3"/>
          </w:tcPr>
          <w:p w:rsidR="003F5D67" w:rsidRDefault="003F5D67" w:rsidP="003F5D67"/>
        </w:tc>
      </w:tr>
      <w:tr w:rsidR="003F5D67" w:rsidTr="003F5D67">
        <w:trPr>
          <w:cnfStyle w:val="000000100000"/>
        </w:trPr>
        <w:tc>
          <w:tcPr>
            <w:cnfStyle w:val="001000000000"/>
            <w:tcW w:w="2235" w:type="dxa"/>
          </w:tcPr>
          <w:p w:rsidR="003F5D67" w:rsidRPr="00B634B3" w:rsidRDefault="003F5D67" w:rsidP="003F5D67">
            <w:pPr>
              <w:rPr>
                <w:b w:val="0"/>
                <w:bCs w:val="0"/>
                <w:color w:val="auto"/>
                <w:u w:val="single"/>
              </w:rPr>
            </w:pPr>
            <w:r w:rsidRPr="00B634B3">
              <w:rPr>
                <w:color w:val="auto"/>
                <w:u w:val="single"/>
              </w:rPr>
              <w:t>Variable:</w:t>
            </w:r>
          </w:p>
        </w:tc>
        <w:tc>
          <w:tcPr>
            <w:tcW w:w="1473" w:type="dxa"/>
            <w:gridSpan w:val="2"/>
          </w:tcPr>
          <w:p w:rsidR="003F5D67" w:rsidRPr="00B634B3" w:rsidRDefault="003F5D67" w:rsidP="003F5D67">
            <w:pPr>
              <w:cnfStyle w:val="000000100000"/>
              <w:rPr>
                <w:i/>
                <w:color w:val="auto"/>
              </w:rPr>
            </w:pPr>
            <w:r w:rsidRPr="00B634B3">
              <w:rPr>
                <w:i/>
                <w:color w:val="auto"/>
              </w:rPr>
              <w:t>Coefficient</w:t>
            </w:r>
          </w:p>
        </w:tc>
      </w:tr>
      <w:tr w:rsidR="003F5D67" w:rsidTr="003F5D67">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SLOVENIA_X_07</w:t>
            </w:r>
          </w:p>
        </w:tc>
        <w:tc>
          <w:tcPr>
            <w:tcW w:w="1332" w:type="dxa"/>
            <w:vAlign w:val="bottom"/>
          </w:tcPr>
          <w:p w:rsidR="003F5D67" w:rsidRDefault="003F5D67" w:rsidP="003F5D67">
            <w:pPr>
              <w:cnfStyle w:val="000000000000"/>
              <w:rPr>
                <w:rFonts w:ascii="Calibri" w:hAnsi="Calibri" w:cs="Calibri"/>
                <w:b/>
                <w:color w:val="000000"/>
              </w:rPr>
            </w:pPr>
            <w:r w:rsidRPr="00B634B3">
              <w:rPr>
                <w:rFonts w:ascii="Calibri" w:hAnsi="Calibri" w:cs="Calibri"/>
                <w:b/>
                <w:color w:val="000000"/>
              </w:rPr>
              <w:t>0.106</w:t>
            </w:r>
          </w:p>
          <w:p w:rsidR="003F5D67" w:rsidRPr="00B634B3" w:rsidRDefault="003F5D67" w:rsidP="003F5D67">
            <w:pPr>
              <w:cnfStyle w:val="000000000000"/>
              <w:rPr>
                <w:rFonts w:ascii="Calibri" w:hAnsi="Calibri" w:cs="Calibri"/>
                <w:b/>
                <w:color w:val="000000"/>
              </w:rPr>
            </w:pPr>
            <w:r w:rsidRPr="00517B8D">
              <w:rPr>
                <w:rFonts w:ascii="Calibri" w:hAnsi="Calibri" w:cs="Calibri"/>
                <w:i/>
                <w:color w:val="auto"/>
                <w:sz w:val="16"/>
                <w:szCs w:val="16"/>
              </w:rPr>
              <w:t>(0.000)***</w:t>
            </w:r>
          </w:p>
        </w:tc>
      </w:tr>
      <w:tr w:rsidR="003F5D67" w:rsidTr="003F5D67">
        <w:trPr>
          <w:cnfStyle w:val="000000100000"/>
        </w:trPr>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SLOVENIA_M_07</w:t>
            </w:r>
          </w:p>
        </w:tc>
        <w:tc>
          <w:tcPr>
            <w:tcW w:w="1332" w:type="dxa"/>
            <w:vAlign w:val="bottom"/>
          </w:tcPr>
          <w:p w:rsidR="003F5D67" w:rsidRDefault="003F5D67" w:rsidP="003F5D67">
            <w:pPr>
              <w:cnfStyle w:val="000000100000"/>
              <w:rPr>
                <w:rFonts w:ascii="Calibri" w:hAnsi="Calibri" w:cs="Calibri"/>
                <w:b/>
                <w:color w:val="000000"/>
              </w:rPr>
            </w:pPr>
            <w:r w:rsidRPr="00B634B3">
              <w:rPr>
                <w:rFonts w:ascii="Calibri" w:hAnsi="Calibri" w:cs="Calibri"/>
                <w:b/>
                <w:color w:val="000000"/>
              </w:rPr>
              <w:t>0.046</w:t>
            </w:r>
          </w:p>
          <w:p w:rsidR="003F5D67" w:rsidRPr="00B634B3" w:rsidRDefault="003F5D67" w:rsidP="003F5D67">
            <w:pPr>
              <w:cnfStyle w:val="000000100000"/>
              <w:rPr>
                <w:rFonts w:ascii="Calibri" w:hAnsi="Calibri" w:cs="Calibri"/>
                <w:b/>
                <w:color w:val="000000"/>
              </w:rPr>
            </w:pPr>
            <w:r>
              <w:rPr>
                <w:rFonts w:ascii="Calibri" w:hAnsi="Calibri" w:cs="Calibri"/>
                <w:i/>
                <w:color w:val="auto"/>
                <w:sz w:val="16"/>
                <w:szCs w:val="16"/>
              </w:rPr>
              <w:t>(0.01</w:t>
            </w:r>
            <w:r w:rsidRPr="00517B8D">
              <w:rPr>
                <w:rFonts w:ascii="Calibri" w:hAnsi="Calibri" w:cs="Calibri"/>
                <w:i/>
                <w:color w:val="auto"/>
                <w:sz w:val="16"/>
                <w:szCs w:val="16"/>
              </w:rPr>
              <w:t>0)***</w:t>
            </w:r>
          </w:p>
        </w:tc>
      </w:tr>
      <w:tr w:rsidR="003F5D67" w:rsidTr="003F5D67">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CYPRUS_X_08</w:t>
            </w:r>
          </w:p>
        </w:tc>
        <w:tc>
          <w:tcPr>
            <w:tcW w:w="1332" w:type="dxa"/>
            <w:vAlign w:val="bottom"/>
          </w:tcPr>
          <w:p w:rsidR="003F5D67" w:rsidRDefault="003F5D67" w:rsidP="003F5D67">
            <w:pPr>
              <w:cnfStyle w:val="000000000000"/>
              <w:rPr>
                <w:rFonts w:ascii="Calibri" w:hAnsi="Calibri" w:cs="Calibri"/>
                <w:b/>
                <w:color w:val="000000"/>
              </w:rPr>
            </w:pPr>
            <w:r w:rsidRPr="00B634B3">
              <w:rPr>
                <w:rFonts w:ascii="Calibri" w:hAnsi="Calibri" w:cs="Calibri"/>
                <w:b/>
                <w:color w:val="000000"/>
              </w:rPr>
              <w:t>-0.129</w:t>
            </w:r>
          </w:p>
          <w:p w:rsidR="003F5D67" w:rsidRPr="00B634B3" w:rsidRDefault="003F5D67" w:rsidP="003F5D67">
            <w:pPr>
              <w:cnfStyle w:val="000000000000"/>
              <w:rPr>
                <w:rFonts w:ascii="Calibri" w:hAnsi="Calibri" w:cs="Calibri"/>
                <w:b/>
                <w:color w:val="000000"/>
              </w:rPr>
            </w:pPr>
            <w:r w:rsidRPr="00517B8D">
              <w:rPr>
                <w:rFonts w:ascii="Calibri" w:hAnsi="Calibri" w:cs="Calibri"/>
                <w:i/>
                <w:color w:val="auto"/>
                <w:sz w:val="16"/>
                <w:szCs w:val="16"/>
              </w:rPr>
              <w:t>(0.000)***</w:t>
            </w:r>
          </w:p>
        </w:tc>
      </w:tr>
      <w:tr w:rsidR="003F5D67" w:rsidTr="003F5D67">
        <w:trPr>
          <w:cnfStyle w:val="000000100000"/>
        </w:trPr>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CYPRUS_M_08</w:t>
            </w:r>
          </w:p>
        </w:tc>
        <w:tc>
          <w:tcPr>
            <w:tcW w:w="1332" w:type="dxa"/>
            <w:vAlign w:val="bottom"/>
          </w:tcPr>
          <w:p w:rsidR="003F5D67" w:rsidRDefault="003F5D67" w:rsidP="003F5D67">
            <w:pPr>
              <w:cnfStyle w:val="000000100000"/>
              <w:rPr>
                <w:rFonts w:ascii="Calibri" w:hAnsi="Calibri" w:cs="Calibri"/>
                <w:b/>
                <w:color w:val="000000"/>
              </w:rPr>
            </w:pPr>
            <w:r w:rsidRPr="00B634B3">
              <w:rPr>
                <w:rFonts w:ascii="Calibri" w:hAnsi="Calibri" w:cs="Calibri"/>
                <w:b/>
                <w:color w:val="000000"/>
              </w:rPr>
              <w:t>0.007</w:t>
            </w:r>
          </w:p>
          <w:p w:rsidR="003F5D67" w:rsidRPr="00B634B3" w:rsidRDefault="003F5D67" w:rsidP="003F5D67">
            <w:pPr>
              <w:cnfStyle w:val="000000100000"/>
              <w:rPr>
                <w:rFonts w:ascii="Calibri" w:hAnsi="Calibri" w:cs="Calibri"/>
                <w:b/>
                <w:color w:val="000000"/>
              </w:rPr>
            </w:pPr>
            <w:r>
              <w:rPr>
                <w:rFonts w:ascii="Calibri" w:hAnsi="Calibri" w:cs="Calibri"/>
                <w:i/>
                <w:color w:val="auto"/>
                <w:sz w:val="16"/>
                <w:szCs w:val="16"/>
              </w:rPr>
              <w:t>(0.698)</w:t>
            </w:r>
          </w:p>
        </w:tc>
      </w:tr>
      <w:tr w:rsidR="003F5D67" w:rsidTr="003F5D67">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MALTA_X_08</w:t>
            </w:r>
          </w:p>
        </w:tc>
        <w:tc>
          <w:tcPr>
            <w:tcW w:w="1332" w:type="dxa"/>
            <w:vAlign w:val="bottom"/>
          </w:tcPr>
          <w:p w:rsidR="003F5D67" w:rsidRDefault="003F5D67" w:rsidP="003F5D67">
            <w:pPr>
              <w:cnfStyle w:val="000000000000"/>
              <w:rPr>
                <w:rFonts w:ascii="Calibri" w:hAnsi="Calibri" w:cs="Calibri"/>
                <w:b/>
                <w:color w:val="000000"/>
              </w:rPr>
            </w:pPr>
            <w:r w:rsidRPr="00B634B3">
              <w:rPr>
                <w:rFonts w:ascii="Calibri" w:hAnsi="Calibri" w:cs="Calibri"/>
                <w:b/>
                <w:color w:val="000000"/>
              </w:rPr>
              <w:t>-0.007</w:t>
            </w:r>
          </w:p>
          <w:p w:rsidR="003F5D67" w:rsidRPr="00B634B3" w:rsidRDefault="003F5D67" w:rsidP="003F5D67">
            <w:pPr>
              <w:cnfStyle w:val="000000000000"/>
              <w:rPr>
                <w:rFonts w:ascii="Calibri" w:hAnsi="Calibri" w:cs="Calibri"/>
                <w:b/>
                <w:color w:val="000000"/>
              </w:rPr>
            </w:pPr>
            <w:r>
              <w:rPr>
                <w:rFonts w:ascii="Calibri" w:hAnsi="Calibri" w:cs="Calibri"/>
                <w:i/>
                <w:color w:val="auto"/>
                <w:sz w:val="16"/>
                <w:szCs w:val="16"/>
              </w:rPr>
              <w:t>(0.713)</w:t>
            </w:r>
          </w:p>
        </w:tc>
      </w:tr>
      <w:tr w:rsidR="003F5D67" w:rsidTr="003F5D67">
        <w:trPr>
          <w:cnfStyle w:val="000000100000"/>
        </w:trPr>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MALTA_M_08</w:t>
            </w:r>
          </w:p>
        </w:tc>
        <w:tc>
          <w:tcPr>
            <w:tcW w:w="1332" w:type="dxa"/>
            <w:vAlign w:val="bottom"/>
          </w:tcPr>
          <w:p w:rsidR="003F5D67" w:rsidRDefault="003F5D67" w:rsidP="003F5D67">
            <w:pPr>
              <w:cnfStyle w:val="000000100000"/>
              <w:rPr>
                <w:rFonts w:ascii="Calibri" w:hAnsi="Calibri" w:cs="Calibri"/>
                <w:b/>
                <w:color w:val="000000"/>
              </w:rPr>
            </w:pPr>
            <w:r w:rsidRPr="00B634B3">
              <w:rPr>
                <w:rFonts w:ascii="Calibri" w:hAnsi="Calibri" w:cs="Calibri"/>
                <w:b/>
                <w:color w:val="000000"/>
              </w:rPr>
              <w:t>0.059</w:t>
            </w:r>
          </w:p>
          <w:p w:rsidR="003F5D67" w:rsidRPr="00B634B3" w:rsidRDefault="003F5D67" w:rsidP="003F5D67">
            <w:pPr>
              <w:cnfStyle w:val="000000100000"/>
              <w:rPr>
                <w:rFonts w:ascii="Calibri" w:hAnsi="Calibri" w:cs="Calibri"/>
                <w:b/>
                <w:color w:val="000000"/>
              </w:rPr>
            </w:pPr>
            <w:r>
              <w:rPr>
                <w:rFonts w:ascii="Calibri" w:hAnsi="Calibri" w:cs="Calibri"/>
                <w:i/>
                <w:color w:val="auto"/>
                <w:sz w:val="16"/>
                <w:szCs w:val="16"/>
              </w:rPr>
              <w:t>(0.002</w:t>
            </w:r>
            <w:r w:rsidRPr="00517B8D">
              <w:rPr>
                <w:rFonts w:ascii="Calibri" w:hAnsi="Calibri" w:cs="Calibri"/>
                <w:i/>
                <w:color w:val="auto"/>
                <w:sz w:val="16"/>
                <w:szCs w:val="16"/>
              </w:rPr>
              <w:t>)***</w:t>
            </w:r>
          </w:p>
        </w:tc>
      </w:tr>
      <w:tr w:rsidR="003F5D67" w:rsidTr="003F5D67">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SLOVAKREP_X_09</w:t>
            </w:r>
          </w:p>
        </w:tc>
        <w:tc>
          <w:tcPr>
            <w:tcW w:w="1332" w:type="dxa"/>
            <w:vAlign w:val="bottom"/>
          </w:tcPr>
          <w:p w:rsidR="003F5D67" w:rsidRDefault="003F5D67" w:rsidP="003F5D67">
            <w:pPr>
              <w:cnfStyle w:val="000000000000"/>
              <w:rPr>
                <w:rFonts w:ascii="Calibri" w:hAnsi="Calibri" w:cs="Calibri"/>
                <w:b/>
                <w:color w:val="000000"/>
              </w:rPr>
            </w:pPr>
            <w:r w:rsidRPr="00B634B3">
              <w:rPr>
                <w:rFonts w:ascii="Calibri" w:hAnsi="Calibri" w:cs="Calibri"/>
                <w:b/>
                <w:color w:val="000000"/>
              </w:rPr>
              <w:t>0.062</w:t>
            </w:r>
          </w:p>
          <w:p w:rsidR="003F5D67" w:rsidRPr="00B634B3" w:rsidRDefault="003F5D67" w:rsidP="003F5D67">
            <w:pPr>
              <w:cnfStyle w:val="000000000000"/>
              <w:rPr>
                <w:rFonts w:ascii="Calibri" w:hAnsi="Calibri" w:cs="Calibri"/>
                <w:b/>
                <w:color w:val="000000"/>
              </w:rPr>
            </w:pPr>
            <w:r w:rsidRPr="00517B8D">
              <w:rPr>
                <w:rFonts w:ascii="Calibri" w:hAnsi="Calibri" w:cs="Calibri"/>
                <w:i/>
                <w:color w:val="auto"/>
                <w:sz w:val="16"/>
                <w:szCs w:val="16"/>
              </w:rPr>
              <w:t>(0.00</w:t>
            </w:r>
            <w:r>
              <w:rPr>
                <w:rFonts w:ascii="Calibri" w:hAnsi="Calibri" w:cs="Calibri"/>
                <w:i/>
                <w:color w:val="auto"/>
                <w:sz w:val="16"/>
                <w:szCs w:val="16"/>
              </w:rPr>
              <w:t>2</w:t>
            </w:r>
            <w:r w:rsidRPr="00517B8D">
              <w:rPr>
                <w:rFonts w:ascii="Calibri" w:hAnsi="Calibri" w:cs="Calibri"/>
                <w:i/>
                <w:color w:val="auto"/>
                <w:sz w:val="16"/>
                <w:szCs w:val="16"/>
              </w:rPr>
              <w:t>)***</w:t>
            </w:r>
          </w:p>
        </w:tc>
      </w:tr>
      <w:tr w:rsidR="003F5D67" w:rsidTr="003F5D67">
        <w:trPr>
          <w:cnfStyle w:val="000000100000"/>
        </w:trPr>
        <w:tc>
          <w:tcPr>
            <w:cnfStyle w:val="001000000000"/>
            <w:tcW w:w="2376" w:type="dxa"/>
            <w:gridSpan w:val="2"/>
            <w:vAlign w:val="center"/>
          </w:tcPr>
          <w:p w:rsidR="003F5D67" w:rsidRPr="003D76CD" w:rsidRDefault="003F5D67" w:rsidP="003F5D67">
            <w:pPr>
              <w:rPr>
                <w:rFonts w:ascii="Calibri" w:hAnsi="Calibri" w:cs="Calibri"/>
                <w:b w:val="0"/>
                <w:color w:val="000000"/>
              </w:rPr>
            </w:pPr>
            <w:r w:rsidRPr="003D76CD">
              <w:rPr>
                <w:rFonts w:ascii="Calibri" w:hAnsi="Calibri" w:cs="Calibri"/>
                <w:b w:val="0"/>
                <w:color w:val="000000"/>
              </w:rPr>
              <w:t>SLOVAKREP_M_09</w:t>
            </w:r>
          </w:p>
        </w:tc>
        <w:tc>
          <w:tcPr>
            <w:tcW w:w="1332" w:type="dxa"/>
            <w:vAlign w:val="bottom"/>
          </w:tcPr>
          <w:p w:rsidR="003F5D67" w:rsidRDefault="003F5D67" w:rsidP="003F5D67">
            <w:pPr>
              <w:cnfStyle w:val="000000100000"/>
              <w:rPr>
                <w:rFonts w:ascii="Calibri" w:hAnsi="Calibri" w:cs="Calibri"/>
                <w:b/>
                <w:color w:val="000000"/>
              </w:rPr>
            </w:pPr>
            <w:r w:rsidRPr="00B634B3">
              <w:rPr>
                <w:rFonts w:ascii="Calibri" w:hAnsi="Calibri" w:cs="Calibri"/>
                <w:b/>
                <w:color w:val="000000"/>
              </w:rPr>
              <w:t>0.023</w:t>
            </w:r>
          </w:p>
          <w:p w:rsidR="003F5D67" w:rsidRPr="00B634B3" w:rsidRDefault="003F5D67" w:rsidP="003F5D67">
            <w:pPr>
              <w:keepNext/>
              <w:cnfStyle w:val="000000100000"/>
              <w:rPr>
                <w:rFonts w:ascii="Calibri" w:hAnsi="Calibri" w:cs="Calibri"/>
                <w:b/>
                <w:color w:val="000000"/>
              </w:rPr>
            </w:pPr>
            <w:r>
              <w:rPr>
                <w:rFonts w:ascii="Calibri" w:hAnsi="Calibri" w:cs="Calibri"/>
                <w:i/>
                <w:color w:val="auto"/>
                <w:sz w:val="16"/>
                <w:szCs w:val="16"/>
              </w:rPr>
              <w:t>(0.253)</w:t>
            </w:r>
          </w:p>
        </w:tc>
      </w:tr>
    </w:tbl>
    <w:p w:rsidR="003F5D67" w:rsidRPr="00787CBC" w:rsidRDefault="003F5D67" w:rsidP="003F5D67">
      <w:pPr>
        <w:pStyle w:val="Caption"/>
        <w:framePr w:w="3686" w:h="1067" w:hRule="exact" w:hSpace="141" w:wrap="around" w:vAnchor="text" w:hAnchor="page" w:x="1338" w:y="8022"/>
        <w:suppressOverlap/>
        <w:jc w:val="both"/>
        <w:rPr>
          <w:color w:val="auto"/>
        </w:rPr>
      </w:pPr>
      <w:r w:rsidRPr="00787CBC">
        <w:rPr>
          <w:color w:val="auto"/>
        </w:rPr>
        <w:t xml:space="preserve">Notes: </w:t>
      </w:r>
      <w:r>
        <w:rPr>
          <w:color w:val="auto"/>
        </w:rPr>
        <w:t>The table displays the coefficients found when using the Country-Pair fixed effect model with fixed time effects in testing the effect of Euro adoption on export and import separately for each of the new EMU members.</w:t>
      </w:r>
    </w:p>
    <w:p w:rsidR="00B634B3" w:rsidRDefault="008A5472" w:rsidP="00AF56EC">
      <w:pPr>
        <w:spacing w:line="360" w:lineRule="auto"/>
        <w:jc w:val="both"/>
      </w:pPr>
      <w:r w:rsidRPr="008A5472">
        <w:rPr>
          <w:noProof/>
          <w:lang w:val="nl-NL" w:eastAsia="nl-NL"/>
        </w:rPr>
        <w:pict>
          <v:shape id="_x0000_s1037" type="#_x0000_t202" style="position:absolute;left:0;text-align:left;margin-left:-3.8pt;margin-top:37.25pt;width:184.8pt;height:64.55pt;z-index:-251643392;mso-width-relative:margin;mso-height-relative:margin" wrapcoords="-77 0 -77 20983 21600 20983 21600 0 -77 0" stroked="f">
            <v:textbox style="mso-next-textbox:#_x0000_s1037">
              <w:txbxContent>
                <w:p w:rsidR="003B1B98" w:rsidRPr="0029226F" w:rsidRDefault="003B1B98" w:rsidP="003F5D67">
                  <w:pPr>
                    <w:jc w:val="both"/>
                    <w:rPr>
                      <w:b/>
                      <w:sz w:val="28"/>
                      <w:szCs w:val="28"/>
                    </w:rPr>
                  </w:pPr>
                  <w:r w:rsidRPr="0029226F">
                    <w:rPr>
                      <w:b/>
                      <w:sz w:val="28"/>
                      <w:szCs w:val="28"/>
                    </w:rPr>
                    <w:t xml:space="preserve">Table </w:t>
                  </w:r>
                  <w:r>
                    <w:rPr>
                      <w:b/>
                      <w:sz w:val="28"/>
                      <w:szCs w:val="28"/>
                    </w:rPr>
                    <w:t>9-1</w:t>
                  </w:r>
                  <w:r w:rsidRPr="0029226F">
                    <w:rPr>
                      <w:b/>
                      <w:sz w:val="28"/>
                      <w:szCs w:val="28"/>
                    </w:rPr>
                    <w:t xml:space="preserve"> </w:t>
                  </w:r>
                  <w:r>
                    <w:rPr>
                      <w:b/>
                      <w:sz w:val="28"/>
                      <w:szCs w:val="28"/>
                    </w:rPr>
                    <w:t>Total Export and Import</w:t>
                  </w:r>
                  <w:r w:rsidRPr="0029226F">
                    <w:rPr>
                      <w:b/>
                      <w:sz w:val="28"/>
                      <w:szCs w:val="28"/>
                    </w:rPr>
                    <w:t xml:space="preserve"> Effects per </w:t>
                  </w:r>
                  <w:r>
                    <w:rPr>
                      <w:b/>
                      <w:sz w:val="28"/>
                      <w:szCs w:val="28"/>
                    </w:rPr>
                    <w:t>new EMU member</w:t>
                  </w:r>
                </w:p>
              </w:txbxContent>
            </v:textbox>
            <w10:wrap type="tight"/>
          </v:shape>
        </w:pict>
      </w:r>
      <w:r w:rsidR="00AF56EC">
        <w:t>In all of the specifications tested above, the dummy variable always captured all trade of each country or group of countries, thus exports and imports. These total trade figures were investigate for trade with all other countries in the sample, and for trade with the two specific groups of trading partners; EMU members and the Rest of the World. As seen in chapter 7, the total trade effects of the individual country wit</w:t>
      </w:r>
      <w:r w:rsidR="00F46673">
        <w:t>h all countries could have fallen since the year of Euro adoption, but when looking into trade patterns with the different trading partners, some results revealed that only trade with non-EMU partners had fallen, and no</w:t>
      </w:r>
      <w:r w:rsidR="003A0633">
        <w:t xml:space="preserve"> evidence of any deviating trade pattern was found fort trade with EMU members. In continuation of revealing specific trade effects of Euro adoption which cannot be tested with </w:t>
      </w:r>
      <w:r w:rsidR="003F5D67">
        <w:t>total</w:t>
      </w:r>
      <w:r w:rsidR="003A0633">
        <w:t xml:space="preserve"> trade data, this section investigates the effects on export and import separately. </w:t>
      </w:r>
      <w:r w:rsidR="00684AA1">
        <w:t>This is done through re-testing the six hypotheses in this thesis and looking at export and import individually instead of at total trade. The tests are conducted in the Country Pair Fixed Effect model</w:t>
      </w:r>
      <w:r w:rsidR="00DA2138">
        <w:t xml:space="preserve"> with time fixed effects. Tables 9.1 – 9.4 display the output of the regressions. Only the coefficients for the variables of interest, export and import, are shown. </w:t>
      </w:r>
    </w:p>
    <w:p w:rsidR="001737CA" w:rsidRDefault="00787CBC" w:rsidP="00B57840">
      <w:pPr>
        <w:spacing w:line="360" w:lineRule="auto"/>
        <w:jc w:val="both"/>
      </w:pPr>
      <w:r>
        <w:t>Table 9-</w:t>
      </w:r>
      <w:r w:rsidR="00DA2138">
        <w:t xml:space="preserve">1 displays the result of re-testing hypothesis 4. As </w:t>
      </w:r>
      <w:r w:rsidR="008A5472">
        <w:rPr>
          <w:noProof/>
        </w:rPr>
        <w:pict>
          <v:shape id="_x0000_s1036" type="#_x0000_t202" style="position:absolute;left:0;text-align:left;margin-left:253.35pt;margin-top:-.95pt;width:201.05pt;height:82.3pt;z-index:-251644416;mso-position-horizontal-relative:text;mso-position-vertical-relative:text;mso-width-relative:margin;mso-height-relative:margin" wrapcoords="-77 0 -77 20983 21600 20983 21600 0 -77 0" stroked="f">
            <v:textbox style="mso-next-textbox:#_x0000_s1036">
              <w:txbxContent>
                <w:p w:rsidR="003B1B98" w:rsidRPr="0029226F" w:rsidRDefault="003B1B98" w:rsidP="00650FEB">
                  <w:pPr>
                    <w:jc w:val="both"/>
                    <w:rPr>
                      <w:b/>
                      <w:sz w:val="28"/>
                      <w:szCs w:val="28"/>
                    </w:rPr>
                  </w:pPr>
                  <w:r w:rsidRPr="0029226F">
                    <w:rPr>
                      <w:b/>
                      <w:sz w:val="28"/>
                      <w:szCs w:val="28"/>
                    </w:rPr>
                    <w:t xml:space="preserve">Table </w:t>
                  </w:r>
                  <w:r>
                    <w:rPr>
                      <w:b/>
                      <w:sz w:val="28"/>
                      <w:szCs w:val="28"/>
                    </w:rPr>
                    <w:t>9-</w:t>
                  </w:r>
                  <w:r w:rsidRPr="0029226F">
                    <w:rPr>
                      <w:b/>
                      <w:sz w:val="28"/>
                      <w:szCs w:val="28"/>
                    </w:rPr>
                    <w:t xml:space="preserve">2 </w:t>
                  </w:r>
                  <w:r>
                    <w:rPr>
                      <w:b/>
                      <w:sz w:val="28"/>
                      <w:szCs w:val="28"/>
                    </w:rPr>
                    <w:t>Export and Import</w:t>
                  </w:r>
                  <w:r w:rsidRPr="0029226F">
                    <w:rPr>
                      <w:b/>
                      <w:sz w:val="28"/>
                      <w:szCs w:val="28"/>
                    </w:rPr>
                    <w:t xml:space="preserve"> Effects </w:t>
                  </w:r>
                  <w:r>
                    <w:rPr>
                      <w:b/>
                      <w:sz w:val="28"/>
                      <w:szCs w:val="28"/>
                    </w:rPr>
                    <w:t xml:space="preserve">of Euro Adoption </w:t>
                  </w:r>
                  <w:r w:rsidRPr="0029226F">
                    <w:rPr>
                      <w:b/>
                      <w:sz w:val="28"/>
                      <w:szCs w:val="28"/>
                    </w:rPr>
                    <w:t xml:space="preserve">per Trading Partner Group, per </w:t>
                  </w:r>
                  <w:r>
                    <w:rPr>
                      <w:b/>
                      <w:sz w:val="28"/>
                      <w:szCs w:val="28"/>
                    </w:rPr>
                    <w:t>new EMU member</w:t>
                  </w:r>
                </w:p>
              </w:txbxContent>
            </v:textbox>
            <w10:wrap type="square"/>
          </v:shape>
        </w:pict>
      </w:r>
      <w:r w:rsidR="00DA2138">
        <w:t>can be seen</w:t>
      </w:r>
      <w:r w:rsidR="001737CA">
        <w:t>,</w:t>
      </w:r>
      <w:r w:rsidR="00DA2138">
        <w:t xml:space="preserve"> now that the positive total trade effects of Euro adoption are separated</w:t>
      </w:r>
      <w:r w:rsidR="001D5565">
        <w:t xml:space="preserve"> into export and import effects</w:t>
      </w:r>
      <w:r w:rsidR="00DA2138">
        <w:t>, Slovenia has witnessed an increase in exports of over 10% since Euro adoption</w:t>
      </w:r>
      <w:r w:rsidR="001D5565">
        <w:t>. This figure comes</w:t>
      </w:r>
      <w:r w:rsidR="001737CA" w:rsidRPr="001737CA">
        <w:t xml:space="preserve"> </w:t>
      </w:r>
    </w:p>
    <w:tbl>
      <w:tblPr>
        <w:tblStyle w:val="Lichtearcering-accent11"/>
        <w:tblpPr w:leftFromText="142" w:rightFromText="142" w:vertAnchor="text" w:horzAnchor="margin" w:tblpXSpec="right" w:tblpY="53"/>
        <w:tblOverlap w:val="never"/>
        <w:tblW w:w="0" w:type="auto"/>
        <w:tblLook w:val="04A0"/>
      </w:tblPr>
      <w:tblGrid>
        <w:gridCol w:w="2660"/>
        <w:gridCol w:w="142"/>
        <w:gridCol w:w="1306"/>
      </w:tblGrid>
      <w:tr w:rsidR="001737CA" w:rsidRPr="001333EC" w:rsidTr="001737CA">
        <w:trPr>
          <w:cnfStyle w:val="100000000000"/>
          <w:cantSplit/>
        </w:trPr>
        <w:tc>
          <w:tcPr>
            <w:cnfStyle w:val="001000000000"/>
            <w:tcW w:w="4108" w:type="dxa"/>
            <w:gridSpan w:val="3"/>
          </w:tcPr>
          <w:p w:rsidR="001737CA" w:rsidRPr="001333EC" w:rsidRDefault="001737CA" w:rsidP="001737CA">
            <w:pPr>
              <w:rPr>
                <w:color w:val="auto"/>
              </w:rPr>
            </w:pPr>
            <w:r w:rsidRPr="001333EC">
              <w:rPr>
                <w:color w:val="auto"/>
              </w:rPr>
              <w:t>Effects of Euro adoption on Export and Import per Trading Partner Group, per Country</w:t>
            </w:r>
          </w:p>
        </w:tc>
      </w:tr>
      <w:tr w:rsidR="001737CA" w:rsidRPr="001333EC" w:rsidTr="001737CA">
        <w:trPr>
          <w:cnfStyle w:val="000000100000"/>
          <w:cantSplit/>
        </w:trPr>
        <w:tc>
          <w:tcPr>
            <w:cnfStyle w:val="001000000000"/>
            <w:tcW w:w="4108" w:type="dxa"/>
            <w:gridSpan w:val="3"/>
          </w:tcPr>
          <w:p w:rsidR="001737CA" w:rsidRPr="001333EC" w:rsidRDefault="001737CA" w:rsidP="001737CA">
            <w:pPr>
              <w:rPr>
                <w:color w:val="auto"/>
              </w:rPr>
            </w:pPr>
            <w:r w:rsidRPr="001333EC">
              <w:rPr>
                <w:color w:val="auto"/>
              </w:rPr>
              <w:t>Dependent Variable: LN_NOM_EX</w:t>
            </w:r>
          </w:p>
        </w:tc>
      </w:tr>
      <w:tr w:rsidR="001737CA" w:rsidRPr="001333EC" w:rsidTr="001737CA">
        <w:trPr>
          <w:cantSplit/>
        </w:trPr>
        <w:tc>
          <w:tcPr>
            <w:cnfStyle w:val="001000000000"/>
            <w:tcW w:w="4108" w:type="dxa"/>
            <w:gridSpan w:val="3"/>
          </w:tcPr>
          <w:p w:rsidR="001737CA" w:rsidRPr="001333EC" w:rsidRDefault="001737CA" w:rsidP="001737CA">
            <w:pPr>
              <w:rPr>
                <w:b w:val="0"/>
                <w:color w:val="auto"/>
              </w:rPr>
            </w:pPr>
            <w:r w:rsidRPr="001333EC">
              <w:rPr>
                <w:color w:val="auto"/>
              </w:rPr>
              <w:t>Method: Panel Least Squares</w:t>
            </w:r>
          </w:p>
        </w:tc>
      </w:tr>
      <w:tr w:rsidR="001737CA" w:rsidRPr="001333EC" w:rsidTr="001737CA">
        <w:trPr>
          <w:cnfStyle w:val="000000100000"/>
          <w:cantSplit/>
        </w:trPr>
        <w:tc>
          <w:tcPr>
            <w:cnfStyle w:val="001000000000"/>
            <w:tcW w:w="4108" w:type="dxa"/>
            <w:gridSpan w:val="3"/>
          </w:tcPr>
          <w:p w:rsidR="001737CA" w:rsidRPr="001333EC" w:rsidRDefault="001737CA" w:rsidP="001737CA">
            <w:pPr>
              <w:rPr>
                <w:b w:val="0"/>
                <w:color w:val="auto"/>
              </w:rPr>
            </w:pPr>
            <w:r w:rsidRPr="001333EC">
              <w:rPr>
                <w:b w:val="0"/>
                <w:color w:val="auto"/>
              </w:rPr>
              <w:t>Country Pair Fixed Effect with time fixed effects</w:t>
            </w:r>
          </w:p>
        </w:tc>
      </w:tr>
      <w:tr w:rsidR="001737CA" w:rsidTr="001737CA">
        <w:trPr>
          <w:cantSplit/>
        </w:trPr>
        <w:tc>
          <w:tcPr>
            <w:cnfStyle w:val="001000000000"/>
            <w:tcW w:w="4108" w:type="dxa"/>
            <w:gridSpan w:val="3"/>
          </w:tcPr>
          <w:p w:rsidR="001737CA" w:rsidRDefault="001737CA" w:rsidP="001737CA"/>
        </w:tc>
      </w:tr>
      <w:tr w:rsidR="001737CA" w:rsidRPr="00B634B3" w:rsidTr="001737CA">
        <w:trPr>
          <w:cnfStyle w:val="000000100000"/>
          <w:cantSplit/>
        </w:trPr>
        <w:tc>
          <w:tcPr>
            <w:cnfStyle w:val="001000000000"/>
            <w:tcW w:w="2660" w:type="dxa"/>
          </w:tcPr>
          <w:p w:rsidR="001737CA" w:rsidRPr="00B634B3" w:rsidRDefault="001737CA" w:rsidP="001737CA">
            <w:pPr>
              <w:rPr>
                <w:b w:val="0"/>
                <w:bCs w:val="0"/>
                <w:color w:val="auto"/>
                <w:u w:val="single"/>
              </w:rPr>
            </w:pPr>
            <w:r w:rsidRPr="00B634B3">
              <w:rPr>
                <w:color w:val="auto"/>
                <w:u w:val="single"/>
              </w:rPr>
              <w:t>Variable:</w:t>
            </w:r>
          </w:p>
        </w:tc>
        <w:tc>
          <w:tcPr>
            <w:tcW w:w="1448" w:type="dxa"/>
            <w:gridSpan w:val="2"/>
          </w:tcPr>
          <w:p w:rsidR="001737CA" w:rsidRPr="00B634B3" w:rsidRDefault="001737CA" w:rsidP="001737CA">
            <w:pPr>
              <w:cnfStyle w:val="000000100000"/>
              <w:rPr>
                <w:i/>
                <w:color w:val="auto"/>
              </w:rPr>
            </w:pPr>
            <w:r w:rsidRPr="00B634B3">
              <w:rPr>
                <w:i/>
                <w:color w:val="auto"/>
              </w:rPr>
              <w:t>Coefficient</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SLOVENIA_X_EMU_07</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109</w:t>
            </w:r>
          </w:p>
          <w:p w:rsidR="001737CA" w:rsidRPr="003D76CD" w:rsidRDefault="001737CA" w:rsidP="001737CA">
            <w:pPr>
              <w:cnfStyle w:val="000000000000"/>
              <w:rPr>
                <w:rFonts w:ascii="Calibri" w:hAnsi="Calibri" w:cs="Calibri"/>
                <w:b/>
                <w:color w:val="000000"/>
              </w:rPr>
            </w:pPr>
            <w:r w:rsidRPr="00517B8D">
              <w:rPr>
                <w:rFonts w:ascii="Calibri" w:hAnsi="Calibri" w:cs="Calibri"/>
                <w:i/>
                <w:color w:val="auto"/>
                <w:sz w:val="16"/>
                <w:szCs w:val="16"/>
              </w:rPr>
              <w:t>(0.000)***</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SLOVENIA_X_RW_07</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106</w:t>
            </w:r>
          </w:p>
          <w:p w:rsidR="001737CA" w:rsidRPr="003D76CD" w:rsidRDefault="001737CA" w:rsidP="001737CA">
            <w:pPr>
              <w:cnfStyle w:val="000000100000"/>
              <w:rPr>
                <w:rFonts w:ascii="Calibri" w:hAnsi="Calibri" w:cs="Calibri"/>
                <w:b/>
                <w:color w:val="000000"/>
              </w:rPr>
            </w:pPr>
            <w:r w:rsidRPr="00517B8D">
              <w:rPr>
                <w:rFonts w:ascii="Calibri" w:hAnsi="Calibri" w:cs="Calibri"/>
                <w:i/>
                <w:color w:val="auto"/>
                <w:sz w:val="16"/>
                <w:szCs w:val="16"/>
              </w:rPr>
              <w:t>(0.000)***</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SLOVENIA_M_EMU_07</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044</w:t>
            </w:r>
          </w:p>
          <w:p w:rsidR="001737CA" w:rsidRPr="003D76CD" w:rsidRDefault="001737CA" w:rsidP="001737CA">
            <w:pPr>
              <w:cnfStyle w:val="000000000000"/>
              <w:rPr>
                <w:rFonts w:ascii="Calibri" w:hAnsi="Calibri" w:cs="Calibri"/>
                <w:b/>
                <w:color w:val="000000"/>
              </w:rPr>
            </w:pPr>
            <w:r w:rsidRPr="00517B8D">
              <w:rPr>
                <w:rFonts w:ascii="Calibri" w:hAnsi="Calibri" w:cs="Calibri"/>
                <w:i/>
                <w:color w:val="auto"/>
                <w:sz w:val="16"/>
                <w:szCs w:val="16"/>
              </w:rPr>
              <w:t>(0.</w:t>
            </w:r>
            <w:r>
              <w:rPr>
                <w:rFonts w:ascii="Calibri" w:hAnsi="Calibri" w:cs="Calibri"/>
                <w:i/>
                <w:color w:val="auto"/>
                <w:sz w:val="16"/>
                <w:szCs w:val="16"/>
              </w:rPr>
              <w:t>142)</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SLOVENIA_M_RW_07</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049</w:t>
            </w:r>
          </w:p>
          <w:p w:rsidR="001737CA" w:rsidRPr="003D76CD" w:rsidRDefault="001737CA" w:rsidP="001737CA">
            <w:pPr>
              <w:cnfStyle w:val="000000100000"/>
              <w:rPr>
                <w:rFonts w:ascii="Calibri" w:hAnsi="Calibri" w:cs="Calibri"/>
                <w:b/>
                <w:color w:val="000000"/>
              </w:rPr>
            </w:pPr>
            <w:r>
              <w:rPr>
                <w:rFonts w:ascii="Calibri" w:hAnsi="Calibri" w:cs="Calibri"/>
                <w:i/>
                <w:color w:val="auto"/>
                <w:sz w:val="16"/>
                <w:szCs w:val="16"/>
              </w:rPr>
              <w:t>(0.024</w:t>
            </w:r>
            <w:r w:rsidRPr="00517B8D">
              <w:rPr>
                <w:rFonts w:ascii="Calibri" w:hAnsi="Calibri" w:cs="Calibri"/>
                <w:i/>
                <w:color w:val="auto"/>
                <w:sz w:val="16"/>
                <w:szCs w:val="16"/>
              </w:rPr>
              <w:t>)**</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CYPRUS_X_EMU_08</w:t>
            </w:r>
          </w:p>
        </w:tc>
        <w:tc>
          <w:tcPr>
            <w:tcW w:w="1306" w:type="dxa"/>
            <w:vAlign w:val="bottom"/>
          </w:tcPr>
          <w:p w:rsidR="001737CA" w:rsidRPr="003D76CD" w:rsidRDefault="001737CA" w:rsidP="001737CA">
            <w:pPr>
              <w:cnfStyle w:val="000000000000"/>
              <w:rPr>
                <w:rFonts w:ascii="Calibri" w:hAnsi="Calibri"/>
                <w:b/>
                <w:color w:val="000000"/>
              </w:rPr>
            </w:pPr>
            <w:r w:rsidRPr="003D76CD">
              <w:rPr>
                <w:rFonts w:ascii="Calibri" w:hAnsi="Calibri"/>
                <w:b/>
                <w:color w:val="000000"/>
              </w:rPr>
              <w:t>-0</w:t>
            </w:r>
            <w:r>
              <w:rPr>
                <w:rFonts w:ascii="Calibri" w:hAnsi="Calibri"/>
                <w:b/>
                <w:color w:val="000000"/>
              </w:rPr>
              <w:t>.</w:t>
            </w:r>
            <w:r w:rsidRPr="003D76CD">
              <w:rPr>
                <w:rFonts w:ascii="Calibri" w:hAnsi="Calibri"/>
                <w:b/>
                <w:color w:val="000000"/>
              </w:rPr>
              <w:t>053</w:t>
            </w:r>
          </w:p>
          <w:p w:rsidR="001737CA" w:rsidRPr="003D76CD" w:rsidRDefault="001737CA" w:rsidP="001737CA">
            <w:pPr>
              <w:cnfStyle w:val="000000000000"/>
              <w:rPr>
                <w:rFonts w:ascii="Calibri" w:hAnsi="Calibri" w:cs="Calibri"/>
                <w:b/>
                <w:color w:val="000000"/>
              </w:rPr>
            </w:pPr>
            <w:r>
              <w:rPr>
                <w:rFonts w:ascii="Calibri" w:hAnsi="Calibri" w:cs="Calibri"/>
                <w:i/>
                <w:color w:val="auto"/>
                <w:sz w:val="16"/>
                <w:szCs w:val="16"/>
              </w:rPr>
              <w:t>(0.091</w:t>
            </w:r>
            <w:r w:rsidRPr="00517B8D">
              <w:rPr>
                <w:rFonts w:ascii="Calibri" w:hAnsi="Calibri" w:cs="Calibri"/>
                <w:i/>
                <w:color w:val="auto"/>
                <w:sz w:val="16"/>
                <w:szCs w:val="16"/>
              </w:rPr>
              <w:t>)*</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CYPRUS_X_RW_08</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169</w:t>
            </w:r>
          </w:p>
          <w:p w:rsidR="001737CA" w:rsidRPr="003D76CD" w:rsidRDefault="001737CA" w:rsidP="001737CA">
            <w:pPr>
              <w:cnfStyle w:val="000000100000"/>
              <w:rPr>
                <w:rFonts w:ascii="Calibri" w:hAnsi="Calibri" w:cs="Calibri"/>
                <w:b/>
                <w:color w:val="000000"/>
              </w:rPr>
            </w:pPr>
            <w:r w:rsidRPr="00517B8D">
              <w:rPr>
                <w:rFonts w:ascii="Calibri" w:hAnsi="Calibri" w:cs="Calibri"/>
                <w:i/>
                <w:color w:val="auto"/>
                <w:sz w:val="16"/>
                <w:szCs w:val="16"/>
              </w:rPr>
              <w:t>(0.000)***</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CYPRUS_M_EMU_08</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086</w:t>
            </w:r>
          </w:p>
          <w:p w:rsidR="001737CA" w:rsidRPr="003D76CD" w:rsidRDefault="001737CA" w:rsidP="001737CA">
            <w:pPr>
              <w:cnfStyle w:val="000000000000"/>
              <w:rPr>
                <w:rFonts w:ascii="Calibri" w:hAnsi="Calibri" w:cs="Calibri"/>
                <w:b/>
                <w:color w:val="000000"/>
              </w:rPr>
            </w:pPr>
            <w:r>
              <w:rPr>
                <w:rFonts w:ascii="Calibri" w:hAnsi="Calibri" w:cs="Calibri"/>
                <w:i/>
                <w:color w:val="auto"/>
                <w:sz w:val="16"/>
                <w:szCs w:val="16"/>
              </w:rPr>
              <w:t>(0.006</w:t>
            </w:r>
            <w:r w:rsidRPr="00517B8D">
              <w:rPr>
                <w:rFonts w:ascii="Calibri" w:hAnsi="Calibri" w:cs="Calibri"/>
                <w:i/>
                <w:color w:val="auto"/>
                <w:sz w:val="16"/>
                <w:szCs w:val="16"/>
              </w:rPr>
              <w:t>)***</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CYPRUS_M_RW_08</w:t>
            </w:r>
          </w:p>
        </w:tc>
        <w:tc>
          <w:tcPr>
            <w:tcW w:w="1306" w:type="dxa"/>
            <w:vAlign w:val="bottom"/>
          </w:tcPr>
          <w:p w:rsidR="001737CA" w:rsidRPr="003D76CD" w:rsidRDefault="001737CA" w:rsidP="001737CA">
            <w:pPr>
              <w:cnfStyle w:val="000000100000"/>
              <w:rPr>
                <w:rFonts w:ascii="Calibri" w:hAnsi="Calibri"/>
                <w:b/>
                <w:color w:val="000000"/>
              </w:rPr>
            </w:pPr>
            <w:r w:rsidRPr="003D76CD">
              <w:rPr>
                <w:rFonts w:ascii="Calibri" w:hAnsi="Calibri"/>
                <w:b/>
                <w:color w:val="000000"/>
              </w:rPr>
              <w:t>-0</w:t>
            </w:r>
            <w:r>
              <w:rPr>
                <w:rFonts w:ascii="Calibri" w:hAnsi="Calibri"/>
                <w:b/>
                <w:color w:val="000000"/>
              </w:rPr>
              <w:t>.</w:t>
            </w:r>
            <w:r w:rsidRPr="003D76CD">
              <w:rPr>
                <w:rFonts w:ascii="Calibri" w:hAnsi="Calibri"/>
                <w:b/>
                <w:color w:val="000000"/>
              </w:rPr>
              <w:t>033</w:t>
            </w:r>
          </w:p>
          <w:p w:rsidR="001737CA" w:rsidRPr="003D76CD" w:rsidRDefault="001737CA" w:rsidP="001737CA">
            <w:pPr>
              <w:cnfStyle w:val="000000100000"/>
              <w:rPr>
                <w:rFonts w:ascii="Calibri" w:hAnsi="Calibri" w:cs="Calibri"/>
                <w:i/>
                <w:color w:val="auto"/>
                <w:sz w:val="16"/>
                <w:szCs w:val="16"/>
              </w:rPr>
            </w:pPr>
            <w:r w:rsidRPr="00517B8D">
              <w:rPr>
                <w:rFonts w:ascii="Calibri" w:hAnsi="Calibri" w:cs="Calibri"/>
                <w:i/>
                <w:color w:val="auto"/>
                <w:sz w:val="16"/>
                <w:szCs w:val="16"/>
              </w:rPr>
              <w:t>(0.</w:t>
            </w:r>
            <w:r>
              <w:rPr>
                <w:rFonts w:ascii="Calibri" w:hAnsi="Calibri" w:cs="Calibri"/>
                <w:i/>
                <w:color w:val="auto"/>
                <w:sz w:val="16"/>
                <w:szCs w:val="16"/>
              </w:rPr>
              <w:t>144)</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MALTA_X_EMU_08</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012</w:t>
            </w:r>
          </w:p>
          <w:p w:rsidR="001737CA" w:rsidRPr="003D76CD" w:rsidRDefault="001737CA" w:rsidP="001737CA">
            <w:pPr>
              <w:cnfStyle w:val="000000000000"/>
              <w:rPr>
                <w:rFonts w:ascii="Calibri" w:hAnsi="Calibri" w:cs="Calibri"/>
                <w:b/>
                <w:color w:val="000000"/>
              </w:rPr>
            </w:pPr>
            <w:r>
              <w:rPr>
                <w:rFonts w:ascii="Calibri" w:hAnsi="Calibri" w:cs="Calibri"/>
                <w:i/>
                <w:color w:val="auto"/>
                <w:sz w:val="16"/>
                <w:szCs w:val="16"/>
              </w:rPr>
              <w:t>(0.699</w:t>
            </w:r>
            <w:r w:rsidRPr="00517B8D">
              <w:rPr>
                <w:rFonts w:ascii="Calibri" w:hAnsi="Calibri" w:cs="Calibri"/>
                <w:i/>
                <w:color w:val="auto"/>
                <w:sz w:val="16"/>
                <w:szCs w:val="16"/>
              </w:rPr>
              <w:t>)</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MALTA_X_RW_08</w:t>
            </w:r>
          </w:p>
        </w:tc>
        <w:tc>
          <w:tcPr>
            <w:tcW w:w="1306" w:type="dxa"/>
            <w:vAlign w:val="bottom"/>
          </w:tcPr>
          <w:p w:rsidR="001737CA" w:rsidRPr="003D76CD" w:rsidRDefault="001737CA" w:rsidP="001737CA">
            <w:pPr>
              <w:cnfStyle w:val="000000100000"/>
              <w:rPr>
                <w:rFonts w:ascii="Calibri" w:hAnsi="Calibri"/>
                <w:b/>
                <w:color w:val="000000"/>
              </w:rPr>
            </w:pPr>
            <w:r w:rsidRPr="003D76CD">
              <w:rPr>
                <w:rFonts w:ascii="Calibri" w:hAnsi="Calibri"/>
                <w:b/>
                <w:color w:val="000000"/>
              </w:rPr>
              <w:t>-0</w:t>
            </w:r>
            <w:r>
              <w:rPr>
                <w:rFonts w:ascii="Calibri" w:hAnsi="Calibri"/>
                <w:b/>
                <w:color w:val="000000"/>
              </w:rPr>
              <w:t>.</w:t>
            </w:r>
            <w:r w:rsidRPr="003D76CD">
              <w:rPr>
                <w:rFonts w:ascii="Calibri" w:hAnsi="Calibri"/>
                <w:b/>
                <w:color w:val="000000"/>
              </w:rPr>
              <w:t>015</w:t>
            </w:r>
          </w:p>
          <w:p w:rsidR="001737CA" w:rsidRPr="003D76CD" w:rsidRDefault="001737CA" w:rsidP="001737CA">
            <w:pPr>
              <w:cnfStyle w:val="000000100000"/>
              <w:rPr>
                <w:rFonts w:ascii="Calibri" w:hAnsi="Calibri" w:cs="Calibri"/>
                <w:b/>
                <w:color w:val="000000"/>
              </w:rPr>
            </w:pPr>
            <w:r w:rsidRPr="00517B8D">
              <w:rPr>
                <w:rFonts w:ascii="Calibri" w:hAnsi="Calibri" w:cs="Calibri"/>
                <w:i/>
                <w:color w:val="auto"/>
                <w:sz w:val="16"/>
                <w:szCs w:val="16"/>
              </w:rPr>
              <w:t>(0.</w:t>
            </w:r>
            <w:r>
              <w:rPr>
                <w:rFonts w:ascii="Calibri" w:hAnsi="Calibri" w:cs="Calibri"/>
                <w:i/>
                <w:color w:val="auto"/>
                <w:sz w:val="16"/>
                <w:szCs w:val="16"/>
              </w:rPr>
              <w:t>516)</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MALTA_M_EMU_08</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053</w:t>
            </w:r>
          </w:p>
          <w:p w:rsidR="001737CA" w:rsidRPr="003D76CD" w:rsidRDefault="001737CA" w:rsidP="001737CA">
            <w:pPr>
              <w:cnfStyle w:val="000000000000"/>
              <w:rPr>
                <w:rFonts w:ascii="Calibri" w:hAnsi="Calibri" w:cs="Calibri"/>
                <w:b/>
                <w:color w:val="000000"/>
              </w:rPr>
            </w:pPr>
            <w:r>
              <w:rPr>
                <w:rFonts w:ascii="Calibri" w:hAnsi="Calibri" w:cs="Calibri"/>
                <w:i/>
                <w:color w:val="auto"/>
                <w:sz w:val="16"/>
                <w:szCs w:val="16"/>
              </w:rPr>
              <w:t>(0.086</w:t>
            </w:r>
            <w:r w:rsidRPr="00517B8D">
              <w:rPr>
                <w:rFonts w:ascii="Calibri" w:hAnsi="Calibri" w:cs="Calibri"/>
                <w:i/>
                <w:color w:val="auto"/>
                <w:sz w:val="16"/>
                <w:szCs w:val="16"/>
              </w:rPr>
              <w:t>)*</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MALTA_M_RW_08</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064</w:t>
            </w:r>
          </w:p>
          <w:p w:rsidR="001737CA" w:rsidRPr="003D76CD" w:rsidRDefault="001737CA" w:rsidP="001737CA">
            <w:pPr>
              <w:cnfStyle w:val="000000100000"/>
              <w:rPr>
                <w:rFonts w:ascii="Calibri" w:hAnsi="Calibri" w:cs="Calibri"/>
                <w:b/>
                <w:color w:val="000000"/>
              </w:rPr>
            </w:pPr>
            <w:r>
              <w:rPr>
                <w:rFonts w:ascii="Calibri" w:hAnsi="Calibri" w:cs="Calibri"/>
                <w:i/>
                <w:color w:val="auto"/>
                <w:sz w:val="16"/>
                <w:szCs w:val="16"/>
              </w:rPr>
              <w:t>(0.005</w:t>
            </w:r>
            <w:r w:rsidRPr="00517B8D">
              <w:rPr>
                <w:rFonts w:ascii="Calibri" w:hAnsi="Calibri" w:cs="Calibri"/>
                <w:i/>
                <w:color w:val="auto"/>
                <w:sz w:val="16"/>
                <w:szCs w:val="16"/>
              </w:rPr>
              <w:t>)***</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SLOVAKREP_X_EMU_09</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087</w:t>
            </w:r>
          </w:p>
          <w:p w:rsidR="001737CA" w:rsidRPr="003D76CD" w:rsidRDefault="001737CA" w:rsidP="001737CA">
            <w:pPr>
              <w:cnfStyle w:val="000000000000"/>
              <w:rPr>
                <w:rFonts w:ascii="Calibri" w:hAnsi="Calibri" w:cs="Calibri"/>
                <w:b/>
                <w:color w:val="000000"/>
              </w:rPr>
            </w:pPr>
            <w:r>
              <w:rPr>
                <w:rFonts w:ascii="Calibri" w:hAnsi="Calibri" w:cs="Calibri"/>
                <w:i/>
                <w:color w:val="auto"/>
                <w:sz w:val="16"/>
                <w:szCs w:val="16"/>
              </w:rPr>
              <w:t>(0.01</w:t>
            </w:r>
            <w:r w:rsidRPr="00517B8D">
              <w:rPr>
                <w:rFonts w:ascii="Calibri" w:hAnsi="Calibri" w:cs="Calibri"/>
                <w:i/>
                <w:color w:val="auto"/>
                <w:sz w:val="16"/>
                <w:szCs w:val="16"/>
              </w:rPr>
              <w:t>0)***</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SLOVAKREP_X_RW_09</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050</w:t>
            </w:r>
          </w:p>
          <w:p w:rsidR="001737CA" w:rsidRPr="003D76CD" w:rsidRDefault="001737CA" w:rsidP="001737CA">
            <w:pPr>
              <w:cnfStyle w:val="000000100000"/>
              <w:rPr>
                <w:rFonts w:ascii="Calibri" w:hAnsi="Calibri" w:cs="Calibri"/>
                <w:b/>
                <w:color w:val="000000"/>
              </w:rPr>
            </w:pPr>
            <w:r>
              <w:rPr>
                <w:rFonts w:ascii="Calibri" w:hAnsi="Calibri" w:cs="Calibri"/>
                <w:i/>
                <w:color w:val="auto"/>
                <w:sz w:val="16"/>
                <w:szCs w:val="16"/>
              </w:rPr>
              <w:t>(0.043</w:t>
            </w:r>
            <w:r w:rsidRPr="00517B8D">
              <w:rPr>
                <w:rFonts w:ascii="Calibri" w:hAnsi="Calibri" w:cs="Calibri"/>
                <w:i/>
                <w:color w:val="auto"/>
                <w:sz w:val="16"/>
                <w:szCs w:val="16"/>
              </w:rPr>
              <w:t>)**</w:t>
            </w:r>
          </w:p>
        </w:tc>
      </w:tr>
      <w:tr w:rsidR="001737CA" w:rsidRPr="003D76CD" w:rsidTr="001737CA">
        <w:trPr>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SLOVAKREP_M_EMU_09</w:t>
            </w:r>
          </w:p>
        </w:tc>
        <w:tc>
          <w:tcPr>
            <w:tcW w:w="1306" w:type="dxa"/>
            <w:vAlign w:val="bottom"/>
          </w:tcPr>
          <w:p w:rsidR="001737CA" w:rsidRPr="003D76CD" w:rsidRDefault="001737CA" w:rsidP="001737CA">
            <w:pPr>
              <w:cnfStyle w:val="000000000000"/>
              <w:rPr>
                <w:rFonts w:ascii="Calibri" w:hAnsi="Calibri"/>
                <w:b/>
                <w:color w:val="000000"/>
              </w:rPr>
            </w:pPr>
            <w:r>
              <w:rPr>
                <w:rFonts w:ascii="Calibri" w:hAnsi="Calibri"/>
                <w:b/>
                <w:color w:val="000000"/>
              </w:rPr>
              <w:t>0.</w:t>
            </w:r>
            <w:r w:rsidRPr="003D76CD">
              <w:rPr>
                <w:rFonts w:ascii="Calibri" w:hAnsi="Calibri"/>
                <w:b/>
                <w:color w:val="000000"/>
              </w:rPr>
              <w:t>019</w:t>
            </w:r>
          </w:p>
          <w:p w:rsidR="001737CA" w:rsidRPr="003D76CD" w:rsidRDefault="001737CA" w:rsidP="001737CA">
            <w:pPr>
              <w:cnfStyle w:val="000000000000"/>
              <w:rPr>
                <w:rFonts w:ascii="Calibri" w:hAnsi="Calibri" w:cs="Calibri"/>
                <w:b/>
                <w:color w:val="000000"/>
              </w:rPr>
            </w:pPr>
            <w:r w:rsidRPr="00517B8D">
              <w:rPr>
                <w:rFonts w:ascii="Calibri" w:hAnsi="Calibri" w:cs="Calibri"/>
                <w:i/>
                <w:color w:val="auto"/>
                <w:sz w:val="16"/>
                <w:szCs w:val="16"/>
              </w:rPr>
              <w:t>(0.</w:t>
            </w:r>
            <w:r>
              <w:rPr>
                <w:rFonts w:ascii="Calibri" w:hAnsi="Calibri" w:cs="Calibri"/>
                <w:i/>
                <w:color w:val="auto"/>
                <w:sz w:val="16"/>
                <w:szCs w:val="16"/>
              </w:rPr>
              <w:t>576)</w:t>
            </w:r>
          </w:p>
        </w:tc>
      </w:tr>
      <w:tr w:rsidR="001737CA" w:rsidRPr="003D76CD" w:rsidTr="001737CA">
        <w:trPr>
          <w:cnfStyle w:val="000000100000"/>
          <w:cantSplit/>
        </w:trPr>
        <w:tc>
          <w:tcPr>
            <w:cnfStyle w:val="001000000000"/>
            <w:tcW w:w="2802" w:type="dxa"/>
            <w:gridSpan w:val="2"/>
            <w:vAlign w:val="center"/>
          </w:tcPr>
          <w:p w:rsidR="001737CA" w:rsidRPr="003D76CD" w:rsidRDefault="001737CA" w:rsidP="001737CA">
            <w:pPr>
              <w:rPr>
                <w:rFonts w:ascii="Calibri" w:hAnsi="Calibri" w:cs="Calibri"/>
                <w:b w:val="0"/>
                <w:color w:val="000000"/>
              </w:rPr>
            </w:pPr>
            <w:r w:rsidRPr="003D76CD">
              <w:rPr>
                <w:rFonts w:ascii="Calibri" w:hAnsi="Calibri" w:cs="Calibri"/>
                <w:b w:val="0"/>
                <w:color w:val="000000"/>
              </w:rPr>
              <w:t>SLOVAKREP_M_RW_09</w:t>
            </w:r>
          </w:p>
        </w:tc>
        <w:tc>
          <w:tcPr>
            <w:tcW w:w="1306" w:type="dxa"/>
            <w:vAlign w:val="bottom"/>
          </w:tcPr>
          <w:p w:rsidR="001737CA" w:rsidRPr="003D76CD" w:rsidRDefault="001737CA" w:rsidP="001737CA">
            <w:pPr>
              <w:cnfStyle w:val="000000100000"/>
              <w:rPr>
                <w:rFonts w:ascii="Calibri" w:hAnsi="Calibri"/>
                <w:b/>
                <w:color w:val="000000"/>
              </w:rPr>
            </w:pPr>
            <w:r>
              <w:rPr>
                <w:rFonts w:ascii="Calibri" w:hAnsi="Calibri"/>
                <w:b/>
                <w:color w:val="000000"/>
              </w:rPr>
              <w:t>0.</w:t>
            </w:r>
            <w:r w:rsidRPr="003D76CD">
              <w:rPr>
                <w:rFonts w:ascii="Calibri" w:hAnsi="Calibri"/>
                <w:b/>
                <w:color w:val="000000"/>
              </w:rPr>
              <w:t>026</w:t>
            </w:r>
          </w:p>
          <w:p w:rsidR="001737CA" w:rsidRPr="003D76CD" w:rsidRDefault="001737CA" w:rsidP="001737CA">
            <w:pPr>
              <w:keepNext/>
              <w:cnfStyle w:val="000000100000"/>
              <w:rPr>
                <w:rFonts w:ascii="Calibri" w:hAnsi="Calibri" w:cs="Calibri"/>
                <w:b/>
                <w:color w:val="000000"/>
              </w:rPr>
            </w:pPr>
            <w:r w:rsidRPr="00517B8D">
              <w:rPr>
                <w:rFonts w:ascii="Calibri" w:hAnsi="Calibri" w:cs="Calibri"/>
                <w:i/>
                <w:color w:val="auto"/>
                <w:sz w:val="16"/>
                <w:szCs w:val="16"/>
              </w:rPr>
              <w:t>(0.</w:t>
            </w:r>
            <w:r>
              <w:rPr>
                <w:rFonts w:ascii="Calibri" w:hAnsi="Calibri" w:cs="Calibri"/>
                <w:i/>
                <w:color w:val="auto"/>
                <w:sz w:val="16"/>
                <w:szCs w:val="16"/>
              </w:rPr>
              <w:t>289)</w:t>
            </w:r>
          </w:p>
        </w:tc>
      </w:tr>
    </w:tbl>
    <w:p w:rsidR="00650FEB" w:rsidRDefault="001737CA" w:rsidP="00B57840">
      <w:pPr>
        <w:spacing w:line="360" w:lineRule="auto"/>
        <w:jc w:val="both"/>
      </w:pPr>
      <w:r>
        <w:t xml:space="preserve">close to the predicted effect of Euro adoption on export  </w:t>
      </w:r>
      <w:proofErr w:type="spellStart"/>
      <w:r>
        <w:t>Brouwer</w:t>
      </w:r>
      <w:proofErr w:type="spellEnd"/>
      <w:r>
        <w:t xml:space="preserve"> et al. (2008). The negative total trade effects of Cyprus are caused by a severe fall in exports, contradictory to the predicted 8% increase, while no evidence of changes in imports are witnessed. For Malta, where a small positive trade effect of Euro adoption was found, this is caused by an increase in import. This is also contradictory to the prediction made by </w:t>
      </w:r>
      <w:proofErr w:type="spellStart"/>
      <w:r>
        <w:t>Brouwer</w:t>
      </w:r>
      <w:proofErr w:type="spellEnd"/>
      <w:r>
        <w:t xml:space="preserve"> et al (2008) since they expected the largest increase in exports for Malta out of all the 2004 EU entrants (13%).Finally, the positive total trade effects of Euro adoption found for the Slovak Republic are mainly caused by increased exports since Euro adoption, which is line with the predictions.</w:t>
      </w:r>
    </w:p>
    <w:p w:rsidR="00650FEB" w:rsidRPr="00787CBC" w:rsidRDefault="00650FEB" w:rsidP="00650FEB">
      <w:pPr>
        <w:pStyle w:val="Caption"/>
        <w:framePr w:w="4062" w:h="1385" w:hRule="exact" w:hSpace="142" w:wrap="around" w:vAnchor="page" w:hAnchor="page" w:x="6461" w:y="12943"/>
        <w:suppressOverlap/>
        <w:jc w:val="both"/>
        <w:rPr>
          <w:color w:val="auto"/>
        </w:rPr>
      </w:pPr>
      <w:r w:rsidRPr="00787CBC">
        <w:rPr>
          <w:color w:val="auto"/>
        </w:rPr>
        <w:t xml:space="preserve">Notes: </w:t>
      </w:r>
      <w:r>
        <w:rPr>
          <w:color w:val="auto"/>
        </w:rPr>
        <w:t>The table displays the coefficients found when using the Country-Pair fixed effect model with fixed time effects in testing the effect of Euro adoption on export and import separately for the new EMU members, for each specific trading partner group (existing EMU members and the Rest of the World).</w:t>
      </w:r>
    </w:p>
    <w:p w:rsidR="001F1179" w:rsidRDefault="0029226F" w:rsidP="00B57840">
      <w:pPr>
        <w:spacing w:line="360" w:lineRule="auto"/>
        <w:jc w:val="both"/>
      </w:pPr>
      <w:r>
        <w:t>T</w:t>
      </w:r>
      <w:r w:rsidR="001F1179">
        <w:t xml:space="preserve">able </w:t>
      </w:r>
      <w:r w:rsidR="00787CBC">
        <w:t>9-</w:t>
      </w:r>
      <w:r>
        <w:t xml:space="preserve">2 </w:t>
      </w:r>
      <w:r w:rsidR="001F1179">
        <w:t xml:space="preserve">presents the results of a re-testing of hypotheses 2 and 3 at the </w:t>
      </w:r>
      <w:r w:rsidR="003F5D67">
        <w:t>export-import</w:t>
      </w:r>
      <w:r w:rsidR="001F1179">
        <w:t xml:space="preserve"> level, revealing some more interesting trade effect caused by Euro adoption. For Slovenia for example, exports to EMU members has increased since Euro adoption, but imports from this group did not significantly change. Cyprus on the other hand has witnessed a significant fall in exports to EMU members, but also a significant increase in imports from EMU members since Euro adoption. </w:t>
      </w:r>
      <w:r>
        <w:t xml:space="preserve">When looking at the Slovak Republic, their increased exports since Euro adoption are strongly affected by increased exports to EMU members. </w:t>
      </w:r>
    </w:p>
    <w:p w:rsidR="008248AA" w:rsidRDefault="00CD75BD" w:rsidP="00CD75BD">
      <w:pPr>
        <w:spacing w:line="360" w:lineRule="auto"/>
        <w:jc w:val="both"/>
      </w:pPr>
      <w:r>
        <w:t xml:space="preserve">The </w:t>
      </w:r>
      <w:r w:rsidR="006E324C">
        <w:t xml:space="preserve">outputs of the regressions investigating </w:t>
      </w:r>
      <w:r w:rsidR="001D5565">
        <w:t>export and import</w:t>
      </w:r>
      <w:r>
        <w:t xml:space="preserve"> effects of Euro adoption for the new</w:t>
      </w:r>
      <w:r w:rsidR="001D5565">
        <w:t xml:space="preserve"> </w:t>
      </w:r>
      <w:r>
        <w:t>EMU</w:t>
      </w:r>
      <w:r w:rsidR="001D5565">
        <w:t xml:space="preserve"> members as a</w:t>
      </w:r>
      <w:r>
        <w:t xml:space="preserve"> group </w:t>
      </w:r>
      <w:r w:rsidR="001D5565">
        <w:t>compared to</w:t>
      </w:r>
      <w:r>
        <w:t xml:space="preserve"> the benchmark </w:t>
      </w:r>
      <w:r w:rsidR="001D5565">
        <w:t xml:space="preserve">group </w:t>
      </w:r>
      <w:r>
        <w:t xml:space="preserve">are displayed in Appendix D. Also are the results shown when Cyprus is excluded from both groups. </w:t>
      </w:r>
    </w:p>
    <w:p w:rsidR="00CD75BD" w:rsidRDefault="00CD75BD" w:rsidP="00CD75BD">
      <w:pPr>
        <w:pStyle w:val="Heading2"/>
      </w:pPr>
      <w:bookmarkStart w:id="49" w:name="_Toc353348807"/>
      <w:r>
        <w:t xml:space="preserve">9.2 </w:t>
      </w:r>
      <w:r w:rsidR="00515EFC">
        <w:t xml:space="preserve"> </w:t>
      </w:r>
      <w:r w:rsidR="00515EFC">
        <w:tab/>
      </w:r>
      <w:r w:rsidR="003F5D67">
        <w:t>Openness to Trade</w:t>
      </w:r>
      <w:bookmarkEnd w:id="49"/>
    </w:p>
    <w:p w:rsidR="00CD75BD" w:rsidRDefault="00CD75BD" w:rsidP="00CD75BD">
      <w:pPr>
        <w:spacing w:line="360" w:lineRule="auto"/>
        <w:jc w:val="both"/>
      </w:pPr>
      <w:r>
        <w:t xml:space="preserve">Empirically testing trade effects of a country joining a currency union is interesting to test currency union theory. </w:t>
      </w:r>
      <w:r w:rsidR="002760F9">
        <w:t>I</w:t>
      </w:r>
      <w:r>
        <w:t>t</w:t>
      </w:r>
      <w:r w:rsidR="002760F9">
        <w:t xml:space="preserve"> is also</w:t>
      </w:r>
      <w:r>
        <w:t xml:space="preserve"> interesting to investigate whether the new countries in a currency union display evidence of trade creation or trade diversion. </w:t>
      </w:r>
      <w:r w:rsidR="0043698B">
        <w:t xml:space="preserve">But given </w:t>
      </w:r>
      <w:r w:rsidR="005A70DF">
        <w:t>that a</w:t>
      </w:r>
      <w:r w:rsidR="0043698B">
        <w:t xml:space="preserve"> potential trade effects </w:t>
      </w:r>
      <w:r w:rsidR="003F7BF5">
        <w:t xml:space="preserve">is </w:t>
      </w:r>
      <w:r w:rsidR="0043698B">
        <w:t xml:space="preserve">found, it is also interesting to use these result </w:t>
      </w:r>
      <w:r w:rsidR="003F7BF5">
        <w:t>as a guideline for</w:t>
      </w:r>
      <w:r w:rsidR="0043698B">
        <w:t xml:space="preserve"> potential new members of the currency union. This is of particular relevance for the six remaining 2004 EU entrants, since by joining the EU</w:t>
      </w:r>
      <w:r w:rsidR="003F7BF5">
        <w:t xml:space="preserve"> these</w:t>
      </w:r>
      <w:r w:rsidR="0043698B">
        <w:t xml:space="preserve"> countries simultaneously commit</w:t>
      </w:r>
      <w:r w:rsidR="003F7BF5">
        <w:t>ted</w:t>
      </w:r>
      <w:r w:rsidR="0043698B">
        <w:t xml:space="preserve"> themselves to eventual Euro adoption. </w:t>
      </w:r>
      <w:r w:rsidR="002760F9">
        <w:t>G</w:t>
      </w:r>
      <w:r w:rsidR="0043698B">
        <w:t>iven the earlier discussed lacking consensus in the literature on which countries would gain the most by Euro adoption, either the more closed or the more open economies, this</w:t>
      </w:r>
      <w:r w:rsidR="002760F9">
        <w:t xml:space="preserve"> is an interesting question to answer with the dataset at hand, and so to provide an indication to guidance.</w:t>
      </w:r>
    </w:p>
    <w:p w:rsidR="00822DDD" w:rsidRPr="00CD75BD" w:rsidRDefault="00434F3C" w:rsidP="00CD75BD">
      <w:pPr>
        <w:spacing w:line="360" w:lineRule="auto"/>
        <w:jc w:val="both"/>
      </w:pPr>
      <w:r>
        <w:t>Since there are only four countries that have adopted the Euro out of the ten 2004 EU entrants</w:t>
      </w:r>
      <w:r w:rsidR="00822DDD">
        <w:t xml:space="preserve">, looking for a relation between a country’s openness to trade and trade effects of Euro adoption can only be based on four observations. Therefore no formal test can be conducted on finding a significant relation between these factors. Nonetheless a scatter plot can </w:t>
      </w:r>
      <w:r w:rsidR="003F7BF5">
        <w:t xml:space="preserve">be </w:t>
      </w:r>
      <w:r w:rsidR="00822DDD">
        <w:t xml:space="preserve">constructed to identify a potential relation between trade effects of Euro adoption and a country’s openness to trade. </w:t>
      </w:r>
    </w:p>
    <w:p w:rsidR="0066793A" w:rsidRDefault="0066793A" w:rsidP="0066793A">
      <w:pPr>
        <w:pStyle w:val="Caption"/>
        <w:keepNext/>
        <w:spacing w:after="0"/>
        <w:rPr>
          <w:color w:val="auto"/>
          <w:sz w:val="28"/>
          <w:szCs w:val="28"/>
        </w:rPr>
      </w:pPr>
      <w:r w:rsidRPr="0066793A">
        <w:rPr>
          <w:color w:val="auto"/>
          <w:sz w:val="28"/>
          <w:szCs w:val="28"/>
        </w:rPr>
        <w:t xml:space="preserve">Figure </w:t>
      </w:r>
      <w:r w:rsidR="008A5472" w:rsidRPr="0066793A">
        <w:rPr>
          <w:color w:val="auto"/>
          <w:sz w:val="28"/>
          <w:szCs w:val="28"/>
        </w:rPr>
        <w:fldChar w:fldCharType="begin"/>
      </w:r>
      <w:r w:rsidRPr="0066793A">
        <w:rPr>
          <w:color w:val="auto"/>
          <w:sz w:val="28"/>
          <w:szCs w:val="28"/>
        </w:rPr>
        <w:instrText xml:space="preserve"> STYLEREF 1 \s </w:instrText>
      </w:r>
      <w:r w:rsidR="008A5472" w:rsidRPr="0066793A">
        <w:rPr>
          <w:color w:val="auto"/>
          <w:sz w:val="28"/>
          <w:szCs w:val="28"/>
        </w:rPr>
        <w:fldChar w:fldCharType="separate"/>
      </w:r>
      <w:r w:rsidRPr="0066793A">
        <w:rPr>
          <w:noProof/>
          <w:color w:val="auto"/>
          <w:sz w:val="28"/>
          <w:szCs w:val="28"/>
        </w:rPr>
        <w:t>9</w:t>
      </w:r>
      <w:r w:rsidR="008A5472" w:rsidRPr="0066793A">
        <w:rPr>
          <w:color w:val="auto"/>
          <w:sz w:val="28"/>
          <w:szCs w:val="28"/>
        </w:rPr>
        <w:fldChar w:fldCharType="end"/>
      </w:r>
      <w:r w:rsidRPr="0066793A">
        <w:rPr>
          <w:color w:val="auto"/>
          <w:sz w:val="28"/>
          <w:szCs w:val="28"/>
        </w:rPr>
        <w:noBreakHyphen/>
      </w:r>
      <w:r w:rsidR="008A5472" w:rsidRPr="0066793A">
        <w:rPr>
          <w:color w:val="auto"/>
          <w:sz w:val="28"/>
          <w:szCs w:val="28"/>
        </w:rPr>
        <w:fldChar w:fldCharType="begin"/>
      </w:r>
      <w:r w:rsidRPr="0066793A">
        <w:rPr>
          <w:color w:val="auto"/>
          <w:sz w:val="28"/>
          <w:szCs w:val="28"/>
        </w:rPr>
        <w:instrText xml:space="preserve"> SEQ Figure \* ARABIC \s 1 </w:instrText>
      </w:r>
      <w:r w:rsidR="008A5472" w:rsidRPr="0066793A">
        <w:rPr>
          <w:color w:val="auto"/>
          <w:sz w:val="28"/>
          <w:szCs w:val="28"/>
        </w:rPr>
        <w:fldChar w:fldCharType="separate"/>
      </w:r>
      <w:r w:rsidRPr="0066793A">
        <w:rPr>
          <w:noProof/>
          <w:color w:val="auto"/>
          <w:sz w:val="28"/>
          <w:szCs w:val="28"/>
        </w:rPr>
        <w:t>1</w:t>
      </w:r>
      <w:r w:rsidR="008A5472" w:rsidRPr="0066793A">
        <w:rPr>
          <w:color w:val="auto"/>
          <w:sz w:val="28"/>
          <w:szCs w:val="28"/>
        </w:rPr>
        <w:fldChar w:fldCharType="end"/>
      </w:r>
      <w:r w:rsidRPr="0066793A">
        <w:rPr>
          <w:color w:val="auto"/>
          <w:sz w:val="28"/>
          <w:szCs w:val="28"/>
        </w:rPr>
        <w:t xml:space="preserve"> Scatter Plot of Trade Effects of Euro Adoption versus</w:t>
      </w:r>
      <w:r>
        <w:rPr>
          <w:color w:val="auto"/>
          <w:sz w:val="28"/>
          <w:szCs w:val="28"/>
        </w:rPr>
        <w:t xml:space="preserve"> </w:t>
      </w:r>
    </w:p>
    <w:p w:rsidR="0066793A" w:rsidRPr="0066793A" w:rsidRDefault="0066793A" w:rsidP="0066793A">
      <w:pPr>
        <w:pStyle w:val="Caption"/>
        <w:keepNext/>
        <w:spacing w:after="120"/>
        <w:rPr>
          <w:color w:val="auto"/>
          <w:sz w:val="28"/>
          <w:szCs w:val="28"/>
        </w:rPr>
      </w:pPr>
      <w:r>
        <w:rPr>
          <w:color w:val="auto"/>
          <w:sz w:val="28"/>
          <w:szCs w:val="28"/>
        </w:rPr>
        <w:t>Openness to Trade</w:t>
      </w:r>
    </w:p>
    <w:p w:rsidR="004F4F3D" w:rsidRDefault="004F4F3D" w:rsidP="004F4F3D">
      <w:pPr>
        <w:keepNext/>
      </w:pPr>
      <w:r w:rsidRPr="004F4F3D">
        <w:rPr>
          <w:noProof/>
        </w:rPr>
        <w:drawing>
          <wp:inline distT="0" distB="0" distL="0" distR="0">
            <wp:extent cx="5686661" cy="2743200"/>
            <wp:effectExtent l="19050" t="0" r="28339"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7CBC" w:rsidRPr="002904AE" w:rsidRDefault="004F4F3D" w:rsidP="002904AE">
      <w:pPr>
        <w:pStyle w:val="Caption"/>
        <w:rPr>
          <w:b w:val="0"/>
          <w:color w:val="auto"/>
        </w:rPr>
      </w:pPr>
      <w:r w:rsidRPr="002904AE">
        <w:rPr>
          <w:b w:val="0"/>
          <w:color w:val="auto"/>
        </w:rPr>
        <w:t xml:space="preserve">Source: own calculations based on IMF Directions of Trade Statistics </w:t>
      </w:r>
    </w:p>
    <w:p w:rsidR="00CD75BD" w:rsidRDefault="00795B23" w:rsidP="00795B23">
      <w:pPr>
        <w:spacing w:line="360" w:lineRule="auto"/>
        <w:jc w:val="both"/>
      </w:pPr>
      <w:r>
        <w:t xml:space="preserve">Figure 9-1 displays the scatter plot for trade effects of Euro adoption against a country’s openness to trade. A country’s average openness to trade since Euro adoption is constructed by taking the average of total exports plus total imports over GDP for the years in EMU. The values for the vertical axis are taken from table 7-1, which tested for the total effects on trade for the individual </w:t>
      </w:r>
      <w:r w:rsidR="002760F9">
        <w:t>countries</w:t>
      </w:r>
      <w:r>
        <w:t xml:space="preserve"> since they adopted the Euro. </w:t>
      </w:r>
    </w:p>
    <w:p w:rsidR="00795B23" w:rsidRDefault="00795B23" w:rsidP="00795B23">
      <w:pPr>
        <w:spacing w:line="360" w:lineRule="auto"/>
        <w:jc w:val="both"/>
      </w:pPr>
      <w:r>
        <w:t xml:space="preserve">Although no strict </w:t>
      </w:r>
      <w:r w:rsidR="0066793A">
        <w:t>cor</w:t>
      </w:r>
      <w:r>
        <w:t>relation</w:t>
      </w:r>
      <w:r w:rsidR="00D72177">
        <w:t xml:space="preserve"> can be seen, the overall pattern suggests that countries with a higher openness to trade find larger trade effects of Euro adoption. </w:t>
      </w:r>
      <w:r w:rsidR="002760F9">
        <w:t xml:space="preserve">This is in line with the predicted made by </w:t>
      </w:r>
      <w:proofErr w:type="spellStart"/>
      <w:r w:rsidR="002760F9">
        <w:t>Belke</w:t>
      </w:r>
      <w:proofErr w:type="spellEnd"/>
      <w:r w:rsidR="002760F9">
        <w:t xml:space="preserve"> and Spies (2008) and contradictory to the predictions made by </w:t>
      </w:r>
      <w:proofErr w:type="spellStart"/>
      <w:r w:rsidR="002760F9">
        <w:t>Maliszewka</w:t>
      </w:r>
      <w:proofErr w:type="spellEnd"/>
      <w:r w:rsidR="002760F9">
        <w:t xml:space="preserve"> (2004) and </w:t>
      </w:r>
      <w:proofErr w:type="spellStart"/>
      <w:r w:rsidR="002760F9">
        <w:t>Cieslik</w:t>
      </w:r>
      <w:proofErr w:type="spellEnd"/>
      <w:r w:rsidR="002760F9">
        <w:t xml:space="preserve"> et al. (2012). </w:t>
      </w:r>
      <w:r w:rsidR="00D72177">
        <w:t xml:space="preserve">Although this scatter plot is </w:t>
      </w:r>
      <w:r w:rsidR="002760F9">
        <w:t>not a strong and reliable tool to base</w:t>
      </w:r>
      <w:r w:rsidR="00D72177">
        <w:t xml:space="preserve"> recommendation</w:t>
      </w:r>
      <w:r w:rsidR="002760F9">
        <w:t>s on</w:t>
      </w:r>
      <w:r w:rsidR="00D72177">
        <w:t>, it does signal that countries that are more open to trade have more to gain by adopting the Euro compared to countries that have relatively more closed economies.</w:t>
      </w:r>
    </w:p>
    <w:p w:rsidR="00CD75BD" w:rsidRDefault="00D72177" w:rsidP="00D72177">
      <w:pPr>
        <w:spacing w:line="360" w:lineRule="auto"/>
        <w:jc w:val="both"/>
      </w:pPr>
      <w:r>
        <w:t xml:space="preserve">The previous scatter plot has focused on the relation between total openness to trade and the trade effects caused by Euro adoption. </w:t>
      </w:r>
      <w:r w:rsidR="00ED0AB5">
        <w:t>However, it is also</w:t>
      </w:r>
      <w:r w:rsidR="0066793A">
        <w:t xml:space="preserve"> interesting to investigate the relation between a country’s openness to trade</w:t>
      </w:r>
      <w:r w:rsidR="00ED0AB5">
        <w:t xml:space="preserve"> with </w:t>
      </w:r>
      <w:r w:rsidR="0066793A">
        <w:t>EMU partners</w:t>
      </w:r>
      <w:r w:rsidR="00ED0AB5">
        <w:t>,</w:t>
      </w:r>
      <w:r w:rsidR="0066793A">
        <w:t xml:space="preserve"> and </w:t>
      </w:r>
      <w:r w:rsidR="00ED0AB5">
        <w:t xml:space="preserve">relate this to </w:t>
      </w:r>
      <w:r w:rsidR="0066793A">
        <w:t xml:space="preserve">the trade effect </w:t>
      </w:r>
      <w:r w:rsidR="00ED0AB5">
        <w:t>of Euro adoption</w:t>
      </w:r>
      <w:r w:rsidR="0066793A">
        <w:t xml:space="preserve">. A scatter plot of these variables is shown in figure 9-2. </w:t>
      </w:r>
    </w:p>
    <w:p w:rsidR="00D72177" w:rsidRPr="00795B23" w:rsidRDefault="00D72177" w:rsidP="0066793A">
      <w:pPr>
        <w:pStyle w:val="Caption"/>
        <w:keepNext/>
        <w:spacing w:after="0"/>
        <w:rPr>
          <w:color w:val="auto"/>
          <w:sz w:val="28"/>
          <w:szCs w:val="28"/>
        </w:rPr>
      </w:pPr>
      <w:r w:rsidRPr="00D72177">
        <w:rPr>
          <w:color w:val="auto"/>
          <w:sz w:val="28"/>
          <w:szCs w:val="28"/>
        </w:rPr>
        <w:t xml:space="preserve">Figure </w:t>
      </w:r>
      <w:r w:rsidR="008A5472">
        <w:rPr>
          <w:color w:val="auto"/>
          <w:sz w:val="28"/>
          <w:szCs w:val="28"/>
        </w:rPr>
        <w:fldChar w:fldCharType="begin"/>
      </w:r>
      <w:r w:rsidR="0066793A">
        <w:rPr>
          <w:color w:val="auto"/>
          <w:sz w:val="28"/>
          <w:szCs w:val="28"/>
        </w:rPr>
        <w:instrText xml:space="preserve"> STYLEREF 1 \s </w:instrText>
      </w:r>
      <w:r w:rsidR="008A5472">
        <w:rPr>
          <w:color w:val="auto"/>
          <w:sz w:val="28"/>
          <w:szCs w:val="28"/>
        </w:rPr>
        <w:fldChar w:fldCharType="separate"/>
      </w:r>
      <w:r w:rsidR="0066793A">
        <w:rPr>
          <w:noProof/>
          <w:color w:val="auto"/>
          <w:sz w:val="28"/>
          <w:szCs w:val="28"/>
        </w:rPr>
        <w:t>9</w:t>
      </w:r>
      <w:r w:rsidR="008A5472">
        <w:rPr>
          <w:color w:val="auto"/>
          <w:sz w:val="28"/>
          <w:szCs w:val="28"/>
        </w:rPr>
        <w:fldChar w:fldCharType="end"/>
      </w:r>
      <w:r w:rsidR="0066793A">
        <w:rPr>
          <w:color w:val="auto"/>
          <w:sz w:val="28"/>
          <w:szCs w:val="28"/>
        </w:rPr>
        <w:noBreakHyphen/>
      </w:r>
      <w:r w:rsidR="008A5472">
        <w:rPr>
          <w:color w:val="auto"/>
          <w:sz w:val="28"/>
          <w:szCs w:val="28"/>
        </w:rPr>
        <w:fldChar w:fldCharType="begin"/>
      </w:r>
      <w:r w:rsidR="0066793A">
        <w:rPr>
          <w:color w:val="auto"/>
          <w:sz w:val="28"/>
          <w:szCs w:val="28"/>
        </w:rPr>
        <w:instrText xml:space="preserve"> SEQ Figure \* ARABIC \s 1 </w:instrText>
      </w:r>
      <w:r w:rsidR="008A5472">
        <w:rPr>
          <w:color w:val="auto"/>
          <w:sz w:val="28"/>
          <w:szCs w:val="28"/>
        </w:rPr>
        <w:fldChar w:fldCharType="separate"/>
      </w:r>
      <w:r w:rsidR="0066793A">
        <w:rPr>
          <w:noProof/>
          <w:color w:val="auto"/>
          <w:sz w:val="28"/>
          <w:szCs w:val="28"/>
        </w:rPr>
        <w:t>2</w:t>
      </w:r>
      <w:r w:rsidR="008A5472">
        <w:rPr>
          <w:color w:val="auto"/>
          <w:sz w:val="28"/>
          <w:szCs w:val="28"/>
        </w:rPr>
        <w:fldChar w:fldCharType="end"/>
      </w:r>
      <w:r>
        <w:t xml:space="preserve"> </w:t>
      </w:r>
      <w:r w:rsidRPr="00795B23">
        <w:rPr>
          <w:color w:val="auto"/>
          <w:sz w:val="28"/>
          <w:szCs w:val="28"/>
        </w:rPr>
        <w:t xml:space="preserve">Scatter Plot of </w:t>
      </w:r>
      <w:r w:rsidR="004F4F3D">
        <w:rPr>
          <w:color w:val="auto"/>
          <w:sz w:val="28"/>
          <w:szCs w:val="28"/>
        </w:rPr>
        <w:t xml:space="preserve">EMU </w:t>
      </w:r>
      <w:r w:rsidRPr="00795B23">
        <w:rPr>
          <w:color w:val="auto"/>
          <w:sz w:val="28"/>
          <w:szCs w:val="28"/>
        </w:rPr>
        <w:t xml:space="preserve">Trade Effects of Euro Adoption versus </w:t>
      </w:r>
    </w:p>
    <w:p w:rsidR="00D72177" w:rsidRPr="00795B23" w:rsidRDefault="00D72177" w:rsidP="0066793A">
      <w:pPr>
        <w:pStyle w:val="Caption"/>
        <w:keepNext/>
        <w:spacing w:after="120"/>
        <w:rPr>
          <w:color w:val="auto"/>
          <w:sz w:val="28"/>
          <w:szCs w:val="28"/>
        </w:rPr>
      </w:pPr>
      <w:r>
        <w:rPr>
          <w:color w:val="auto"/>
          <w:sz w:val="28"/>
          <w:szCs w:val="28"/>
        </w:rPr>
        <w:t>O</w:t>
      </w:r>
      <w:r w:rsidRPr="00795B23">
        <w:rPr>
          <w:color w:val="auto"/>
          <w:sz w:val="28"/>
          <w:szCs w:val="28"/>
        </w:rPr>
        <w:t xml:space="preserve">penness to </w:t>
      </w:r>
      <w:r>
        <w:rPr>
          <w:color w:val="auto"/>
          <w:sz w:val="28"/>
          <w:szCs w:val="28"/>
        </w:rPr>
        <w:t xml:space="preserve">EMU </w:t>
      </w:r>
      <w:r w:rsidRPr="00795B23">
        <w:rPr>
          <w:color w:val="auto"/>
          <w:sz w:val="28"/>
          <w:szCs w:val="28"/>
        </w:rPr>
        <w:t>trade</w:t>
      </w:r>
    </w:p>
    <w:p w:rsidR="004F4F3D" w:rsidRDefault="004F4F3D" w:rsidP="004F4F3D">
      <w:pPr>
        <w:keepNext/>
      </w:pPr>
      <w:r w:rsidRPr="004F4F3D">
        <w:rPr>
          <w:noProof/>
        </w:rPr>
        <w:drawing>
          <wp:inline distT="0" distB="0" distL="0" distR="0">
            <wp:extent cx="5660951" cy="2923954"/>
            <wp:effectExtent l="19050" t="0" r="15949"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F3D" w:rsidRPr="002904AE" w:rsidRDefault="004F4F3D" w:rsidP="004F4F3D">
      <w:pPr>
        <w:pStyle w:val="Caption"/>
        <w:rPr>
          <w:b w:val="0"/>
          <w:color w:val="auto"/>
        </w:rPr>
      </w:pPr>
      <w:r w:rsidRPr="002904AE">
        <w:rPr>
          <w:b w:val="0"/>
          <w:color w:val="auto"/>
        </w:rPr>
        <w:t xml:space="preserve">Source: own calculations based on IMF Directions of Trade Statistics </w:t>
      </w:r>
    </w:p>
    <w:p w:rsidR="003A0633" w:rsidRDefault="0066793A" w:rsidP="0066793A">
      <w:pPr>
        <w:spacing w:line="360" w:lineRule="auto"/>
        <w:jc w:val="both"/>
        <w:rPr>
          <w:rFonts w:asciiTheme="majorHAnsi" w:eastAsiaTheme="majorEastAsia" w:hAnsiTheme="majorHAnsi" w:cstheme="majorBidi"/>
          <w:b/>
          <w:bCs/>
          <w:color w:val="365F91" w:themeColor="accent1" w:themeShade="BF"/>
          <w:sz w:val="28"/>
          <w:szCs w:val="28"/>
        </w:rPr>
      </w:pPr>
      <w:r>
        <w:t>In this setup a clearer correlation is witnessed compared to looking at total trade effects. Here a strong and positive correlation is found between openness to trade with EMU</w:t>
      </w:r>
      <w:r w:rsidR="00ED0AB5">
        <w:t xml:space="preserve"> members and trade effects of</w:t>
      </w:r>
      <w:r>
        <w:t xml:space="preserve"> Euro adoption</w:t>
      </w:r>
      <w:r w:rsidR="00ED0AB5">
        <w:t xml:space="preserve"> (taken from Table 7-2)</w:t>
      </w:r>
      <w:r>
        <w:t xml:space="preserve">. This scatter plot signals that countries that have a high openness to trade </w:t>
      </w:r>
      <w:r w:rsidR="00ED0AB5">
        <w:t>towards</w:t>
      </w:r>
      <w:r>
        <w:t xml:space="preserve"> EMU members will gain more in terms of increased trade with EMU members</w:t>
      </w:r>
      <w:r w:rsidR="00ED0AB5">
        <w:t>,</w:t>
      </w:r>
      <w:r>
        <w:t xml:space="preserve"> compared to countries with low openness to trade </w:t>
      </w:r>
      <w:r w:rsidR="00ED0AB5">
        <w:t>towards</w:t>
      </w:r>
      <w:r>
        <w:t xml:space="preserve"> EMU members, </w:t>
      </w:r>
      <w:r w:rsidR="00ED0AB5">
        <w:t>if</w:t>
      </w:r>
      <w:r>
        <w:t xml:space="preserve"> they</w:t>
      </w:r>
      <w:r w:rsidR="00ED0AB5">
        <w:t xml:space="preserve"> were</w:t>
      </w:r>
      <w:r>
        <w:t xml:space="preserve"> to adopt the Euro. </w:t>
      </w:r>
      <w:r w:rsidR="003A0633">
        <w:br w:type="page"/>
      </w:r>
    </w:p>
    <w:p w:rsidR="003A0633" w:rsidRDefault="00CD7097" w:rsidP="004F278A">
      <w:pPr>
        <w:pStyle w:val="Heading1"/>
        <w:numPr>
          <w:ilvl w:val="0"/>
          <w:numId w:val="1"/>
        </w:numPr>
        <w:spacing w:line="360" w:lineRule="auto"/>
      </w:pPr>
      <w:bookmarkStart w:id="50" w:name="_Toc353180793"/>
      <w:bookmarkStart w:id="51" w:name="_Toc353348808"/>
      <w:r>
        <w:t>Conclusion</w:t>
      </w:r>
      <w:bookmarkEnd w:id="50"/>
      <w:bookmarkEnd w:id="51"/>
    </w:p>
    <w:p w:rsidR="003B6124" w:rsidRPr="003B6124" w:rsidRDefault="003B6124" w:rsidP="003B6124"/>
    <w:p w:rsidR="005D7C60" w:rsidRDefault="005D7C60" w:rsidP="004F278A">
      <w:pPr>
        <w:spacing w:line="360" w:lineRule="auto"/>
        <w:jc w:val="both"/>
      </w:pPr>
      <w:r>
        <w:t xml:space="preserve">Before you </w:t>
      </w:r>
      <w:r w:rsidR="004F278A">
        <w:t>lays</w:t>
      </w:r>
      <w:r>
        <w:t xml:space="preserve"> a master thesis on the trade effects of Euro adoption for Cyprus, Malta, the Slovak Republic and Slovenia. Out of the ten countries that joined the EU in 2004, these countries were the first to adapt the Euro as their new domestic currency and commit themselves completely to EMU. By doing so, the last remaining barriers to trade had been removed for the promise of increased trade and monetary stability, for which the cost was lost control over monetary policy. </w:t>
      </w:r>
    </w:p>
    <w:p w:rsidR="005D7C60" w:rsidRDefault="005D7C60" w:rsidP="004F278A">
      <w:pPr>
        <w:spacing w:line="360" w:lineRule="auto"/>
        <w:jc w:val="both"/>
      </w:pPr>
      <w:r>
        <w:t>The theoretical debate on reduced barriers to trade by joining a currency union versus sovereign control over monetary policy remains a hot</w:t>
      </w:r>
      <w:r w:rsidR="00BA5E53">
        <w:t xml:space="preserve"> topic. The aim of this thesis wa</w:t>
      </w:r>
      <w:r>
        <w:t xml:space="preserve">s to shed light on the promise of increased trade for the newest EMU members in the midst of the financial and European debt crisis. The research question of whether Euro adoption led to increased trade for </w:t>
      </w:r>
      <w:smartTag w:uri="urn:schemas-microsoft-com:office:smarttags" w:element="country-region">
        <w:smartTag w:uri="urn:schemas-microsoft-com:office:smarttags" w:element="place">
          <w:r>
            <w:t>Cyprus</w:t>
          </w:r>
        </w:smartTag>
      </w:smartTag>
      <w:r>
        <w:t xml:space="preserve">, </w:t>
      </w:r>
      <w:smartTag w:uri="urn:schemas-microsoft-com:office:smarttags" w:element="country-region">
        <w:smartTag w:uri="urn:schemas-microsoft-com:office:smarttags" w:element="place">
          <w:r>
            <w:t>Malta</w:t>
          </w:r>
        </w:smartTag>
      </w:smartTag>
      <w:r>
        <w:t xml:space="preserve">, the </w:t>
      </w:r>
      <w:smartTag w:uri="urn:schemas-microsoft-com:office:smarttags" w:element="place">
        <w:smartTag w:uri="urn:schemas-microsoft-com:office:smarttags" w:element="PlaceName">
          <w:r>
            <w:t>Slovak</w:t>
          </w:r>
        </w:smartTag>
        <w:r>
          <w:t xml:space="preserve"> </w:t>
        </w:r>
        <w:smartTag w:uri="urn:schemas-microsoft-com:office:smarttags" w:element="PlaceType">
          <w:r>
            <w:t>Republic</w:t>
          </w:r>
        </w:smartTag>
      </w:smartTag>
      <w:r>
        <w:t xml:space="preserve"> and </w:t>
      </w:r>
      <w:smartTag w:uri="urn:schemas-microsoft-com:office:smarttags" w:element="country-region">
        <w:smartTag w:uri="urn:schemas-microsoft-com:office:smarttags" w:element="place">
          <w:r>
            <w:t>Slovenia</w:t>
          </w:r>
        </w:smartTag>
      </w:smartTag>
      <w:r>
        <w:t xml:space="preserve"> is answered by testing two sets of hypotheses by use of the gravity model. A panel of data comprising trade data between 36 countries over a period of 12 years (2000-2011), leading to approximately 15000 observations, was used to inquire into the trade effects of Euro adoption, using the country-pair fixed effect model with time-varying constants. </w:t>
      </w:r>
    </w:p>
    <w:p w:rsidR="005D7C60" w:rsidRDefault="005D7C60" w:rsidP="004F278A">
      <w:pPr>
        <w:spacing w:line="360" w:lineRule="auto"/>
        <w:jc w:val="both"/>
      </w:pPr>
      <w:r>
        <w:t xml:space="preserve">The first set of hypotheses followed a similar structure compared to earlier research on trade effects of Euro adoption, by investigating increased trade patterns for each </w:t>
      </w:r>
      <w:r w:rsidR="00BA5E53">
        <w:t>new EMU member</w:t>
      </w:r>
      <w:r>
        <w:t xml:space="preserve"> compared to all other countries in the sample since Euro adoption. In testing total trade effects since Euro adoption, positive and significant trade effects were found for Malta, the Slovak Republic and Slovenia, while displaying negative trade effects for Cyprus. In testing trade effects with specific trading partner groups, being either EMU countries or the rest of the wor</w:t>
      </w:r>
      <w:r w:rsidR="00BA5E53">
        <w:t>ld, evidence of trade creation wa</w:t>
      </w:r>
      <w:r>
        <w:t xml:space="preserve">s found for the Slovak Republic and Slovenia. This is </w:t>
      </w:r>
      <w:r w:rsidR="00BA5E53">
        <w:t>derived from the evidence that</w:t>
      </w:r>
      <w:r>
        <w:t xml:space="preserve"> since the</w:t>
      </w:r>
      <w:r w:rsidR="00BA5E53">
        <w:t>ir</w:t>
      </w:r>
      <w:r>
        <w:t xml:space="preserve"> year of Euro adoption,</w:t>
      </w:r>
      <w:r w:rsidR="00BA5E53">
        <w:t xml:space="preserve"> both countries</w:t>
      </w:r>
      <w:r>
        <w:t xml:space="preserve"> witnessed a significant increase in trade with countries </w:t>
      </w:r>
      <w:r w:rsidR="00CD68BC">
        <w:t xml:space="preserve">both </w:t>
      </w:r>
      <w:r>
        <w:t xml:space="preserve">inside and outside EMU. Oppositely, evidence </w:t>
      </w:r>
      <w:r w:rsidR="00BA5E53">
        <w:t>was also found to be</w:t>
      </w:r>
      <w:r>
        <w:t xml:space="preserve"> hinting at trade diversion for Cyprus, since the drop in total trade </w:t>
      </w:r>
      <w:r w:rsidR="00BA5E53">
        <w:t xml:space="preserve">is </w:t>
      </w:r>
      <w:r>
        <w:t xml:space="preserve">explained by a severe drop in trade with countries outside EMU, while no significant change in trading patterns with EMU countries is </w:t>
      </w:r>
      <w:r w:rsidR="00BA5E53">
        <w:t>witnessed</w:t>
      </w:r>
      <w:r>
        <w:t>.</w:t>
      </w:r>
    </w:p>
    <w:p w:rsidR="005D7C60" w:rsidRDefault="005D7C60" w:rsidP="004F278A">
      <w:pPr>
        <w:spacing w:line="360" w:lineRule="auto"/>
        <w:jc w:val="both"/>
      </w:pPr>
      <w:r>
        <w:t xml:space="preserve">The second set of hypotheses took the form of a comparative research in which the average trade pattern of the new EMU members was compared to the average trade pattern of all 2004 EU entrants. In this setup it was possible to investigate whether the new EMU members on average (a) traded more in total, (b) traded more with EMU </w:t>
      </w:r>
      <w:r w:rsidR="00022C8E">
        <w:t>countries</w:t>
      </w:r>
      <w:r>
        <w:t xml:space="preserve">, and (c) traded more with non-EMU countries, in comparison </w:t>
      </w:r>
      <w:r w:rsidR="009548BC">
        <w:t>to</w:t>
      </w:r>
      <w:r>
        <w:t xml:space="preserve"> their ‘peers’</w:t>
      </w:r>
      <w:r w:rsidR="00CD68BC">
        <w:t>,</w:t>
      </w:r>
      <w:r>
        <w:t xml:space="preserve"> since Euro adoption. The results showed that the new EMU countries traded on average less with all other countries in the sample, compared to the average of the 2004 EU entrants. When looking at </w:t>
      </w:r>
      <w:r w:rsidR="006665ED">
        <w:t xml:space="preserve">the </w:t>
      </w:r>
      <w:r>
        <w:t>trade patterns with</w:t>
      </w:r>
      <w:r w:rsidR="006665ED">
        <w:t xml:space="preserve"> specific groups</w:t>
      </w:r>
      <w:r>
        <w:t xml:space="preserve">, the outcomes showed that no significant difference in trade </w:t>
      </w:r>
      <w:r w:rsidR="009548BC" w:rsidRPr="009548BC">
        <w:t xml:space="preserve">existed </w:t>
      </w:r>
      <w:r>
        <w:t xml:space="preserve">between </w:t>
      </w:r>
      <w:r w:rsidR="009548BC">
        <w:t>on the one hand the 2004 EU entrants and the new EMU members</w:t>
      </w:r>
      <w:r>
        <w:t xml:space="preserve">, and </w:t>
      </w:r>
      <w:r w:rsidR="009548BC">
        <w:t>on the other hand the existing EMU countries</w:t>
      </w:r>
      <w:r>
        <w:t xml:space="preserve">. There is however evidence that the new EMU members traded on average significantly less with </w:t>
      </w:r>
      <w:r w:rsidR="00CD68BC">
        <w:t>countries outside EMU</w:t>
      </w:r>
      <w:r w:rsidR="009548BC">
        <w:t>,</w:t>
      </w:r>
      <w:r>
        <w:t xml:space="preserve"> since Euro adoption. In a later chapter </w:t>
      </w:r>
      <w:r w:rsidR="009548BC">
        <w:t xml:space="preserve">where </w:t>
      </w:r>
      <w:smartTag w:uri="urn:schemas-microsoft-com:office:smarttags" w:element="country-region">
        <w:smartTag w:uri="urn:schemas-microsoft-com:office:smarttags" w:element="place">
          <w:r w:rsidR="009548BC">
            <w:t>Cyprus</w:t>
          </w:r>
        </w:smartTag>
      </w:smartTag>
      <w:r w:rsidR="009548BC">
        <w:t xml:space="preserve"> </w:t>
      </w:r>
      <w:r>
        <w:t>was excluded from both the new EMU group and the 2004 EU entrants group</w:t>
      </w:r>
      <w:r w:rsidR="009548BC">
        <w:t>,</w:t>
      </w:r>
      <w:r>
        <w:t xml:space="preserve"> </w:t>
      </w:r>
      <w:r w:rsidR="009548BC">
        <w:t>r</w:t>
      </w:r>
      <w:r>
        <w:t xml:space="preserve">e-testing the second set of hypotheses revealed that the results were not robust, since by excluding Cyprus the average trade pattern of the new EMU group did no longer deviate from the </w:t>
      </w:r>
      <w:r w:rsidR="00CD68BC">
        <w:t xml:space="preserve">average of the </w:t>
      </w:r>
      <w:r>
        <w:t>2004 EU entrants group, regardless of who the trading partner</w:t>
      </w:r>
      <w:r w:rsidR="00CD68BC" w:rsidRPr="00CD68BC">
        <w:t xml:space="preserve"> </w:t>
      </w:r>
      <w:r w:rsidR="00CD68BC">
        <w:t>was</w:t>
      </w:r>
      <w:r>
        <w:t xml:space="preserve">. </w:t>
      </w:r>
    </w:p>
    <w:p w:rsidR="005D7C60" w:rsidRDefault="005D7C60" w:rsidP="004F278A">
      <w:pPr>
        <w:spacing w:line="360" w:lineRule="auto"/>
        <w:jc w:val="both"/>
      </w:pPr>
      <w:r>
        <w:t xml:space="preserve">Combining the outcomes of both sets of hypotheses, the results show that even though trade did increase for Malta, the Slovak Republic and Slovenia since Euro adoption, this did not lead to a </w:t>
      </w:r>
      <w:r w:rsidR="00CD68BC">
        <w:t>larger</w:t>
      </w:r>
      <w:r>
        <w:t xml:space="preserve"> increase in trade compared to the average of all the 2004 EU entrants. Continuing, when looking at the causality tests, no evidence is found that Euro adoption led to increased trade, but even the other way around, that increased trade led to Euro adoption. It must however be noted that these results are unreliable given the situation of entering the EU a few years before Euro adoption, and witnessing the financial and European debt crisis right after adopting the Euro. Nonetheless did adopting the Euro not give them an advantage in terms of increased trade compared the average of the 2004 EU entrants. The counterfactual argument of whether the four countries had traded less compared to the average of the 2004 EU entrants if they had not adopted the Euro however remains a question. </w:t>
      </w:r>
    </w:p>
    <w:p w:rsidR="005D7C60" w:rsidRPr="0090144A" w:rsidRDefault="005D7C60" w:rsidP="004F278A">
      <w:pPr>
        <w:spacing w:line="360" w:lineRule="auto"/>
        <w:jc w:val="both"/>
      </w:pPr>
      <w:r>
        <w:t xml:space="preserve">Relating the outcomes of this thesis on trade effects of Euro adoption back to the theoretical debate on reduced barriers to trade by joining a currency union versus sovereign control over monetary policy, a clear winner arises in this </w:t>
      </w:r>
      <w:r w:rsidR="00CD68BC">
        <w:t>particular situation</w:t>
      </w:r>
      <w:r>
        <w:t xml:space="preserve">. Given the financially troubled times in the world and in Europe in particular, during which control over monetary policy is a precious instrument, and given that no evidence is found of any marginal increase in trade for the new EMU members compared to the average of the 2004 EU entrants, the lost control over monetary policy is a </w:t>
      </w:r>
      <w:r w:rsidR="00CD68BC">
        <w:t xml:space="preserve">too </w:t>
      </w:r>
      <w:r>
        <w:t xml:space="preserve">costly trade-off.  </w:t>
      </w:r>
    </w:p>
    <w:p w:rsidR="00CD68BC" w:rsidRDefault="00CD68BC" w:rsidP="004F278A">
      <w:pPr>
        <w:pStyle w:val="Heading2"/>
        <w:numPr>
          <w:ilvl w:val="1"/>
          <w:numId w:val="1"/>
        </w:numPr>
        <w:spacing w:line="360" w:lineRule="auto"/>
      </w:pPr>
      <w:bookmarkStart w:id="52" w:name="_Toc353348809"/>
      <w:r>
        <w:t>Policy Recommendations</w:t>
      </w:r>
      <w:bookmarkEnd w:id="52"/>
    </w:p>
    <w:p w:rsidR="005D7C60" w:rsidRDefault="005D7C60" w:rsidP="004F278A">
      <w:pPr>
        <w:spacing w:line="360" w:lineRule="auto"/>
        <w:jc w:val="both"/>
      </w:pPr>
      <w:r>
        <w:t xml:space="preserve">Given the findings of this thesis on </w:t>
      </w:r>
      <w:r w:rsidR="008F4AE5">
        <w:t xml:space="preserve">the short-term </w:t>
      </w:r>
      <w:r>
        <w:t xml:space="preserve">trade effects of Euro adoption and </w:t>
      </w:r>
      <w:r w:rsidR="008F4AE5">
        <w:t>given</w:t>
      </w:r>
      <w:r>
        <w:t xml:space="preserve"> the status of the European economy and the Euro itself, it should be recommended not to adopt the Euro if a country is looking for</w:t>
      </w:r>
      <w:r w:rsidR="00CD68BC">
        <w:t xml:space="preserve"> an increase in</w:t>
      </w:r>
      <w:r>
        <w:t xml:space="preserve"> trade in the current situation. Adopting the Euro does not lead to above average increase</w:t>
      </w:r>
      <w:r w:rsidR="00CD68BC">
        <w:t>s</w:t>
      </w:r>
      <w:r>
        <w:t xml:space="preserve"> in trade and therefore giving up sovereign control over monetary policy is too costly. Cyprus in particular, but Slovenia as well, are good examples of countries that failed to steer and control their economies by the sole use of fiscal policy. Now that both countries are in need of loans from the IMF and other EMU members, they no longer only have lost their control over their monetary policy, but also lost partial control over their fiscal policy due to austerity and reform demands from the lending institutions and countries. </w:t>
      </w:r>
      <w:r w:rsidR="006778B9">
        <w:t>If for example Cyprus would have had control over its own monetary policy</w:t>
      </w:r>
      <w:r w:rsidR="007B3505">
        <w:t xml:space="preserve"> and would still have had the Cypriote Pound, Cyprus’ trade balance </w:t>
      </w:r>
      <w:r w:rsidR="0027325C">
        <w:t>could have been better controlled</w:t>
      </w:r>
      <w:r w:rsidR="007B3505">
        <w:t xml:space="preserve">. With </w:t>
      </w:r>
      <w:r w:rsidR="002A31B9">
        <w:t>imports</w:t>
      </w:r>
      <w:r w:rsidR="000C2799">
        <w:t xml:space="preserve"> being </w:t>
      </w:r>
      <w:r w:rsidR="00A70E94">
        <w:t xml:space="preserve">practically </w:t>
      </w:r>
      <w:r w:rsidR="000C2799">
        <w:t>the only factor contributing to growth in Cyprus’ total trade</w:t>
      </w:r>
      <w:r w:rsidR="00A70E94">
        <w:t xml:space="preserve"> since 2000</w:t>
      </w:r>
      <w:r w:rsidR="000C2799">
        <w:t xml:space="preserve"> (see Appendix C, figure C-1) and</w:t>
      </w:r>
      <w:r w:rsidR="002A31B9">
        <w:t xml:space="preserve"> being six times the size of export</w:t>
      </w:r>
      <w:r w:rsidR="005413EA" w:rsidRPr="005413EA">
        <w:t xml:space="preserve"> </w:t>
      </w:r>
      <w:r w:rsidR="005413EA">
        <w:t>since 2007 (IMF, Direction of Trade Statistics)</w:t>
      </w:r>
      <w:r w:rsidR="007B3505">
        <w:t>, an exchange rate mechanism, with or without intervention by the central bank,</w:t>
      </w:r>
      <w:r w:rsidR="00011E30">
        <w:t xml:space="preserve"> would have helped to </w:t>
      </w:r>
      <w:r w:rsidR="005413EA">
        <w:t>create</w:t>
      </w:r>
      <w:r w:rsidR="00011E30">
        <w:t xml:space="preserve"> a better trade balance</w:t>
      </w:r>
      <w:r w:rsidR="005413EA">
        <w:t xml:space="preserve">. Furthermore could the solution </w:t>
      </w:r>
      <w:r w:rsidR="000C2799">
        <w:t>to their banking problem have been solved less rigorously, although not necessarily better</w:t>
      </w:r>
      <w:r w:rsidR="00A70E94">
        <w:t>,</w:t>
      </w:r>
      <w:r w:rsidR="000C2799">
        <w:t xml:space="preserve"> if the Cypriote government had bailed out the banks.</w:t>
      </w:r>
      <w:r w:rsidR="005413EA">
        <w:t xml:space="preserve"> </w:t>
      </w:r>
      <w:r w:rsidR="000C2799">
        <w:t xml:space="preserve">This would have increased Cyprus’ national debt severely, but with own control over their monetary policy they could have printed more Cypriote Pounds and thereby pressured inflation so that this would </w:t>
      </w:r>
      <w:r w:rsidR="00A70E94">
        <w:t xml:space="preserve">again </w:t>
      </w:r>
      <w:r w:rsidR="000C2799">
        <w:t>have had a positive effect on their national debt.</w:t>
      </w:r>
    </w:p>
    <w:p w:rsidR="005D7C60" w:rsidRDefault="00A70E94" w:rsidP="004F278A">
      <w:pPr>
        <w:spacing w:line="360" w:lineRule="auto"/>
        <w:jc w:val="both"/>
      </w:pPr>
      <w:r>
        <w:t>When making a policy recommendation on the role of EMU, the following can be said: t</w:t>
      </w:r>
      <w:r w:rsidR="005D7C60">
        <w:t xml:space="preserve">hey should not push the newest EU members into rushing to adopt the Euro. </w:t>
      </w:r>
      <w:r>
        <w:t xml:space="preserve">Existing </w:t>
      </w:r>
      <w:r w:rsidR="005D7C60">
        <w:t xml:space="preserve">EMU members should first consolidate their government finances, implement all the necessary supervisory regulations and regain short- and long-term confidence of the financial markets. Only then should they accept new, and potentially unstable, economies into the </w:t>
      </w:r>
      <w:proofErr w:type="spellStart"/>
      <w:r w:rsidR="005D7C60">
        <w:t>Eurozone</w:t>
      </w:r>
      <w:proofErr w:type="spellEnd"/>
      <w:r w:rsidR="005D7C60">
        <w:t xml:space="preserve">, so that they are no longer vulnerable to a potential domino-effect caused by a </w:t>
      </w:r>
      <w:r w:rsidR="00CD68BC">
        <w:t>financially troubled country, and</w:t>
      </w:r>
      <w:r w:rsidR="005D7C60">
        <w:t xml:space="preserve"> are</w:t>
      </w:r>
      <w:r w:rsidR="00CD68BC">
        <w:t xml:space="preserve"> no longer</w:t>
      </w:r>
      <w:r w:rsidR="005D7C60">
        <w:t xml:space="preserve"> required to bail-out another unreliable bank or government. </w:t>
      </w:r>
    </w:p>
    <w:p w:rsidR="005D7C60" w:rsidRDefault="00A70E94" w:rsidP="004F278A">
      <w:pPr>
        <w:spacing w:line="360" w:lineRule="auto"/>
        <w:jc w:val="both"/>
      </w:pPr>
      <w:r>
        <w:t>Finally</w:t>
      </w:r>
      <w:r w:rsidR="005D7C60">
        <w:t xml:space="preserve"> should the EU accept</w:t>
      </w:r>
      <w:r w:rsidR="00CD68BC">
        <w:t xml:space="preserve"> the fact</w:t>
      </w:r>
      <w:r w:rsidR="005D7C60">
        <w:t xml:space="preserve"> that European integration goes at different paces for different countries, and that the Euro might not be the most suitable currency for all EU </w:t>
      </w:r>
      <w:r w:rsidR="00CD68BC">
        <w:t>countries</w:t>
      </w:r>
      <w:r w:rsidR="005D7C60">
        <w:t xml:space="preserve">. </w:t>
      </w:r>
      <w:smartTag w:uri="urn:schemas-microsoft-com:office:smarttags" w:element="place">
        <w:r w:rsidR="005D7C60">
          <w:t>Western Europe</w:t>
        </w:r>
      </w:smartTag>
      <w:r w:rsidR="005D7C60">
        <w:t xml:space="preserve"> took six decades to reach the current level of European integration, but thinking that Eastern and </w:t>
      </w:r>
      <w:smartTag w:uri="urn:schemas-microsoft-com:office:smarttags" w:element="place">
        <w:r w:rsidR="005D7C60">
          <w:t>Central Europe</w:t>
        </w:r>
      </w:smartTag>
      <w:r w:rsidR="005D7C60">
        <w:t xml:space="preserve"> can do the same in two decades while also transforming to market economies is a fallacy. </w:t>
      </w:r>
    </w:p>
    <w:p w:rsidR="005D7C60" w:rsidRPr="000811B7" w:rsidRDefault="001D1BCD" w:rsidP="004F278A">
      <w:pPr>
        <w:pStyle w:val="Heading2"/>
        <w:numPr>
          <w:ilvl w:val="1"/>
          <w:numId w:val="1"/>
        </w:numPr>
        <w:spacing w:line="360" w:lineRule="auto"/>
      </w:pPr>
      <w:bookmarkStart w:id="53" w:name="_Toc353348810"/>
      <w:r>
        <w:t>Suggestions for F</w:t>
      </w:r>
      <w:r w:rsidR="005D7C60" w:rsidRPr="000811B7">
        <w:t xml:space="preserve">urther </w:t>
      </w:r>
      <w:r>
        <w:t>R</w:t>
      </w:r>
      <w:r w:rsidR="005D7C60" w:rsidRPr="000811B7">
        <w:t>esearch</w:t>
      </w:r>
      <w:bookmarkEnd w:id="53"/>
    </w:p>
    <w:p w:rsidR="005D7C60" w:rsidRDefault="004F278A" w:rsidP="004F278A">
      <w:pPr>
        <w:spacing w:line="360" w:lineRule="auto"/>
        <w:jc w:val="both"/>
      </w:pPr>
      <w:r>
        <w:t xml:space="preserve">In this final section of this chapter some suggestions for further research are proposed that might shed another light on the outcomes of this thesis. Also is another angle of looking at joining a currency union suggested as point of inquiry for another research. </w:t>
      </w:r>
    </w:p>
    <w:p w:rsidR="004F278A" w:rsidRDefault="004F278A" w:rsidP="004F278A">
      <w:pPr>
        <w:spacing w:line="360" w:lineRule="auto"/>
        <w:jc w:val="both"/>
      </w:pPr>
      <w:r>
        <w:t xml:space="preserve">The economic theory on currency unions focuses on benefits such as price transparency, no more exchange risk and credible monetary policy. When discussing the theory however, the practical </w:t>
      </w:r>
      <w:r w:rsidR="008A5A33">
        <w:t xml:space="preserve">implications of a currency union are left out of the discussion. An example of practical implications faced by the EMU members are the Maastricht criteria, which can be regarded as a cost for the EMU members for maintaining the credibility of their currency union. These criteria put a limit on the allowed government expenditures of the member countries. In periods of economic downturn and even crisis, governments can (excessively) stimulate their economy by enlarging their expenditure. When thinking of this in relation to the topic of this thesis, a stimulated economy can also lead to increased levels of trade. </w:t>
      </w:r>
      <w:r w:rsidR="006F39BB">
        <w:t xml:space="preserve">An interesting topic of research would therefore be to identify the relation between government expenditure and trade levels in the 2004 EU entrant countries. By applying this relation one can test whether the new EMU countries displayed lower trade levels caused by less excessive government expenditure, due to restrictions dictated by EMU, compared to the remaining 2004 EU entrants. </w:t>
      </w:r>
    </w:p>
    <w:p w:rsidR="006F39BB" w:rsidRDefault="006F39BB" w:rsidP="004F278A">
      <w:pPr>
        <w:spacing w:line="360" w:lineRule="auto"/>
        <w:jc w:val="both"/>
      </w:pPr>
      <w:r>
        <w:t>Another interesting research topic that would well complement this research is to investigate the motivation for joining a currency union besides hopes of increased trade</w:t>
      </w:r>
      <w:r w:rsidR="00FB596E">
        <w:t>, which is</w:t>
      </w:r>
      <w:r>
        <w:t xml:space="preserve"> monetary stability. </w:t>
      </w:r>
      <w:r w:rsidR="00FB596E">
        <w:t>Some countries are faced with high levels of inflation</w:t>
      </w:r>
      <w:r w:rsidR="00524514">
        <w:t>,</w:t>
      </w:r>
      <w:r w:rsidR="00FB596E">
        <w:t xml:space="preserve"> highly volatile exchange rates</w:t>
      </w:r>
      <w:r w:rsidR="00524514">
        <w:t xml:space="preserve"> and have to pay high interest rates on their government bonds due to unreliable monetary policy</w:t>
      </w:r>
      <w:r w:rsidR="00FB596E">
        <w:t xml:space="preserve">. An option for these countries is to, sometimes even unilaterally, adopt a </w:t>
      </w:r>
      <w:r w:rsidR="00524514">
        <w:t>large international</w:t>
      </w:r>
      <w:r w:rsidR="00FB596E">
        <w:t xml:space="preserve"> currency as their own. </w:t>
      </w:r>
      <w:r w:rsidR="00524514">
        <w:t xml:space="preserve">Many of the countries in Rose’s (2000) sample are small island countries that have unilaterally adopted the dollar. By adopting such a large international currency, investors’ confidence strongly improves so that not only interest rates on government bonds fall, but also investors are attracted to invest in the economy, with all the benefits that follow. </w:t>
      </w:r>
      <w:r w:rsidR="000D3894">
        <w:t xml:space="preserve">Since these motivations have also played a part in the decision of the new EMU members to adopt the Euro, an interesting point of inquiry would be to quantify the effects of adopting the Euro on (a) interest rates on government bonds, (b) inflation levels and (c) increased foreign investments. </w:t>
      </w:r>
    </w:p>
    <w:p w:rsidR="005D7C60" w:rsidRPr="000811B7" w:rsidRDefault="005D7C60" w:rsidP="00ED0AB5">
      <w:pPr>
        <w:spacing w:after="0" w:line="240" w:lineRule="auto"/>
      </w:pPr>
    </w:p>
    <w:p w:rsidR="009A5D16" w:rsidRPr="003A0633" w:rsidRDefault="009A5D16" w:rsidP="00822DDD">
      <w:pPr>
        <w:spacing w:line="360" w:lineRule="auto"/>
        <w:jc w:val="both"/>
        <w:rPr>
          <w:rFonts w:asciiTheme="majorHAnsi" w:eastAsiaTheme="majorEastAsia" w:hAnsiTheme="majorHAnsi" w:cstheme="majorBidi"/>
          <w:color w:val="365F91" w:themeColor="accent1" w:themeShade="BF"/>
          <w:sz w:val="28"/>
          <w:szCs w:val="28"/>
        </w:rPr>
      </w:pPr>
      <w:r>
        <w:br w:type="page"/>
      </w:r>
    </w:p>
    <w:p w:rsidR="00336782" w:rsidRDefault="00336782" w:rsidP="004C1689">
      <w:pPr>
        <w:pStyle w:val="Heading1"/>
        <w:spacing w:line="360" w:lineRule="auto"/>
      </w:pPr>
      <w:bookmarkStart w:id="54" w:name="_Toc353180794"/>
      <w:bookmarkStart w:id="55" w:name="_Toc353348811"/>
      <w:r>
        <w:t>References</w:t>
      </w:r>
      <w:bookmarkEnd w:id="54"/>
      <w:bookmarkEnd w:id="55"/>
    </w:p>
    <w:p w:rsidR="00801312" w:rsidRPr="00801312" w:rsidRDefault="00801312" w:rsidP="004C1689">
      <w:pPr>
        <w:spacing w:line="360" w:lineRule="auto"/>
      </w:pPr>
    </w:p>
    <w:p w:rsidR="00C31595" w:rsidRPr="00C31595" w:rsidRDefault="00C31595" w:rsidP="00C31595">
      <w:pPr>
        <w:autoSpaceDE w:val="0"/>
        <w:autoSpaceDN w:val="0"/>
        <w:adjustRightInd w:val="0"/>
        <w:spacing w:after="240"/>
        <w:rPr>
          <w:rFonts w:cstheme="minorHAnsi"/>
          <w:sz w:val="24"/>
          <w:szCs w:val="24"/>
        </w:rPr>
      </w:pPr>
      <w:r w:rsidRPr="00C31595">
        <w:rPr>
          <w:rFonts w:cstheme="minorHAnsi"/>
          <w:sz w:val="24"/>
          <w:szCs w:val="24"/>
        </w:rPr>
        <w:t xml:space="preserve">Anderson, J.E. (1979), ‘A Theoretical Foundation for the Gravity Equation’, </w:t>
      </w:r>
      <w:r w:rsidRPr="00C31595">
        <w:rPr>
          <w:rFonts w:cstheme="minorHAnsi"/>
          <w:i/>
          <w:sz w:val="24"/>
          <w:szCs w:val="24"/>
        </w:rPr>
        <w:t>American Economic Review</w:t>
      </w:r>
      <w:r w:rsidRPr="00C31595">
        <w:rPr>
          <w:rFonts w:cstheme="minorHAnsi"/>
          <w:sz w:val="24"/>
          <w:szCs w:val="24"/>
        </w:rPr>
        <w:t xml:space="preserve"> Vol. 69: 106-116</w:t>
      </w:r>
    </w:p>
    <w:p w:rsidR="00C31595" w:rsidRPr="00C31595" w:rsidRDefault="00C31595" w:rsidP="00C31595">
      <w:pPr>
        <w:autoSpaceDE w:val="0"/>
        <w:autoSpaceDN w:val="0"/>
        <w:adjustRightInd w:val="0"/>
        <w:spacing w:after="240"/>
        <w:rPr>
          <w:sz w:val="24"/>
          <w:szCs w:val="24"/>
        </w:rPr>
      </w:pPr>
      <w:r w:rsidRPr="00C31595">
        <w:rPr>
          <w:sz w:val="24"/>
          <w:szCs w:val="24"/>
        </w:rPr>
        <w:t xml:space="preserve">Anderson, J.E. </w:t>
      </w:r>
      <w:r w:rsidR="00811029">
        <w:rPr>
          <w:sz w:val="24"/>
          <w:szCs w:val="24"/>
        </w:rPr>
        <w:t>and</w:t>
      </w:r>
      <w:r w:rsidRPr="00C31595">
        <w:rPr>
          <w:sz w:val="24"/>
          <w:szCs w:val="24"/>
        </w:rPr>
        <w:t xml:space="preserve"> </w:t>
      </w:r>
      <w:r w:rsidR="00811029">
        <w:rPr>
          <w:sz w:val="24"/>
          <w:szCs w:val="24"/>
        </w:rPr>
        <w:t xml:space="preserve">E. Van </w:t>
      </w:r>
      <w:proofErr w:type="spellStart"/>
      <w:r w:rsidR="00811029">
        <w:rPr>
          <w:sz w:val="24"/>
          <w:szCs w:val="24"/>
        </w:rPr>
        <w:t>Wincoop</w:t>
      </w:r>
      <w:proofErr w:type="spellEnd"/>
      <w:r w:rsidRPr="00C31595">
        <w:rPr>
          <w:sz w:val="24"/>
          <w:szCs w:val="24"/>
        </w:rPr>
        <w:t xml:space="preserve"> (2001),’ Gravity with Gravitas: A Solution to the Border Puzzle’, </w:t>
      </w:r>
      <w:r w:rsidRPr="00C31595">
        <w:rPr>
          <w:i/>
          <w:sz w:val="24"/>
          <w:szCs w:val="24"/>
        </w:rPr>
        <w:t xml:space="preserve">National Bureau of Economic Research, </w:t>
      </w:r>
      <w:r w:rsidRPr="00C31595">
        <w:rPr>
          <w:sz w:val="24"/>
          <w:szCs w:val="24"/>
        </w:rPr>
        <w:t>NBER Working Paper 8079</w:t>
      </w:r>
    </w:p>
    <w:p w:rsidR="00C31595" w:rsidRPr="00C31595" w:rsidRDefault="00C31595" w:rsidP="00C31595">
      <w:pPr>
        <w:autoSpaceDE w:val="0"/>
        <w:autoSpaceDN w:val="0"/>
        <w:adjustRightInd w:val="0"/>
        <w:spacing w:after="240"/>
        <w:rPr>
          <w:sz w:val="24"/>
          <w:szCs w:val="24"/>
        </w:rPr>
      </w:pPr>
      <w:r w:rsidRPr="00C31595">
        <w:rPr>
          <w:sz w:val="24"/>
          <w:szCs w:val="24"/>
        </w:rPr>
        <w:t xml:space="preserve">Baldwin, R. (2006), ‘The Euro’s Trade Effects’, </w:t>
      </w:r>
      <w:r w:rsidRPr="00C31595">
        <w:rPr>
          <w:i/>
          <w:sz w:val="24"/>
          <w:szCs w:val="24"/>
        </w:rPr>
        <w:t>European Central Bank</w:t>
      </w:r>
      <w:r w:rsidRPr="00C31595">
        <w:rPr>
          <w:sz w:val="24"/>
          <w:szCs w:val="24"/>
        </w:rPr>
        <w:t>, Working Paper 594</w:t>
      </w:r>
    </w:p>
    <w:p w:rsidR="00C31595" w:rsidRPr="00C31595" w:rsidRDefault="00C31595" w:rsidP="00C31595">
      <w:pPr>
        <w:autoSpaceDE w:val="0"/>
        <w:autoSpaceDN w:val="0"/>
        <w:adjustRightInd w:val="0"/>
        <w:spacing w:after="240"/>
        <w:rPr>
          <w:sz w:val="24"/>
          <w:szCs w:val="24"/>
        </w:rPr>
      </w:pPr>
      <w:r w:rsidRPr="00C31595">
        <w:rPr>
          <w:sz w:val="24"/>
          <w:szCs w:val="24"/>
        </w:rPr>
        <w:t xml:space="preserve">Baldwin, R. </w:t>
      </w:r>
      <w:r w:rsidR="00811029">
        <w:rPr>
          <w:sz w:val="24"/>
          <w:szCs w:val="24"/>
        </w:rPr>
        <w:t>and</w:t>
      </w:r>
      <w:r w:rsidRPr="00C31595">
        <w:rPr>
          <w:sz w:val="24"/>
          <w:szCs w:val="24"/>
        </w:rPr>
        <w:t xml:space="preserve"> </w:t>
      </w:r>
      <w:r w:rsidR="00811029">
        <w:rPr>
          <w:sz w:val="24"/>
          <w:szCs w:val="24"/>
        </w:rPr>
        <w:t xml:space="preserve">D. </w:t>
      </w:r>
      <w:proofErr w:type="spellStart"/>
      <w:r w:rsidR="00811029">
        <w:rPr>
          <w:sz w:val="24"/>
          <w:szCs w:val="24"/>
        </w:rPr>
        <w:t>Taglioni</w:t>
      </w:r>
      <w:proofErr w:type="spellEnd"/>
      <w:r w:rsidRPr="00C31595">
        <w:rPr>
          <w:sz w:val="24"/>
          <w:szCs w:val="24"/>
        </w:rPr>
        <w:t xml:space="preserve"> (2006),’Gravity for Dummies and Dummies for Gravity Equations’, </w:t>
      </w:r>
      <w:r w:rsidRPr="00C31595">
        <w:rPr>
          <w:i/>
          <w:sz w:val="24"/>
          <w:szCs w:val="24"/>
        </w:rPr>
        <w:t xml:space="preserve">National Bureau of Economic Research, </w:t>
      </w:r>
      <w:r w:rsidRPr="00C31595">
        <w:rPr>
          <w:sz w:val="24"/>
          <w:szCs w:val="24"/>
        </w:rPr>
        <w:t>NBER Working Paper 12516</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Baltagi</w:t>
      </w:r>
      <w:proofErr w:type="spellEnd"/>
      <w:r w:rsidRPr="00C31595">
        <w:rPr>
          <w:rFonts w:cstheme="minorHAnsi"/>
          <w:sz w:val="24"/>
          <w:szCs w:val="24"/>
        </w:rPr>
        <w:t xml:space="preserve">, B.H. (2008), </w:t>
      </w:r>
      <w:r w:rsidRPr="00C31595">
        <w:rPr>
          <w:rFonts w:cstheme="minorHAnsi"/>
          <w:i/>
          <w:sz w:val="24"/>
          <w:szCs w:val="24"/>
        </w:rPr>
        <w:t>Econometric Analysis of Panel data</w:t>
      </w:r>
      <w:r w:rsidRPr="00C31595">
        <w:rPr>
          <w:rFonts w:cstheme="minorHAnsi"/>
          <w:sz w:val="24"/>
          <w:szCs w:val="24"/>
        </w:rPr>
        <w:t>, 4</w:t>
      </w:r>
      <w:r w:rsidRPr="00C31595">
        <w:rPr>
          <w:rFonts w:cstheme="minorHAnsi"/>
          <w:sz w:val="24"/>
          <w:szCs w:val="24"/>
          <w:vertAlign w:val="superscript"/>
        </w:rPr>
        <w:t>th</w:t>
      </w:r>
      <w:r w:rsidRPr="00C31595">
        <w:rPr>
          <w:rFonts w:cstheme="minorHAnsi"/>
          <w:sz w:val="24"/>
          <w:szCs w:val="24"/>
        </w:rPr>
        <w:t xml:space="preserve"> Edition, John Wiley &amp; </w:t>
      </w:r>
      <w:proofErr w:type="spellStart"/>
      <w:r w:rsidRPr="00C31595">
        <w:rPr>
          <w:rFonts w:cstheme="minorHAnsi"/>
          <w:sz w:val="24"/>
          <w:szCs w:val="24"/>
        </w:rPr>
        <w:t>Sins</w:t>
      </w:r>
      <w:proofErr w:type="spellEnd"/>
      <w:r w:rsidRPr="00C31595">
        <w:rPr>
          <w:rFonts w:cstheme="minorHAnsi"/>
          <w:sz w:val="24"/>
          <w:szCs w:val="24"/>
        </w:rPr>
        <w:t xml:space="preserve"> Ltd, </w:t>
      </w:r>
      <w:proofErr w:type="spellStart"/>
      <w:r w:rsidRPr="00C31595">
        <w:rPr>
          <w:rFonts w:cstheme="minorHAnsi"/>
          <w:sz w:val="24"/>
          <w:szCs w:val="24"/>
        </w:rPr>
        <w:t>Chichester</w:t>
      </w:r>
      <w:proofErr w:type="spellEnd"/>
      <w:r w:rsidRPr="00C31595">
        <w:rPr>
          <w:rFonts w:cstheme="minorHAnsi"/>
          <w:sz w:val="24"/>
          <w:szCs w:val="24"/>
        </w:rPr>
        <w:t>, U.K.</w:t>
      </w:r>
    </w:p>
    <w:p w:rsidR="00C31595" w:rsidRPr="00C31595" w:rsidRDefault="00C31595" w:rsidP="00C31595">
      <w:pPr>
        <w:autoSpaceDE w:val="0"/>
        <w:autoSpaceDN w:val="0"/>
        <w:adjustRightInd w:val="0"/>
        <w:spacing w:after="240"/>
        <w:rPr>
          <w:rFonts w:cstheme="minorHAnsi"/>
          <w:sz w:val="24"/>
          <w:szCs w:val="24"/>
        </w:rPr>
      </w:pPr>
      <w:r w:rsidRPr="00C31595">
        <w:rPr>
          <w:rFonts w:cstheme="minorHAnsi"/>
          <w:sz w:val="24"/>
          <w:szCs w:val="24"/>
        </w:rPr>
        <w:t xml:space="preserve">Barr, D., </w:t>
      </w:r>
      <w:r w:rsidR="00811029">
        <w:rPr>
          <w:rFonts w:cstheme="minorHAnsi"/>
          <w:sz w:val="24"/>
          <w:szCs w:val="24"/>
        </w:rPr>
        <w:t xml:space="preserve">F. </w:t>
      </w:r>
      <w:proofErr w:type="spellStart"/>
      <w:r w:rsidR="00811029">
        <w:rPr>
          <w:rFonts w:cstheme="minorHAnsi"/>
          <w:sz w:val="24"/>
          <w:szCs w:val="24"/>
        </w:rPr>
        <w:t>Breedon</w:t>
      </w:r>
      <w:proofErr w:type="spellEnd"/>
      <w:r w:rsidRPr="00C31595">
        <w:rPr>
          <w:rFonts w:cstheme="minorHAnsi"/>
          <w:sz w:val="24"/>
          <w:szCs w:val="24"/>
        </w:rPr>
        <w:t xml:space="preserve"> </w:t>
      </w:r>
      <w:r w:rsidR="00811029">
        <w:rPr>
          <w:rFonts w:cstheme="minorHAnsi"/>
          <w:sz w:val="24"/>
          <w:szCs w:val="24"/>
        </w:rPr>
        <w:t>and</w:t>
      </w:r>
      <w:r w:rsidRPr="00C31595">
        <w:rPr>
          <w:rFonts w:cstheme="minorHAnsi"/>
          <w:sz w:val="24"/>
          <w:szCs w:val="24"/>
        </w:rPr>
        <w:t xml:space="preserve"> </w:t>
      </w:r>
      <w:r w:rsidR="00811029">
        <w:rPr>
          <w:rFonts w:cstheme="minorHAnsi"/>
          <w:sz w:val="24"/>
          <w:szCs w:val="24"/>
        </w:rPr>
        <w:t xml:space="preserve">D. </w:t>
      </w:r>
      <w:r w:rsidRPr="00C31595">
        <w:rPr>
          <w:rFonts w:cstheme="minorHAnsi"/>
          <w:sz w:val="24"/>
          <w:szCs w:val="24"/>
        </w:rPr>
        <w:t xml:space="preserve">Miles (2003), ‘Life on the outside’, </w:t>
      </w:r>
      <w:r w:rsidRPr="00C31595">
        <w:rPr>
          <w:rFonts w:cstheme="minorHAnsi"/>
          <w:i/>
          <w:sz w:val="24"/>
          <w:szCs w:val="24"/>
        </w:rPr>
        <w:t>Economic Policy</w:t>
      </w:r>
      <w:r w:rsidRPr="00C31595">
        <w:rPr>
          <w:rFonts w:cstheme="minorHAnsi"/>
          <w:sz w:val="24"/>
          <w:szCs w:val="24"/>
        </w:rPr>
        <w:t xml:space="preserve"> Vol. 18: 573–613.</w:t>
      </w:r>
    </w:p>
    <w:p w:rsidR="00C31595" w:rsidRPr="00C31595" w:rsidRDefault="00811029" w:rsidP="00C31595">
      <w:pPr>
        <w:autoSpaceDE w:val="0"/>
        <w:autoSpaceDN w:val="0"/>
        <w:adjustRightInd w:val="0"/>
        <w:spacing w:after="240"/>
        <w:rPr>
          <w:rFonts w:cstheme="minorHAnsi"/>
          <w:sz w:val="24"/>
          <w:szCs w:val="24"/>
        </w:rPr>
      </w:pPr>
      <w:proofErr w:type="spellStart"/>
      <w:r>
        <w:rPr>
          <w:rFonts w:cstheme="minorHAnsi"/>
          <w:sz w:val="24"/>
          <w:szCs w:val="24"/>
        </w:rPr>
        <w:t>Belke</w:t>
      </w:r>
      <w:proofErr w:type="spellEnd"/>
      <w:r>
        <w:rPr>
          <w:rFonts w:cstheme="minorHAnsi"/>
          <w:sz w:val="24"/>
          <w:szCs w:val="24"/>
        </w:rPr>
        <w:t>, A. and J. Spies</w:t>
      </w:r>
      <w:r w:rsidR="00C31595" w:rsidRPr="00C31595">
        <w:rPr>
          <w:rFonts w:cstheme="minorHAnsi"/>
          <w:sz w:val="24"/>
          <w:szCs w:val="24"/>
        </w:rPr>
        <w:t xml:space="preserve"> (2008), ‘Enlarging the EMU to the east: What effects on trade?’ </w:t>
      </w:r>
      <w:proofErr w:type="spellStart"/>
      <w:r w:rsidR="00C31595" w:rsidRPr="00C31595">
        <w:rPr>
          <w:rFonts w:cstheme="minorHAnsi"/>
          <w:i/>
          <w:sz w:val="24"/>
          <w:szCs w:val="24"/>
        </w:rPr>
        <w:t>Empirica</w:t>
      </w:r>
      <w:proofErr w:type="spellEnd"/>
      <w:r w:rsidR="00C31595" w:rsidRPr="00C31595">
        <w:rPr>
          <w:rFonts w:cstheme="minorHAnsi"/>
          <w:sz w:val="24"/>
          <w:szCs w:val="24"/>
        </w:rPr>
        <w:t xml:space="preserve"> Vol. 35: 369–89</w:t>
      </w:r>
    </w:p>
    <w:p w:rsidR="00C31595" w:rsidRPr="00C31595" w:rsidRDefault="00C31595" w:rsidP="00C31595">
      <w:pPr>
        <w:autoSpaceDE w:val="0"/>
        <w:autoSpaceDN w:val="0"/>
        <w:adjustRightInd w:val="0"/>
        <w:spacing w:after="240"/>
        <w:rPr>
          <w:sz w:val="24"/>
          <w:szCs w:val="24"/>
        </w:rPr>
      </w:pPr>
      <w:proofErr w:type="spellStart"/>
      <w:r w:rsidRPr="00C31595">
        <w:rPr>
          <w:sz w:val="24"/>
          <w:szCs w:val="24"/>
        </w:rPr>
        <w:t>Bergstrand</w:t>
      </w:r>
      <w:proofErr w:type="spellEnd"/>
      <w:r w:rsidRPr="00C31595">
        <w:rPr>
          <w:sz w:val="24"/>
          <w:szCs w:val="24"/>
        </w:rPr>
        <w:t xml:space="preserve">, J.H. (1985), ‘The Gravity Equation in International Trade: Some Microeconomic Foundations and Empirical Evidence’, </w:t>
      </w:r>
      <w:r w:rsidRPr="00C31595">
        <w:rPr>
          <w:i/>
          <w:sz w:val="24"/>
          <w:szCs w:val="24"/>
        </w:rPr>
        <w:t>The Review of Economics and Statistics</w:t>
      </w:r>
      <w:r w:rsidRPr="00C31595">
        <w:rPr>
          <w:sz w:val="24"/>
          <w:szCs w:val="24"/>
        </w:rPr>
        <w:t>, Vol. 67, No. 3: 474-481</w:t>
      </w:r>
    </w:p>
    <w:p w:rsidR="00C31595" w:rsidRPr="00C31595" w:rsidRDefault="00C31595" w:rsidP="00C31595">
      <w:pPr>
        <w:autoSpaceDE w:val="0"/>
        <w:autoSpaceDN w:val="0"/>
        <w:adjustRightInd w:val="0"/>
        <w:spacing w:after="240"/>
        <w:rPr>
          <w:rFonts w:cstheme="minorHAnsi"/>
          <w:sz w:val="24"/>
          <w:szCs w:val="24"/>
        </w:rPr>
      </w:pPr>
      <w:proofErr w:type="spellStart"/>
      <w:r w:rsidRPr="001D37FB">
        <w:rPr>
          <w:rFonts w:cstheme="minorHAnsi"/>
          <w:sz w:val="24"/>
          <w:szCs w:val="24"/>
        </w:rPr>
        <w:t>Brouwer</w:t>
      </w:r>
      <w:proofErr w:type="spellEnd"/>
      <w:r w:rsidRPr="001D37FB">
        <w:rPr>
          <w:rFonts w:cstheme="minorHAnsi"/>
          <w:sz w:val="24"/>
          <w:szCs w:val="24"/>
        </w:rPr>
        <w:t xml:space="preserve">, J., </w:t>
      </w:r>
      <w:r w:rsidR="00811029" w:rsidRPr="001D37FB">
        <w:rPr>
          <w:rFonts w:cstheme="minorHAnsi"/>
          <w:sz w:val="24"/>
          <w:szCs w:val="24"/>
        </w:rPr>
        <w:t xml:space="preserve">P. </w:t>
      </w:r>
      <w:proofErr w:type="spellStart"/>
      <w:r w:rsidR="00811029" w:rsidRPr="001D37FB">
        <w:rPr>
          <w:rFonts w:cstheme="minorHAnsi"/>
          <w:sz w:val="24"/>
          <w:szCs w:val="24"/>
        </w:rPr>
        <w:t>Paap</w:t>
      </w:r>
      <w:proofErr w:type="spellEnd"/>
      <w:r w:rsidRPr="001D37FB">
        <w:rPr>
          <w:rFonts w:cstheme="minorHAnsi"/>
          <w:sz w:val="24"/>
          <w:szCs w:val="24"/>
        </w:rPr>
        <w:t xml:space="preserve"> </w:t>
      </w:r>
      <w:r w:rsidR="00811029" w:rsidRPr="001D37FB">
        <w:rPr>
          <w:rFonts w:cstheme="minorHAnsi"/>
          <w:sz w:val="24"/>
          <w:szCs w:val="24"/>
        </w:rPr>
        <w:t>and J-M.</w:t>
      </w:r>
      <w:r w:rsidR="001D37FB">
        <w:rPr>
          <w:rFonts w:cstheme="minorHAnsi"/>
          <w:sz w:val="24"/>
          <w:szCs w:val="24"/>
        </w:rPr>
        <w:t xml:space="preserve"> Viaene</w:t>
      </w:r>
      <w:r w:rsidRPr="001D37FB">
        <w:rPr>
          <w:rFonts w:cstheme="minorHAnsi"/>
          <w:sz w:val="24"/>
          <w:szCs w:val="24"/>
        </w:rPr>
        <w:t xml:space="preserve"> </w:t>
      </w:r>
      <w:r w:rsidRPr="00C31595">
        <w:rPr>
          <w:rFonts w:cstheme="minorHAnsi"/>
          <w:sz w:val="24"/>
          <w:szCs w:val="24"/>
        </w:rPr>
        <w:t xml:space="preserve">(2008), ‘The trade and FDI effects of EMU enlargement’ </w:t>
      </w:r>
      <w:r w:rsidRPr="00C31595">
        <w:rPr>
          <w:rFonts w:cstheme="minorHAnsi"/>
          <w:i/>
          <w:sz w:val="24"/>
          <w:szCs w:val="24"/>
        </w:rPr>
        <w:t>Journal of International Money and Finance</w:t>
      </w:r>
      <w:r w:rsidRPr="00C31595">
        <w:rPr>
          <w:rFonts w:cstheme="minorHAnsi"/>
          <w:sz w:val="24"/>
          <w:szCs w:val="24"/>
        </w:rPr>
        <w:t xml:space="preserve"> Vol. 27: 188–208.</w:t>
      </w:r>
    </w:p>
    <w:p w:rsid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Breuss</w:t>
      </w:r>
      <w:proofErr w:type="spellEnd"/>
      <w:r w:rsidRPr="00C31595">
        <w:rPr>
          <w:rFonts w:cstheme="minorHAnsi"/>
          <w:sz w:val="24"/>
          <w:szCs w:val="24"/>
        </w:rPr>
        <w:t>, F.,</w:t>
      </w:r>
      <w:r w:rsidR="001D37FB">
        <w:rPr>
          <w:rFonts w:cstheme="minorHAnsi"/>
          <w:sz w:val="24"/>
          <w:szCs w:val="24"/>
        </w:rPr>
        <w:t xml:space="preserve"> G.</w:t>
      </w:r>
      <w:r w:rsidRPr="00C31595">
        <w:rPr>
          <w:rFonts w:cstheme="minorHAnsi"/>
          <w:sz w:val="24"/>
          <w:szCs w:val="24"/>
        </w:rPr>
        <w:t xml:space="preserve"> Fink</w:t>
      </w:r>
      <w:r w:rsidR="001D37FB">
        <w:rPr>
          <w:rFonts w:cstheme="minorHAnsi"/>
          <w:sz w:val="24"/>
          <w:szCs w:val="24"/>
        </w:rPr>
        <w:t xml:space="preserve"> and P.</w:t>
      </w:r>
      <w:r w:rsidRPr="00C31595">
        <w:rPr>
          <w:rFonts w:cstheme="minorHAnsi"/>
          <w:sz w:val="24"/>
          <w:szCs w:val="24"/>
        </w:rPr>
        <w:t xml:space="preserve"> </w:t>
      </w:r>
      <w:proofErr w:type="spellStart"/>
      <w:r w:rsidRPr="00C31595">
        <w:rPr>
          <w:rFonts w:cstheme="minorHAnsi"/>
          <w:sz w:val="24"/>
          <w:szCs w:val="24"/>
        </w:rPr>
        <w:t>Haiss</w:t>
      </w:r>
      <w:proofErr w:type="spellEnd"/>
      <w:r w:rsidRPr="00C31595">
        <w:rPr>
          <w:rFonts w:cstheme="minorHAnsi"/>
          <w:sz w:val="24"/>
          <w:szCs w:val="24"/>
        </w:rPr>
        <w:t xml:space="preserve"> (2004), ‘How well prepared are the New Member States for the European Monetary Union?’, </w:t>
      </w:r>
      <w:r w:rsidRPr="00C31595">
        <w:rPr>
          <w:rFonts w:cstheme="minorHAnsi"/>
          <w:i/>
          <w:sz w:val="24"/>
          <w:szCs w:val="24"/>
        </w:rPr>
        <w:t>Journal of Policy Modeling</w:t>
      </w:r>
      <w:r w:rsidRPr="00C31595">
        <w:rPr>
          <w:rFonts w:cstheme="minorHAnsi"/>
          <w:sz w:val="24"/>
          <w:szCs w:val="24"/>
        </w:rPr>
        <w:t xml:space="preserve"> Vol. 26: 769-791</w:t>
      </w:r>
    </w:p>
    <w:p w:rsidR="005B66A1" w:rsidRPr="005B66A1" w:rsidRDefault="005B66A1" w:rsidP="00C31595">
      <w:pPr>
        <w:autoSpaceDE w:val="0"/>
        <w:autoSpaceDN w:val="0"/>
        <w:adjustRightInd w:val="0"/>
        <w:spacing w:after="240"/>
        <w:rPr>
          <w:rFonts w:cstheme="minorHAnsi"/>
          <w:sz w:val="24"/>
          <w:szCs w:val="24"/>
        </w:rPr>
      </w:pPr>
      <w:r>
        <w:rPr>
          <w:rFonts w:cstheme="minorHAnsi"/>
          <w:sz w:val="24"/>
          <w:szCs w:val="24"/>
        </w:rPr>
        <w:t xml:space="preserve">Brooks, C. (2008), </w:t>
      </w:r>
      <w:r>
        <w:rPr>
          <w:rFonts w:cstheme="minorHAnsi"/>
          <w:i/>
          <w:sz w:val="24"/>
          <w:szCs w:val="24"/>
        </w:rPr>
        <w:t>Introductory Econometrics for Finance</w:t>
      </w:r>
      <w:r>
        <w:rPr>
          <w:rFonts w:cstheme="minorHAnsi"/>
          <w:sz w:val="24"/>
          <w:szCs w:val="24"/>
        </w:rPr>
        <w:t>, Cambridge University Press, 2</w:t>
      </w:r>
      <w:r w:rsidRPr="005B66A1">
        <w:rPr>
          <w:rFonts w:cstheme="minorHAnsi"/>
          <w:sz w:val="24"/>
          <w:szCs w:val="24"/>
          <w:vertAlign w:val="superscript"/>
        </w:rPr>
        <w:t>nd</w:t>
      </w:r>
      <w:r>
        <w:rPr>
          <w:rFonts w:cstheme="minorHAnsi"/>
          <w:sz w:val="24"/>
          <w:szCs w:val="24"/>
        </w:rPr>
        <w:t xml:space="preserve"> edition, Cambridge, U.K.</w:t>
      </w:r>
    </w:p>
    <w:p w:rsidR="00C31595" w:rsidRPr="00C31595" w:rsidRDefault="001D37FB" w:rsidP="00C31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imes New Roman" w:cstheme="minorHAnsi"/>
          <w:sz w:val="24"/>
          <w:szCs w:val="24"/>
        </w:rPr>
      </w:pPr>
      <w:proofErr w:type="spellStart"/>
      <w:r>
        <w:rPr>
          <w:rFonts w:eastAsia="Times New Roman" w:cstheme="minorHAnsi"/>
          <w:sz w:val="24"/>
          <w:szCs w:val="24"/>
        </w:rPr>
        <w:t>Buiter</w:t>
      </w:r>
      <w:proofErr w:type="spellEnd"/>
      <w:r>
        <w:rPr>
          <w:rFonts w:eastAsia="Times New Roman" w:cstheme="minorHAnsi"/>
          <w:sz w:val="24"/>
          <w:szCs w:val="24"/>
        </w:rPr>
        <w:t>, W.H.</w:t>
      </w:r>
      <w:r w:rsidR="00C31595" w:rsidRPr="00C31595">
        <w:rPr>
          <w:rFonts w:eastAsia="Times New Roman" w:cstheme="minorHAnsi"/>
          <w:sz w:val="24"/>
          <w:szCs w:val="24"/>
        </w:rPr>
        <w:t xml:space="preserve"> (2004), ‘To Purgatory and Beyond: When and How Should the Accession Countries from Central and Eastern Europe Become Full Members of EMU?’, </w:t>
      </w:r>
      <w:r w:rsidR="00C31595" w:rsidRPr="00C31595">
        <w:rPr>
          <w:rFonts w:eastAsia="Times New Roman" w:cstheme="minorHAnsi"/>
          <w:i/>
          <w:sz w:val="24"/>
          <w:szCs w:val="24"/>
        </w:rPr>
        <w:t>CEPR Discussion Papers</w:t>
      </w:r>
      <w:r w:rsidR="00C31595" w:rsidRPr="00C31595">
        <w:rPr>
          <w:rFonts w:eastAsia="Times New Roman" w:cstheme="minorHAnsi"/>
          <w:sz w:val="24"/>
          <w:szCs w:val="24"/>
        </w:rPr>
        <w:t xml:space="preserve"> No. 4342</w:t>
      </w:r>
    </w:p>
    <w:p w:rsidR="00C31595" w:rsidRPr="00C31595" w:rsidRDefault="00C31595" w:rsidP="00C31595">
      <w:pPr>
        <w:autoSpaceDE w:val="0"/>
        <w:autoSpaceDN w:val="0"/>
        <w:adjustRightInd w:val="0"/>
        <w:spacing w:after="240"/>
        <w:rPr>
          <w:rFonts w:cstheme="minorHAnsi"/>
          <w:sz w:val="24"/>
          <w:szCs w:val="24"/>
        </w:rPr>
      </w:pPr>
      <w:r w:rsidRPr="00C31595">
        <w:rPr>
          <w:rFonts w:cstheme="minorHAnsi"/>
          <w:sz w:val="24"/>
          <w:szCs w:val="24"/>
        </w:rPr>
        <w:t xml:space="preserve">Bun, M.J.G. </w:t>
      </w:r>
      <w:r w:rsidR="001D37FB">
        <w:rPr>
          <w:rFonts w:cstheme="minorHAnsi"/>
          <w:sz w:val="24"/>
          <w:szCs w:val="24"/>
        </w:rPr>
        <w:t>and F.J.G.M.</w:t>
      </w:r>
      <w:r w:rsidRPr="00C31595">
        <w:rPr>
          <w:rFonts w:cstheme="minorHAnsi"/>
          <w:sz w:val="24"/>
          <w:szCs w:val="24"/>
        </w:rPr>
        <w:t xml:space="preserve"> </w:t>
      </w:r>
      <w:proofErr w:type="spellStart"/>
      <w:r w:rsidRPr="00C31595">
        <w:rPr>
          <w:rFonts w:cstheme="minorHAnsi"/>
          <w:sz w:val="24"/>
          <w:szCs w:val="24"/>
        </w:rPr>
        <w:t>Klaassen</w:t>
      </w:r>
      <w:proofErr w:type="spellEnd"/>
      <w:r w:rsidRPr="00C31595">
        <w:rPr>
          <w:rFonts w:cstheme="minorHAnsi"/>
          <w:sz w:val="24"/>
          <w:szCs w:val="24"/>
        </w:rPr>
        <w:t xml:space="preserve"> (2002), ‘Has the Euro Increased Trade?’, </w:t>
      </w:r>
      <w:r w:rsidRPr="00C31595">
        <w:rPr>
          <w:rFonts w:cstheme="minorHAnsi"/>
          <w:i/>
          <w:sz w:val="24"/>
          <w:szCs w:val="24"/>
        </w:rPr>
        <w:t>Available at SSRN</w:t>
      </w:r>
      <w:r w:rsidRPr="00C31595">
        <w:rPr>
          <w:rFonts w:cstheme="minorHAnsi"/>
          <w:sz w:val="24"/>
          <w:szCs w:val="24"/>
        </w:rPr>
        <w:t>: http://ssrn.com/abstract=338602</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Cieslik</w:t>
      </w:r>
      <w:proofErr w:type="spellEnd"/>
      <w:r w:rsidRPr="00C31595">
        <w:rPr>
          <w:rFonts w:cstheme="minorHAnsi"/>
          <w:sz w:val="24"/>
          <w:szCs w:val="24"/>
        </w:rPr>
        <w:t xml:space="preserve">, A., </w:t>
      </w:r>
      <w:r w:rsidR="001D37FB">
        <w:rPr>
          <w:rFonts w:cstheme="minorHAnsi"/>
          <w:sz w:val="24"/>
          <w:szCs w:val="24"/>
        </w:rPr>
        <w:t xml:space="preserve">J.J. </w:t>
      </w:r>
      <w:proofErr w:type="spellStart"/>
      <w:r w:rsidR="001D37FB">
        <w:rPr>
          <w:rFonts w:cstheme="minorHAnsi"/>
          <w:sz w:val="24"/>
          <w:szCs w:val="24"/>
        </w:rPr>
        <w:t>Michalek</w:t>
      </w:r>
      <w:proofErr w:type="spellEnd"/>
      <w:r w:rsidRPr="00C31595">
        <w:rPr>
          <w:rFonts w:cstheme="minorHAnsi"/>
          <w:sz w:val="24"/>
          <w:szCs w:val="24"/>
        </w:rPr>
        <w:t xml:space="preserve"> </w:t>
      </w:r>
      <w:r w:rsidR="001D37FB">
        <w:rPr>
          <w:rFonts w:cstheme="minorHAnsi"/>
          <w:sz w:val="24"/>
          <w:szCs w:val="24"/>
        </w:rPr>
        <w:t>and J.</w:t>
      </w:r>
      <w:r w:rsidRPr="00C31595">
        <w:rPr>
          <w:rFonts w:cstheme="minorHAnsi"/>
          <w:sz w:val="24"/>
          <w:szCs w:val="24"/>
        </w:rPr>
        <w:t xml:space="preserve"> </w:t>
      </w:r>
      <w:proofErr w:type="spellStart"/>
      <w:r w:rsidRPr="00C31595">
        <w:rPr>
          <w:rFonts w:cstheme="minorHAnsi"/>
          <w:sz w:val="24"/>
          <w:szCs w:val="24"/>
        </w:rPr>
        <w:t>Mycielski</w:t>
      </w:r>
      <w:proofErr w:type="spellEnd"/>
      <w:r w:rsidR="001D37FB">
        <w:rPr>
          <w:rFonts w:cstheme="minorHAnsi"/>
          <w:sz w:val="24"/>
          <w:szCs w:val="24"/>
        </w:rPr>
        <w:t xml:space="preserve"> </w:t>
      </w:r>
      <w:r w:rsidRPr="00C31595">
        <w:rPr>
          <w:rFonts w:cstheme="minorHAnsi"/>
          <w:sz w:val="24"/>
          <w:szCs w:val="24"/>
        </w:rPr>
        <w:t xml:space="preserve">(2012), ‘Measuring the Trade Effects of the Euro in Central and Eastern Europe’, </w:t>
      </w:r>
      <w:r w:rsidRPr="00C31595">
        <w:rPr>
          <w:rFonts w:cstheme="minorHAnsi"/>
          <w:i/>
          <w:sz w:val="24"/>
          <w:szCs w:val="24"/>
        </w:rPr>
        <w:t>The Journal of International Trade &amp; Economic Development</w:t>
      </w:r>
      <w:r w:rsidRPr="00C31595">
        <w:rPr>
          <w:rFonts w:cstheme="minorHAnsi"/>
          <w:sz w:val="24"/>
          <w:szCs w:val="24"/>
        </w:rPr>
        <w:t xml:space="preserve"> Vol. 21, No. 1: 25-49</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Deardorff</w:t>
      </w:r>
      <w:proofErr w:type="spellEnd"/>
      <w:r w:rsidRPr="00C31595">
        <w:rPr>
          <w:rFonts w:cstheme="minorHAnsi"/>
          <w:sz w:val="24"/>
          <w:szCs w:val="24"/>
        </w:rPr>
        <w:t xml:space="preserve">, A. (1997), ‘Determinants of Bilateral Trade: Does Gravity Work in a Neoclassical World?’, in </w:t>
      </w:r>
      <w:proofErr w:type="spellStart"/>
      <w:r w:rsidRPr="00C31595">
        <w:rPr>
          <w:rFonts w:cstheme="minorHAnsi"/>
          <w:sz w:val="24"/>
          <w:szCs w:val="24"/>
        </w:rPr>
        <w:t>Frankell</w:t>
      </w:r>
      <w:proofErr w:type="spellEnd"/>
      <w:r w:rsidRPr="00C31595">
        <w:rPr>
          <w:rFonts w:cstheme="minorHAnsi"/>
          <w:sz w:val="24"/>
          <w:szCs w:val="24"/>
        </w:rPr>
        <w:t xml:space="preserve">, J.A. (1997), </w:t>
      </w:r>
      <w:r w:rsidRPr="00C31595">
        <w:rPr>
          <w:rFonts w:cstheme="minorHAnsi"/>
          <w:i/>
          <w:sz w:val="24"/>
          <w:szCs w:val="24"/>
        </w:rPr>
        <w:t>The Regionalization of the World Economy</w:t>
      </w:r>
      <w:r w:rsidRPr="00C31595">
        <w:rPr>
          <w:rFonts w:cstheme="minorHAnsi"/>
          <w:sz w:val="24"/>
          <w:szCs w:val="24"/>
        </w:rPr>
        <w:t>, University of Chicago Press, Chicago, U.S.A.</w:t>
      </w:r>
    </w:p>
    <w:p w:rsidR="00C31595" w:rsidRPr="00C31595" w:rsidRDefault="001D37FB" w:rsidP="00C31595">
      <w:pPr>
        <w:autoSpaceDE w:val="0"/>
        <w:autoSpaceDN w:val="0"/>
        <w:adjustRightInd w:val="0"/>
        <w:spacing w:after="240"/>
        <w:rPr>
          <w:rFonts w:cstheme="minorHAnsi"/>
          <w:sz w:val="24"/>
          <w:szCs w:val="24"/>
        </w:rPr>
      </w:pPr>
      <w:r>
        <w:rPr>
          <w:rFonts w:cstheme="minorHAnsi"/>
          <w:sz w:val="24"/>
          <w:szCs w:val="24"/>
        </w:rPr>
        <w:t>Flam, H. and H.</w:t>
      </w:r>
      <w:r w:rsidR="00C31595" w:rsidRPr="00C31595">
        <w:rPr>
          <w:rFonts w:cstheme="minorHAnsi"/>
          <w:sz w:val="24"/>
          <w:szCs w:val="24"/>
        </w:rPr>
        <w:t xml:space="preserve"> Nordstrom (2006), ‘Trade volume effects of the euro: Aggregate and sector estimates’, </w:t>
      </w:r>
      <w:r w:rsidR="00C31595" w:rsidRPr="00C31595">
        <w:rPr>
          <w:rFonts w:cstheme="minorHAnsi"/>
          <w:i/>
          <w:sz w:val="24"/>
          <w:szCs w:val="24"/>
        </w:rPr>
        <w:t>Stockholm University Seminar Paper</w:t>
      </w:r>
      <w:r w:rsidR="00C31595" w:rsidRPr="00C31595">
        <w:rPr>
          <w:rFonts w:cstheme="minorHAnsi"/>
          <w:sz w:val="24"/>
          <w:szCs w:val="24"/>
        </w:rPr>
        <w:t xml:space="preserve"> No. 746</w:t>
      </w:r>
    </w:p>
    <w:p w:rsidR="00C31595" w:rsidRPr="00C31595" w:rsidRDefault="00C31595" w:rsidP="00C31595">
      <w:pPr>
        <w:spacing w:after="240"/>
        <w:rPr>
          <w:rFonts w:cstheme="minorHAnsi"/>
          <w:sz w:val="24"/>
          <w:szCs w:val="24"/>
        </w:rPr>
      </w:pPr>
      <w:r w:rsidRPr="00C31595">
        <w:rPr>
          <w:rFonts w:cstheme="minorHAnsi"/>
          <w:sz w:val="24"/>
          <w:szCs w:val="24"/>
        </w:rPr>
        <w:t xml:space="preserve">Fleming, J.M. (1962), ‘Domestic Financial Policies under Fixed and under Floating Exchange Rates’, </w:t>
      </w:r>
      <w:r w:rsidRPr="00C31595">
        <w:rPr>
          <w:rFonts w:cstheme="minorHAnsi"/>
          <w:i/>
          <w:sz w:val="24"/>
          <w:szCs w:val="24"/>
        </w:rPr>
        <w:t>International Monetary Fund Staff Papers</w:t>
      </w:r>
      <w:r w:rsidRPr="00C31595">
        <w:rPr>
          <w:rFonts w:cstheme="minorHAnsi"/>
          <w:sz w:val="24"/>
          <w:szCs w:val="24"/>
        </w:rPr>
        <w:t xml:space="preserve"> Vol. 9, No. 3: 369-380</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Frankell</w:t>
      </w:r>
      <w:proofErr w:type="spellEnd"/>
      <w:r w:rsidRPr="00C31595">
        <w:rPr>
          <w:rFonts w:cstheme="minorHAnsi"/>
          <w:sz w:val="24"/>
          <w:szCs w:val="24"/>
        </w:rPr>
        <w:t xml:space="preserve">, J.A. (1997), </w:t>
      </w:r>
      <w:r w:rsidRPr="00C31595">
        <w:rPr>
          <w:rFonts w:cstheme="minorHAnsi"/>
          <w:i/>
          <w:sz w:val="24"/>
          <w:szCs w:val="24"/>
        </w:rPr>
        <w:t>The Regionalization of the World Economy</w:t>
      </w:r>
      <w:r w:rsidRPr="00C31595">
        <w:rPr>
          <w:rFonts w:cstheme="minorHAnsi"/>
          <w:sz w:val="24"/>
          <w:szCs w:val="24"/>
        </w:rPr>
        <w:t>, University of Chicago Press, Chicago, U.S.A.</w:t>
      </w:r>
    </w:p>
    <w:p w:rsidR="00D906F9" w:rsidRPr="00D906F9" w:rsidRDefault="001D37FB" w:rsidP="00C31595">
      <w:pPr>
        <w:autoSpaceDE w:val="0"/>
        <w:autoSpaceDN w:val="0"/>
        <w:adjustRightInd w:val="0"/>
        <w:spacing w:after="240"/>
        <w:rPr>
          <w:rFonts w:cstheme="minorHAnsi"/>
          <w:sz w:val="24"/>
          <w:szCs w:val="24"/>
        </w:rPr>
      </w:pPr>
      <w:r>
        <w:rPr>
          <w:rFonts w:cstheme="minorHAnsi"/>
          <w:sz w:val="24"/>
          <w:szCs w:val="24"/>
        </w:rPr>
        <w:t>Glick, R. and A.</w:t>
      </w:r>
      <w:r w:rsidR="00D906F9">
        <w:rPr>
          <w:rFonts w:cstheme="minorHAnsi"/>
          <w:sz w:val="24"/>
          <w:szCs w:val="24"/>
        </w:rPr>
        <w:t xml:space="preserve"> Rose (2001), ‘Does a Currency Union Affect Trade? The Time Series Evidence’, </w:t>
      </w:r>
      <w:r w:rsidR="00D906F9">
        <w:rPr>
          <w:rFonts w:cstheme="minorHAnsi"/>
          <w:i/>
          <w:sz w:val="24"/>
          <w:szCs w:val="24"/>
        </w:rPr>
        <w:t>National Bureau of Economic Research,</w:t>
      </w:r>
      <w:r w:rsidR="00D906F9">
        <w:rPr>
          <w:rFonts w:cstheme="minorHAnsi"/>
          <w:sz w:val="24"/>
          <w:szCs w:val="24"/>
        </w:rPr>
        <w:t xml:space="preserve"> NBER Working Paper 8396</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Maliszewska</w:t>
      </w:r>
      <w:proofErr w:type="spellEnd"/>
      <w:r w:rsidRPr="00C31595">
        <w:rPr>
          <w:rFonts w:cstheme="minorHAnsi"/>
          <w:sz w:val="24"/>
          <w:szCs w:val="24"/>
        </w:rPr>
        <w:t xml:space="preserve">, M.A. (2004), ‘New member states trading potential following EMU accession: A gravity approach’ </w:t>
      </w:r>
      <w:r w:rsidRPr="00C31595">
        <w:rPr>
          <w:rFonts w:cstheme="minorHAnsi"/>
          <w:i/>
          <w:sz w:val="24"/>
          <w:szCs w:val="24"/>
        </w:rPr>
        <w:t>Center for Social and Economic Research Studies and Analysis</w:t>
      </w:r>
      <w:r w:rsidRPr="00C31595">
        <w:rPr>
          <w:rFonts w:cstheme="minorHAnsi"/>
          <w:sz w:val="24"/>
          <w:szCs w:val="24"/>
        </w:rPr>
        <w:t xml:space="preserve"> No. 286</w:t>
      </w:r>
    </w:p>
    <w:p w:rsidR="00BA4877" w:rsidRPr="00E17CA7" w:rsidRDefault="00BA4877" w:rsidP="00C31595">
      <w:pPr>
        <w:autoSpaceDE w:val="0"/>
        <w:autoSpaceDN w:val="0"/>
        <w:adjustRightInd w:val="0"/>
        <w:spacing w:after="240"/>
        <w:rPr>
          <w:rFonts w:cstheme="minorHAnsi"/>
          <w:sz w:val="24"/>
          <w:szCs w:val="24"/>
        </w:rPr>
      </w:pPr>
      <w:proofErr w:type="spellStart"/>
      <w:r>
        <w:rPr>
          <w:rFonts w:cstheme="minorHAnsi"/>
          <w:sz w:val="24"/>
          <w:szCs w:val="24"/>
        </w:rPr>
        <w:t>Marrewijk</w:t>
      </w:r>
      <w:proofErr w:type="spellEnd"/>
      <w:r>
        <w:rPr>
          <w:rFonts w:cstheme="minorHAnsi"/>
          <w:sz w:val="24"/>
          <w:szCs w:val="24"/>
        </w:rPr>
        <w:t xml:space="preserve">, C. van (2007), </w:t>
      </w:r>
      <w:r>
        <w:rPr>
          <w:rFonts w:cstheme="minorHAnsi"/>
          <w:i/>
          <w:sz w:val="24"/>
          <w:szCs w:val="24"/>
        </w:rPr>
        <w:t xml:space="preserve">International </w:t>
      </w:r>
      <w:r w:rsidRPr="00BA4877">
        <w:rPr>
          <w:rFonts w:cstheme="minorHAnsi"/>
          <w:i/>
          <w:sz w:val="24"/>
          <w:szCs w:val="24"/>
        </w:rPr>
        <w:t>Economics</w:t>
      </w:r>
      <w:r>
        <w:rPr>
          <w:rFonts w:cstheme="minorHAnsi"/>
          <w:sz w:val="24"/>
          <w:szCs w:val="24"/>
        </w:rPr>
        <w:t>, Oxford University Press</w:t>
      </w:r>
      <w:r w:rsidR="00E17CA7">
        <w:rPr>
          <w:rFonts w:cstheme="minorHAnsi"/>
          <w:i/>
          <w:sz w:val="24"/>
          <w:szCs w:val="24"/>
        </w:rPr>
        <w:t xml:space="preserve">, </w:t>
      </w:r>
      <w:r w:rsidR="00E17CA7">
        <w:rPr>
          <w:rFonts w:cstheme="minorHAnsi"/>
          <w:sz w:val="24"/>
          <w:szCs w:val="24"/>
        </w:rPr>
        <w:t>Oxford, U.K.</w:t>
      </w:r>
    </w:p>
    <w:p w:rsidR="00C31595" w:rsidRPr="00C31595" w:rsidRDefault="00C31595" w:rsidP="00C31595">
      <w:pPr>
        <w:autoSpaceDE w:val="0"/>
        <w:autoSpaceDN w:val="0"/>
        <w:adjustRightInd w:val="0"/>
        <w:spacing w:after="240"/>
        <w:rPr>
          <w:rFonts w:cstheme="minorHAnsi"/>
          <w:sz w:val="24"/>
          <w:szCs w:val="24"/>
        </w:rPr>
      </w:pPr>
      <w:r w:rsidRPr="00BA4877">
        <w:rPr>
          <w:rFonts w:cstheme="minorHAnsi"/>
          <w:sz w:val="24"/>
          <w:szCs w:val="24"/>
        </w:rPr>
        <w:t>McCallum</w:t>
      </w:r>
      <w:r w:rsidRPr="00C31595">
        <w:rPr>
          <w:rFonts w:cstheme="minorHAnsi"/>
          <w:sz w:val="24"/>
          <w:szCs w:val="24"/>
        </w:rPr>
        <w:t xml:space="preserve">, J. (1995), ‘National Borders Matter: Canada-U.S. Regional Trade Patterns’, </w:t>
      </w:r>
      <w:r w:rsidRPr="00C31595">
        <w:rPr>
          <w:rFonts w:cstheme="minorHAnsi"/>
          <w:i/>
          <w:sz w:val="24"/>
          <w:szCs w:val="24"/>
        </w:rPr>
        <w:t>The American Economic Review</w:t>
      </w:r>
      <w:r w:rsidRPr="00C31595">
        <w:rPr>
          <w:rFonts w:cstheme="minorHAnsi"/>
          <w:sz w:val="24"/>
          <w:szCs w:val="24"/>
        </w:rPr>
        <w:t>, Vol. 85, No. 3: 615-623</w:t>
      </w:r>
    </w:p>
    <w:p w:rsidR="00C31595" w:rsidRPr="00C31595" w:rsidRDefault="00C31595" w:rsidP="00C31595">
      <w:pPr>
        <w:autoSpaceDE w:val="0"/>
        <w:autoSpaceDN w:val="0"/>
        <w:adjustRightInd w:val="0"/>
        <w:spacing w:after="240"/>
        <w:rPr>
          <w:rFonts w:cstheme="minorHAnsi"/>
          <w:sz w:val="24"/>
          <w:szCs w:val="24"/>
        </w:rPr>
      </w:pPr>
      <w:proofErr w:type="spellStart"/>
      <w:r w:rsidRPr="00C31595">
        <w:rPr>
          <w:rFonts w:cstheme="minorHAnsi"/>
          <w:sz w:val="24"/>
          <w:szCs w:val="24"/>
        </w:rPr>
        <w:t>Mundell</w:t>
      </w:r>
      <w:proofErr w:type="spellEnd"/>
      <w:r w:rsidRPr="00C31595">
        <w:rPr>
          <w:rFonts w:cstheme="minorHAnsi"/>
          <w:sz w:val="24"/>
          <w:szCs w:val="24"/>
        </w:rPr>
        <w:t xml:space="preserve">, R.A. (1962), ‘The Appropriate Use of Monetary and Fiscal Policy for Internal and External Stability’, </w:t>
      </w:r>
      <w:r w:rsidRPr="00C31595">
        <w:rPr>
          <w:rFonts w:cstheme="minorHAnsi"/>
          <w:i/>
          <w:sz w:val="24"/>
          <w:szCs w:val="24"/>
        </w:rPr>
        <w:t>International Monetary Fund Staff Papers</w:t>
      </w:r>
      <w:r w:rsidRPr="00C31595">
        <w:rPr>
          <w:rFonts w:cstheme="minorHAnsi"/>
          <w:sz w:val="24"/>
          <w:szCs w:val="24"/>
        </w:rPr>
        <w:t xml:space="preserve"> Vol. 9, No. 1: 70-79</w:t>
      </w:r>
    </w:p>
    <w:p w:rsidR="00C31595" w:rsidRPr="00C31595" w:rsidRDefault="00C31595" w:rsidP="00C31595">
      <w:pPr>
        <w:spacing w:after="240"/>
        <w:rPr>
          <w:rFonts w:cstheme="minorHAnsi"/>
          <w:sz w:val="24"/>
          <w:szCs w:val="24"/>
        </w:rPr>
      </w:pPr>
      <w:proofErr w:type="spellStart"/>
      <w:r w:rsidRPr="00C31595">
        <w:rPr>
          <w:rFonts w:cstheme="minorHAnsi"/>
          <w:sz w:val="24"/>
          <w:szCs w:val="24"/>
        </w:rPr>
        <w:t>Mundell</w:t>
      </w:r>
      <w:proofErr w:type="spellEnd"/>
      <w:r w:rsidRPr="00C31595">
        <w:rPr>
          <w:rFonts w:cstheme="minorHAnsi"/>
          <w:sz w:val="24"/>
          <w:szCs w:val="24"/>
        </w:rPr>
        <w:t xml:space="preserve">, R.A. (1963), ‘Capital Mobility and Stabilization Policy under Fixed and Flexible Exchange Rates’, </w:t>
      </w:r>
      <w:r w:rsidRPr="00C31595">
        <w:rPr>
          <w:rFonts w:cstheme="minorHAnsi"/>
          <w:i/>
          <w:sz w:val="24"/>
          <w:szCs w:val="24"/>
        </w:rPr>
        <w:t>Canadian Journal of Economics and Political Science</w:t>
      </w:r>
      <w:r w:rsidRPr="00C31595">
        <w:rPr>
          <w:rFonts w:cstheme="minorHAnsi"/>
          <w:sz w:val="24"/>
          <w:szCs w:val="24"/>
        </w:rPr>
        <w:t xml:space="preserve"> Vol. 29, No. 4: 475-485</w:t>
      </w:r>
    </w:p>
    <w:p w:rsidR="00C31595" w:rsidRPr="00C31595" w:rsidRDefault="00C31595" w:rsidP="00C31595">
      <w:pPr>
        <w:spacing w:after="240"/>
        <w:rPr>
          <w:rFonts w:cstheme="minorHAnsi"/>
          <w:sz w:val="24"/>
          <w:szCs w:val="24"/>
        </w:rPr>
      </w:pPr>
      <w:proofErr w:type="spellStart"/>
      <w:r w:rsidRPr="00C31595">
        <w:rPr>
          <w:rFonts w:cstheme="minorHAnsi"/>
          <w:sz w:val="24"/>
          <w:szCs w:val="24"/>
        </w:rPr>
        <w:t>Micco</w:t>
      </w:r>
      <w:proofErr w:type="spellEnd"/>
      <w:r w:rsidRPr="00C31595">
        <w:rPr>
          <w:rFonts w:cstheme="minorHAnsi"/>
          <w:sz w:val="24"/>
          <w:szCs w:val="24"/>
        </w:rPr>
        <w:t xml:space="preserve">, A., </w:t>
      </w:r>
      <w:r w:rsidR="001D37FB">
        <w:rPr>
          <w:rFonts w:cstheme="minorHAnsi"/>
          <w:sz w:val="24"/>
          <w:szCs w:val="24"/>
        </w:rPr>
        <w:t>E. Stein and G. Ordonez</w:t>
      </w:r>
      <w:r w:rsidRPr="00C31595">
        <w:rPr>
          <w:rFonts w:cstheme="minorHAnsi"/>
          <w:sz w:val="24"/>
          <w:szCs w:val="24"/>
        </w:rPr>
        <w:t xml:space="preserve"> (2003), ‘The currency union effect on trade: Early evidence from EMU’, </w:t>
      </w:r>
      <w:r w:rsidRPr="00C31595">
        <w:rPr>
          <w:rFonts w:cstheme="minorHAnsi"/>
          <w:i/>
          <w:sz w:val="24"/>
          <w:szCs w:val="24"/>
        </w:rPr>
        <w:t>Economic Policy</w:t>
      </w:r>
      <w:r w:rsidRPr="00C31595">
        <w:rPr>
          <w:rFonts w:cstheme="minorHAnsi"/>
          <w:sz w:val="24"/>
          <w:szCs w:val="24"/>
        </w:rPr>
        <w:t xml:space="preserve"> Vol. 18, No. 37: 315–66</w:t>
      </w:r>
    </w:p>
    <w:p w:rsidR="00C31595" w:rsidRPr="00C31595" w:rsidRDefault="00C31595" w:rsidP="00C31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imes New Roman" w:cstheme="minorHAnsi"/>
          <w:sz w:val="24"/>
          <w:szCs w:val="24"/>
        </w:rPr>
      </w:pPr>
      <w:proofErr w:type="spellStart"/>
      <w:r w:rsidRPr="00C31595">
        <w:rPr>
          <w:rFonts w:eastAsia="Times New Roman" w:cstheme="minorHAnsi"/>
          <w:sz w:val="24"/>
          <w:szCs w:val="24"/>
        </w:rPr>
        <w:t>Nitsch</w:t>
      </w:r>
      <w:proofErr w:type="spellEnd"/>
      <w:r w:rsidRPr="00C31595">
        <w:rPr>
          <w:rFonts w:eastAsia="Times New Roman" w:cstheme="minorHAnsi"/>
          <w:sz w:val="24"/>
          <w:szCs w:val="24"/>
        </w:rPr>
        <w:t xml:space="preserve">, V. (2002), ‘Honey, I Shrunk the Currency Union Effect on Trade’, </w:t>
      </w:r>
      <w:r w:rsidRPr="00C31595">
        <w:rPr>
          <w:rFonts w:eastAsia="Times New Roman" w:cstheme="minorHAnsi"/>
          <w:i/>
          <w:sz w:val="24"/>
          <w:szCs w:val="24"/>
        </w:rPr>
        <w:t>The World Economy</w:t>
      </w:r>
      <w:r w:rsidRPr="00C31595">
        <w:rPr>
          <w:rFonts w:eastAsia="Times New Roman" w:cstheme="minorHAnsi"/>
          <w:sz w:val="24"/>
          <w:szCs w:val="24"/>
        </w:rPr>
        <w:t xml:space="preserve"> Vol. 25, No. 4: 457-474</w:t>
      </w:r>
    </w:p>
    <w:p w:rsidR="00C31595" w:rsidRPr="00C31595" w:rsidRDefault="001D37FB" w:rsidP="00C31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imes New Roman" w:cstheme="minorHAnsi"/>
          <w:sz w:val="24"/>
          <w:szCs w:val="24"/>
        </w:rPr>
      </w:pPr>
      <w:proofErr w:type="spellStart"/>
      <w:r>
        <w:rPr>
          <w:rFonts w:eastAsia="Times New Roman" w:cstheme="minorHAnsi"/>
          <w:sz w:val="24"/>
          <w:szCs w:val="24"/>
        </w:rPr>
        <w:t>Obstfeld</w:t>
      </w:r>
      <w:proofErr w:type="spellEnd"/>
      <w:r>
        <w:rPr>
          <w:rFonts w:eastAsia="Times New Roman" w:cstheme="minorHAnsi"/>
          <w:sz w:val="24"/>
          <w:szCs w:val="24"/>
        </w:rPr>
        <w:t>, M. and K.</w:t>
      </w:r>
      <w:r w:rsidR="00C31595" w:rsidRPr="00C31595">
        <w:rPr>
          <w:rFonts w:eastAsia="Times New Roman" w:cstheme="minorHAnsi"/>
          <w:sz w:val="24"/>
          <w:szCs w:val="24"/>
        </w:rPr>
        <w:t xml:space="preserve"> </w:t>
      </w:r>
      <w:proofErr w:type="spellStart"/>
      <w:r w:rsidR="00C31595" w:rsidRPr="00C31595">
        <w:rPr>
          <w:rFonts w:eastAsia="Times New Roman" w:cstheme="minorHAnsi"/>
          <w:sz w:val="24"/>
          <w:szCs w:val="24"/>
        </w:rPr>
        <w:t>Rogoff</w:t>
      </w:r>
      <w:proofErr w:type="spellEnd"/>
      <w:r w:rsidR="00C31595" w:rsidRPr="00C31595">
        <w:rPr>
          <w:rFonts w:eastAsia="Times New Roman" w:cstheme="minorHAnsi"/>
          <w:sz w:val="24"/>
          <w:szCs w:val="24"/>
        </w:rPr>
        <w:t xml:space="preserve"> (2000), ‘The Six Major Puzzles in International Macroeconomics: Is there a Common Cause?’, </w:t>
      </w:r>
      <w:r w:rsidR="00C31595" w:rsidRPr="00C31595">
        <w:rPr>
          <w:rFonts w:eastAsia="Times New Roman" w:cstheme="minorHAnsi"/>
          <w:i/>
          <w:sz w:val="24"/>
          <w:szCs w:val="24"/>
        </w:rPr>
        <w:t>National Bureau of Economic Research</w:t>
      </w:r>
      <w:r w:rsidR="00C31595" w:rsidRPr="00C31595">
        <w:rPr>
          <w:rFonts w:eastAsia="Times New Roman" w:cstheme="minorHAnsi"/>
          <w:sz w:val="24"/>
          <w:szCs w:val="24"/>
        </w:rPr>
        <w:t>, NBER Working Paper 7777</w:t>
      </w:r>
    </w:p>
    <w:p w:rsidR="00C31595" w:rsidRPr="00C31595" w:rsidRDefault="00C31595" w:rsidP="00C31595">
      <w:pPr>
        <w:autoSpaceDE w:val="0"/>
        <w:autoSpaceDN w:val="0"/>
        <w:adjustRightInd w:val="0"/>
        <w:spacing w:after="240"/>
        <w:rPr>
          <w:rFonts w:cstheme="minorHAnsi"/>
          <w:sz w:val="24"/>
          <w:szCs w:val="24"/>
        </w:rPr>
      </w:pPr>
      <w:r w:rsidRPr="00C31595">
        <w:rPr>
          <w:rFonts w:cstheme="minorHAnsi"/>
          <w:sz w:val="24"/>
          <w:szCs w:val="24"/>
        </w:rPr>
        <w:t xml:space="preserve">Rose, A.K. (2000), ‘One Money, One Market: the Effect of Currency Unions on Trade’, </w:t>
      </w:r>
      <w:r w:rsidRPr="00C31595">
        <w:rPr>
          <w:rFonts w:cstheme="minorHAnsi"/>
          <w:i/>
          <w:iCs/>
          <w:sz w:val="24"/>
          <w:szCs w:val="24"/>
        </w:rPr>
        <w:t xml:space="preserve">Economic Policy </w:t>
      </w:r>
      <w:r w:rsidRPr="00C31595">
        <w:rPr>
          <w:rFonts w:cstheme="minorHAnsi"/>
          <w:iCs/>
          <w:sz w:val="24"/>
          <w:szCs w:val="24"/>
        </w:rPr>
        <w:t xml:space="preserve">Vol. </w:t>
      </w:r>
      <w:r w:rsidRPr="00C31595">
        <w:rPr>
          <w:rFonts w:cstheme="minorHAnsi"/>
          <w:sz w:val="24"/>
          <w:szCs w:val="24"/>
        </w:rPr>
        <w:t>30: 7-46</w:t>
      </w:r>
    </w:p>
    <w:p w:rsidR="00C31595" w:rsidRPr="00C31595" w:rsidRDefault="00C31595" w:rsidP="00C31595">
      <w:pPr>
        <w:autoSpaceDE w:val="0"/>
        <w:autoSpaceDN w:val="0"/>
        <w:adjustRightInd w:val="0"/>
        <w:spacing w:after="240"/>
        <w:rPr>
          <w:rFonts w:cstheme="minorHAnsi"/>
          <w:sz w:val="24"/>
          <w:szCs w:val="24"/>
        </w:rPr>
      </w:pPr>
      <w:r w:rsidRPr="00C31595">
        <w:rPr>
          <w:sz w:val="24"/>
          <w:szCs w:val="24"/>
        </w:rPr>
        <w:t xml:space="preserve">Tinbergen, J. (1962), </w:t>
      </w:r>
      <w:r w:rsidRPr="00C31595">
        <w:rPr>
          <w:i/>
          <w:sz w:val="24"/>
          <w:szCs w:val="24"/>
        </w:rPr>
        <w:t>Shaping the World Economy: Suggestions for an International Economic Policy</w:t>
      </w:r>
      <w:r w:rsidRPr="00C31595">
        <w:rPr>
          <w:sz w:val="24"/>
          <w:szCs w:val="24"/>
        </w:rPr>
        <w:t>, The Twentieth Century Fund, New York, U.S.A.</w:t>
      </w:r>
    </w:p>
    <w:p w:rsidR="0012390A" w:rsidRPr="00C31595" w:rsidRDefault="0012390A">
      <w:pPr>
        <w:rPr>
          <w:rFonts w:asciiTheme="majorHAnsi" w:eastAsiaTheme="majorEastAsia" w:hAnsiTheme="majorHAnsi" w:cstheme="majorBidi"/>
          <w:b/>
          <w:bCs/>
          <w:color w:val="365F91" w:themeColor="accent1" w:themeShade="BF"/>
          <w:sz w:val="24"/>
          <w:szCs w:val="24"/>
        </w:rPr>
      </w:pPr>
      <w:r w:rsidRPr="00C31595">
        <w:rPr>
          <w:sz w:val="24"/>
          <w:szCs w:val="24"/>
        </w:rPr>
        <w:br w:type="page"/>
      </w:r>
    </w:p>
    <w:p w:rsidR="00FC7815" w:rsidRDefault="00FC7815" w:rsidP="004C1689">
      <w:pPr>
        <w:pStyle w:val="Heading1"/>
        <w:spacing w:line="360" w:lineRule="auto"/>
      </w:pPr>
      <w:bookmarkStart w:id="56" w:name="_Toc353180795"/>
      <w:bookmarkStart w:id="57" w:name="_Toc353348812"/>
      <w:r>
        <w:t>Appendix A</w:t>
      </w:r>
      <w:r w:rsidR="0012390A">
        <w:t xml:space="preserve"> – Sources &amp; Variables</w:t>
      </w:r>
      <w:bookmarkEnd w:id="56"/>
      <w:bookmarkEnd w:id="57"/>
    </w:p>
    <w:p w:rsidR="009511A8" w:rsidRDefault="00605343" w:rsidP="00BA26CA">
      <w:pPr>
        <w:spacing w:line="360" w:lineRule="auto"/>
        <w:jc w:val="both"/>
      </w:pPr>
      <w:r>
        <w:t>Export data in nominal US dollars are taken from the IMF Directs of Trade Statistics (DOTS) database. Nominal GDPs in US Dollars as well as country specific GDP deflators are retrieved from the IMF International Financial Statistics (IFS) database. Real export figures and GDPs are self-calculated by deflating the nominal values of export and GDP by the corresponding country’s year GDP deflator. Data on common borders, common languages and distances in kilometers between capitals</w:t>
      </w:r>
      <w:r w:rsidR="009511A8">
        <w:t xml:space="preserve"> or main economic centers are taken from Centre </w:t>
      </w:r>
      <w:proofErr w:type="spellStart"/>
      <w:r w:rsidR="009511A8">
        <w:t>d’Etudes</w:t>
      </w:r>
      <w:proofErr w:type="spellEnd"/>
      <w:r w:rsidR="009511A8">
        <w:t xml:space="preserve"> </w:t>
      </w:r>
      <w:proofErr w:type="spellStart"/>
      <w:r w:rsidR="009511A8">
        <w:t>Prospectives</w:t>
      </w:r>
      <w:proofErr w:type="spellEnd"/>
      <w:r w:rsidR="009511A8">
        <w:t xml:space="preserve"> et </w:t>
      </w:r>
      <w:proofErr w:type="spellStart"/>
      <w:r w:rsidR="009511A8">
        <w:t>d’Informations</w:t>
      </w:r>
      <w:proofErr w:type="spellEnd"/>
      <w:r w:rsidR="009511A8">
        <w:t xml:space="preserve"> </w:t>
      </w:r>
      <w:proofErr w:type="spellStart"/>
      <w:r w:rsidR="009511A8">
        <w:t>Internationales</w:t>
      </w:r>
      <w:proofErr w:type="spellEnd"/>
      <w:r w:rsidR="009511A8">
        <w:t xml:space="preserve"> (CEPII). The remainder of the variables are all self-constructed variables. </w:t>
      </w:r>
    </w:p>
    <w:p w:rsidR="009511A8" w:rsidRDefault="009511A8" w:rsidP="004C1689">
      <w:pPr>
        <w:spacing w:line="360" w:lineRule="auto"/>
      </w:pPr>
      <w:r>
        <w:t>Country groups:</w:t>
      </w:r>
    </w:p>
    <w:p w:rsidR="007E1F5C" w:rsidRDefault="007E1F5C" w:rsidP="007E1F5C">
      <w:pPr>
        <w:spacing w:line="360" w:lineRule="auto"/>
      </w:pPr>
      <w:r>
        <w:rPr>
          <w:b/>
        </w:rPr>
        <w:t>2004</w:t>
      </w:r>
      <w:r>
        <w:tab/>
      </w:r>
      <w:r>
        <w:tab/>
        <w:t>Cyprus, Czech Republic, Estonia, Hungary, Latvia, Lithuania, Malta, Poland, Slovenia, Slovak Republic</w:t>
      </w:r>
    </w:p>
    <w:p w:rsidR="002A5CBC" w:rsidRDefault="009511A8" w:rsidP="004C1689">
      <w:pPr>
        <w:spacing w:line="360" w:lineRule="auto"/>
      </w:pPr>
      <w:r>
        <w:rPr>
          <w:b/>
        </w:rPr>
        <w:t>EMU</w:t>
      </w:r>
      <w:r w:rsidR="002A5CBC">
        <w:rPr>
          <w:b/>
        </w:rPr>
        <w:t>12</w:t>
      </w:r>
      <w:r>
        <w:rPr>
          <w:b/>
        </w:rPr>
        <w:tab/>
      </w:r>
      <w:r>
        <w:rPr>
          <w:b/>
        </w:rPr>
        <w:tab/>
      </w:r>
      <w:r>
        <w:t>Austria, Belgium, Finland, France, Germany,</w:t>
      </w:r>
      <w:r w:rsidR="002A5CBC">
        <w:t xml:space="preserve"> Greece,</w:t>
      </w:r>
      <w:r>
        <w:t xml:space="preserve"> I</w:t>
      </w:r>
      <w:r w:rsidR="002A5CBC">
        <w:t>reland, I</w:t>
      </w:r>
      <w:r>
        <w:t xml:space="preserve">taly, </w:t>
      </w:r>
      <w:r w:rsidR="002A5CBC">
        <w:t>Luxembourg, the Netherlands, Portugal, Spain</w:t>
      </w:r>
    </w:p>
    <w:p w:rsidR="007E1F5C" w:rsidRPr="007E1F5C" w:rsidRDefault="007E1F5C" w:rsidP="004C1689">
      <w:pPr>
        <w:spacing w:line="360" w:lineRule="auto"/>
      </w:pPr>
      <w:r>
        <w:rPr>
          <w:b/>
        </w:rPr>
        <w:t>EU15</w:t>
      </w:r>
      <w:r>
        <w:rPr>
          <w:b/>
        </w:rPr>
        <w:tab/>
      </w:r>
      <w:r>
        <w:rPr>
          <w:b/>
        </w:rPr>
        <w:tab/>
      </w:r>
      <w:r>
        <w:t>Austria, Belgium, Denmark, Finland, France, Germany, Greece, Ireland, Italy, Luxembourg, the Netherlands, Portugal, Spain, Sweden, United Kingdom</w:t>
      </w:r>
    </w:p>
    <w:p w:rsidR="002A5CBC" w:rsidRDefault="002A5CBC" w:rsidP="004C1689">
      <w:pPr>
        <w:spacing w:line="360" w:lineRule="auto"/>
      </w:pPr>
      <w:r>
        <w:rPr>
          <w:b/>
        </w:rPr>
        <w:t>RW</w:t>
      </w:r>
      <w:r>
        <w:rPr>
          <w:b/>
        </w:rPr>
        <w:tab/>
      </w:r>
      <w:r>
        <w:rPr>
          <w:b/>
        </w:rPr>
        <w:tab/>
      </w:r>
      <w:r>
        <w:t xml:space="preserve">Australia, Bulgaria, Canada, China, </w:t>
      </w:r>
      <w:r w:rsidR="00FA6868">
        <w:t xml:space="preserve">Cyprus, Czech Republic, </w:t>
      </w:r>
      <w:r>
        <w:t xml:space="preserve">Denmark, </w:t>
      </w:r>
      <w:r w:rsidR="00FA6868">
        <w:t xml:space="preserve">Estonia, Hungary, Latvia, Lithuania, Norway, Poland, Romania, </w:t>
      </w:r>
      <w:r>
        <w:t xml:space="preserve">Russian Federation, </w:t>
      </w:r>
      <w:r w:rsidR="00FA6868">
        <w:t xml:space="preserve">Sweden, </w:t>
      </w:r>
      <w:r>
        <w:t>Switzerland, Turkey, United Kingdom, United States</w:t>
      </w:r>
    </w:p>
    <w:p w:rsidR="00261915" w:rsidRDefault="002A5CBC" w:rsidP="004C1689">
      <w:pPr>
        <w:spacing w:line="360" w:lineRule="auto"/>
      </w:pPr>
      <w:proofErr w:type="spellStart"/>
      <w:r>
        <w:rPr>
          <w:b/>
        </w:rPr>
        <w:t>newEMU</w:t>
      </w:r>
      <w:proofErr w:type="spellEnd"/>
      <w:r>
        <w:rPr>
          <w:b/>
        </w:rPr>
        <w:tab/>
      </w:r>
      <w:r>
        <w:t>Cyprus, Malta, Slovenia, Slovak Republic</w:t>
      </w:r>
      <w:r w:rsidR="00261915">
        <w:br/>
      </w:r>
    </w:p>
    <w:p w:rsidR="00A02364" w:rsidRDefault="00A02364">
      <w:pPr>
        <w:rPr>
          <w:rFonts w:asciiTheme="majorHAnsi" w:eastAsiaTheme="majorEastAsia" w:hAnsiTheme="majorHAnsi" w:cstheme="majorBidi"/>
          <w:b/>
          <w:bCs/>
          <w:color w:val="365F91" w:themeColor="accent1" w:themeShade="BF"/>
          <w:sz w:val="28"/>
          <w:szCs w:val="28"/>
        </w:rPr>
      </w:pPr>
      <w:r>
        <w:br w:type="page"/>
      </w:r>
    </w:p>
    <w:p w:rsidR="0012390A" w:rsidRDefault="001D1BCD" w:rsidP="0012390A">
      <w:pPr>
        <w:pStyle w:val="Heading1"/>
      </w:pPr>
      <w:bookmarkStart w:id="58" w:name="_Toc353180796"/>
      <w:bookmarkStart w:id="59" w:name="_Toc353348813"/>
      <w:r>
        <w:t>Appendix B – Real E</w:t>
      </w:r>
      <w:r w:rsidR="0012390A">
        <w:t>ffects</w:t>
      </w:r>
      <w:r>
        <w:t xml:space="preserve"> of Euro Adoption</w:t>
      </w:r>
      <w:bookmarkEnd w:id="58"/>
      <w:bookmarkEnd w:id="59"/>
    </w:p>
    <w:p w:rsidR="0012390A" w:rsidRPr="00915F1E" w:rsidRDefault="00915F1E" w:rsidP="00915F1E">
      <w:pPr>
        <w:spacing w:line="360" w:lineRule="auto"/>
        <w:jc w:val="both"/>
      </w:pPr>
      <w:r>
        <w:t xml:space="preserve">Tables B-1 and B-2 show the results of testing all of the hypotheses 1 – 6 by using deflated export and GDP data. The real data is constructed by deflating export and </w:t>
      </w:r>
      <w:proofErr w:type="spellStart"/>
      <w:r>
        <w:t>GDP</w:t>
      </w:r>
      <w:r>
        <w:softHyphen/>
      </w:r>
      <w:r>
        <w:rPr>
          <w:vertAlign w:val="superscript"/>
        </w:rPr>
        <w:softHyphen/>
      </w:r>
      <w:r>
        <w:softHyphen/>
      </w:r>
      <w:r>
        <w:softHyphen/>
      </w:r>
      <w:r w:rsidR="00FA3F8C">
        <w:rPr>
          <w:vertAlign w:val="subscript"/>
        </w:rPr>
        <w:t>i</w:t>
      </w:r>
      <w:proofErr w:type="spellEnd"/>
      <w:r>
        <w:t xml:space="preserve"> by country’s </w:t>
      </w:r>
      <w:proofErr w:type="spellStart"/>
      <w:r>
        <w:rPr>
          <w:i/>
        </w:rPr>
        <w:t>i</w:t>
      </w:r>
      <w:proofErr w:type="spellEnd"/>
      <w:r>
        <w:t xml:space="preserve"> GDP deflator, and </w:t>
      </w:r>
      <w:r w:rsidR="00FA3F8C">
        <w:t xml:space="preserve">deflating </w:t>
      </w:r>
      <w:proofErr w:type="spellStart"/>
      <w:r>
        <w:t>GDP</w:t>
      </w:r>
      <w:r>
        <w:rPr>
          <w:vertAlign w:val="subscript"/>
        </w:rPr>
        <w:t>j</w:t>
      </w:r>
      <w:proofErr w:type="spellEnd"/>
      <w:r>
        <w:t xml:space="preserve"> by country’s </w:t>
      </w:r>
      <w:r>
        <w:rPr>
          <w:i/>
        </w:rPr>
        <w:t>j</w:t>
      </w:r>
      <w:r>
        <w:t xml:space="preserve"> GDP deflator. </w:t>
      </w:r>
    </w:p>
    <w:p w:rsidR="00531131" w:rsidRPr="00FA3F8C" w:rsidRDefault="00531131" w:rsidP="00FA3F8C">
      <w:pPr>
        <w:spacing w:after="0"/>
        <w:rPr>
          <w:b/>
          <w:sz w:val="24"/>
        </w:rPr>
      </w:pPr>
      <w:r w:rsidRPr="00FA3F8C">
        <w:rPr>
          <w:b/>
          <w:sz w:val="24"/>
        </w:rPr>
        <w:t>Table B-1 Trade Effects of Euro Adoption per Individual Country, Real and Nominal</w:t>
      </w:r>
    </w:p>
    <w:tbl>
      <w:tblPr>
        <w:tblStyle w:val="Lichtearcering-accent11"/>
        <w:tblpPr w:leftFromText="142" w:rightFromText="142" w:vertAnchor="text" w:tblpY="1"/>
        <w:tblOverlap w:val="never"/>
        <w:tblW w:w="0" w:type="auto"/>
        <w:tblLook w:val="04A0"/>
      </w:tblPr>
      <w:tblGrid>
        <w:gridCol w:w="2712"/>
        <w:gridCol w:w="231"/>
        <w:gridCol w:w="1574"/>
        <w:gridCol w:w="104"/>
        <w:gridCol w:w="1471"/>
        <w:gridCol w:w="457"/>
        <w:gridCol w:w="1118"/>
        <w:gridCol w:w="227"/>
        <w:gridCol w:w="1348"/>
      </w:tblGrid>
      <w:tr w:rsidR="00531131" w:rsidTr="00444E68">
        <w:trPr>
          <w:cnfStyle w:val="100000000000"/>
        </w:trPr>
        <w:tc>
          <w:tcPr>
            <w:cnfStyle w:val="001000000000"/>
            <w:tcW w:w="9242" w:type="dxa"/>
            <w:gridSpan w:val="9"/>
          </w:tcPr>
          <w:p w:rsidR="00531131" w:rsidRPr="00531131" w:rsidRDefault="00531131" w:rsidP="00FA3F8C">
            <w:pPr>
              <w:rPr>
                <w:color w:val="auto"/>
                <w:sz w:val="24"/>
              </w:rPr>
            </w:pPr>
            <w:r w:rsidRPr="00531131">
              <w:rPr>
                <w:color w:val="auto"/>
                <w:sz w:val="24"/>
              </w:rPr>
              <w:t>Total Trade Effects</w:t>
            </w:r>
            <w:r w:rsidR="00FA3F8C">
              <w:rPr>
                <w:color w:val="auto"/>
                <w:sz w:val="24"/>
                <w:vertAlign w:val="superscript"/>
              </w:rPr>
              <w:t>(a)</w:t>
            </w:r>
            <w:r w:rsidRPr="00531131">
              <w:rPr>
                <w:color w:val="auto"/>
                <w:sz w:val="24"/>
              </w:rPr>
              <w:t xml:space="preserve"> &amp; Trade Effects per Trading Partner Group</w:t>
            </w:r>
            <w:r w:rsidR="00B918C3">
              <w:rPr>
                <w:color w:val="auto"/>
                <w:sz w:val="24"/>
                <w:vertAlign w:val="superscript"/>
              </w:rPr>
              <w:t>(b)</w:t>
            </w:r>
            <w:r w:rsidRPr="00531131">
              <w:rPr>
                <w:color w:val="auto"/>
                <w:sz w:val="24"/>
              </w:rPr>
              <w:t xml:space="preserve"> of Euro adoption, per individual country</w:t>
            </w:r>
          </w:p>
        </w:tc>
      </w:tr>
      <w:tr w:rsidR="00531131" w:rsidTr="00444E68">
        <w:trPr>
          <w:cnfStyle w:val="000000100000"/>
        </w:trPr>
        <w:tc>
          <w:tcPr>
            <w:cnfStyle w:val="001000000000"/>
            <w:tcW w:w="9242" w:type="dxa"/>
            <w:gridSpan w:val="9"/>
          </w:tcPr>
          <w:p w:rsidR="00531131" w:rsidRPr="00B918C3" w:rsidRDefault="00531131" w:rsidP="00B918C3">
            <w:pPr>
              <w:rPr>
                <w:b w:val="0"/>
                <w:color w:val="auto"/>
                <w:vertAlign w:val="superscript"/>
              </w:rPr>
            </w:pPr>
            <w:r w:rsidRPr="00531131">
              <w:rPr>
                <w:rFonts w:ascii="Calibri" w:hAnsi="Calibri" w:cs="Calibri"/>
                <w:b w:val="0"/>
                <w:color w:val="auto"/>
              </w:rPr>
              <w:t>Country Pair Fixed Effect model with Time Fixed Effects</w:t>
            </w:r>
            <w:r w:rsidR="00B918C3">
              <w:rPr>
                <w:rFonts w:ascii="Calibri" w:hAnsi="Calibri" w:cs="Calibri"/>
                <w:b w:val="0"/>
                <w:color w:val="auto"/>
                <w:vertAlign w:val="superscript"/>
              </w:rPr>
              <w:t>(d)</w:t>
            </w:r>
          </w:p>
        </w:tc>
      </w:tr>
      <w:tr w:rsidR="00531131" w:rsidTr="00444E68">
        <w:tc>
          <w:tcPr>
            <w:cnfStyle w:val="001000000000"/>
            <w:tcW w:w="4621" w:type="dxa"/>
            <w:gridSpan w:val="4"/>
          </w:tcPr>
          <w:p w:rsidR="00531131" w:rsidRPr="00531131" w:rsidRDefault="00531131" w:rsidP="00A02364">
            <w:pPr>
              <w:rPr>
                <w:b w:val="0"/>
                <w:color w:val="auto"/>
              </w:rPr>
            </w:pPr>
            <w:r w:rsidRPr="00531131">
              <w:rPr>
                <w:rFonts w:ascii="Calibri" w:hAnsi="Calibri" w:cs="Calibri"/>
                <w:b w:val="0"/>
                <w:color w:val="auto"/>
              </w:rPr>
              <w:t>Method: Panel Least Squares</w:t>
            </w:r>
          </w:p>
        </w:tc>
        <w:tc>
          <w:tcPr>
            <w:tcW w:w="1928" w:type="dxa"/>
            <w:gridSpan w:val="2"/>
          </w:tcPr>
          <w:p w:rsidR="00531131" w:rsidRPr="00531131" w:rsidRDefault="00531131" w:rsidP="00A02364">
            <w:pPr>
              <w:cnfStyle w:val="000000000000"/>
              <w:rPr>
                <w:color w:val="auto"/>
              </w:rPr>
            </w:pPr>
          </w:p>
        </w:tc>
        <w:tc>
          <w:tcPr>
            <w:tcW w:w="1345" w:type="dxa"/>
            <w:gridSpan w:val="2"/>
          </w:tcPr>
          <w:p w:rsidR="00531131" w:rsidRPr="00531131" w:rsidRDefault="00531131" w:rsidP="00A02364">
            <w:pPr>
              <w:cnfStyle w:val="000000000000"/>
              <w:rPr>
                <w:color w:val="auto"/>
              </w:rPr>
            </w:pPr>
          </w:p>
        </w:tc>
        <w:tc>
          <w:tcPr>
            <w:tcW w:w="1348" w:type="dxa"/>
          </w:tcPr>
          <w:p w:rsidR="00531131" w:rsidRPr="00531131" w:rsidRDefault="00531131" w:rsidP="00A02364">
            <w:pPr>
              <w:cnfStyle w:val="000000000000"/>
              <w:rPr>
                <w:color w:val="auto"/>
              </w:rPr>
            </w:pPr>
          </w:p>
        </w:tc>
      </w:tr>
      <w:tr w:rsidR="00531131" w:rsidTr="009276DF">
        <w:trPr>
          <w:cnfStyle w:val="000000100000"/>
        </w:trPr>
        <w:tc>
          <w:tcPr>
            <w:cnfStyle w:val="001000000000"/>
            <w:tcW w:w="2712" w:type="dxa"/>
          </w:tcPr>
          <w:p w:rsidR="009276DF" w:rsidRPr="00531131" w:rsidRDefault="009276DF" w:rsidP="00A02364">
            <w:pPr>
              <w:rPr>
                <w:color w:val="auto"/>
              </w:rPr>
            </w:pPr>
          </w:p>
        </w:tc>
        <w:tc>
          <w:tcPr>
            <w:tcW w:w="1909" w:type="dxa"/>
            <w:gridSpan w:val="3"/>
          </w:tcPr>
          <w:p w:rsidR="009276DF" w:rsidRPr="00531131" w:rsidRDefault="009276DF" w:rsidP="00A02364">
            <w:pPr>
              <w:cnfStyle w:val="000000100000"/>
              <w:rPr>
                <w:color w:val="auto"/>
              </w:rPr>
            </w:pPr>
          </w:p>
        </w:tc>
        <w:tc>
          <w:tcPr>
            <w:tcW w:w="1928" w:type="dxa"/>
            <w:gridSpan w:val="2"/>
          </w:tcPr>
          <w:p w:rsidR="009276DF" w:rsidRPr="00531131" w:rsidRDefault="009276DF" w:rsidP="00A02364">
            <w:pPr>
              <w:cnfStyle w:val="000000100000"/>
              <w:rPr>
                <w:color w:val="auto"/>
              </w:rPr>
            </w:pPr>
          </w:p>
        </w:tc>
        <w:tc>
          <w:tcPr>
            <w:tcW w:w="1345" w:type="dxa"/>
            <w:gridSpan w:val="2"/>
          </w:tcPr>
          <w:p w:rsidR="009276DF" w:rsidRPr="00531131" w:rsidRDefault="009276DF" w:rsidP="00A02364">
            <w:pPr>
              <w:cnfStyle w:val="000000100000"/>
              <w:rPr>
                <w:color w:val="auto"/>
              </w:rPr>
            </w:pPr>
          </w:p>
        </w:tc>
        <w:tc>
          <w:tcPr>
            <w:tcW w:w="1348" w:type="dxa"/>
          </w:tcPr>
          <w:p w:rsidR="009276DF" w:rsidRPr="00531131" w:rsidRDefault="009276DF" w:rsidP="00A02364">
            <w:pPr>
              <w:cnfStyle w:val="000000100000"/>
              <w:rPr>
                <w:color w:val="auto"/>
              </w:rPr>
            </w:pPr>
          </w:p>
        </w:tc>
      </w:tr>
      <w:tr w:rsidR="00531131" w:rsidTr="00FA3F8C">
        <w:tc>
          <w:tcPr>
            <w:cnfStyle w:val="001000000000"/>
            <w:tcW w:w="2943" w:type="dxa"/>
            <w:gridSpan w:val="2"/>
          </w:tcPr>
          <w:p w:rsidR="009276DF" w:rsidRPr="00531131" w:rsidRDefault="009276DF" w:rsidP="009276DF">
            <w:pPr>
              <w:rPr>
                <w:rFonts w:ascii="Calibri" w:hAnsi="Calibri" w:cs="Calibri"/>
                <w:i/>
                <w:color w:val="auto"/>
              </w:rPr>
            </w:pPr>
            <w:r w:rsidRPr="00531131">
              <w:rPr>
                <w:rFonts w:ascii="Calibri" w:hAnsi="Calibri" w:cs="Calibri"/>
                <w:i/>
                <w:color w:val="auto"/>
              </w:rPr>
              <w:t>Dependent variable:</w:t>
            </w:r>
          </w:p>
        </w:tc>
        <w:tc>
          <w:tcPr>
            <w:tcW w:w="1574" w:type="dxa"/>
          </w:tcPr>
          <w:p w:rsidR="009276DF" w:rsidRPr="00531131" w:rsidRDefault="00531131" w:rsidP="009276DF">
            <w:pPr>
              <w:cnfStyle w:val="000000000000"/>
              <w:rPr>
                <w:color w:val="auto"/>
                <w:sz w:val="24"/>
                <w:lang w:val="nl-NL"/>
              </w:rPr>
            </w:pPr>
            <w:r>
              <w:rPr>
                <w:color w:val="auto"/>
                <w:sz w:val="24"/>
                <w:lang w:val="nl-NL"/>
              </w:rPr>
              <w:t>LN_NOM_EX</w:t>
            </w:r>
          </w:p>
        </w:tc>
        <w:tc>
          <w:tcPr>
            <w:tcW w:w="1575" w:type="dxa"/>
            <w:gridSpan w:val="2"/>
            <w:tcBorders>
              <w:right w:val="single" w:sz="8" w:space="0" w:color="4F81BD" w:themeColor="accent1"/>
            </w:tcBorders>
          </w:tcPr>
          <w:p w:rsidR="009276DF" w:rsidRPr="00531131" w:rsidRDefault="00531131" w:rsidP="00531131">
            <w:pPr>
              <w:cnfStyle w:val="000000000000"/>
              <w:rPr>
                <w:color w:val="auto"/>
              </w:rPr>
            </w:pPr>
            <w:r>
              <w:rPr>
                <w:color w:val="auto"/>
              </w:rPr>
              <w:t>LN_REAL_EX</w:t>
            </w:r>
          </w:p>
        </w:tc>
        <w:tc>
          <w:tcPr>
            <w:tcW w:w="1575" w:type="dxa"/>
            <w:gridSpan w:val="2"/>
            <w:tcBorders>
              <w:top w:val="nil"/>
              <w:left w:val="single" w:sz="8" w:space="0" w:color="4F81BD" w:themeColor="accent1"/>
              <w:bottom w:val="nil"/>
            </w:tcBorders>
          </w:tcPr>
          <w:p w:rsidR="009276DF" w:rsidRPr="00531131" w:rsidRDefault="00531131" w:rsidP="00531131">
            <w:pPr>
              <w:cnfStyle w:val="000000000000"/>
              <w:rPr>
                <w:color w:val="auto"/>
                <w:sz w:val="24"/>
                <w:lang w:val="nl-NL"/>
              </w:rPr>
            </w:pPr>
            <w:r>
              <w:rPr>
                <w:color w:val="auto"/>
                <w:sz w:val="24"/>
                <w:lang w:val="nl-NL"/>
              </w:rPr>
              <w:t>LN_NOM_EX</w:t>
            </w:r>
          </w:p>
        </w:tc>
        <w:tc>
          <w:tcPr>
            <w:tcW w:w="1575" w:type="dxa"/>
            <w:gridSpan w:val="2"/>
          </w:tcPr>
          <w:p w:rsidR="009276DF" w:rsidRPr="00531131" w:rsidRDefault="00531131" w:rsidP="009276DF">
            <w:pPr>
              <w:cnfStyle w:val="000000000000"/>
              <w:rPr>
                <w:color w:val="auto"/>
              </w:rPr>
            </w:pPr>
            <w:r>
              <w:rPr>
                <w:color w:val="auto"/>
              </w:rPr>
              <w:t>LN_REAL_EX</w:t>
            </w:r>
          </w:p>
        </w:tc>
      </w:tr>
      <w:tr w:rsidR="00531131" w:rsidTr="00FA3F8C">
        <w:trPr>
          <w:cnfStyle w:val="000000100000"/>
        </w:trPr>
        <w:tc>
          <w:tcPr>
            <w:cnfStyle w:val="001000000000"/>
            <w:tcW w:w="2943" w:type="dxa"/>
            <w:gridSpan w:val="2"/>
          </w:tcPr>
          <w:p w:rsidR="009276DF" w:rsidRPr="00B0517F" w:rsidRDefault="009276DF" w:rsidP="00A02364">
            <w:pPr>
              <w:rPr>
                <w:rFonts w:ascii="Calibri" w:hAnsi="Calibri" w:cs="Calibri"/>
                <w:i/>
                <w:color w:val="000000"/>
                <w:u w:val="single"/>
              </w:rPr>
            </w:pPr>
            <w:r w:rsidRPr="00B0517F">
              <w:rPr>
                <w:rFonts w:ascii="Calibri" w:hAnsi="Calibri" w:cs="Calibri"/>
                <w:i/>
                <w:color w:val="000000"/>
                <w:u w:val="single"/>
              </w:rPr>
              <w:t>Variable:</w:t>
            </w:r>
          </w:p>
        </w:tc>
        <w:tc>
          <w:tcPr>
            <w:tcW w:w="1574" w:type="dxa"/>
          </w:tcPr>
          <w:p w:rsidR="009276DF" w:rsidRDefault="009276DF" w:rsidP="00A02364">
            <w:pPr>
              <w:cnfStyle w:val="000000100000"/>
            </w:pPr>
          </w:p>
        </w:tc>
        <w:tc>
          <w:tcPr>
            <w:tcW w:w="1575" w:type="dxa"/>
            <w:gridSpan w:val="2"/>
            <w:tcBorders>
              <w:right w:val="single" w:sz="8" w:space="0" w:color="4F81BD" w:themeColor="accent1"/>
            </w:tcBorders>
          </w:tcPr>
          <w:p w:rsidR="009276DF" w:rsidRDefault="009276DF" w:rsidP="00A02364">
            <w:pPr>
              <w:cnfStyle w:val="000000100000"/>
            </w:pPr>
          </w:p>
        </w:tc>
        <w:tc>
          <w:tcPr>
            <w:tcW w:w="1575" w:type="dxa"/>
            <w:gridSpan w:val="2"/>
            <w:tcBorders>
              <w:top w:val="nil"/>
              <w:left w:val="single" w:sz="8" w:space="0" w:color="4F81BD" w:themeColor="accent1"/>
              <w:bottom w:val="nil"/>
            </w:tcBorders>
          </w:tcPr>
          <w:p w:rsidR="009276DF" w:rsidRDefault="009276DF" w:rsidP="00A02364">
            <w:pPr>
              <w:cnfStyle w:val="000000100000"/>
            </w:pPr>
          </w:p>
        </w:tc>
        <w:tc>
          <w:tcPr>
            <w:tcW w:w="1575" w:type="dxa"/>
            <w:gridSpan w:val="2"/>
          </w:tcPr>
          <w:p w:rsidR="009276DF" w:rsidRDefault="009276DF" w:rsidP="00A02364">
            <w:pPr>
              <w:cnfStyle w:val="000000100000"/>
            </w:pP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C</w:t>
            </w:r>
          </w:p>
        </w:tc>
        <w:tc>
          <w:tcPr>
            <w:tcW w:w="1574" w:type="dxa"/>
            <w:vAlign w:val="bottom"/>
          </w:tcPr>
          <w:p w:rsidR="00531131" w:rsidRDefault="00531131" w:rsidP="00531131">
            <w:pPr>
              <w:cnfStyle w:val="000000000000"/>
              <w:rPr>
                <w:rFonts w:ascii="Calibri" w:hAnsi="Calibri"/>
                <w:b/>
                <w:color w:val="000000"/>
              </w:rPr>
            </w:pPr>
            <w:r>
              <w:rPr>
                <w:rFonts w:ascii="Calibri" w:hAnsi="Calibri"/>
                <w:b/>
                <w:color w:val="000000"/>
              </w:rPr>
              <w:t>-11.</w:t>
            </w:r>
            <w:r w:rsidRPr="00483426">
              <w:rPr>
                <w:rFonts w:ascii="Calibri" w:hAnsi="Calibri"/>
                <w:b/>
                <w:color w:val="000000"/>
              </w:rPr>
              <w:t>743</w:t>
            </w:r>
          </w:p>
          <w:p w:rsidR="00531131" w:rsidRPr="00483426"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right w:val="single" w:sz="8" w:space="0" w:color="4F81BD" w:themeColor="accent1"/>
            </w:tcBorders>
            <w:vAlign w:val="bottom"/>
          </w:tcPr>
          <w:p w:rsidR="00531131" w:rsidRPr="00A02364" w:rsidRDefault="00531131" w:rsidP="00531131">
            <w:pPr>
              <w:jc w:val="both"/>
              <w:cnfStyle w:val="000000000000"/>
              <w:rPr>
                <w:rFonts w:ascii="Calibri" w:hAnsi="Calibri"/>
                <w:b/>
                <w:color w:val="000000"/>
              </w:rPr>
            </w:pPr>
            <w:r>
              <w:rPr>
                <w:rFonts w:ascii="Calibri" w:hAnsi="Calibri"/>
                <w:b/>
                <w:color w:val="000000"/>
              </w:rPr>
              <w:t>-9.608</w:t>
            </w:r>
          </w:p>
          <w:p w:rsidR="00531131" w:rsidRPr="00A02364" w:rsidRDefault="00531131" w:rsidP="00531131">
            <w:pPr>
              <w:cnfStyle w:val="000000000000"/>
              <w:rPr>
                <w:rFonts w:ascii="Calibri" w:hAnsi="Calibri"/>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Pr>
                <w:rFonts w:ascii="Calibri" w:hAnsi="Calibri"/>
                <w:b/>
                <w:color w:val="000000"/>
              </w:rPr>
              <w:t>-11.839</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c>
          <w:tcPr>
            <w:tcW w:w="1575" w:type="dxa"/>
            <w:gridSpan w:val="2"/>
          </w:tcPr>
          <w:p w:rsidR="00531131" w:rsidRPr="00531131" w:rsidRDefault="00531131" w:rsidP="00531131">
            <w:pPr>
              <w:cnfStyle w:val="000000000000"/>
              <w:rPr>
                <w:rFonts w:ascii="Calibri" w:hAnsi="Calibri"/>
                <w:b/>
                <w:color w:val="000000"/>
              </w:rPr>
            </w:pPr>
            <w:r>
              <w:rPr>
                <w:rFonts w:ascii="Calibri" w:hAnsi="Calibri"/>
                <w:b/>
                <w:color w:val="000000"/>
              </w:rPr>
              <w:t>-9.</w:t>
            </w:r>
            <w:r w:rsidRPr="00531131">
              <w:rPr>
                <w:rFonts w:ascii="Calibri" w:hAnsi="Calibri"/>
                <w:b/>
                <w:color w:val="000000"/>
              </w:rPr>
              <w:t>617</w:t>
            </w:r>
          </w:p>
          <w:p w:rsidR="00531131" w:rsidRPr="00531131"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LN_NOM_GDPI</w:t>
            </w:r>
          </w:p>
        </w:tc>
        <w:tc>
          <w:tcPr>
            <w:tcW w:w="1574" w:type="dxa"/>
            <w:vAlign w:val="bottom"/>
          </w:tcPr>
          <w:p w:rsidR="00531131" w:rsidRDefault="00531131" w:rsidP="00531131">
            <w:pPr>
              <w:cnfStyle w:val="000000100000"/>
              <w:rPr>
                <w:rFonts w:ascii="Calibri" w:hAnsi="Calibri"/>
                <w:b/>
                <w:color w:val="000000"/>
              </w:rPr>
            </w:pPr>
            <w:r>
              <w:rPr>
                <w:rFonts w:ascii="Calibri" w:hAnsi="Calibri"/>
                <w:b/>
                <w:color w:val="000000"/>
              </w:rPr>
              <w:t>0.</w:t>
            </w:r>
            <w:r w:rsidRPr="00483426">
              <w:rPr>
                <w:rFonts w:ascii="Calibri" w:hAnsi="Calibri"/>
                <w:b/>
                <w:color w:val="000000"/>
              </w:rPr>
              <w:t>855</w:t>
            </w:r>
          </w:p>
          <w:p w:rsidR="00531131" w:rsidRPr="00483426" w:rsidRDefault="00531131" w:rsidP="00531131">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right w:val="single" w:sz="8" w:space="0" w:color="4F81BD" w:themeColor="accent1"/>
            </w:tcBorders>
            <w:vAlign w:val="bottom"/>
          </w:tcPr>
          <w:p w:rsidR="00531131" w:rsidRPr="00483426" w:rsidRDefault="00531131" w:rsidP="00531131">
            <w:pPr>
              <w:cnfStyle w:val="0000001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6B7314">
              <w:rPr>
                <w:rFonts w:ascii="Calibri" w:hAnsi="Calibri"/>
                <w:b/>
                <w:color w:val="000000"/>
              </w:rPr>
              <w:t>859</w:t>
            </w:r>
          </w:p>
          <w:p w:rsidR="00531131" w:rsidRPr="006B7314" w:rsidRDefault="00531131" w:rsidP="00531131">
            <w:pPr>
              <w:cnfStyle w:val="000000100000"/>
              <w:rPr>
                <w:rFonts w:ascii="Calibri" w:hAnsi="Calibri"/>
                <w:b/>
                <w:color w:val="000000"/>
              </w:rPr>
            </w:pPr>
            <w:r w:rsidRPr="00BD7CED">
              <w:rPr>
                <w:rFonts w:ascii="Calibri" w:hAnsi="Calibri" w:cs="Calibri"/>
                <w:i/>
                <w:color w:val="000000"/>
                <w:sz w:val="16"/>
                <w:szCs w:val="16"/>
              </w:rPr>
              <w:t>(0.000)***</w:t>
            </w:r>
          </w:p>
        </w:tc>
        <w:tc>
          <w:tcPr>
            <w:tcW w:w="1575" w:type="dxa"/>
            <w:gridSpan w:val="2"/>
          </w:tcPr>
          <w:p w:rsidR="00531131" w:rsidRPr="00531131" w:rsidRDefault="00531131" w:rsidP="00531131">
            <w:pPr>
              <w:cnfStyle w:val="000000100000"/>
              <w:rPr>
                <w:rFonts w:ascii="Calibri" w:hAnsi="Calibri"/>
                <w:b/>
                <w:color w:val="000000"/>
              </w:rPr>
            </w:pP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LN_NOM_GDPJ</w:t>
            </w:r>
          </w:p>
        </w:tc>
        <w:tc>
          <w:tcPr>
            <w:tcW w:w="1574" w:type="dxa"/>
            <w:vAlign w:val="bottom"/>
          </w:tcPr>
          <w:p w:rsidR="00531131" w:rsidRDefault="00531131" w:rsidP="00531131">
            <w:pPr>
              <w:cnfStyle w:val="000000000000"/>
              <w:rPr>
                <w:rFonts w:ascii="Calibri" w:hAnsi="Calibri"/>
                <w:b/>
                <w:color w:val="000000"/>
              </w:rPr>
            </w:pPr>
            <w:r>
              <w:rPr>
                <w:rFonts w:ascii="Calibri" w:hAnsi="Calibri"/>
                <w:b/>
                <w:color w:val="000000"/>
              </w:rPr>
              <w:t>0.</w:t>
            </w:r>
            <w:r w:rsidRPr="00483426">
              <w:rPr>
                <w:rFonts w:ascii="Calibri" w:hAnsi="Calibri"/>
                <w:b/>
                <w:color w:val="000000"/>
              </w:rPr>
              <w:t>934</w:t>
            </w:r>
          </w:p>
          <w:p w:rsidR="00531131" w:rsidRPr="00483426"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right w:val="single" w:sz="8" w:space="0" w:color="4F81BD" w:themeColor="accent1"/>
            </w:tcBorders>
            <w:vAlign w:val="bottom"/>
          </w:tcPr>
          <w:p w:rsidR="00531131" w:rsidRPr="00483426" w:rsidRDefault="00531131" w:rsidP="00531131">
            <w:pPr>
              <w:cnfStyle w:val="0000000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6B7314">
              <w:rPr>
                <w:rFonts w:ascii="Calibri" w:hAnsi="Calibri"/>
                <w:b/>
                <w:color w:val="000000"/>
              </w:rPr>
              <w:t>938</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c>
          <w:tcPr>
            <w:tcW w:w="1575" w:type="dxa"/>
            <w:gridSpan w:val="2"/>
          </w:tcPr>
          <w:p w:rsidR="00531131" w:rsidRPr="00531131" w:rsidRDefault="00531131" w:rsidP="00531131">
            <w:pPr>
              <w:cnfStyle w:val="000000000000"/>
              <w:rPr>
                <w:rFonts w:ascii="Calibri" w:hAnsi="Calibri"/>
                <w:b/>
                <w:color w:val="000000"/>
              </w:rPr>
            </w:pP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LN_REAL_GDPI</w:t>
            </w:r>
          </w:p>
        </w:tc>
        <w:tc>
          <w:tcPr>
            <w:tcW w:w="1574" w:type="dxa"/>
            <w:vAlign w:val="bottom"/>
          </w:tcPr>
          <w:p w:rsidR="00531131" w:rsidRPr="00483426" w:rsidRDefault="00531131" w:rsidP="00531131">
            <w:pPr>
              <w:cnfStyle w:val="000000100000"/>
              <w:rPr>
                <w:rFonts w:ascii="Calibri" w:hAnsi="Calibri"/>
                <w:b/>
                <w:color w:val="000000"/>
              </w:rPr>
            </w:pPr>
          </w:p>
        </w:tc>
        <w:tc>
          <w:tcPr>
            <w:tcW w:w="1575" w:type="dxa"/>
            <w:gridSpan w:val="2"/>
            <w:tcBorders>
              <w:right w:val="single" w:sz="8" w:space="0" w:color="4F81BD" w:themeColor="accent1"/>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A02364">
              <w:rPr>
                <w:rFonts w:ascii="Calibri" w:hAnsi="Calibri"/>
                <w:b/>
                <w:color w:val="000000"/>
              </w:rPr>
              <w:t>89</w:t>
            </w:r>
            <w:r>
              <w:rPr>
                <w:rFonts w:ascii="Calibri" w:hAnsi="Calibri"/>
                <w:b/>
                <w:color w:val="000000"/>
              </w:rPr>
              <w:t>8</w:t>
            </w:r>
          </w:p>
          <w:p w:rsidR="00531131" w:rsidRPr="00A02364" w:rsidRDefault="00531131" w:rsidP="00531131">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top w:val="nil"/>
              <w:left w:val="single" w:sz="8" w:space="0" w:color="4F81BD" w:themeColor="accent1"/>
              <w:bottom w:val="nil"/>
            </w:tcBorders>
            <w:vAlign w:val="bottom"/>
          </w:tcPr>
          <w:p w:rsidR="00531131" w:rsidRPr="0009195C" w:rsidRDefault="00531131" w:rsidP="00531131">
            <w:pPr>
              <w:cnfStyle w:val="000000100000"/>
              <w:rPr>
                <w:rFonts w:ascii="Calibri" w:hAnsi="Calibri" w:cs="Calibri"/>
                <w:b/>
                <w:i/>
                <w:color w:val="000000"/>
              </w:rPr>
            </w:pP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w:t>
            </w:r>
            <w:r w:rsidRPr="00531131">
              <w:rPr>
                <w:rFonts w:ascii="Calibri" w:hAnsi="Calibri"/>
                <w:b/>
                <w:color w:val="000000"/>
              </w:rPr>
              <w:t>898</w:t>
            </w:r>
          </w:p>
          <w:p w:rsidR="00531131" w:rsidRPr="00531131" w:rsidRDefault="00531131" w:rsidP="00531131">
            <w:pPr>
              <w:cnfStyle w:val="000000100000"/>
              <w:rPr>
                <w:rFonts w:ascii="Calibri" w:hAnsi="Calibri"/>
                <w:b/>
                <w:color w:val="000000"/>
              </w:rPr>
            </w:pPr>
            <w:r w:rsidRPr="00BD7CED">
              <w:rPr>
                <w:rFonts w:ascii="Calibri" w:hAnsi="Calibri" w:cs="Calibri"/>
                <w:i/>
                <w:color w:val="000000"/>
                <w:sz w:val="16"/>
                <w:szCs w:val="16"/>
              </w:rPr>
              <w:t>(0.000)***</w:t>
            </w: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LN_REAL_GDPJ</w:t>
            </w:r>
          </w:p>
        </w:tc>
        <w:tc>
          <w:tcPr>
            <w:tcW w:w="1574" w:type="dxa"/>
            <w:vAlign w:val="bottom"/>
          </w:tcPr>
          <w:p w:rsidR="00531131" w:rsidRPr="00483426" w:rsidRDefault="00531131" w:rsidP="00531131">
            <w:pPr>
              <w:cnfStyle w:val="000000000000"/>
              <w:rPr>
                <w:rFonts w:ascii="Calibri" w:hAnsi="Calibri"/>
                <w:b/>
                <w:color w:val="000000"/>
              </w:rPr>
            </w:pPr>
          </w:p>
        </w:tc>
        <w:tc>
          <w:tcPr>
            <w:tcW w:w="1575" w:type="dxa"/>
            <w:gridSpan w:val="2"/>
            <w:tcBorders>
              <w:right w:val="single" w:sz="8" w:space="0" w:color="4F81BD" w:themeColor="accent1"/>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A02364">
              <w:rPr>
                <w:rFonts w:ascii="Calibri" w:hAnsi="Calibri"/>
                <w:b/>
                <w:color w:val="000000"/>
              </w:rPr>
              <w:t>705</w:t>
            </w:r>
          </w:p>
          <w:p w:rsidR="00531131" w:rsidRPr="00A02364"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top w:val="nil"/>
              <w:left w:val="single" w:sz="8" w:space="0" w:color="4F81BD" w:themeColor="accent1"/>
              <w:bottom w:val="nil"/>
            </w:tcBorders>
            <w:vAlign w:val="bottom"/>
          </w:tcPr>
          <w:p w:rsidR="00531131" w:rsidRPr="0009195C" w:rsidRDefault="00531131" w:rsidP="00531131">
            <w:pPr>
              <w:cnfStyle w:val="000000000000"/>
              <w:rPr>
                <w:rFonts w:ascii="Calibri" w:hAnsi="Calibri" w:cs="Calibri"/>
                <w:b/>
                <w:i/>
                <w:color w:val="000000"/>
              </w:rPr>
            </w:pP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w:t>
            </w:r>
            <w:r w:rsidRPr="00531131">
              <w:rPr>
                <w:rFonts w:ascii="Calibri" w:hAnsi="Calibri"/>
                <w:b/>
                <w:color w:val="000000"/>
              </w:rPr>
              <w:t>705</w:t>
            </w:r>
          </w:p>
          <w:p w:rsidR="00531131" w:rsidRPr="00531131"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SLOVENIA_X_M_07</w:t>
            </w:r>
          </w:p>
        </w:tc>
        <w:tc>
          <w:tcPr>
            <w:tcW w:w="1574" w:type="dxa"/>
            <w:vAlign w:val="bottom"/>
          </w:tcPr>
          <w:p w:rsidR="00531131" w:rsidRDefault="00531131" w:rsidP="00531131">
            <w:pPr>
              <w:cnfStyle w:val="000000100000"/>
              <w:rPr>
                <w:rFonts w:ascii="Calibri" w:hAnsi="Calibri"/>
                <w:b/>
                <w:color w:val="000000"/>
              </w:rPr>
            </w:pPr>
            <w:r>
              <w:rPr>
                <w:rFonts w:ascii="Calibri" w:hAnsi="Calibri"/>
                <w:b/>
                <w:color w:val="000000"/>
              </w:rPr>
              <w:t>0.</w:t>
            </w:r>
            <w:r w:rsidRPr="00483426">
              <w:rPr>
                <w:rFonts w:ascii="Calibri" w:hAnsi="Calibri"/>
                <w:b/>
                <w:color w:val="000000"/>
              </w:rPr>
              <w:t>076</w:t>
            </w:r>
          </w:p>
          <w:p w:rsidR="00531131" w:rsidRPr="00483426" w:rsidRDefault="00531131" w:rsidP="00531131">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right w:val="single" w:sz="8" w:space="0" w:color="4F81BD" w:themeColor="accent1"/>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A02364">
              <w:rPr>
                <w:rFonts w:ascii="Calibri" w:hAnsi="Calibri"/>
                <w:b/>
                <w:color w:val="000000"/>
              </w:rPr>
              <w:t>070</w:t>
            </w:r>
          </w:p>
          <w:p w:rsidR="00531131" w:rsidRPr="00A02364" w:rsidRDefault="00531131" w:rsidP="00531131">
            <w:pPr>
              <w:cnfStyle w:val="0000001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top w:val="nil"/>
              <w:left w:val="single" w:sz="8" w:space="0" w:color="4F81BD" w:themeColor="accent1"/>
              <w:bottom w:val="nil"/>
            </w:tcBorders>
            <w:vAlign w:val="bottom"/>
          </w:tcPr>
          <w:p w:rsidR="00531131" w:rsidRPr="0009195C" w:rsidRDefault="00531131" w:rsidP="00531131">
            <w:pPr>
              <w:cnfStyle w:val="000000100000"/>
              <w:rPr>
                <w:rFonts w:ascii="Calibri" w:hAnsi="Calibri" w:cs="Calibri"/>
                <w:b/>
                <w:i/>
                <w:color w:val="000000"/>
              </w:rPr>
            </w:pPr>
          </w:p>
        </w:tc>
        <w:tc>
          <w:tcPr>
            <w:tcW w:w="1575" w:type="dxa"/>
            <w:gridSpan w:val="2"/>
          </w:tcPr>
          <w:p w:rsidR="00531131" w:rsidRPr="00531131" w:rsidRDefault="00531131" w:rsidP="00531131">
            <w:pPr>
              <w:cnfStyle w:val="000000100000"/>
              <w:rPr>
                <w:rFonts w:ascii="Calibri" w:hAnsi="Calibri"/>
                <w:b/>
                <w:color w:val="000000"/>
              </w:rPr>
            </w:pP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SLOVENIA_X_M_EMU_07</w:t>
            </w:r>
          </w:p>
        </w:tc>
        <w:tc>
          <w:tcPr>
            <w:tcW w:w="1574" w:type="dxa"/>
            <w:vAlign w:val="bottom"/>
          </w:tcPr>
          <w:p w:rsidR="00531131" w:rsidRPr="00483426" w:rsidRDefault="00531131" w:rsidP="00531131">
            <w:pPr>
              <w:cnfStyle w:val="0000000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0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6B7314">
              <w:rPr>
                <w:rFonts w:ascii="Calibri" w:hAnsi="Calibri"/>
                <w:b/>
                <w:color w:val="000000"/>
              </w:rPr>
              <w:t>076</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w:t>
            </w:r>
            <w:r w:rsidRPr="00531131">
              <w:rPr>
                <w:rFonts w:ascii="Calibri" w:hAnsi="Calibri"/>
                <w:b/>
                <w:color w:val="000000"/>
              </w:rPr>
              <w:t>052</w:t>
            </w:r>
          </w:p>
          <w:p w:rsidR="00531131" w:rsidRPr="00531131" w:rsidRDefault="00531131" w:rsidP="00531131">
            <w:pPr>
              <w:cnfStyle w:val="000000000000"/>
              <w:rPr>
                <w:rFonts w:ascii="Calibri" w:hAnsi="Calibri"/>
                <w:b/>
                <w:color w:val="000000"/>
              </w:rPr>
            </w:pPr>
            <w:r>
              <w:rPr>
                <w:rFonts w:ascii="Calibri" w:hAnsi="Calibri" w:cs="Calibri"/>
                <w:i/>
                <w:color w:val="000000"/>
                <w:sz w:val="16"/>
                <w:szCs w:val="16"/>
              </w:rPr>
              <w:t>(0.018)**</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SLOVENIA_X_M_RW_07</w:t>
            </w:r>
          </w:p>
        </w:tc>
        <w:tc>
          <w:tcPr>
            <w:tcW w:w="1574" w:type="dxa"/>
            <w:vAlign w:val="bottom"/>
          </w:tcPr>
          <w:p w:rsidR="00531131" w:rsidRPr="00483426" w:rsidRDefault="00531131" w:rsidP="00531131">
            <w:pPr>
              <w:cnfStyle w:val="0000001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1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6B7314">
              <w:rPr>
                <w:rFonts w:ascii="Calibri" w:hAnsi="Calibri"/>
                <w:b/>
                <w:color w:val="000000"/>
              </w:rPr>
              <w:t>077</w:t>
            </w:r>
          </w:p>
          <w:p w:rsidR="00531131" w:rsidRPr="006B7314" w:rsidRDefault="00531131" w:rsidP="00531131">
            <w:pPr>
              <w:cnfStyle w:val="000000100000"/>
              <w:rPr>
                <w:rFonts w:ascii="Calibri" w:hAnsi="Calibri"/>
                <w:b/>
                <w:color w:val="000000"/>
              </w:rPr>
            </w:pPr>
            <w:r w:rsidRPr="00BD7CED">
              <w:rPr>
                <w:rFonts w:ascii="Calibri" w:hAnsi="Calibri" w:cs="Calibri"/>
                <w:i/>
                <w:color w:val="000000"/>
                <w:sz w:val="16"/>
                <w:szCs w:val="16"/>
              </w:rPr>
              <w:t>(0.000)***</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w:t>
            </w:r>
            <w:r w:rsidRPr="00531131">
              <w:rPr>
                <w:rFonts w:ascii="Calibri" w:hAnsi="Calibri"/>
                <w:b/>
                <w:color w:val="000000"/>
              </w:rPr>
              <w:t>081</w:t>
            </w:r>
          </w:p>
          <w:p w:rsidR="00531131" w:rsidRPr="00531131" w:rsidRDefault="00531131" w:rsidP="00531131">
            <w:pPr>
              <w:cnfStyle w:val="000000100000"/>
              <w:rPr>
                <w:rFonts w:ascii="Calibri" w:hAnsi="Calibri"/>
                <w:b/>
                <w:color w:val="000000"/>
              </w:rPr>
            </w:pPr>
            <w:r w:rsidRPr="00BD7CED">
              <w:rPr>
                <w:rFonts w:ascii="Calibri" w:hAnsi="Calibri" w:cs="Calibri"/>
                <w:i/>
                <w:color w:val="000000"/>
                <w:sz w:val="16"/>
                <w:szCs w:val="16"/>
              </w:rPr>
              <w:t>(0.000)***</w:t>
            </w: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CYPRUS_X_M_08</w:t>
            </w:r>
          </w:p>
        </w:tc>
        <w:tc>
          <w:tcPr>
            <w:tcW w:w="1574" w:type="dxa"/>
            <w:vAlign w:val="bottom"/>
          </w:tcPr>
          <w:p w:rsidR="00531131" w:rsidRDefault="00531131" w:rsidP="00531131">
            <w:pPr>
              <w:cnfStyle w:val="000000000000"/>
              <w:rPr>
                <w:rFonts w:ascii="Calibri" w:hAnsi="Calibri"/>
                <w:b/>
                <w:color w:val="000000"/>
              </w:rPr>
            </w:pPr>
            <w:r w:rsidRPr="00483426">
              <w:rPr>
                <w:rFonts w:ascii="Calibri" w:hAnsi="Calibri"/>
                <w:b/>
                <w:color w:val="000000"/>
              </w:rPr>
              <w:t>-0</w:t>
            </w:r>
            <w:r>
              <w:rPr>
                <w:rFonts w:ascii="Calibri" w:hAnsi="Calibri"/>
                <w:b/>
                <w:color w:val="000000"/>
              </w:rPr>
              <w:t>.</w:t>
            </w:r>
            <w:r w:rsidRPr="00483426">
              <w:rPr>
                <w:rFonts w:ascii="Calibri" w:hAnsi="Calibri"/>
                <w:b/>
                <w:color w:val="000000"/>
              </w:rPr>
              <w:t>061</w:t>
            </w:r>
          </w:p>
          <w:p w:rsidR="00531131" w:rsidRPr="00483426"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right w:val="single" w:sz="8" w:space="0" w:color="4F81BD" w:themeColor="accent1"/>
            </w:tcBorders>
            <w:vAlign w:val="bottom"/>
          </w:tcPr>
          <w:p w:rsidR="00531131" w:rsidRDefault="00531131" w:rsidP="00531131">
            <w:pPr>
              <w:cnfStyle w:val="000000000000"/>
              <w:rPr>
                <w:rFonts w:ascii="Calibri" w:hAnsi="Calibri"/>
                <w:b/>
                <w:color w:val="000000"/>
              </w:rPr>
            </w:pPr>
            <w:r w:rsidRPr="00A02364">
              <w:rPr>
                <w:rFonts w:ascii="Calibri" w:hAnsi="Calibri"/>
                <w:b/>
                <w:color w:val="000000"/>
              </w:rPr>
              <w:t>-0</w:t>
            </w:r>
            <w:r>
              <w:rPr>
                <w:rFonts w:ascii="Calibri" w:hAnsi="Calibri"/>
                <w:b/>
                <w:color w:val="000000"/>
              </w:rPr>
              <w:t>.</w:t>
            </w:r>
            <w:r w:rsidRPr="00A02364">
              <w:rPr>
                <w:rFonts w:ascii="Calibri" w:hAnsi="Calibri"/>
                <w:b/>
                <w:color w:val="000000"/>
              </w:rPr>
              <w:t>065</w:t>
            </w:r>
          </w:p>
          <w:p w:rsidR="00531131" w:rsidRPr="00A02364"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c>
          <w:tcPr>
            <w:tcW w:w="1575" w:type="dxa"/>
            <w:gridSpan w:val="2"/>
            <w:tcBorders>
              <w:top w:val="nil"/>
              <w:left w:val="single" w:sz="8" w:space="0" w:color="4F81BD" w:themeColor="accent1"/>
              <w:bottom w:val="nil"/>
            </w:tcBorders>
            <w:vAlign w:val="bottom"/>
          </w:tcPr>
          <w:p w:rsidR="00531131" w:rsidRPr="006B7314" w:rsidRDefault="00531131" w:rsidP="00531131">
            <w:pPr>
              <w:cnfStyle w:val="000000000000"/>
              <w:rPr>
                <w:rFonts w:ascii="Calibri" w:hAnsi="Calibri"/>
                <w:b/>
                <w:color w:val="000000"/>
              </w:rPr>
            </w:pPr>
          </w:p>
        </w:tc>
        <w:tc>
          <w:tcPr>
            <w:tcW w:w="1575" w:type="dxa"/>
            <w:gridSpan w:val="2"/>
          </w:tcPr>
          <w:p w:rsidR="00531131" w:rsidRPr="00531131" w:rsidRDefault="00531131" w:rsidP="00531131">
            <w:pPr>
              <w:cnfStyle w:val="000000000000"/>
              <w:rPr>
                <w:rFonts w:ascii="Calibri" w:hAnsi="Calibri"/>
                <w:b/>
                <w:color w:val="000000"/>
              </w:rPr>
            </w:pP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CYPRUS_X_M_EMU_08</w:t>
            </w:r>
          </w:p>
        </w:tc>
        <w:tc>
          <w:tcPr>
            <w:tcW w:w="1574" w:type="dxa"/>
            <w:vAlign w:val="bottom"/>
          </w:tcPr>
          <w:p w:rsidR="00531131" w:rsidRPr="00483426" w:rsidRDefault="00531131" w:rsidP="00531131">
            <w:pPr>
              <w:cnfStyle w:val="0000001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1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6B7314">
              <w:rPr>
                <w:rFonts w:ascii="Calibri" w:hAnsi="Calibri"/>
                <w:b/>
                <w:color w:val="000000"/>
              </w:rPr>
              <w:t>017</w:t>
            </w:r>
          </w:p>
          <w:p w:rsidR="00531131" w:rsidRPr="006B7314" w:rsidRDefault="00531131" w:rsidP="00531131">
            <w:pPr>
              <w:cnfStyle w:val="0000001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451)</w:t>
            </w:r>
          </w:p>
        </w:tc>
        <w:tc>
          <w:tcPr>
            <w:tcW w:w="1575" w:type="dxa"/>
            <w:gridSpan w:val="2"/>
            <w:vAlign w:val="bottom"/>
          </w:tcPr>
          <w:p w:rsidR="00531131" w:rsidRDefault="00531131" w:rsidP="00531131">
            <w:pPr>
              <w:cnfStyle w:val="000000100000"/>
              <w:rPr>
                <w:rFonts w:ascii="Calibri" w:hAnsi="Calibri"/>
                <w:b/>
                <w:color w:val="000000"/>
              </w:rPr>
            </w:pPr>
            <w:r w:rsidRPr="00531131">
              <w:rPr>
                <w:rFonts w:ascii="Calibri" w:hAnsi="Calibri"/>
                <w:b/>
                <w:color w:val="000000"/>
              </w:rPr>
              <w:t>-0</w:t>
            </w:r>
            <w:r>
              <w:rPr>
                <w:rFonts w:ascii="Calibri" w:hAnsi="Calibri"/>
                <w:b/>
                <w:color w:val="000000"/>
              </w:rPr>
              <w:t>.</w:t>
            </w:r>
            <w:r w:rsidRPr="00531131">
              <w:rPr>
                <w:rFonts w:ascii="Calibri" w:hAnsi="Calibri"/>
                <w:b/>
                <w:color w:val="000000"/>
              </w:rPr>
              <w:t>006</w:t>
            </w:r>
          </w:p>
          <w:p w:rsidR="00531131" w:rsidRPr="00531131" w:rsidRDefault="00531131" w:rsidP="00531131">
            <w:pPr>
              <w:cnfStyle w:val="000000100000"/>
              <w:rPr>
                <w:rFonts w:ascii="Calibri" w:hAnsi="Calibri"/>
                <w:b/>
                <w:color w:val="000000"/>
              </w:rPr>
            </w:pPr>
            <w:r>
              <w:rPr>
                <w:rFonts w:ascii="Calibri" w:hAnsi="Calibri" w:cs="Calibri"/>
                <w:i/>
                <w:color w:val="000000"/>
                <w:sz w:val="16"/>
                <w:szCs w:val="16"/>
              </w:rPr>
              <w:t>(0.797)</w:t>
            </w: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CYPRUS_X_M_RW_08</w:t>
            </w:r>
          </w:p>
        </w:tc>
        <w:tc>
          <w:tcPr>
            <w:tcW w:w="1574" w:type="dxa"/>
            <w:vAlign w:val="bottom"/>
          </w:tcPr>
          <w:p w:rsidR="00531131" w:rsidRPr="00483426" w:rsidRDefault="00531131" w:rsidP="00531131">
            <w:pPr>
              <w:cnfStyle w:val="0000000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0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sidRPr="006B7314">
              <w:rPr>
                <w:rFonts w:ascii="Calibri" w:hAnsi="Calibri"/>
                <w:b/>
                <w:color w:val="000000"/>
              </w:rPr>
              <w:t>-0</w:t>
            </w:r>
            <w:r>
              <w:rPr>
                <w:rFonts w:ascii="Calibri" w:hAnsi="Calibri"/>
                <w:b/>
                <w:color w:val="000000"/>
              </w:rPr>
              <w:t>.</w:t>
            </w:r>
            <w:r w:rsidRPr="006B7314">
              <w:rPr>
                <w:rFonts w:ascii="Calibri" w:hAnsi="Calibri"/>
                <w:b/>
                <w:color w:val="000000"/>
              </w:rPr>
              <w:t>101</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w:t>
            </w:r>
            <w:r w:rsidRPr="00531131">
              <w:rPr>
                <w:rFonts w:ascii="Calibri" w:hAnsi="Calibri"/>
                <w:b/>
                <w:color w:val="000000"/>
              </w:rPr>
              <w:t>096</w:t>
            </w:r>
          </w:p>
          <w:p w:rsidR="00531131" w:rsidRPr="00531131" w:rsidRDefault="00531131" w:rsidP="00531131">
            <w:pPr>
              <w:cnfStyle w:val="000000000000"/>
              <w:rPr>
                <w:rFonts w:ascii="Calibri" w:hAnsi="Calibri"/>
                <w:b/>
                <w:color w:val="000000"/>
              </w:rPr>
            </w:pPr>
            <w:r w:rsidRPr="00BD7CED">
              <w:rPr>
                <w:rFonts w:ascii="Calibri" w:hAnsi="Calibri" w:cs="Calibri"/>
                <w:i/>
                <w:color w:val="000000"/>
                <w:sz w:val="16"/>
                <w:szCs w:val="16"/>
              </w:rPr>
              <w:t>(0.000)***</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MALTA_X_M_08</w:t>
            </w:r>
          </w:p>
        </w:tc>
        <w:tc>
          <w:tcPr>
            <w:tcW w:w="1574" w:type="dxa"/>
            <w:vAlign w:val="bottom"/>
          </w:tcPr>
          <w:p w:rsidR="00531131" w:rsidRDefault="00531131" w:rsidP="00531131">
            <w:pPr>
              <w:cnfStyle w:val="000000100000"/>
              <w:rPr>
                <w:rFonts w:ascii="Calibri" w:hAnsi="Calibri"/>
                <w:b/>
                <w:color w:val="000000"/>
              </w:rPr>
            </w:pPr>
            <w:r>
              <w:rPr>
                <w:rFonts w:ascii="Calibri" w:hAnsi="Calibri"/>
                <w:b/>
                <w:color w:val="000000"/>
              </w:rPr>
              <w:t>0.</w:t>
            </w:r>
            <w:r w:rsidRPr="00483426">
              <w:rPr>
                <w:rFonts w:ascii="Calibri" w:hAnsi="Calibri"/>
                <w:b/>
                <w:color w:val="000000"/>
              </w:rPr>
              <w:t>026</w:t>
            </w:r>
          </w:p>
          <w:p w:rsidR="00531131" w:rsidRPr="00483426" w:rsidRDefault="00531131" w:rsidP="00531131">
            <w:pPr>
              <w:cnfStyle w:val="000000100000"/>
              <w:rPr>
                <w:rFonts w:ascii="Calibri" w:hAnsi="Calibri"/>
                <w:b/>
                <w:color w:val="000000"/>
              </w:rPr>
            </w:pPr>
            <w:r>
              <w:rPr>
                <w:rFonts w:ascii="Calibri" w:hAnsi="Calibri" w:cs="Calibri"/>
                <w:i/>
                <w:color w:val="000000"/>
                <w:sz w:val="16"/>
                <w:szCs w:val="16"/>
                <w:lang w:val="nl-NL"/>
              </w:rPr>
              <w:t>(</w:t>
            </w:r>
            <w:r>
              <w:rPr>
                <w:rFonts w:ascii="Calibri" w:hAnsi="Calibri" w:cs="Calibri"/>
                <w:i/>
                <w:color w:val="000000"/>
                <w:sz w:val="16"/>
                <w:szCs w:val="16"/>
              </w:rPr>
              <w:t>0.050</w:t>
            </w:r>
            <w:r w:rsidRPr="00BD7CED">
              <w:rPr>
                <w:rFonts w:ascii="Calibri" w:hAnsi="Calibri" w:cs="Calibri"/>
                <w:i/>
                <w:color w:val="000000"/>
                <w:sz w:val="16"/>
                <w:szCs w:val="16"/>
              </w:rPr>
              <w:t>)**</w:t>
            </w:r>
          </w:p>
        </w:tc>
        <w:tc>
          <w:tcPr>
            <w:tcW w:w="1575" w:type="dxa"/>
            <w:gridSpan w:val="2"/>
            <w:tcBorders>
              <w:right w:val="single" w:sz="8" w:space="0" w:color="4F81BD" w:themeColor="accent1"/>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A02364">
              <w:rPr>
                <w:rFonts w:ascii="Calibri" w:hAnsi="Calibri"/>
                <w:b/>
                <w:color w:val="000000"/>
              </w:rPr>
              <w:t>014</w:t>
            </w:r>
          </w:p>
          <w:p w:rsidR="00531131" w:rsidRPr="00A02364" w:rsidRDefault="00531131" w:rsidP="00531131">
            <w:pPr>
              <w:cnfStyle w:val="000000100000"/>
              <w:rPr>
                <w:rFonts w:ascii="Calibri" w:hAnsi="Calibri"/>
                <w:b/>
                <w:color w:val="000000"/>
              </w:rPr>
            </w:pPr>
            <w:r>
              <w:rPr>
                <w:rFonts w:ascii="Calibri" w:hAnsi="Calibri" w:cs="Calibri"/>
                <w:i/>
                <w:color w:val="000000"/>
                <w:sz w:val="16"/>
                <w:szCs w:val="16"/>
                <w:lang w:val="nl-NL"/>
              </w:rPr>
              <w:t>(</w:t>
            </w:r>
            <w:r>
              <w:rPr>
                <w:rFonts w:ascii="Calibri" w:hAnsi="Calibri" w:cs="Calibri"/>
                <w:i/>
                <w:color w:val="000000"/>
                <w:sz w:val="16"/>
                <w:szCs w:val="16"/>
              </w:rPr>
              <w:t>0.310)</w:t>
            </w:r>
          </w:p>
        </w:tc>
        <w:tc>
          <w:tcPr>
            <w:tcW w:w="1575" w:type="dxa"/>
            <w:gridSpan w:val="2"/>
            <w:tcBorders>
              <w:top w:val="nil"/>
              <w:left w:val="single" w:sz="8" w:space="0" w:color="4F81BD" w:themeColor="accent1"/>
              <w:bottom w:val="nil"/>
            </w:tcBorders>
            <w:vAlign w:val="bottom"/>
          </w:tcPr>
          <w:p w:rsidR="00531131" w:rsidRPr="006B7314" w:rsidRDefault="00531131" w:rsidP="00531131">
            <w:pPr>
              <w:cnfStyle w:val="000000100000"/>
              <w:rPr>
                <w:rFonts w:ascii="Calibri" w:hAnsi="Calibri"/>
                <w:b/>
                <w:color w:val="000000"/>
              </w:rPr>
            </w:pPr>
          </w:p>
        </w:tc>
        <w:tc>
          <w:tcPr>
            <w:tcW w:w="1575" w:type="dxa"/>
            <w:gridSpan w:val="2"/>
          </w:tcPr>
          <w:p w:rsidR="00531131" w:rsidRPr="00531131" w:rsidRDefault="00531131" w:rsidP="00531131">
            <w:pPr>
              <w:cnfStyle w:val="000000100000"/>
              <w:rPr>
                <w:rFonts w:ascii="Calibri" w:hAnsi="Calibri"/>
                <w:b/>
                <w:color w:val="000000"/>
              </w:rPr>
            </w:pP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MALTA_X_M_EMU_08</w:t>
            </w:r>
          </w:p>
        </w:tc>
        <w:tc>
          <w:tcPr>
            <w:tcW w:w="1574" w:type="dxa"/>
            <w:vAlign w:val="bottom"/>
          </w:tcPr>
          <w:p w:rsidR="00531131" w:rsidRPr="00483426" w:rsidRDefault="00531131" w:rsidP="00531131">
            <w:pPr>
              <w:cnfStyle w:val="0000000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0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6B7314">
              <w:rPr>
                <w:rFonts w:ascii="Calibri" w:hAnsi="Calibri"/>
                <w:b/>
                <w:color w:val="000000"/>
              </w:rPr>
              <w:t>033</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140)</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w:t>
            </w:r>
            <w:r w:rsidRPr="00531131">
              <w:rPr>
                <w:rFonts w:ascii="Calibri" w:hAnsi="Calibri"/>
                <w:b/>
                <w:color w:val="000000"/>
              </w:rPr>
              <w:t>002</w:t>
            </w:r>
          </w:p>
          <w:p w:rsidR="00531131" w:rsidRPr="00531131" w:rsidRDefault="00531131" w:rsidP="00531131">
            <w:pPr>
              <w:cnfStyle w:val="000000000000"/>
              <w:rPr>
                <w:rFonts w:ascii="Calibri" w:hAnsi="Calibri"/>
                <w:b/>
                <w:color w:val="000000"/>
              </w:rPr>
            </w:pPr>
            <w:r>
              <w:rPr>
                <w:rFonts w:ascii="Calibri" w:hAnsi="Calibri" w:cs="Calibri"/>
                <w:i/>
                <w:color w:val="000000"/>
                <w:sz w:val="16"/>
                <w:szCs w:val="16"/>
              </w:rPr>
              <w:t>(0.927)</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MALTA_X_M_RW_08</w:t>
            </w:r>
          </w:p>
        </w:tc>
        <w:tc>
          <w:tcPr>
            <w:tcW w:w="1574" w:type="dxa"/>
            <w:vAlign w:val="bottom"/>
          </w:tcPr>
          <w:p w:rsidR="00531131" w:rsidRPr="00483426" w:rsidRDefault="00531131" w:rsidP="00531131">
            <w:pPr>
              <w:cnfStyle w:val="000000100000"/>
              <w:rPr>
                <w:rFonts w:ascii="Calibri" w:hAnsi="Calibri"/>
                <w:b/>
                <w:color w:val="000000"/>
              </w:rPr>
            </w:pPr>
          </w:p>
        </w:tc>
        <w:tc>
          <w:tcPr>
            <w:tcW w:w="1575" w:type="dxa"/>
            <w:gridSpan w:val="2"/>
            <w:tcBorders>
              <w:right w:val="single" w:sz="8" w:space="0" w:color="4F81BD" w:themeColor="accent1"/>
            </w:tcBorders>
            <w:vAlign w:val="bottom"/>
          </w:tcPr>
          <w:p w:rsidR="00531131" w:rsidRPr="00A02364" w:rsidRDefault="00531131" w:rsidP="00531131">
            <w:pPr>
              <w:cnfStyle w:val="000000100000"/>
              <w:rPr>
                <w:rFonts w:ascii="Calibri" w:hAnsi="Calibri"/>
                <w:b/>
                <w:color w:val="000000"/>
              </w:rPr>
            </w:pPr>
          </w:p>
        </w:tc>
        <w:tc>
          <w:tcPr>
            <w:tcW w:w="1575" w:type="dxa"/>
            <w:gridSpan w:val="2"/>
            <w:tcBorders>
              <w:top w:val="nil"/>
              <w:left w:val="single" w:sz="8" w:space="0" w:color="4F81BD" w:themeColor="accent1"/>
              <w:bottom w:val="nil"/>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6B7314">
              <w:rPr>
                <w:rFonts w:ascii="Calibri" w:hAnsi="Calibri"/>
                <w:b/>
                <w:color w:val="000000"/>
              </w:rPr>
              <w:t>025</w:t>
            </w:r>
          </w:p>
          <w:p w:rsidR="00531131" w:rsidRPr="006B7314" w:rsidRDefault="00531131" w:rsidP="00531131">
            <w:pPr>
              <w:cnfStyle w:val="0000001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127)</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w:t>
            </w:r>
            <w:r w:rsidRPr="00531131">
              <w:rPr>
                <w:rFonts w:ascii="Calibri" w:hAnsi="Calibri"/>
                <w:b/>
                <w:color w:val="000000"/>
              </w:rPr>
              <w:t>021</w:t>
            </w:r>
          </w:p>
          <w:p w:rsidR="00531131" w:rsidRPr="00531131" w:rsidRDefault="00531131" w:rsidP="00531131">
            <w:pPr>
              <w:cnfStyle w:val="000000100000"/>
              <w:rPr>
                <w:rFonts w:ascii="Calibri" w:hAnsi="Calibri"/>
                <w:b/>
                <w:color w:val="000000"/>
              </w:rPr>
            </w:pPr>
            <w:r>
              <w:rPr>
                <w:rFonts w:ascii="Calibri" w:hAnsi="Calibri" w:cs="Calibri"/>
                <w:i/>
                <w:color w:val="000000"/>
                <w:sz w:val="16"/>
                <w:szCs w:val="16"/>
              </w:rPr>
              <w:t>(0.209)</w:t>
            </w:r>
          </w:p>
        </w:tc>
      </w:tr>
      <w:tr w:rsidR="00531131" w:rsidTr="00FA3F8C">
        <w:tc>
          <w:tcPr>
            <w:cnfStyle w:val="001000000000"/>
            <w:tcW w:w="2943" w:type="dxa"/>
            <w:gridSpan w:val="2"/>
            <w:vAlign w:val="center"/>
          </w:tcPr>
          <w:p w:rsidR="00531131" w:rsidRDefault="00531131" w:rsidP="00915F1E">
            <w:pPr>
              <w:rPr>
                <w:rFonts w:ascii="Calibri" w:hAnsi="Calibri" w:cs="Calibri"/>
                <w:color w:val="000000"/>
              </w:rPr>
            </w:pPr>
            <w:r>
              <w:rPr>
                <w:rFonts w:ascii="Calibri" w:hAnsi="Calibri" w:cs="Calibri"/>
                <w:color w:val="000000"/>
              </w:rPr>
              <w:t>SLOVAKREP_X_M_09</w:t>
            </w:r>
          </w:p>
        </w:tc>
        <w:tc>
          <w:tcPr>
            <w:tcW w:w="1574" w:type="dxa"/>
            <w:vAlign w:val="bottom"/>
          </w:tcPr>
          <w:p w:rsidR="00531131" w:rsidRDefault="00531131" w:rsidP="00531131">
            <w:pPr>
              <w:cnfStyle w:val="000000000000"/>
              <w:rPr>
                <w:rFonts w:ascii="Calibri" w:hAnsi="Calibri"/>
                <w:b/>
                <w:color w:val="000000"/>
              </w:rPr>
            </w:pPr>
            <w:r>
              <w:rPr>
                <w:rFonts w:ascii="Calibri" w:hAnsi="Calibri"/>
                <w:b/>
                <w:color w:val="000000"/>
              </w:rPr>
              <w:t>0.</w:t>
            </w:r>
            <w:r w:rsidRPr="00483426">
              <w:rPr>
                <w:rFonts w:ascii="Calibri" w:hAnsi="Calibri"/>
                <w:b/>
                <w:color w:val="000000"/>
              </w:rPr>
              <w:t>043</w:t>
            </w:r>
          </w:p>
          <w:p w:rsidR="00531131" w:rsidRPr="00483426" w:rsidRDefault="00531131" w:rsidP="00531131">
            <w:pPr>
              <w:cnfStyle w:val="000000000000"/>
              <w:rPr>
                <w:rFonts w:ascii="Calibri" w:hAnsi="Calibri"/>
                <w:b/>
                <w:color w:val="000000"/>
              </w:rPr>
            </w:pPr>
            <w:r>
              <w:rPr>
                <w:rFonts w:ascii="Calibri" w:hAnsi="Calibri" w:cs="Calibri"/>
                <w:i/>
                <w:color w:val="000000"/>
                <w:sz w:val="16"/>
                <w:szCs w:val="16"/>
                <w:lang w:val="nl-NL"/>
              </w:rPr>
              <w:t>(</w:t>
            </w:r>
            <w:r>
              <w:rPr>
                <w:rFonts w:ascii="Calibri" w:hAnsi="Calibri" w:cs="Calibri"/>
                <w:i/>
                <w:color w:val="000000"/>
                <w:sz w:val="16"/>
                <w:szCs w:val="16"/>
              </w:rPr>
              <w:t>0.003</w:t>
            </w:r>
            <w:r w:rsidRPr="00BD7CED">
              <w:rPr>
                <w:rFonts w:ascii="Calibri" w:hAnsi="Calibri" w:cs="Calibri"/>
                <w:i/>
                <w:color w:val="000000"/>
                <w:sz w:val="16"/>
                <w:szCs w:val="16"/>
              </w:rPr>
              <w:t>)***</w:t>
            </w:r>
          </w:p>
        </w:tc>
        <w:tc>
          <w:tcPr>
            <w:tcW w:w="1575" w:type="dxa"/>
            <w:gridSpan w:val="2"/>
            <w:tcBorders>
              <w:right w:val="single" w:sz="8" w:space="0" w:color="4F81BD" w:themeColor="accent1"/>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A02364">
              <w:rPr>
                <w:rFonts w:ascii="Calibri" w:hAnsi="Calibri"/>
                <w:b/>
                <w:color w:val="000000"/>
              </w:rPr>
              <w:t>045</w:t>
            </w:r>
          </w:p>
          <w:p w:rsidR="00531131" w:rsidRPr="00A02364" w:rsidRDefault="00531131" w:rsidP="00531131">
            <w:pPr>
              <w:cnfStyle w:val="000000000000"/>
              <w:rPr>
                <w:rFonts w:ascii="Calibri" w:hAnsi="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w:t>
            </w:r>
            <w:r>
              <w:rPr>
                <w:rFonts w:ascii="Calibri" w:hAnsi="Calibri" w:cs="Calibri"/>
                <w:i/>
                <w:color w:val="000000"/>
                <w:sz w:val="16"/>
                <w:szCs w:val="16"/>
              </w:rPr>
              <w:t>4)***</w:t>
            </w:r>
          </w:p>
        </w:tc>
        <w:tc>
          <w:tcPr>
            <w:tcW w:w="1575" w:type="dxa"/>
            <w:gridSpan w:val="2"/>
            <w:tcBorders>
              <w:top w:val="nil"/>
              <w:left w:val="single" w:sz="8" w:space="0" w:color="4F81BD" w:themeColor="accent1"/>
              <w:bottom w:val="nil"/>
            </w:tcBorders>
            <w:vAlign w:val="bottom"/>
          </w:tcPr>
          <w:p w:rsidR="00531131" w:rsidRPr="006B7314" w:rsidRDefault="00531131" w:rsidP="00531131">
            <w:pPr>
              <w:cnfStyle w:val="000000000000"/>
              <w:rPr>
                <w:rFonts w:ascii="Calibri" w:hAnsi="Calibri"/>
                <w:b/>
                <w:color w:val="000000"/>
              </w:rPr>
            </w:pPr>
          </w:p>
        </w:tc>
        <w:tc>
          <w:tcPr>
            <w:tcW w:w="1575" w:type="dxa"/>
            <w:gridSpan w:val="2"/>
          </w:tcPr>
          <w:p w:rsidR="00531131" w:rsidRPr="00531131" w:rsidRDefault="00531131" w:rsidP="00531131">
            <w:pPr>
              <w:cnfStyle w:val="000000000000"/>
              <w:rPr>
                <w:rFonts w:ascii="Calibri" w:hAnsi="Calibri"/>
                <w:b/>
                <w:color w:val="000000"/>
              </w:rPr>
            </w:pPr>
          </w:p>
        </w:tc>
      </w:tr>
      <w:tr w:rsidR="00531131" w:rsidTr="00FA3F8C">
        <w:trPr>
          <w:cnfStyle w:val="000000100000"/>
        </w:trPr>
        <w:tc>
          <w:tcPr>
            <w:cnfStyle w:val="001000000000"/>
            <w:tcW w:w="2943" w:type="dxa"/>
            <w:gridSpan w:val="2"/>
            <w:vAlign w:val="center"/>
          </w:tcPr>
          <w:p w:rsidR="00531131" w:rsidRDefault="00531131" w:rsidP="00915F1E">
            <w:pPr>
              <w:rPr>
                <w:rFonts w:ascii="Calibri" w:hAnsi="Calibri" w:cs="Calibri"/>
                <w:color w:val="000000"/>
              </w:rPr>
            </w:pPr>
            <w:r>
              <w:rPr>
                <w:rFonts w:ascii="Calibri" w:hAnsi="Calibri" w:cs="Calibri"/>
                <w:color w:val="000000"/>
              </w:rPr>
              <w:t>SLOVAKREP_X_M_EMU_09</w:t>
            </w:r>
          </w:p>
        </w:tc>
        <w:tc>
          <w:tcPr>
            <w:tcW w:w="1574" w:type="dxa"/>
          </w:tcPr>
          <w:p w:rsidR="00531131" w:rsidRDefault="00531131" w:rsidP="00531131">
            <w:pPr>
              <w:cnfStyle w:val="000000100000"/>
            </w:pPr>
          </w:p>
        </w:tc>
        <w:tc>
          <w:tcPr>
            <w:tcW w:w="1575" w:type="dxa"/>
            <w:gridSpan w:val="2"/>
            <w:tcBorders>
              <w:right w:val="single" w:sz="8" w:space="0" w:color="4F81BD" w:themeColor="accent1"/>
            </w:tcBorders>
          </w:tcPr>
          <w:p w:rsidR="00531131" w:rsidRDefault="00531131" w:rsidP="00531131">
            <w:pPr>
              <w:cnfStyle w:val="000000100000"/>
            </w:pPr>
          </w:p>
        </w:tc>
        <w:tc>
          <w:tcPr>
            <w:tcW w:w="1575" w:type="dxa"/>
            <w:gridSpan w:val="2"/>
            <w:tcBorders>
              <w:top w:val="nil"/>
              <w:left w:val="single" w:sz="8" w:space="0" w:color="4F81BD" w:themeColor="accent1"/>
              <w:bottom w:val="nil"/>
            </w:tcBorders>
            <w:vAlign w:val="bottom"/>
          </w:tcPr>
          <w:p w:rsidR="00531131" w:rsidRDefault="00531131" w:rsidP="00531131">
            <w:pPr>
              <w:cnfStyle w:val="000000100000"/>
              <w:rPr>
                <w:rFonts w:ascii="Calibri" w:hAnsi="Calibri"/>
                <w:b/>
                <w:color w:val="000000"/>
              </w:rPr>
            </w:pPr>
            <w:r>
              <w:rPr>
                <w:rFonts w:ascii="Calibri" w:hAnsi="Calibri"/>
                <w:b/>
                <w:color w:val="000000"/>
              </w:rPr>
              <w:t>0.</w:t>
            </w:r>
            <w:r w:rsidRPr="006B7314">
              <w:rPr>
                <w:rFonts w:ascii="Calibri" w:hAnsi="Calibri"/>
                <w:b/>
                <w:color w:val="000000"/>
              </w:rPr>
              <w:t>053</w:t>
            </w:r>
          </w:p>
          <w:p w:rsidR="00531131" w:rsidRPr="006B7314" w:rsidRDefault="00531131" w:rsidP="00531131">
            <w:pPr>
              <w:cnfStyle w:val="000000100000"/>
              <w:rPr>
                <w:rFonts w:ascii="Calibri" w:hAnsi="Calibri"/>
                <w:b/>
                <w:color w:val="000000"/>
              </w:rPr>
            </w:pPr>
            <w:r>
              <w:rPr>
                <w:rFonts w:ascii="Calibri" w:hAnsi="Calibri" w:cs="Calibri"/>
                <w:i/>
                <w:color w:val="000000"/>
                <w:sz w:val="16"/>
                <w:szCs w:val="16"/>
              </w:rPr>
              <w:t>(0.028)**</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w:t>
            </w:r>
            <w:r w:rsidRPr="00531131">
              <w:rPr>
                <w:rFonts w:ascii="Calibri" w:hAnsi="Calibri"/>
                <w:b/>
                <w:color w:val="000000"/>
              </w:rPr>
              <w:t>038</w:t>
            </w:r>
          </w:p>
          <w:p w:rsidR="00531131" w:rsidRPr="00531131" w:rsidRDefault="00531131" w:rsidP="00531131">
            <w:pPr>
              <w:cnfStyle w:val="000000100000"/>
              <w:rPr>
                <w:rFonts w:ascii="Calibri" w:hAnsi="Calibri"/>
                <w:b/>
                <w:color w:val="000000"/>
              </w:rPr>
            </w:pPr>
            <w:r w:rsidRPr="00BD7CED">
              <w:rPr>
                <w:rFonts w:ascii="Calibri" w:hAnsi="Calibri" w:cs="Calibri"/>
                <w:i/>
                <w:color w:val="000000"/>
                <w:sz w:val="16"/>
                <w:szCs w:val="16"/>
              </w:rPr>
              <w:t>(0.</w:t>
            </w:r>
            <w:r>
              <w:rPr>
                <w:rFonts w:ascii="Calibri" w:hAnsi="Calibri" w:cs="Calibri"/>
                <w:i/>
                <w:color w:val="000000"/>
                <w:sz w:val="16"/>
                <w:szCs w:val="16"/>
              </w:rPr>
              <w:t>132)</w:t>
            </w:r>
          </w:p>
        </w:tc>
      </w:tr>
      <w:tr w:rsidR="00531131" w:rsidTr="00FA3F8C">
        <w:tc>
          <w:tcPr>
            <w:cnfStyle w:val="001000000000"/>
            <w:tcW w:w="2943" w:type="dxa"/>
            <w:gridSpan w:val="2"/>
            <w:vAlign w:val="center"/>
          </w:tcPr>
          <w:p w:rsidR="00531131" w:rsidRDefault="00531131" w:rsidP="00915F1E">
            <w:pPr>
              <w:rPr>
                <w:rFonts w:ascii="Calibri" w:hAnsi="Calibri" w:cs="Calibri"/>
                <w:color w:val="000000"/>
              </w:rPr>
            </w:pPr>
            <w:r>
              <w:rPr>
                <w:rFonts w:ascii="Calibri" w:hAnsi="Calibri" w:cs="Calibri"/>
                <w:color w:val="000000"/>
              </w:rPr>
              <w:t>SLOVAKREP_X_M_RW_09</w:t>
            </w:r>
          </w:p>
        </w:tc>
        <w:tc>
          <w:tcPr>
            <w:tcW w:w="1574" w:type="dxa"/>
          </w:tcPr>
          <w:p w:rsidR="00531131" w:rsidRDefault="00531131" w:rsidP="00531131">
            <w:pPr>
              <w:cnfStyle w:val="000000000000"/>
            </w:pPr>
          </w:p>
        </w:tc>
        <w:tc>
          <w:tcPr>
            <w:tcW w:w="1575" w:type="dxa"/>
            <w:gridSpan w:val="2"/>
            <w:tcBorders>
              <w:right w:val="single" w:sz="8" w:space="0" w:color="4F81BD" w:themeColor="accent1"/>
            </w:tcBorders>
          </w:tcPr>
          <w:p w:rsidR="00531131" w:rsidRDefault="00531131" w:rsidP="00531131">
            <w:pPr>
              <w:cnfStyle w:val="000000000000"/>
            </w:pPr>
          </w:p>
        </w:tc>
        <w:tc>
          <w:tcPr>
            <w:tcW w:w="1575" w:type="dxa"/>
            <w:gridSpan w:val="2"/>
            <w:tcBorders>
              <w:top w:val="nil"/>
              <w:left w:val="single" w:sz="8" w:space="0" w:color="4F81BD" w:themeColor="accent1"/>
              <w:bottom w:val="nil"/>
            </w:tcBorders>
            <w:vAlign w:val="bottom"/>
          </w:tcPr>
          <w:p w:rsidR="00531131" w:rsidRDefault="00531131" w:rsidP="00531131">
            <w:pPr>
              <w:cnfStyle w:val="000000000000"/>
              <w:rPr>
                <w:rFonts w:ascii="Calibri" w:hAnsi="Calibri"/>
                <w:b/>
                <w:color w:val="000000"/>
              </w:rPr>
            </w:pPr>
            <w:r>
              <w:rPr>
                <w:rFonts w:ascii="Calibri" w:hAnsi="Calibri"/>
                <w:b/>
                <w:color w:val="000000"/>
              </w:rPr>
              <w:t>0.</w:t>
            </w:r>
            <w:r w:rsidRPr="006B7314">
              <w:rPr>
                <w:rFonts w:ascii="Calibri" w:hAnsi="Calibri"/>
                <w:b/>
                <w:color w:val="000000"/>
              </w:rPr>
              <w:t>038</w:t>
            </w:r>
          </w:p>
          <w:p w:rsidR="00531131" w:rsidRPr="006B7314" w:rsidRDefault="00531131" w:rsidP="00531131">
            <w:pPr>
              <w:cnfStyle w:val="000000000000"/>
              <w:rPr>
                <w:rFonts w:ascii="Calibri" w:hAnsi="Calibri"/>
                <w:b/>
                <w:color w:val="000000"/>
              </w:rPr>
            </w:pPr>
            <w:r w:rsidRPr="00BD7CED">
              <w:rPr>
                <w:rFonts w:ascii="Calibri" w:hAnsi="Calibri" w:cs="Calibri"/>
                <w:i/>
                <w:color w:val="000000"/>
                <w:sz w:val="16"/>
                <w:szCs w:val="16"/>
              </w:rPr>
              <w:t>(0.0</w:t>
            </w:r>
            <w:r>
              <w:rPr>
                <w:rFonts w:ascii="Calibri" w:hAnsi="Calibri" w:cs="Calibri"/>
                <w:i/>
                <w:color w:val="000000"/>
                <w:sz w:val="16"/>
                <w:szCs w:val="16"/>
              </w:rPr>
              <w:t>31)**</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w:t>
            </w:r>
            <w:r w:rsidRPr="00531131">
              <w:rPr>
                <w:rFonts w:ascii="Calibri" w:hAnsi="Calibri"/>
                <w:b/>
                <w:color w:val="000000"/>
              </w:rPr>
              <w:t>049</w:t>
            </w:r>
          </w:p>
          <w:p w:rsidR="00531131" w:rsidRPr="00531131" w:rsidRDefault="00531131" w:rsidP="00531131">
            <w:pPr>
              <w:cnfStyle w:val="000000000000"/>
              <w:rPr>
                <w:rFonts w:ascii="Calibri" w:hAnsi="Calibri"/>
                <w:b/>
                <w:color w:val="000000"/>
              </w:rPr>
            </w:pPr>
            <w:r>
              <w:rPr>
                <w:rFonts w:ascii="Calibri" w:hAnsi="Calibri" w:cs="Calibri"/>
                <w:i/>
                <w:color w:val="000000"/>
                <w:sz w:val="16"/>
                <w:szCs w:val="16"/>
              </w:rPr>
              <w:t>(0.010)***</w:t>
            </w:r>
          </w:p>
        </w:tc>
      </w:tr>
      <w:tr w:rsidR="00531131" w:rsidTr="00FA3F8C">
        <w:trPr>
          <w:cnfStyle w:val="000000100000"/>
        </w:trPr>
        <w:tc>
          <w:tcPr>
            <w:cnfStyle w:val="001000000000"/>
            <w:tcW w:w="2943" w:type="dxa"/>
            <w:gridSpan w:val="2"/>
          </w:tcPr>
          <w:p w:rsidR="00531131" w:rsidRDefault="00531131" w:rsidP="00531131">
            <w:pPr>
              <w:rPr>
                <w:rFonts w:ascii="Calibri" w:hAnsi="Calibri" w:cs="Calibri"/>
                <w:color w:val="000000"/>
              </w:rPr>
            </w:pPr>
          </w:p>
        </w:tc>
        <w:tc>
          <w:tcPr>
            <w:tcW w:w="1574" w:type="dxa"/>
          </w:tcPr>
          <w:p w:rsidR="00531131" w:rsidRDefault="00531131" w:rsidP="00531131">
            <w:pPr>
              <w:cnfStyle w:val="000000100000"/>
            </w:pPr>
          </w:p>
        </w:tc>
        <w:tc>
          <w:tcPr>
            <w:tcW w:w="1575" w:type="dxa"/>
            <w:gridSpan w:val="2"/>
            <w:tcBorders>
              <w:right w:val="single" w:sz="8" w:space="0" w:color="4F81BD" w:themeColor="accent1"/>
            </w:tcBorders>
          </w:tcPr>
          <w:p w:rsidR="00531131" w:rsidRDefault="00531131" w:rsidP="00531131">
            <w:pPr>
              <w:cnfStyle w:val="000000100000"/>
            </w:pPr>
          </w:p>
        </w:tc>
        <w:tc>
          <w:tcPr>
            <w:tcW w:w="1575" w:type="dxa"/>
            <w:gridSpan w:val="2"/>
            <w:tcBorders>
              <w:top w:val="nil"/>
              <w:left w:val="single" w:sz="8" w:space="0" w:color="4F81BD" w:themeColor="accent1"/>
              <w:bottom w:val="nil"/>
            </w:tcBorders>
          </w:tcPr>
          <w:p w:rsidR="00531131" w:rsidRDefault="00531131" w:rsidP="00531131">
            <w:pPr>
              <w:cnfStyle w:val="000000100000"/>
            </w:pPr>
          </w:p>
        </w:tc>
        <w:tc>
          <w:tcPr>
            <w:tcW w:w="1575" w:type="dxa"/>
            <w:gridSpan w:val="2"/>
          </w:tcPr>
          <w:p w:rsidR="00531131" w:rsidRDefault="00531131" w:rsidP="00531131">
            <w:pPr>
              <w:cnfStyle w:val="000000100000"/>
            </w:pP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N</w:t>
            </w:r>
          </w:p>
        </w:tc>
        <w:tc>
          <w:tcPr>
            <w:tcW w:w="1574" w:type="dxa"/>
            <w:vAlign w:val="bottom"/>
          </w:tcPr>
          <w:p w:rsidR="00531131" w:rsidRPr="00380A0A"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tcBorders>
              <w:right w:val="single" w:sz="8" w:space="0" w:color="4F81BD" w:themeColor="accent1"/>
            </w:tcBorders>
            <w:vAlign w:val="bottom"/>
          </w:tcPr>
          <w:p w:rsidR="00531131"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tcBorders>
              <w:top w:val="nil"/>
              <w:left w:val="single" w:sz="8" w:space="0" w:color="4F81BD" w:themeColor="accent1"/>
              <w:bottom w:val="nil"/>
            </w:tcBorders>
          </w:tcPr>
          <w:p w:rsidR="00531131"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tcPr>
          <w:p w:rsidR="00531131" w:rsidRDefault="00531131" w:rsidP="00531131">
            <w:pPr>
              <w:cnfStyle w:val="000000000000"/>
              <w:rPr>
                <w:rFonts w:ascii="Calibri" w:hAnsi="Calibri" w:cs="Calibri"/>
                <w:color w:val="000000"/>
              </w:rPr>
            </w:pPr>
            <w:r>
              <w:rPr>
                <w:rFonts w:ascii="Calibri" w:hAnsi="Calibri" w:cs="Calibri"/>
                <w:color w:val="000000"/>
              </w:rPr>
              <w:t>15082</w:t>
            </w:r>
          </w:p>
        </w:tc>
      </w:tr>
      <w:tr w:rsidR="00531131" w:rsidTr="00FA3F8C">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R-squared</w:t>
            </w:r>
          </w:p>
        </w:tc>
        <w:tc>
          <w:tcPr>
            <w:tcW w:w="1574" w:type="dxa"/>
            <w:vAlign w:val="bottom"/>
          </w:tcPr>
          <w:p w:rsidR="00531131" w:rsidRDefault="00531131" w:rsidP="00531131">
            <w:pPr>
              <w:cnfStyle w:val="000000100000"/>
              <w:rPr>
                <w:rFonts w:ascii="Calibri" w:hAnsi="Calibri" w:cs="Calibri"/>
                <w:color w:val="000000"/>
              </w:rPr>
            </w:pPr>
            <w:r>
              <w:rPr>
                <w:rFonts w:ascii="Calibri" w:hAnsi="Calibri" w:cs="Calibri"/>
                <w:color w:val="000000"/>
              </w:rPr>
              <w:t>0.98</w:t>
            </w:r>
          </w:p>
        </w:tc>
        <w:tc>
          <w:tcPr>
            <w:tcW w:w="1575" w:type="dxa"/>
            <w:gridSpan w:val="2"/>
            <w:tcBorders>
              <w:right w:val="single" w:sz="8" w:space="0" w:color="4F81BD" w:themeColor="accent1"/>
            </w:tcBorders>
            <w:vAlign w:val="bottom"/>
          </w:tcPr>
          <w:p w:rsidR="00531131" w:rsidRDefault="00531131" w:rsidP="00531131">
            <w:pPr>
              <w:cnfStyle w:val="000000100000"/>
              <w:rPr>
                <w:rFonts w:ascii="Calibri" w:hAnsi="Calibri" w:cs="Calibri"/>
                <w:color w:val="000000"/>
              </w:rPr>
            </w:pPr>
            <w:r>
              <w:rPr>
                <w:rFonts w:ascii="Calibri" w:hAnsi="Calibri" w:cs="Calibri"/>
                <w:color w:val="000000"/>
              </w:rPr>
              <w:t>0.97</w:t>
            </w:r>
          </w:p>
        </w:tc>
        <w:tc>
          <w:tcPr>
            <w:tcW w:w="1575" w:type="dxa"/>
            <w:gridSpan w:val="2"/>
            <w:tcBorders>
              <w:top w:val="nil"/>
              <w:left w:val="single" w:sz="8" w:space="0" w:color="4F81BD" w:themeColor="accent1"/>
              <w:bottom w:val="nil"/>
            </w:tcBorders>
          </w:tcPr>
          <w:p w:rsidR="00531131" w:rsidRDefault="00531131" w:rsidP="00531131">
            <w:pPr>
              <w:cnfStyle w:val="000000100000"/>
              <w:rPr>
                <w:rFonts w:ascii="Calibri" w:hAnsi="Calibri" w:cs="Calibri"/>
                <w:color w:val="000000"/>
              </w:rPr>
            </w:pPr>
            <w:r>
              <w:rPr>
                <w:rFonts w:ascii="Calibri" w:hAnsi="Calibri" w:cs="Calibri"/>
                <w:color w:val="000000"/>
              </w:rPr>
              <w:t>0.98</w:t>
            </w:r>
          </w:p>
        </w:tc>
        <w:tc>
          <w:tcPr>
            <w:tcW w:w="1575" w:type="dxa"/>
            <w:gridSpan w:val="2"/>
          </w:tcPr>
          <w:p w:rsidR="00531131" w:rsidRDefault="00531131" w:rsidP="00531131">
            <w:pPr>
              <w:cnfStyle w:val="000000100000"/>
              <w:rPr>
                <w:rFonts w:ascii="Calibri" w:hAnsi="Calibri" w:cs="Calibri"/>
                <w:color w:val="000000"/>
              </w:rPr>
            </w:pPr>
            <w:r>
              <w:rPr>
                <w:rFonts w:ascii="Calibri" w:hAnsi="Calibri" w:cs="Calibri"/>
                <w:color w:val="000000"/>
              </w:rPr>
              <w:t>0.97</w:t>
            </w:r>
          </w:p>
        </w:tc>
      </w:tr>
      <w:tr w:rsidR="00531131" w:rsidTr="00FA3F8C">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Adjusted R-squared</w:t>
            </w:r>
          </w:p>
        </w:tc>
        <w:tc>
          <w:tcPr>
            <w:tcW w:w="1574" w:type="dxa"/>
            <w:vAlign w:val="bottom"/>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tcBorders>
              <w:right w:val="single" w:sz="8" w:space="0" w:color="4F81BD" w:themeColor="accent1"/>
            </w:tcBorders>
            <w:vAlign w:val="bottom"/>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tcBorders>
              <w:top w:val="nil"/>
              <w:left w:val="single" w:sz="8" w:space="0" w:color="4F81BD" w:themeColor="accent1"/>
              <w:bottom w:val="single" w:sz="8" w:space="0" w:color="4F81BD" w:themeColor="accent1"/>
            </w:tcBorders>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tcPr>
          <w:p w:rsidR="00531131" w:rsidRDefault="00531131" w:rsidP="00FA3F8C">
            <w:pPr>
              <w:keepNext/>
              <w:cnfStyle w:val="000000000000"/>
              <w:rPr>
                <w:rFonts w:ascii="Calibri" w:hAnsi="Calibri" w:cs="Calibri"/>
                <w:color w:val="000000"/>
              </w:rPr>
            </w:pPr>
            <w:r>
              <w:rPr>
                <w:rFonts w:ascii="Calibri" w:hAnsi="Calibri" w:cs="Calibri"/>
                <w:color w:val="000000"/>
              </w:rPr>
              <w:t>0.97</w:t>
            </w:r>
          </w:p>
        </w:tc>
      </w:tr>
    </w:tbl>
    <w:p w:rsidR="00FA3F8C" w:rsidRDefault="00FA3F8C" w:rsidP="00B918C3">
      <w:pPr>
        <w:pStyle w:val="Caption"/>
        <w:framePr w:hSpace="142" w:wrap="around" w:vAnchor="text" w:hAnchor="page" w:x="1500" w:y="11039"/>
        <w:suppressOverlap/>
        <w:jc w:val="both"/>
      </w:pPr>
      <w:r w:rsidRPr="00770C4A">
        <w:rPr>
          <w:color w:val="auto"/>
        </w:rPr>
        <w:t xml:space="preserve">Notes: (a) </w:t>
      </w:r>
      <w:r w:rsidR="00B918C3">
        <w:rPr>
          <w:color w:val="auto"/>
        </w:rPr>
        <w:t>Total trade effects refers to the overall trade effect with all countries in the sample</w:t>
      </w:r>
      <w:r w:rsidRPr="00770C4A">
        <w:rPr>
          <w:color w:val="auto"/>
        </w:rPr>
        <w:t xml:space="preserve">; (b) </w:t>
      </w:r>
      <w:r w:rsidR="00B918C3">
        <w:rPr>
          <w:color w:val="auto"/>
        </w:rPr>
        <w:t>trade effects per trading partner group refers to trade effects with either EMU countries or the Rest of the World (RW);</w:t>
      </w:r>
      <w:r w:rsidRPr="00770C4A">
        <w:rPr>
          <w:color w:val="auto"/>
        </w:rPr>
        <w:t xml:space="preserve"> (c) rejection of redundant period and cross-section fixed effects at p = 0.000; (</w:t>
      </w:r>
      <w:proofErr w:type="spellStart"/>
      <w:r w:rsidRPr="00770C4A">
        <w:rPr>
          <w:color w:val="auto"/>
        </w:rPr>
        <w:t>i</w:t>
      </w:r>
      <w:proofErr w:type="spellEnd"/>
      <w:r w:rsidRPr="00770C4A">
        <w:rPr>
          <w:color w:val="auto"/>
        </w:rPr>
        <w:t xml:space="preserve">) </w:t>
      </w:r>
      <w:r w:rsidR="00B918C3">
        <w:rPr>
          <w:color w:val="auto"/>
        </w:rPr>
        <w:t xml:space="preserve">the second column displays the original outcome of testing hypothesis 1, the third column displays the outcome of testing hypothesis 1 with deflated export and GDP data, the fourth column displays the original outcome of testing hypotheses 2 and 3, and the fifth column displays the outcome of testing hypotheses 2 and 3 with deflated export and GDP data; (ii) </w:t>
      </w:r>
      <w:r w:rsidRPr="00770C4A">
        <w:rPr>
          <w:color w:val="auto"/>
        </w:rPr>
        <w:t>p-values are in parentheses, p***&lt;0.01, p**&lt;0.05, p*&lt;0.10; (i</w:t>
      </w:r>
      <w:r w:rsidR="00B918C3">
        <w:rPr>
          <w:color w:val="auto"/>
        </w:rPr>
        <w:t>i</w:t>
      </w:r>
      <w:r w:rsidRPr="00770C4A">
        <w:rPr>
          <w:color w:val="auto"/>
        </w:rPr>
        <w:t xml:space="preserve">i) </w:t>
      </w:r>
      <w:proofErr w:type="spellStart"/>
      <w:r w:rsidR="00B918C3">
        <w:rPr>
          <w:i/>
          <w:color w:val="auto"/>
        </w:rPr>
        <w:t>country</w:t>
      </w:r>
      <w:r w:rsidRPr="00770C4A">
        <w:rPr>
          <w:color w:val="auto"/>
        </w:rPr>
        <w:t>_x_m</w:t>
      </w:r>
      <w:proofErr w:type="spellEnd"/>
      <w:r w:rsidRPr="00770C4A">
        <w:rPr>
          <w:color w:val="auto"/>
        </w:rPr>
        <w:t>_</w:t>
      </w:r>
      <w:r w:rsidR="00B918C3">
        <w:rPr>
          <w:color w:val="auto"/>
        </w:rPr>
        <w:t>(</w:t>
      </w:r>
      <w:r w:rsidRPr="00770C4A">
        <w:rPr>
          <w:i/>
          <w:color w:val="auto"/>
        </w:rPr>
        <w:t>partner</w:t>
      </w:r>
      <w:r w:rsidR="00B918C3">
        <w:rPr>
          <w:color w:val="auto"/>
        </w:rPr>
        <w:t>)</w:t>
      </w:r>
      <w:r w:rsidRPr="00770C4A">
        <w:rPr>
          <w:i/>
          <w:color w:val="auto"/>
        </w:rPr>
        <w:t>_</w:t>
      </w:r>
      <w:r>
        <w:rPr>
          <w:i/>
          <w:color w:val="auto"/>
        </w:rPr>
        <w:t>07</w:t>
      </w:r>
      <w:r w:rsidRPr="00770C4A">
        <w:rPr>
          <w:color w:val="auto"/>
        </w:rPr>
        <w:t xml:space="preserve"> indicates trade effects for </w:t>
      </w:r>
      <w:r w:rsidR="00B918C3">
        <w:rPr>
          <w:color w:val="auto"/>
        </w:rPr>
        <w:t>which country,</w:t>
      </w:r>
      <w:r w:rsidRPr="00770C4A">
        <w:rPr>
          <w:color w:val="auto"/>
        </w:rPr>
        <w:t xml:space="preserve"> with </w:t>
      </w:r>
      <w:r w:rsidR="00B918C3">
        <w:rPr>
          <w:color w:val="auto"/>
        </w:rPr>
        <w:t>(1) all countries in the sample, (2)</w:t>
      </w:r>
      <w:r w:rsidRPr="00770C4A">
        <w:rPr>
          <w:color w:val="auto"/>
        </w:rPr>
        <w:t xml:space="preserve"> EMU members</w:t>
      </w:r>
      <w:r>
        <w:rPr>
          <w:color w:val="auto"/>
        </w:rPr>
        <w:t xml:space="preserve"> (EMU)</w:t>
      </w:r>
      <w:r w:rsidRPr="00770C4A">
        <w:rPr>
          <w:color w:val="auto"/>
        </w:rPr>
        <w:t xml:space="preserve"> or</w:t>
      </w:r>
      <w:r w:rsidR="00B918C3">
        <w:rPr>
          <w:color w:val="auto"/>
        </w:rPr>
        <w:t xml:space="preserve"> (3)</w:t>
      </w:r>
      <w:r w:rsidRPr="00770C4A">
        <w:rPr>
          <w:color w:val="auto"/>
        </w:rPr>
        <w:t xml:space="preserve"> the Rest of the World</w:t>
      </w:r>
      <w:r>
        <w:rPr>
          <w:color w:val="auto"/>
        </w:rPr>
        <w:t xml:space="preserve"> (RW)</w:t>
      </w:r>
      <w:r w:rsidRPr="00770C4A">
        <w:rPr>
          <w:color w:val="auto"/>
        </w:rPr>
        <w:t xml:space="preserve">, from </w:t>
      </w:r>
      <w:r w:rsidR="00B918C3">
        <w:rPr>
          <w:color w:val="auto"/>
        </w:rPr>
        <w:t xml:space="preserve">the </w:t>
      </w:r>
      <w:r w:rsidR="00B918C3">
        <w:rPr>
          <w:i/>
          <w:color w:val="auto"/>
        </w:rPr>
        <w:t>year</w:t>
      </w:r>
      <w:r w:rsidR="00B918C3">
        <w:rPr>
          <w:color w:val="auto"/>
        </w:rPr>
        <w:t xml:space="preserve"> of Euro adoption onwards</w:t>
      </w:r>
      <w:r w:rsidRPr="00770C4A">
        <w:rPr>
          <w:color w:val="auto"/>
        </w:rPr>
        <w:t xml:space="preserve"> </w:t>
      </w:r>
      <w:proofErr w:type="spellStart"/>
      <w:r w:rsidRPr="00770C4A">
        <w:rPr>
          <w:color w:val="auto"/>
        </w:rPr>
        <w:t>onwards</w:t>
      </w:r>
      <w:proofErr w:type="spellEnd"/>
      <w:r w:rsidR="00B85539">
        <w:rPr>
          <w:color w:val="auto"/>
        </w:rPr>
        <w:t>.</w:t>
      </w:r>
    </w:p>
    <w:p w:rsidR="00531131" w:rsidRDefault="0012390A" w:rsidP="0012390A">
      <w:r>
        <w:br/>
      </w:r>
    </w:p>
    <w:p w:rsidR="00531131" w:rsidRPr="00213840" w:rsidRDefault="00531131" w:rsidP="00213840">
      <w:pPr>
        <w:rPr>
          <w:b/>
          <w:sz w:val="28"/>
        </w:rPr>
      </w:pPr>
      <w:r w:rsidRPr="00213840">
        <w:rPr>
          <w:b/>
          <w:sz w:val="28"/>
        </w:rPr>
        <w:t xml:space="preserve">Table B-2 Trade Effects of Euro Adoption for </w:t>
      </w:r>
      <w:proofErr w:type="spellStart"/>
      <w:r w:rsidRPr="00213840">
        <w:rPr>
          <w:b/>
          <w:sz w:val="28"/>
        </w:rPr>
        <w:t>newEMU</w:t>
      </w:r>
      <w:proofErr w:type="spellEnd"/>
      <w:r w:rsidRPr="00213840">
        <w:rPr>
          <w:b/>
          <w:sz w:val="28"/>
        </w:rPr>
        <w:t xml:space="preserve"> group and 2004 EU entrants benchmark group, Real and Nominal</w:t>
      </w:r>
    </w:p>
    <w:tbl>
      <w:tblPr>
        <w:tblStyle w:val="Lichtearcering-accent11"/>
        <w:tblpPr w:leftFromText="142" w:rightFromText="142" w:vertAnchor="text" w:tblpY="1"/>
        <w:tblOverlap w:val="never"/>
        <w:tblW w:w="0" w:type="auto"/>
        <w:tblLook w:val="04A0"/>
      </w:tblPr>
      <w:tblGrid>
        <w:gridCol w:w="2712"/>
        <w:gridCol w:w="231"/>
        <w:gridCol w:w="1574"/>
        <w:gridCol w:w="104"/>
        <w:gridCol w:w="1471"/>
        <w:gridCol w:w="457"/>
        <w:gridCol w:w="1118"/>
        <w:gridCol w:w="227"/>
        <w:gridCol w:w="1348"/>
      </w:tblGrid>
      <w:tr w:rsidR="00531131" w:rsidTr="00444E68">
        <w:trPr>
          <w:cnfStyle w:val="100000000000"/>
        </w:trPr>
        <w:tc>
          <w:tcPr>
            <w:cnfStyle w:val="001000000000"/>
            <w:tcW w:w="9242" w:type="dxa"/>
            <w:gridSpan w:val="9"/>
          </w:tcPr>
          <w:p w:rsidR="00531131" w:rsidRPr="00531131" w:rsidRDefault="00531131" w:rsidP="00B85539">
            <w:pPr>
              <w:rPr>
                <w:color w:val="auto"/>
                <w:sz w:val="24"/>
              </w:rPr>
            </w:pPr>
            <w:r w:rsidRPr="00531131">
              <w:rPr>
                <w:color w:val="auto"/>
                <w:sz w:val="24"/>
              </w:rPr>
              <w:t xml:space="preserve">Total </w:t>
            </w:r>
            <w:r>
              <w:rPr>
                <w:color w:val="auto"/>
                <w:sz w:val="24"/>
              </w:rPr>
              <w:t xml:space="preserve">Average </w:t>
            </w:r>
            <w:r w:rsidRPr="00531131">
              <w:rPr>
                <w:color w:val="auto"/>
                <w:sz w:val="24"/>
              </w:rPr>
              <w:t>Trade Effects</w:t>
            </w:r>
            <w:r w:rsidR="00B85539">
              <w:rPr>
                <w:color w:val="auto"/>
                <w:sz w:val="24"/>
                <w:vertAlign w:val="superscript"/>
              </w:rPr>
              <w:t>(a)</w:t>
            </w:r>
            <w:r w:rsidRPr="00531131">
              <w:rPr>
                <w:color w:val="auto"/>
                <w:sz w:val="24"/>
              </w:rPr>
              <w:t xml:space="preserve"> &amp; Trade Effects per Trading Partner Group</w:t>
            </w:r>
            <w:r w:rsidR="00B85539">
              <w:rPr>
                <w:color w:val="auto"/>
                <w:sz w:val="24"/>
                <w:vertAlign w:val="superscript"/>
              </w:rPr>
              <w:t>(b)</w:t>
            </w:r>
            <w:r w:rsidRPr="00531131">
              <w:rPr>
                <w:color w:val="auto"/>
                <w:sz w:val="24"/>
              </w:rPr>
              <w:t xml:space="preserve"> of Euro adoption </w:t>
            </w:r>
            <w:r>
              <w:rPr>
                <w:color w:val="auto"/>
                <w:sz w:val="24"/>
              </w:rPr>
              <w:t xml:space="preserve">for </w:t>
            </w:r>
            <w:proofErr w:type="spellStart"/>
            <w:r>
              <w:rPr>
                <w:color w:val="auto"/>
                <w:sz w:val="24"/>
              </w:rPr>
              <w:t>newEMU</w:t>
            </w:r>
            <w:proofErr w:type="spellEnd"/>
            <w:r>
              <w:rPr>
                <w:color w:val="auto"/>
                <w:sz w:val="24"/>
              </w:rPr>
              <w:t xml:space="preserve"> group over </w:t>
            </w:r>
            <w:r w:rsidR="00B85539">
              <w:rPr>
                <w:color w:val="auto"/>
                <w:sz w:val="24"/>
              </w:rPr>
              <w:t xml:space="preserve">the </w:t>
            </w:r>
            <w:r>
              <w:rPr>
                <w:color w:val="auto"/>
                <w:sz w:val="24"/>
              </w:rPr>
              <w:t>2004 EU entrant average</w:t>
            </w:r>
          </w:p>
        </w:tc>
      </w:tr>
      <w:tr w:rsidR="00531131" w:rsidTr="00444E68">
        <w:trPr>
          <w:cnfStyle w:val="000000100000"/>
        </w:trPr>
        <w:tc>
          <w:tcPr>
            <w:cnfStyle w:val="001000000000"/>
            <w:tcW w:w="6549" w:type="dxa"/>
            <w:gridSpan w:val="6"/>
          </w:tcPr>
          <w:p w:rsidR="00531131" w:rsidRPr="00B85539" w:rsidRDefault="00531131" w:rsidP="00444E68">
            <w:pPr>
              <w:rPr>
                <w:vertAlign w:val="superscript"/>
              </w:rPr>
            </w:pPr>
            <w:r w:rsidRPr="00531131">
              <w:rPr>
                <w:rFonts w:ascii="Calibri" w:hAnsi="Calibri" w:cs="Calibri"/>
                <w:b w:val="0"/>
                <w:color w:val="auto"/>
              </w:rPr>
              <w:t>Country Pair Fixed Effect model with Time Fixed Effects</w:t>
            </w:r>
            <w:r w:rsidR="00B85539">
              <w:rPr>
                <w:rFonts w:ascii="Calibri" w:hAnsi="Calibri" w:cs="Calibri"/>
                <w:b w:val="0"/>
                <w:color w:val="auto"/>
                <w:vertAlign w:val="superscript"/>
              </w:rPr>
              <w:t>(c)</w:t>
            </w:r>
          </w:p>
        </w:tc>
        <w:tc>
          <w:tcPr>
            <w:tcW w:w="1345" w:type="dxa"/>
            <w:gridSpan w:val="2"/>
          </w:tcPr>
          <w:p w:rsidR="00531131" w:rsidRPr="00531131" w:rsidRDefault="00531131" w:rsidP="00444E68">
            <w:pPr>
              <w:cnfStyle w:val="000000100000"/>
            </w:pPr>
          </w:p>
        </w:tc>
        <w:tc>
          <w:tcPr>
            <w:tcW w:w="1348" w:type="dxa"/>
          </w:tcPr>
          <w:p w:rsidR="00531131" w:rsidRPr="00531131" w:rsidRDefault="00531131" w:rsidP="00444E68">
            <w:pPr>
              <w:cnfStyle w:val="000000100000"/>
            </w:pPr>
          </w:p>
        </w:tc>
      </w:tr>
      <w:tr w:rsidR="00531131" w:rsidTr="00444E68">
        <w:tc>
          <w:tcPr>
            <w:cnfStyle w:val="001000000000"/>
            <w:tcW w:w="4621" w:type="dxa"/>
            <w:gridSpan w:val="4"/>
          </w:tcPr>
          <w:p w:rsidR="00531131" w:rsidRPr="00531131" w:rsidRDefault="00531131" w:rsidP="00444E68">
            <w:pPr>
              <w:rPr>
                <w:b w:val="0"/>
                <w:color w:val="auto"/>
              </w:rPr>
            </w:pPr>
            <w:r w:rsidRPr="00531131">
              <w:rPr>
                <w:rFonts w:ascii="Calibri" w:hAnsi="Calibri" w:cs="Calibri"/>
                <w:b w:val="0"/>
                <w:color w:val="auto"/>
              </w:rPr>
              <w:t>Method: Panel Least Squares</w:t>
            </w:r>
          </w:p>
        </w:tc>
        <w:tc>
          <w:tcPr>
            <w:tcW w:w="1928" w:type="dxa"/>
            <w:gridSpan w:val="2"/>
          </w:tcPr>
          <w:p w:rsidR="00531131" w:rsidRPr="00531131" w:rsidRDefault="00531131" w:rsidP="00444E68">
            <w:pPr>
              <w:cnfStyle w:val="000000000000"/>
              <w:rPr>
                <w:color w:val="auto"/>
              </w:rPr>
            </w:pPr>
          </w:p>
        </w:tc>
        <w:tc>
          <w:tcPr>
            <w:tcW w:w="1345" w:type="dxa"/>
            <w:gridSpan w:val="2"/>
          </w:tcPr>
          <w:p w:rsidR="00531131" w:rsidRPr="00531131" w:rsidRDefault="00531131" w:rsidP="00444E68">
            <w:pPr>
              <w:cnfStyle w:val="000000000000"/>
              <w:rPr>
                <w:color w:val="auto"/>
              </w:rPr>
            </w:pPr>
          </w:p>
        </w:tc>
        <w:tc>
          <w:tcPr>
            <w:tcW w:w="1348" w:type="dxa"/>
          </w:tcPr>
          <w:p w:rsidR="00531131" w:rsidRPr="00531131" w:rsidRDefault="00531131" w:rsidP="00444E68">
            <w:pPr>
              <w:cnfStyle w:val="000000000000"/>
              <w:rPr>
                <w:color w:val="auto"/>
              </w:rPr>
            </w:pPr>
          </w:p>
        </w:tc>
      </w:tr>
      <w:tr w:rsidR="00531131" w:rsidTr="00444E68">
        <w:trPr>
          <w:cnfStyle w:val="000000100000"/>
        </w:trPr>
        <w:tc>
          <w:tcPr>
            <w:cnfStyle w:val="001000000000"/>
            <w:tcW w:w="2712" w:type="dxa"/>
          </w:tcPr>
          <w:p w:rsidR="00531131" w:rsidRPr="00531131" w:rsidRDefault="00531131" w:rsidP="00444E68">
            <w:pPr>
              <w:rPr>
                <w:color w:val="auto"/>
              </w:rPr>
            </w:pPr>
          </w:p>
        </w:tc>
        <w:tc>
          <w:tcPr>
            <w:tcW w:w="1909" w:type="dxa"/>
            <w:gridSpan w:val="3"/>
          </w:tcPr>
          <w:p w:rsidR="00531131" w:rsidRPr="00531131" w:rsidRDefault="00531131" w:rsidP="00444E68">
            <w:pPr>
              <w:cnfStyle w:val="000000100000"/>
              <w:rPr>
                <w:color w:val="auto"/>
              </w:rPr>
            </w:pPr>
          </w:p>
        </w:tc>
        <w:tc>
          <w:tcPr>
            <w:tcW w:w="1928" w:type="dxa"/>
            <w:gridSpan w:val="2"/>
          </w:tcPr>
          <w:p w:rsidR="00531131" w:rsidRPr="00531131" w:rsidRDefault="00531131" w:rsidP="00444E68">
            <w:pPr>
              <w:cnfStyle w:val="000000100000"/>
              <w:rPr>
                <w:color w:val="auto"/>
              </w:rPr>
            </w:pPr>
          </w:p>
        </w:tc>
        <w:tc>
          <w:tcPr>
            <w:tcW w:w="1345" w:type="dxa"/>
            <w:gridSpan w:val="2"/>
          </w:tcPr>
          <w:p w:rsidR="00531131" w:rsidRPr="00531131" w:rsidRDefault="00531131" w:rsidP="00444E68">
            <w:pPr>
              <w:cnfStyle w:val="000000100000"/>
              <w:rPr>
                <w:color w:val="auto"/>
              </w:rPr>
            </w:pPr>
          </w:p>
        </w:tc>
        <w:tc>
          <w:tcPr>
            <w:tcW w:w="1348" w:type="dxa"/>
          </w:tcPr>
          <w:p w:rsidR="00531131" w:rsidRPr="00531131" w:rsidRDefault="00531131" w:rsidP="00444E68">
            <w:pPr>
              <w:cnfStyle w:val="000000100000"/>
              <w:rPr>
                <w:color w:val="auto"/>
              </w:rPr>
            </w:pPr>
          </w:p>
        </w:tc>
      </w:tr>
      <w:tr w:rsidR="00531131" w:rsidTr="00444E68">
        <w:tc>
          <w:tcPr>
            <w:cnfStyle w:val="001000000000"/>
            <w:tcW w:w="2943" w:type="dxa"/>
            <w:gridSpan w:val="2"/>
          </w:tcPr>
          <w:p w:rsidR="00531131" w:rsidRPr="00531131" w:rsidRDefault="00531131" w:rsidP="00531131">
            <w:pPr>
              <w:rPr>
                <w:rFonts w:ascii="Calibri" w:hAnsi="Calibri" w:cs="Calibri"/>
                <w:i/>
                <w:color w:val="auto"/>
              </w:rPr>
            </w:pPr>
            <w:r w:rsidRPr="00531131">
              <w:rPr>
                <w:rFonts w:ascii="Calibri" w:hAnsi="Calibri" w:cs="Calibri"/>
                <w:i/>
                <w:color w:val="auto"/>
              </w:rPr>
              <w:t>Dependent variable:</w:t>
            </w:r>
          </w:p>
        </w:tc>
        <w:tc>
          <w:tcPr>
            <w:tcW w:w="1574" w:type="dxa"/>
          </w:tcPr>
          <w:p w:rsidR="00531131" w:rsidRPr="00531131" w:rsidRDefault="00531131" w:rsidP="00531131">
            <w:pPr>
              <w:cnfStyle w:val="000000000000"/>
              <w:rPr>
                <w:color w:val="auto"/>
                <w:sz w:val="24"/>
                <w:lang w:val="nl-NL"/>
              </w:rPr>
            </w:pPr>
            <w:r>
              <w:rPr>
                <w:color w:val="auto"/>
                <w:sz w:val="24"/>
                <w:lang w:val="nl-NL"/>
              </w:rPr>
              <w:t>LN_NOM_EX</w:t>
            </w:r>
          </w:p>
        </w:tc>
        <w:tc>
          <w:tcPr>
            <w:tcW w:w="1575" w:type="dxa"/>
            <w:gridSpan w:val="2"/>
          </w:tcPr>
          <w:p w:rsidR="00531131" w:rsidRPr="00531131" w:rsidRDefault="00531131" w:rsidP="00531131">
            <w:pPr>
              <w:cnfStyle w:val="000000000000"/>
              <w:rPr>
                <w:color w:val="auto"/>
              </w:rPr>
            </w:pPr>
            <w:r>
              <w:rPr>
                <w:color w:val="auto"/>
              </w:rPr>
              <w:t>LN_REAL_EX</w:t>
            </w:r>
          </w:p>
        </w:tc>
        <w:tc>
          <w:tcPr>
            <w:tcW w:w="1575" w:type="dxa"/>
            <w:gridSpan w:val="2"/>
          </w:tcPr>
          <w:p w:rsidR="00531131" w:rsidRPr="00531131" w:rsidRDefault="00531131" w:rsidP="00531131">
            <w:pPr>
              <w:cnfStyle w:val="000000000000"/>
              <w:rPr>
                <w:color w:val="auto"/>
                <w:sz w:val="24"/>
                <w:lang w:val="nl-NL"/>
              </w:rPr>
            </w:pPr>
            <w:r>
              <w:rPr>
                <w:color w:val="auto"/>
                <w:sz w:val="24"/>
                <w:lang w:val="nl-NL"/>
              </w:rPr>
              <w:t>LN_NOM_EX</w:t>
            </w:r>
          </w:p>
        </w:tc>
        <w:tc>
          <w:tcPr>
            <w:tcW w:w="1575" w:type="dxa"/>
            <w:gridSpan w:val="2"/>
          </w:tcPr>
          <w:p w:rsidR="00531131" w:rsidRPr="00531131" w:rsidRDefault="00531131" w:rsidP="00531131">
            <w:pPr>
              <w:cnfStyle w:val="000000000000"/>
              <w:rPr>
                <w:color w:val="auto"/>
              </w:rPr>
            </w:pPr>
            <w:r>
              <w:rPr>
                <w:color w:val="auto"/>
              </w:rPr>
              <w:t>LN_REAL_EX</w:t>
            </w:r>
          </w:p>
        </w:tc>
      </w:tr>
      <w:tr w:rsidR="00531131" w:rsidTr="00444E68">
        <w:trPr>
          <w:cnfStyle w:val="000000100000"/>
        </w:trPr>
        <w:tc>
          <w:tcPr>
            <w:cnfStyle w:val="001000000000"/>
            <w:tcW w:w="2943" w:type="dxa"/>
            <w:gridSpan w:val="2"/>
          </w:tcPr>
          <w:p w:rsidR="00531131" w:rsidRPr="00B0517F" w:rsidRDefault="00531131" w:rsidP="00444E68">
            <w:pPr>
              <w:rPr>
                <w:rFonts w:ascii="Calibri" w:hAnsi="Calibri" w:cs="Calibri"/>
                <w:i/>
                <w:color w:val="000000"/>
                <w:u w:val="single"/>
              </w:rPr>
            </w:pPr>
            <w:r w:rsidRPr="00B0517F">
              <w:rPr>
                <w:rFonts w:ascii="Calibri" w:hAnsi="Calibri" w:cs="Calibri"/>
                <w:i/>
                <w:color w:val="000000"/>
                <w:u w:val="single"/>
              </w:rPr>
              <w:t>Variable:</w:t>
            </w:r>
          </w:p>
        </w:tc>
        <w:tc>
          <w:tcPr>
            <w:tcW w:w="1574" w:type="dxa"/>
          </w:tcPr>
          <w:p w:rsidR="00531131" w:rsidRDefault="00531131" w:rsidP="00444E68">
            <w:pPr>
              <w:cnfStyle w:val="000000100000"/>
            </w:pPr>
          </w:p>
        </w:tc>
        <w:tc>
          <w:tcPr>
            <w:tcW w:w="1575" w:type="dxa"/>
            <w:gridSpan w:val="2"/>
          </w:tcPr>
          <w:p w:rsidR="00531131" w:rsidRDefault="00531131" w:rsidP="00444E68">
            <w:pPr>
              <w:cnfStyle w:val="000000100000"/>
            </w:pPr>
          </w:p>
        </w:tc>
        <w:tc>
          <w:tcPr>
            <w:tcW w:w="1575" w:type="dxa"/>
            <w:gridSpan w:val="2"/>
          </w:tcPr>
          <w:p w:rsidR="00531131" w:rsidRDefault="00531131" w:rsidP="00444E68">
            <w:pPr>
              <w:cnfStyle w:val="000000100000"/>
            </w:pPr>
          </w:p>
        </w:tc>
        <w:tc>
          <w:tcPr>
            <w:tcW w:w="1575" w:type="dxa"/>
            <w:gridSpan w:val="2"/>
          </w:tcPr>
          <w:p w:rsidR="00531131" w:rsidRDefault="00531131" w:rsidP="00444E68">
            <w:pPr>
              <w:cnfStyle w:val="000000100000"/>
            </w:pPr>
          </w:p>
        </w:tc>
      </w:tr>
      <w:tr w:rsidR="00531131" w:rsidTr="00444E68">
        <w:tc>
          <w:tcPr>
            <w:cnfStyle w:val="001000000000"/>
            <w:tcW w:w="2943" w:type="dxa"/>
            <w:gridSpan w:val="2"/>
            <w:vAlign w:val="center"/>
          </w:tcPr>
          <w:p w:rsidR="00531131" w:rsidRDefault="00531131" w:rsidP="00444E68">
            <w:pPr>
              <w:rPr>
                <w:rFonts w:ascii="Calibri" w:hAnsi="Calibri" w:cs="Calibri"/>
                <w:color w:val="000000"/>
              </w:rPr>
            </w:pPr>
            <w:r>
              <w:rPr>
                <w:rFonts w:ascii="Calibri" w:hAnsi="Calibri" w:cs="Calibri"/>
                <w:color w:val="000000"/>
              </w:rPr>
              <w:t>C</w:t>
            </w:r>
          </w:p>
        </w:tc>
        <w:tc>
          <w:tcPr>
            <w:tcW w:w="1574" w:type="dxa"/>
            <w:vAlign w:val="bottom"/>
          </w:tcPr>
          <w:p w:rsidR="00531131" w:rsidRPr="00770C4A" w:rsidRDefault="00531131" w:rsidP="00444E68">
            <w:pPr>
              <w:cnfStyle w:val="000000000000"/>
              <w:rPr>
                <w:rFonts w:ascii="Calibri" w:hAnsi="Calibri"/>
                <w:b/>
                <w:color w:val="auto"/>
              </w:rPr>
            </w:pPr>
            <w:r w:rsidRPr="00770C4A">
              <w:rPr>
                <w:rFonts w:ascii="Calibri" w:hAnsi="Calibri"/>
                <w:b/>
                <w:color w:val="auto"/>
              </w:rPr>
              <w:t>-10.786</w:t>
            </w:r>
          </w:p>
          <w:p w:rsidR="00531131" w:rsidRPr="00770C4A" w:rsidRDefault="00531131" w:rsidP="00444E68">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Pr="00531131" w:rsidRDefault="00531131" w:rsidP="00444E68">
            <w:pPr>
              <w:cnfStyle w:val="000000000000"/>
              <w:rPr>
                <w:rFonts w:ascii="Calibri" w:hAnsi="Calibri"/>
                <w:b/>
                <w:color w:val="000000"/>
              </w:rPr>
            </w:pPr>
            <w:r w:rsidRPr="00531131">
              <w:rPr>
                <w:rFonts w:ascii="Calibri" w:hAnsi="Calibri"/>
                <w:b/>
                <w:color w:val="000000"/>
              </w:rPr>
              <w:t>-8.287</w:t>
            </w:r>
          </w:p>
          <w:p w:rsidR="00531131" w:rsidRPr="00A02364" w:rsidRDefault="00531131" w:rsidP="00444E68">
            <w:pPr>
              <w:cnfStyle w:val="000000000000"/>
              <w:rPr>
                <w:rFonts w:ascii="Calibri" w:hAnsi="Calibri"/>
                <w:color w:val="000000"/>
              </w:rPr>
            </w:pPr>
            <w:r w:rsidRPr="00770C4A">
              <w:rPr>
                <w:rFonts w:ascii="Calibri" w:hAnsi="Calibri" w:cs="Calibri"/>
                <w:i/>
                <w:color w:val="auto"/>
                <w:sz w:val="16"/>
                <w:szCs w:val="16"/>
              </w:rPr>
              <w:t>(0.000)***</w:t>
            </w:r>
          </w:p>
        </w:tc>
        <w:tc>
          <w:tcPr>
            <w:tcW w:w="1575" w:type="dxa"/>
            <w:gridSpan w:val="2"/>
            <w:vAlign w:val="bottom"/>
          </w:tcPr>
          <w:p w:rsidR="00531131" w:rsidRPr="00770C4A" w:rsidRDefault="00531131" w:rsidP="00444E68">
            <w:pPr>
              <w:cnfStyle w:val="000000000000"/>
              <w:rPr>
                <w:rFonts w:ascii="Calibri" w:hAnsi="Calibri"/>
                <w:b/>
                <w:color w:val="auto"/>
              </w:rPr>
            </w:pPr>
            <w:r w:rsidRPr="00770C4A">
              <w:rPr>
                <w:rFonts w:ascii="Calibri" w:hAnsi="Calibri"/>
                <w:b/>
                <w:color w:val="auto"/>
              </w:rPr>
              <w:t>-10.703</w:t>
            </w:r>
          </w:p>
          <w:p w:rsidR="00531131" w:rsidRPr="00770C4A" w:rsidRDefault="00531131" w:rsidP="00444E68">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tcPr>
          <w:p w:rsidR="00531131" w:rsidRDefault="00531131" w:rsidP="00444E68">
            <w:pPr>
              <w:cnfStyle w:val="000000000000"/>
              <w:rPr>
                <w:rFonts w:ascii="Calibri" w:hAnsi="Calibri"/>
                <w:b/>
                <w:color w:val="000000"/>
              </w:rPr>
            </w:pPr>
            <w:r>
              <w:rPr>
                <w:rFonts w:ascii="Calibri" w:hAnsi="Calibri"/>
                <w:b/>
                <w:color w:val="000000"/>
              </w:rPr>
              <w:t>-8.257</w:t>
            </w:r>
          </w:p>
          <w:p w:rsidR="00531131" w:rsidRPr="00531131" w:rsidRDefault="00531131" w:rsidP="00444E68">
            <w:pPr>
              <w:cnfStyle w:val="000000000000"/>
              <w:rPr>
                <w:rFonts w:ascii="Calibri" w:hAnsi="Calibri"/>
                <w:b/>
                <w:color w:val="000000"/>
              </w:rPr>
            </w:pPr>
            <w:r w:rsidRPr="00770C4A">
              <w:rPr>
                <w:rFonts w:ascii="Calibri" w:hAnsi="Calibri" w:cs="Calibri"/>
                <w:i/>
                <w:color w:val="auto"/>
                <w:sz w:val="16"/>
                <w:szCs w:val="16"/>
              </w:rPr>
              <w:t>(0.000)***</w:t>
            </w:r>
          </w:p>
        </w:tc>
      </w:tr>
      <w:tr w:rsidR="00531131" w:rsidTr="00444E68">
        <w:trPr>
          <w:cnfStyle w:val="000000100000"/>
        </w:trPr>
        <w:tc>
          <w:tcPr>
            <w:cnfStyle w:val="001000000000"/>
            <w:tcW w:w="2943" w:type="dxa"/>
            <w:gridSpan w:val="2"/>
            <w:vAlign w:val="center"/>
          </w:tcPr>
          <w:p w:rsidR="00531131" w:rsidRDefault="00531131" w:rsidP="00444E68">
            <w:pPr>
              <w:rPr>
                <w:rFonts w:ascii="Calibri" w:hAnsi="Calibri" w:cs="Calibri"/>
                <w:color w:val="000000"/>
              </w:rPr>
            </w:pPr>
            <w:r>
              <w:rPr>
                <w:rFonts w:ascii="Calibri" w:hAnsi="Calibri" w:cs="Calibri"/>
                <w:color w:val="000000"/>
              </w:rPr>
              <w:t>LN_NOM_GDPI</w:t>
            </w:r>
          </w:p>
        </w:tc>
        <w:tc>
          <w:tcPr>
            <w:tcW w:w="1574" w:type="dxa"/>
            <w:vAlign w:val="bottom"/>
          </w:tcPr>
          <w:p w:rsidR="00531131" w:rsidRPr="00770C4A" w:rsidRDefault="00531131" w:rsidP="00444E68">
            <w:pPr>
              <w:cnfStyle w:val="000000100000"/>
              <w:rPr>
                <w:rFonts w:ascii="Calibri" w:hAnsi="Calibri"/>
                <w:b/>
                <w:color w:val="auto"/>
              </w:rPr>
            </w:pPr>
            <w:r w:rsidRPr="00770C4A">
              <w:rPr>
                <w:rFonts w:ascii="Calibri" w:hAnsi="Calibri"/>
                <w:b/>
                <w:color w:val="auto"/>
              </w:rPr>
              <w:t>0.813</w:t>
            </w:r>
          </w:p>
          <w:p w:rsidR="00531131" w:rsidRPr="00770C4A" w:rsidRDefault="00531131" w:rsidP="00444E68">
            <w:pPr>
              <w:cnfStyle w:val="0000001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Pr="00483426" w:rsidRDefault="00531131" w:rsidP="00444E68">
            <w:pPr>
              <w:cnfStyle w:val="000000100000"/>
              <w:rPr>
                <w:rFonts w:ascii="Calibri" w:hAnsi="Calibri"/>
                <w:b/>
                <w:color w:val="000000"/>
              </w:rPr>
            </w:pPr>
          </w:p>
        </w:tc>
        <w:tc>
          <w:tcPr>
            <w:tcW w:w="1575" w:type="dxa"/>
            <w:gridSpan w:val="2"/>
            <w:vAlign w:val="bottom"/>
          </w:tcPr>
          <w:p w:rsidR="00531131" w:rsidRPr="00770C4A" w:rsidRDefault="00531131" w:rsidP="00444E68">
            <w:pPr>
              <w:cnfStyle w:val="000000100000"/>
              <w:rPr>
                <w:rFonts w:ascii="Calibri" w:hAnsi="Calibri"/>
                <w:b/>
                <w:color w:val="auto"/>
              </w:rPr>
            </w:pPr>
            <w:r w:rsidRPr="00770C4A">
              <w:rPr>
                <w:rFonts w:ascii="Calibri" w:hAnsi="Calibri"/>
                <w:b/>
                <w:color w:val="auto"/>
              </w:rPr>
              <w:t>0.809</w:t>
            </w:r>
          </w:p>
          <w:p w:rsidR="00531131" w:rsidRPr="00770C4A" w:rsidRDefault="00531131" w:rsidP="00444E68">
            <w:pPr>
              <w:cnfStyle w:val="000000100000"/>
              <w:rPr>
                <w:rFonts w:ascii="Calibri" w:hAnsi="Calibri"/>
                <w:b/>
                <w:color w:val="auto"/>
              </w:rPr>
            </w:pPr>
            <w:r w:rsidRPr="00770C4A">
              <w:rPr>
                <w:rFonts w:ascii="Calibri" w:hAnsi="Calibri" w:cs="Calibri"/>
                <w:i/>
                <w:color w:val="auto"/>
                <w:sz w:val="16"/>
                <w:szCs w:val="16"/>
              </w:rPr>
              <w:t>(0.000)***</w:t>
            </w:r>
          </w:p>
        </w:tc>
        <w:tc>
          <w:tcPr>
            <w:tcW w:w="1575" w:type="dxa"/>
            <w:gridSpan w:val="2"/>
          </w:tcPr>
          <w:p w:rsidR="00531131" w:rsidRPr="00531131" w:rsidRDefault="00531131" w:rsidP="00444E68">
            <w:pPr>
              <w:cnfStyle w:val="000000100000"/>
              <w:rPr>
                <w:rFonts w:ascii="Calibri" w:hAnsi="Calibri"/>
                <w:b/>
                <w:color w:val="000000"/>
              </w:rPr>
            </w:pPr>
          </w:p>
        </w:tc>
      </w:tr>
      <w:tr w:rsidR="00531131" w:rsidTr="00444E68">
        <w:tc>
          <w:tcPr>
            <w:cnfStyle w:val="001000000000"/>
            <w:tcW w:w="2943" w:type="dxa"/>
            <w:gridSpan w:val="2"/>
            <w:vAlign w:val="center"/>
          </w:tcPr>
          <w:p w:rsidR="00531131" w:rsidRDefault="00531131" w:rsidP="00444E68">
            <w:pPr>
              <w:rPr>
                <w:rFonts w:ascii="Calibri" w:hAnsi="Calibri" w:cs="Calibri"/>
                <w:color w:val="000000"/>
              </w:rPr>
            </w:pPr>
            <w:r>
              <w:rPr>
                <w:rFonts w:ascii="Calibri" w:hAnsi="Calibri" w:cs="Calibri"/>
                <w:color w:val="000000"/>
              </w:rPr>
              <w:t>LN_NOM_GDPJ</w:t>
            </w:r>
          </w:p>
        </w:tc>
        <w:tc>
          <w:tcPr>
            <w:tcW w:w="1574" w:type="dxa"/>
            <w:vAlign w:val="bottom"/>
          </w:tcPr>
          <w:p w:rsidR="00531131" w:rsidRPr="00770C4A" w:rsidRDefault="00531131" w:rsidP="00444E68">
            <w:pPr>
              <w:cnfStyle w:val="000000000000"/>
              <w:rPr>
                <w:rFonts w:ascii="Calibri" w:hAnsi="Calibri"/>
                <w:b/>
                <w:color w:val="auto"/>
              </w:rPr>
            </w:pPr>
            <w:r w:rsidRPr="00770C4A">
              <w:rPr>
                <w:rFonts w:ascii="Calibri" w:hAnsi="Calibri"/>
                <w:b/>
                <w:color w:val="auto"/>
              </w:rPr>
              <w:t>0.891</w:t>
            </w:r>
          </w:p>
          <w:p w:rsidR="00531131" w:rsidRPr="00770C4A" w:rsidRDefault="00531131" w:rsidP="00444E68">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Pr="00483426" w:rsidRDefault="00531131" w:rsidP="00444E68">
            <w:pPr>
              <w:cnfStyle w:val="000000000000"/>
              <w:rPr>
                <w:rFonts w:ascii="Calibri" w:hAnsi="Calibri"/>
                <w:b/>
                <w:color w:val="000000"/>
              </w:rPr>
            </w:pPr>
          </w:p>
        </w:tc>
        <w:tc>
          <w:tcPr>
            <w:tcW w:w="1575" w:type="dxa"/>
            <w:gridSpan w:val="2"/>
            <w:vAlign w:val="bottom"/>
          </w:tcPr>
          <w:p w:rsidR="00531131" w:rsidRPr="00770C4A" w:rsidRDefault="00531131" w:rsidP="00444E68">
            <w:pPr>
              <w:cnfStyle w:val="000000000000"/>
              <w:rPr>
                <w:rFonts w:ascii="Calibri" w:hAnsi="Calibri"/>
                <w:b/>
                <w:color w:val="auto"/>
              </w:rPr>
            </w:pPr>
            <w:r w:rsidRPr="00770C4A">
              <w:rPr>
                <w:rFonts w:ascii="Calibri" w:hAnsi="Calibri"/>
                <w:b/>
                <w:color w:val="auto"/>
              </w:rPr>
              <w:t>0.888</w:t>
            </w:r>
          </w:p>
          <w:p w:rsidR="00531131" w:rsidRPr="00770C4A" w:rsidRDefault="00531131" w:rsidP="00444E68">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tcPr>
          <w:p w:rsidR="00531131" w:rsidRPr="00531131" w:rsidRDefault="00531131" w:rsidP="00444E68">
            <w:pPr>
              <w:cnfStyle w:val="000000000000"/>
              <w:rPr>
                <w:rFonts w:ascii="Calibri" w:hAnsi="Calibri"/>
                <w:b/>
                <w:color w:val="000000"/>
              </w:rPr>
            </w:pPr>
          </w:p>
        </w:tc>
      </w:tr>
      <w:tr w:rsidR="00531131" w:rsidTr="00444E68">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LN_REAL_GDPI</w:t>
            </w:r>
          </w:p>
        </w:tc>
        <w:tc>
          <w:tcPr>
            <w:tcW w:w="1574" w:type="dxa"/>
            <w:vAlign w:val="bottom"/>
          </w:tcPr>
          <w:p w:rsidR="00531131" w:rsidRPr="00770C4A" w:rsidRDefault="00531131" w:rsidP="00531131">
            <w:pPr>
              <w:cnfStyle w:val="000000100000"/>
              <w:rPr>
                <w:rFonts w:ascii="Calibri" w:hAnsi="Calibri" w:cs="Calibri"/>
                <w:b/>
                <w:i/>
                <w:color w:val="auto"/>
              </w:rPr>
            </w:pP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0.838</w:t>
            </w:r>
          </w:p>
          <w:p w:rsidR="00531131" w:rsidRPr="00483426" w:rsidRDefault="00531131" w:rsidP="00531131">
            <w:pPr>
              <w:cnfStyle w:val="000000100000"/>
              <w:rPr>
                <w:rFonts w:ascii="Calibri" w:hAnsi="Calibri"/>
                <w:b/>
                <w:color w:val="000000"/>
              </w:rPr>
            </w:pPr>
            <w:r w:rsidRPr="00770C4A">
              <w:rPr>
                <w:rFonts w:ascii="Calibri" w:hAnsi="Calibri" w:cs="Calibri"/>
                <w:i/>
                <w:color w:val="auto"/>
                <w:sz w:val="16"/>
                <w:szCs w:val="16"/>
              </w:rPr>
              <w:t>(0.000)***</w:t>
            </w:r>
          </w:p>
        </w:tc>
        <w:tc>
          <w:tcPr>
            <w:tcW w:w="1575" w:type="dxa"/>
            <w:gridSpan w:val="2"/>
            <w:vAlign w:val="bottom"/>
          </w:tcPr>
          <w:p w:rsidR="00531131" w:rsidRPr="00770C4A" w:rsidRDefault="00531131" w:rsidP="00531131">
            <w:pPr>
              <w:cnfStyle w:val="000000100000"/>
              <w:rPr>
                <w:rFonts w:ascii="Calibri" w:hAnsi="Calibri" w:cs="Calibri"/>
                <w:b/>
                <w:i/>
                <w:color w:val="auto"/>
              </w:rPr>
            </w:pP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0.837</w:t>
            </w:r>
          </w:p>
          <w:p w:rsidR="00531131" w:rsidRPr="00531131" w:rsidRDefault="00531131" w:rsidP="00531131">
            <w:pPr>
              <w:cnfStyle w:val="000000100000"/>
              <w:rPr>
                <w:rFonts w:ascii="Calibri" w:hAnsi="Calibri"/>
                <w:b/>
                <w:color w:val="000000"/>
              </w:rPr>
            </w:pPr>
            <w:r w:rsidRPr="00770C4A">
              <w:rPr>
                <w:rFonts w:ascii="Calibri" w:hAnsi="Calibri" w:cs="Calibri"/>
                <w:i/>
                <w:color w:val="auto"/>
                <w:sz w:val="16"/>
                <w:szCs w:val="16"/>
              </w:rPr>
              <w:t>(0.000)***</w:t>
            </w: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LN_REAL_GDPJ</w:t>
            </w:r>
          </w:p>
        </w:tc>
        <w:tc>
          <w:tcPr>
            <w:tcW w:w="1574" w:type="dxa"/>
            <w:vAlign w:val="bottom"/>
          </w:tcPr>
          <w:p w:rsidR="00531131" w:rsidRPr="00770C4A" w:rsidRDefault="00531131" w:rsidP="00531131">
            <w:pPr>
              <w:cnfStyle w:val="000000000000"/>
              <w:rPr>
                <w:rFonts w:ascii="Calibri" w:hAnsi="Calibri" w:cs="Calibri"/>
                <w:b/>
                <w:i/>
                <w:color w:val="auto"/>
              </w:rPr>
            </w:pP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0.647</w:t>
            </w:r>
          </w:p>
          <w:p w:rsidR="00531131" w:rsidRPr="00483426" w:rsidRDefault="00531131" w:rsidP="00531131">
            <w:pPr>
              <w:cnfStyle w:val="000000000000"/>
              <w:rPr>
                <w:rFonts w:ascii="Calibri" w:hAnsi="Calibri"/>
                <w:b/>
                <w:color w:val="000000"/>
              </w:rPr>
            </w:pPr>
            <w:r w:rsidRPr="00770C4A">
              <w:rPr>
                <w:rFonts w:ascii="Calibri" w:hAnsi="Calibri" w:cs="Calibri"/>
                <w:i/>
                <w:color w:val="auto"/>
                <w:sz w:val="16"/>
                <w:szCs w:val="16"/>
              </w:rPr>
              <w:t>(0.000)***</w:t>
            </w:r>
          </w:p>
        </w:tc>
        <w:tc>
          <w:tcPr>
            <w:tcW w:w="1575" w:type="dxa"/>
            <w:gridSpan w:val="2"/>
            <w:vAlign w:val="bottom"/>
          </w:tcPr>
          <w:p w:rsidR="00531131" w:rsidRPr="00770C4A" w:rsidRDefault="00531131" w:rsidP="00531131">
            <w:pPr>
              <w:cnfStyle w:val="000000000000"/>
              <w:rPr>
                <w:rFonts w:ascii="Calibri" w:hAnsi="Calibri" w:cs="Calibri"/>
                <w:b/>
                <w:i/>
                <w:color w:val="auto"/>
              </w:rPr>
            </w:pP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0.645</w:t>
            </w:r>
          </w:p>
          <w:p w:rsidR="00531131" w:rsidRPr="00531131" w:rsidRDefault="00531131" w:rsidP="00531131">
            <w:pPr>
              <w:cnfStyle w:val="000000000000"/>
              <w:rPr>
                <w:rFonts w:ascii="Calibri" w:hAnsi="Calibri"/>
                <w:b/>
                <w:color w:val="000000"/>
              </w:rPr>
            </w:pPr>
            <w:r w:rsidRPr="00770C4A">
              <w:rPr>
                <w:rFonts w:ascii="Calibri" w:hAnsi="Calibri" w:cs="Calibri"/>
                <w:i/>
                <w:color w:val="auto"/>
                <w:sz w:val="16"/>
                <w:szCs w:val="16"/>
              </w:rPr>
              <w:t>(0.000)***</w:t>
            </w:r>
          </w:p>
        </w:tc>
      </w:tr>
      <w:tr w:rsidR="00531131" w:rsidTr="00444E68">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2004_X_M_07</w:t>
            </w:r>
          </w:p>
        </w:tc>
        <w:tc>
          <w:tcPr>
            <w:tcW w:w="1574" w:type="dxa"/>
            <w:vAlign w:val="bottom"/>
          </w:tcPr>
          <w:p w:rsidR="00531131" w:rsidRPr="00770C4A" w:rsidRDefault="00531131" w:rsidP="00531131">
            <w:pPr>
              <w:cnfStyle w:val="000000100000"/>
              <w:rPr>
                <w:rFonts w:ascii="Calibri" w:hAnsi="Calibri"/>
                <w:b/>
                <w:color w:val="auto"/>
              </w:rPr>
            </w:pPr>
            <w:r w:rsidRPr="00770C4A">
              <w:rPr>
                <w:rFonts w:ascii="Calibri" w:hAnsi="Calibri"/>
                <w:b/>
                <w:color w:val="auto"/>
              </w:rPr>
              <w:t>0.079</w:t>
            </w:r>
          </w:p>
          <w:p w:rsidR="00531131" w:rsidRPr="00770C4A" w:rsidRDefault="00531131" w:rsidP="00531131">
            <w:pPr>
              <w:cnfStyle w:val="000000100000"/>
              <w:rPr>
                <w:rFonts w:ascii="Calibri" w:hAnsi="Calibri" w:cs="Calibri"/>
                <w:b/>
                <w:i/>
                <w:color w:val="auto"/>
              </w:rPr>
            </w:pPr>
            <w:r w:rsidRPr="00770C4A">
              <w:rPr>
                <w:rFonts w:ascii="Calibri" w:hAnsi="Calibri" w:cs="Calibri"/>
                <w:i/>
                <w:color w:val="auto"/>
                <w:sz w:val="16"/>
                <w:szCs w:val="16"/>
              </w:rPr>
              <w:t>(0.000)***</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0.096</w:t>
            </w:r>
          </w:p>
          <w:p w:rsidR="00531131" w:rsidRPr="00A02364" w:rsidRDefault="00531131" w:rsidP="00531131">
            <w:pPr>
              <w:cnfStyle w:val="000000100000"/>
              <w:rPr>
                <w:rFonts w:ascii="Calibri" w:hAnsi="Calibri"/>
                <w:b/>
                <w:color w:val="000000"/>
              </w:rPr>
            </w:pPr>
            <w:r w:rsidRPr="00770C4A">
              <w:rPr>
                <w:rFonts w:ascii="Calibri" w:hAnsi="Calibri" w:cs="Calibri"/>
                <w:i/>
                <w:color w:val="auto"/>
                <w:sz w:val="16"/>
                <w:szCs w:val="16"/>
              </w:rPr>
              <w:t>(0.000)***</w:t>
            </w:r>
          </w:p>
        </w:tc>
        <w:tc>
          <w:tcPr>
            <w:tcW w:w="1575" w:type="dxa"/>
            <w:gridSpan w:val="2"/>
            <w:vAlign w:val="bottom"/>
          </w:tcPr>
          <w:p w:rsidR="00531131" w:rsidRPr="00770C4A" w:rsidRDefault="00531131" w:rsidP="00531131">
            <w:pPr>
              <w:cnfStyle w:val="000000100000"/>
              <w:rPr>
                <w:rFonts w:ascii="Calibri" w:hAnsi="Calibri" w:cs="Calibri"/>
                <w:b/>
                <w:i/>
                <w:color w:val="auto"/>
              </w:rPr>
            </w:pPr>
          </w:p>
        </w:tc>
        <w:tc>
          <w:tcPr>
            <w:tcW w:w="1575" w:type="dxa"/>
            <w:gridSpan w:val="2"/>
          </w:tcPr>
          <w:p w:rsidR="00531131" w:rsidRPr="00531131" w:rsidRDefault="00531131" w:rsidP="00531131">
            <w:pPr>
              <w:cnfStyle w:val="000000100000"/>
              <w:rPr>
                <w:rFonts w:ascii="Calibri" w:hAnsi="Calibri"/>
                <w:b/>
                <w:color w:val="000000"/>
              </w:rPr>
            </w:pP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2004_X_M_EMU_07</w:t>
            </w:r>
          </w:p>
        </w:tc>
        <w:tc>
          <w:tcPr>
            <w:tcW w:w="1574" w:type="dxa"/>
            <w:vAlign w:val="bottom"/>
          </w:tcPr>
          <w:p w:rsidR="00531131" w:rsidRPr="00770C4A" w:rsidRDefault="00531131" w:rsidP="00531131">
            <w:pPr>
              <w:cnfStyle w:val="000000000000"/>
              <w:rPr>
                <w:rFonts w:ascii="Calibri" w:hAnsi="Calibri" w:cs="Calibri"/>
                <w:b/>
                <w:color w:val="auto"/>
              </w:rPr>
            </w:pPr>
          </w:p>
        </w:tc>
        <w:tc>
          <w:tcPr>
            <w:tcW w:w="1575" w:type="dxa"/>
            <w:gridSpan w:val="2"/>
            <w:vAlign w:val="bottom"/>
          </w:tcPr>
          <w:p w:rsidR="00531131" w:rsidRPr="00A02364" w:rsidRDefault="00531131" w:rsidP="00531131">
            <w:pPr>
              <w:cnfStyle w:val="000000000000"/>
              <w:rPr>
                <w:rFonts w:ascii="Calibri" w:hAnsi="Calibri"/>
                <w:b/>
                <w:color w:val="000000"/>
              </w:rPr>
            </w:pPr>
          </w:p>
        </w:tc>
        <w:tc>
          <w:tcPr>
            <w:tcW w:w="1575" w:type="dxa"/>
            <w:gridSpan w:val="2"/>
            <w:vAlign w:val="bottom"/>
          </w:tcPr>
          <w:p w:rsidR="00531131" w:rsidRPr="00770C4A" w:rsidRDefault="00531131" w:rsidP="00531131">
            <w:pPr>
              <w:cnfStyle w:val="000000000000"/>
              <w:rPr>
                <w:rFonts w:ascii="Calibri" w:hAnsi="Calibri"/>
                <w:b/>
                <w:color w:val="auto"/>
              </w:rPr>
            </w:pPr>
            <w:r w:rsidRPr="00770C4A">
              <w:rPr>
                <w:rFonts w:ascii="Calibri" w:hAnsi="Calibri"/>
                <w:b/>
                <w:color w:val="auto"/>
              </w:rPr>
              <w:t>0.058</w:t>
            </w:r>
          </w:p>
          <w:p w:rsidR="00531131" w:rsidRPr="00770C4A" w:rsidRDefault="00531131" w:rsidP="00531131">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0.060</w:t>
            </w:r>
          </w:p>
          <w:p w:rsidR="00531131" w:rsidRPr="00531131" w:rsidRDefault="00531131" w:rsidP="00531131">
            <w:pPr>
              <w:cnfStyle w:val="000000000000"/>
              <w:rPr>
                <w:rFonts w:ascii="Calibri" w:hAnsi="Calibri"/>
                <w:b/>
                <w:color w:val="000000"/>
              </w:rPr>
            </w:pPr>
            <w:r w:rsidRPr="00770C4A">
              <w:rPr>
                <w:rFonts w:ascii="Calibri" w:hAnsi="Calibri" w:cs="Calibri"/>
                <w:i/>
                <w:color w:val="auto"/>
                <w:sz w:val="16"/>
                <w:szCs w:val="16"/>
              </w:rPr>
              <w:t>(0.000)***</w:t>
            </w:r>
          </w:p>
        </w:tc>
      </w:tr>
      <w:tr w:rsidR="00531131" w:rsidTr="00444E68">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2004_X_M_RW_07</w:t>
            </w:r>
          </w:p>
        </w:tc>
        <w:tc>
          <w:tcPr>
            <w:tcW w:w="1574" w:type="dxa"/>
            <w:vAlign w:val="bottom"/>
          </w:tcPr>
          <w:p w:rsidR="00531131" w:rsidRPr="00770C4A" w:rsidRDefault="00531131" w:rsidP="00531131">
            <w:pPr>
              <w:cnfStyle w:val="000000100000"/>
              <w:rPr>
                <w:rFonts w:ascii="Calibri" w:hAnsi="Calibri" w:cs="Calibri"/>
                <w:b/>
                <w:color w:val="auto"/>
              </w:rPr>
            </w:pPr>
          </w:p>
        </w:tc>
        <w:tc>
          <w:tcPr>
            <w:tcW w:w="1575" w:type="dxa"/>
            <w:gridSpan w:val="2"/>
            <w:vAlign w:val="bottom"/>
          </w:tcPr>
          <w:p w:rsidR="00531131" w:rsidRPr="00A02364" w:rsidRDefault="00531131" w:rsidP="00531131">
            <w:pPr>
              <w:cnfStyle w:val="000000100000"/>
              <w:rPr>
                <w:rFonts w:ascii="Calibri" w:hAnsi="Calibri"/>
                <w:b/>
                <w:color w:val="000000"/>
              </w:rPr>
            </w:pPr>
          </w:p>
        </w:tc>
        <w:tc>
          <w:tcPr>
            <w:tcW w:w="1575" w:type="dxa"/>
            <w:gridSpan w:val="2"/>
            <w:vAlign w:val="bottom"/>
          </w:tcPr>
          <w:p w:rsidR="00531131" w:rsidRPr="00770C4A" w:rsidRDefault="00531131" w:rsidP="00531131">
            <w:pPr>
              <w:cnfStyle w:val="000000100000"/>
              <w:rPr>
                <w:rFonts w:ascii="Calibri" w:hAnsi="Calibri"/>
                <w:b/>
                <w:color w:val="auto"/>
              </w:rPr>
            </w:pPr>
            <w:r w:rsidRPr="00770C4A">
              <w:rPr>
                <w:rFonts w:ascii="Calibri" w:hAnsi="Calibri"/>
                <w:b/>
                <w:color w:val="auto"/>
              </w:rPr>
              <w:t>0.095</w:t>
            </w:r>
          </w:p>
          <w:p w:rsidR="00531131" w:rsidRPr="00770C4A" w:rsidRDefault="00531131" w:rsidP="00531131">
            <w:pPr>
              <w:cnfStyle w:val="0000001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0.123</w:t>
            </w:r>
          </w:p>
          <w:p w:rsidR="00531131" w:rsidRPr="00531131" w:rsidRDefault="00531131" w:rsidP="00531131">
            <w:pPr>
              <w:cnfStyle w:val="000000100000"/>
              <w:rPr>
                <w:rFonts w:ascii="Calibri" w:hAnsi="Calibri"/>
                <w:b/>
                <w:color w:val="000000"/>
              </w:rPr>
            </w:pPr>
            <w:r w:rsidRPr="00770C4A">
              <w:rPr>
                <w:rFonts w:ascii="Calibri" w:hAnsi="Calibri" w:cs="Calibri"/>
                <w:i/>
                <w:color w:val="auto"/>
                <w:sz w:val="16"/>
                <w:szCs w:val="16"/>
              </w:rPr>
              <w:t>(0.000)***</w:t>
            </w: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newEMU_X_M_07</w:t>
            </w:r>
          </w:p>
        </w:tc>
        <w:tc>
          <w:tcPr>
            <w:tcW w:w="1574" w:type="dxa"/>
            <w:vAlign w:val="bottom"/>
          </w:tcPr>
          <w:p w:rsidR="00531131" w:rsidRPr="00770C4A" w:rsidRDefault="00531131" w:rsidP="00531131">
            <w:pPr>
              <w:cnfStyle w:val="000000000000"/>
              <w:rPr>
                <w:rFonts w:ascii="Calibri" w:hAnsi="Calibri"/>
                <w:b/>
                <w:color w:val="auto"/>
              </w:rPr>
            </w:pPr>
            <w:r w:rsidRPr="00770C4A">
              <w:rPr>
                <w:rFonts w:ascii="Calibri" w:hAnsi="Calibri"/>
                <w:b/>
                <w:color w:val="auto"/>
              </w:rPr>
              <w:t>-0.023</w:t>
            </w:r>
          </w:p>
          <w:p w:rsidR="00531131" w:rsidRPr="00770C4A" w:rsidRDefault="00531131" w:rsidP="00531131">
            <w:pPr>
              <w:cnfStyle w:val="000000000000"/>
              <w:rPr>
                <w:rFonts w:ascii="Calibri" w:hAnsi="Calibri"/>
                <w:b/>
                <w:color w:val="auto"/>
              </w:rPr>
            </w:pPr>
            <w:r w:rsidRPr="00770C4A">
              <w:rPr>
                <w:rFonts w:ascii="Calibri" w:hAnsi="Calibri" w:cs="Calibri"/>
                <w:i/>
                <w:color w:val="auto"/>
                <w:sz w:val="16"/>
                <w:szCs w:val="16"/>
              </w:rPr>
              <w:t>(0.005)***</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-0.038</w:t>
            </w:r>
          </w:p>
          <w:p w:rsidR="00531131" w:rsidRPr="00A02364" w:rsidRDefault="00531131" w:rsidP="00531131">
            <w:pPr>
              <w:cnfStyle w:val="000000000000"/>
              <w:rPr>
                <w:rFonts w:ascii="Calibri" w:hAnsi="Calibri"/>
                <w:b/>
                <w:color w:val="000000"/>
              </w:rPr>
            </w:pPr>
            <w:r w:rsidRPr="00770C4A">
              <w:rPr>
                <w:rFonts w:ascii="Calibri" w:hAnsi="Calibri" w:cs="Calibri"/>
                <w:i/>
                <w:color w:val="auto"/>
                <w:sz w:val="16"/>
                <w:szCs w:val="16"/>
              </w:rPr>
              <w:t>(0.000)***</w:t>
            </w:r>
          </w:p>
        </w:tc>
        <w:tc>
          <w:tcPr>
            <w:tcW w:w="1575" w:type="dxa"/>
            <w:gridSpan w:val="2"/>
            <w:vAlign w:val="bottom"/>
          </w:tcPr>
          <w:p w:rsidR="00531131" w:rsidRPr="00770C4A" w:rsidRDefault="00531131" w:rsidP="00531131">
            <w:pPr>
              <w:cnfStyle w:val="000000000000"/>
              <w:rPr>
                <w:rFonts w:ascii="Calibri" w:hAnsi="Calibri"/>
                <w:b/>
                <w:color w:val="auto"/>
              </w:rPr>
            </w:pPr>
          </w:p>
        </w:tc>
        <w:tc>
          <w:tcPr>
            <w:tcW w:w="1575" w:type="dxa"/>
            <w:gridSpan w:val="2"/>
          </w:tcPr>
          <w:p w:rsidR="00531131" w:rsidRPr="00531131" w:rsidRDefault="00531131" w:rsidP="00531131">
            <w:pPr>
              <w:cnfStyle w:val="000000000000"/>
              <w:rPr>
                <w:rFonts w:ascii="Calibri" w:hAnsi="Calibri"/>
                <w:b/>
                <w:color w:val="000000"/>
              </w:rPr>
            </w:pPr>
          </w:p>
        </w:tc>
      </w:tr>
      <w:tr w:rsidR="00531131" w:rsidTr="00444E68">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newEMU_X_M_EMU_07</w:t>
            </w:r>
          </w:p>
        </w:tc>
        <w:tc>
          <w:tcPr>
            <w:tcW w:w="1574" w:type="dxa"/>
            <w:vAlign w:val="bottom"/>
          </w:tcPr>
          <w:p w:rsidR="00531131" w:rsidRPr="00770C4A" w:rsidRDefault="00531131" w:rsidP="00531131">
            <w:pPr>
              <w:cnfStyle w:val="000000100000"/>
              <w:rPr>
                <w:rFonts w:ascii="Calibri" w:hAnsi="Calibri"/>
                <w:b/>
                <w:color w:val="auto"/>
              </w:rPr>
            </w:pPr>
          </w:p>
        </w:tc>
        <w:tc>
          <w:tcPr>
            <w:tcW w:w="1575" w:type="dxa"/>
            <w:gridSpan w:val="2"/>
            <w:vAlign w:val="bottom"/>
          </w:tcPr>
          <w:p w:rsidR="00531131" w:rsidRPr="00A02364" w:rsidRDefault="00531131" w:rsidP="00531131">
            <w:pPr>
              <w:cnfStyle w:val="000000100000"/>
              <w:rPr>
                <w:rFonts w:ascii="Calibri" w:hAnsi="Calibri"/>
                <w:b/>
                <w:color w:val="000000"/>
              </w:rPr>
            </w:pPr>
          </w:p>
        </w:tc>
        <w:tc>
          <w:tcPr>
            <w:tcW w:w="1575" w:type="dxa"/>
            <w:gridSpan w:val="2"/>
            <w:vAlign w:val="bottom"/>
          </w:tcPr>
          <w:p w:rsidR="00531131" w:rsidRPr="00770C4A" w:rsidRDefault="00531131" w:rsidP="00531131">
            <w:pPr>
              <w:cnfStyle w:val="000000100000"/>
              <w:rPr>
                <w:rFonts w:ascii="Calibri" w:hAnsi="Calibri"/>
                <w:b/>
                <w:color w:val="auto"/>
              </w:rPr>
            </w:pPr>
            <w:r w:rsidRPr="00770C4A">
              <w:rPr>
                <w:rFonts w:ascii="Calibri" w:hAnsi="Calibri"/>
                <w:b/>
                <w:color w:val="auto"/>
              </w:rPr>
              <w:t>0.011</w:t>
            </w:r>
          </w:p>
          <w:p w:rsidR="00531131" w:rsidRPr="00770C4A" w:rsidRDefault="00531131" w:rsidP="00531131">
            <w:pPr>
              <w:cnfStyle w:val="000000100000"/>
              <w:rPr>
                <w:rFonts w:ascii="Calibri" w:hAnsi="Calibri"/>
                <w:b/>
                <w:color w:val="auto"/>
              </w:rPr>
            </w:pPr>
            <w:r w:rsidRPr="00770C4A">
              <w:rPr>
                <w:rFonts w:ascii="Calibri" w:hAnsi="Calibri" w:cs="Calibri"/>
                <w:i/>
                <w:color w:val="auto"/>
                <w:sz w:val="16"/>
                <w:szCs w:val="16"/>
              </w:rPr>
              <w:t>(0.401)</w:t>
            </w:r>
          </w:p>
        </w:tc>
        <w:tc>
          <w:tcPr>
            <w:tcW w:w="1575" w:type="dxa"/>
            <w:gridSpan w:val="2"/>
            <w:vAlign w:val="bottom"/>
          </w:tcPr>
          <w:p w:rsidR="00531131" w:rsidRDefault="00531131" w:rsidP="00531131">
            <w:pPr>
              <w:cnfStyle w:val="000000100000"/>
              <w:rPr>
                <w:rFonts w:ascii="Calibri" w:hAnsi="Calibri"/>
                <w:b/>
                <w:color w:val="000000"/>
              </w:rPr>
            </w:pPr>
            <w:r>
              <w:rPr>
                <w:rFonts w:ascii="Calibri" w:hAnsi="Calibri"/>
                <w:b/>
                <w:color w:val="000000"/>
              </w:rPr>
              <w:t>-0.004</w:t>
            </w:r>
          </w:p>
          <w:p w:rsidR="00531131" w:rsidRPr="00531131" w:rsidRDefault="00531131" w:rsidP="00531131">
            <w:pPr>
              <w:cnfStyle w:val="000000100000"/>
              <w:rPr>
                <w:rFonts w:ascii="Calibri" w:hAnsi="Calibri"/>
                <w:b/>
                <w:color w:val="000000"/>
              </w:rPr>
            </w:pPr>
            <w:r>
              <w:rPr>
                <w:rFonts w:ascii="Calibri" w:hAnsi="Calibri" w:cs="Calibri"/>
                <w:i/>
                <w:color w:val="auto"/>
                <w:sz w:val="16"/>
                <w:szCs w:val="16"/>
              </w:rPr>
              <w:t>(0.758)</w:t>
            </w: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newEMU_X_M_RW_07</w:t>
            </w:r>
          </w:p>
        </w:tc>
        <w:tc>
          <w:tcPr>
            <w:tcW w:w="1574" w:type="dxa"/>
            <w:vAlign w:val="bottom"/>
          </w:tcPr>
          <w:p w:rsidR="00531131" w:rsidRPr="00770C4A" w:rsidRDefault="00531131" w:rsidP="00531131">
            <w:pPr>
              <w:cnfStyle w:val="000000000000"/>
              <w:rPr>
                <w:rFonts w:ascii="Calibri" w:hAnsi="Calibri"/>
                <w:b/>
                <w:color w:val="auto"/>
              </w:rPr>
            </w:pPr>
          </w:p>
        </w:tc>
        <w:tc>
          <w:tcPr>
            <w:tcW w:w="1575" w:type="dxa"/>
            <w:gridSpan w:val="2"/>
            <w:vAlign w:val="bottom"/>
          </w:tcPr>
          <w:p w:rsidR="00531131" w:rsidRPr="00A02364" w:rsidRDefault="00531131" w:rsidP="00531131">
            <w:pPr>
              <w:cnfStyle w:val="000000000000"/>
              <w:rPr>
                <w:rFonts w:ascii="Calibri" w:hAnsi="Calibri"/>
                <w:b/>
                <w:color w:val="000000"/>
              </w:rPr>
            </w:pPr>
          </w:p>
        </w:tc>
        <w:tc>
          <w:tcPr>
            <w:tcW w:w="1575" w:type="dxa"/>
            <w:gridSpan w:val="2"/>
            <w:vAlign w:val="bottom"/>
          </w:tcPr>
          <w:p w:rsidR="00531131" w:rsidRPr="00770C4A" w:rsidRDefault="00531131" w:rsidP="00531131">
            <w:pPr>
              <w:cnfStyle w:val="000000000000"/>
              <w:rPr>
                <w:rFonts w:ascii="Calibri" w:hAnsi="Calibri"/>
                <w:b/>
                <w:color w:val="auto"/>
              </w:rPr>
            </w:pPr>
            <w:r w:rsidRPr="00770C4A">
              <w:rPr>
                <w:rFonts w:ascii="Calibri" w:hAnsi="Calibri"/>
                <w:b/>
                <w:color w:val="auto"/>
              </w:rPr>
              <w:t>-0.047</w:t>
            </w:r>
          </w:p>
          <w:p w:rsidR="00531131" w:rsidRPr="00770C4A" w:rsidRDefault="00531131" w:rsidP="00531131">
            <w:pPr>
              <w:cnfStyle w:val="000000000000"/>
              <w:rPr>
                <w:rFonts w:ascii="Calibri" w:hAnsi="Calibri"/>
                <w:b/>
                <w:color w:val="auto"/>
              </w:rPr>
            </w:pPr>
            <w:r w:rsidRPr="00770C4A">
              <w:rPr>
                <w:rFonts w:ascii="Calibri" w:hAnsi="Calibri" w:cs="Calibri"/>
                <w:i/>
                <w:color w:val="auto"/>
                <w:sz w:val="16"/>
                <w:szCs w:val="16"/>
              </w:rPr>
              <w:t>(0.000)***</w:t>
            </w:r>
          </w:p>
        </w:tc>
        <w:tc>
          <w:tcPr>
            <w:tcW w:w="1575" w:type="dxa"/>
            <w:gridSpan w:val="2"/>
            <w:vAlign w:val="bottom"/>
          </w:tcPr>
          <w:p w:rsidR="00531131" w:rsidRDefault="00531131" w:rsidP="00531131">
            <w:pPr>
              <w:cnfStyle w:val="000000000000"/>
              <w:rPr>
                <w:rFonts w:ascii="Calibri" w:hAnsi="Calibri"/>
                <w:b/>
                <w:color w:val="000000"/>
              </w:rPr>
            </w:pPr>
            <w:r>
              <w:rPr>
                <w:rFonts w:ascii="Calibri" w:hAnsi="Calibri"/>
                <w:b/>
                <w:color w:val="000000"/>
              </w:rPr>
              <w:t>-0.062</w:t>
            </w:r>
          </w:p>
          <w:p w:rsidR="00531131" w:rsidRPr="00531131" w:rsidRDefault="00531131" w:rsidP="00531131">
            <w:pPr>
              <w:cnfStyle w:val="000000000000"/>
              <w:rPr>
                <w:rFonts w:ascii="Calibri" w:hAnsi="Calibri"/>
                <w:b/>
                <w:color w:val="000000"/>
              </w:rPr>
            </w:pPr>
            <w:r w:rsidRPr="00770C4A">
              <w:rPr>
                <w:rFonts w:ascii="Calibri" w:hAnsi="Calibri" w:cs="Calibri"/>
                <w:i/>
                <w:color w:val="auto"/>
                <w:sz w:val="16"/>
                <w:szCs w:val="16"/>
              </w:rPr>
              <w:t>(0.000)***</w:t>
            </w:r>
          </w:p>
        </w:tc>
      </w:tr>
      <w:tr w:rsidR="00531131" w:rsidTr="00444E68">
        <w:trPr>
          <w:cnfStyle w:val="000000100000"/>
        </w:trPr>
        <w:tc>
          <w:tcPr>
            <w:cnfStyle w:val="001000000000"/>
            <w:tcW w:w="2943" w:type="dxa"/>
            <w:gridSpan w:val="2"/>
          </w:tcPr>
          <w:p w:rsidR="00531131" w:rsidRDefault="00531131" w:rsidP="00531131">
            <w:pPr>
              <w:rPr>
                <w:rFonts w:ascii="Calibri" w:hAnsi="Calibri" w:cs="Calibri"/>
                <w:color w:val="000000"/>
              </w:rPr>
            </w:pPr>
          </w:p>
        </w:tc>
        <w:tc>
          <w:tcPr>
            <w:tcW w:w="1574" w:type="dxa"/>
          </w:tcPr>
          <w:p w:rsidR="00531131" w:rsidRDefault="00531131" w:rsidP="00531131">
            <w:pPr>
              <w:cnfStyle w:val="000000100000"/>
            </w:pPr>
          </w:p>
        </w:tc>
        <w:tc>
          <w:tcPr>
            <w:tcW w:w="1575" w:type="dxa"/>
            <w:gridSpan w:val="2"/>
          </w:tcPr>
          <w:p w:rsidR="00531131" w:rsidRDefault="00531131" w:rsidP="00531131">
            <w:pPr>
              <w:cnfStyle w:val="000000100000"/>
            </w:pPr>
          </w:p>
        </w:tc>
        <w:tc>
          <w:tcPr>
            <w:tcW w:w="1575" w:type="dxa"/>
            <w:gridSpan w:val="2"/>
            <w:vAlign w:val="bottom"/>
          </w:tcPr>
          <w:p w:rsidR="00531131" w:rsidRPr="00770C4A" w:rsidRDefault="00531131" w:rsidP="00531131">
            <w:pPr>
              <w:cnfStyle w:val="000000100000"/>
              <w:rPr>
                <w:rFonts w:ascii="Calibri" w:hAnsi="Calibri"/>
                <w:b/>
                <w:color w:val="auto"/>
              </w:rPr>
            </w:pPr>
          </w:p>
        </w:tc>
        <w:tc>
          <w:tcPr>
            <w:tcW w:w="1575" w:type="dxa"/>
            <w:gridSpan w:val="2"/>
          </w:tcPr>
          <w:p w:rsidR="00531131" w:rsidRDefault="00531131" w:rsidP="00531131">
            <w:pPr>
              <w:cnfStyle w:val="000000100000"/>
            </w:pP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N</w:t>
            </w:r>
          </w:p>
        </w:tc>
        <w:tc>
          <w:tcPr>
            <w:tcW w:w="1574" w:type="dxa"/>
            <w:vAlign w:val="bottom"/>
          </w:tcPr>
          <w:p w:rsidR="00531131" w:rsidRPr="00380A0A"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vAlign w:val="bottom"/>
          </w:tcPr>
          <w:p w:rsidR="00531131"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tcPr>
          <w:p w:rsidR="00531131" w:rsidRDefault="00531131" w:rsidP="00531131">
            <w:pPr>
              <w:cnfStyle w:val="000000000000"/>
              <w:rPr>
                <w:rFonts w:ascii="Calibri" w:hAnsi="Calibri" w:cs="Calibri"/>
                <w:color w:val="000000"/>
              </w:rPr>
            </w:pPr>
            <w:r>
              <w:rPr>
                <w:rFonts w:ascii="Calibri" w:hAnsi="Calibri" w:cs="Calibri"/>
                <w:color w:val="000000"/>
              </w:rPr>
              <w:t>15082</w:t>
            </w:r>
          </w:p>
        </w:tc>
        <w:tc>
          <w:tcPr>
            <w:tcW w:w="1575" w:type="dxa"/>
            <w:gridSpan w:val="2"/>
          </w:tcPr>
          <w:p w:rsidR="00531131" w:rsidRDefault="00531131" w:rsidP="00531131">
            <w:pPr>
              <w:cnfStyle w:val="000000000000"/>
              <w:rPr>
                <w:rFonts w:ascii="Calibri" w:hAnsi="Calibri" w:cs="Calibri"/>
                <w:color w:val="000000"/>
              </w:rPr>
            </w:pPr>
            <w:r>
              <w:rPr>
                <w:rFonts w:ascii="Calibri" w:hAnsi="Calibri" w:cs="Calibri"/>
                <w:color w:val="000000"/>
              </w:rPr>
              <w:t>15082</w:t>
            </w:r>
          </w:p>
        </w:tc>
      </w:tr>
      <w:tr w:rsidR="00531131" w:rsidTr="00444E68">
        <w:trPr>
          <w:cnfStyle w:val="000000100000"/>
        </w:trPr>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R-squared</w:t>
            </w:r>
          </w:p>
        </w:tc>
        <w:tc>
          <w:tcPr>
            <w:tcW w:w="1574" w:type="dxa"/>
            <w:vAlign w:val="bottom"/>
          </w:tcPr>
          <w:p w:rsidR="00531131" w:rsidRDefault="00531131" w:rsidP="00531131">
            <w:pPr>
              <w:cnfStyle w:val="000000100000"/>
              <w:rPr>
                <w:rFonts w:ascii="Calibri" w:hAnsi="Calibri" w:cs="Calibri"/>
                <w:color w:val="000000"/>
              </w:rPr>
            </w:pPr>
            <w:r>
              <w:rPr>
                <w:rFonts w:ascii="Calibri" w:hAnsi="Calibri" w:cs="Calibri"/>
                <w:color w:val="000000"/>
              </w:rPr>
              <w:t>0.98</w:t>
            </w:r>
          </w:p>
        </w:tc>
        <w:tc>
          <w:tcPr>
            <w:tcW w:w="1575" w:type="dxa"/>
            <w:gridSpan w:val="2"/>
            <w:vAlign w:val="bottom"/>
          </w:tcPr>
          <w:p w:rsidR="00531131" w:rsidRDefault="00531131" w:rsidP="00531131">
            <w:pPr>
              <w:cnfStyle w:val="000000100000"/>
              <w:rPr>
                <w:rFonts w:ascii="Calibri" w:hAnsi="Calibri" w:cs="Calibri"/>
                <w:color w:val="000000"/>
              </w:rPr>
            </w:pPr>
            <w:r>
              <w:rPr>
                <w:rFonts w:ascii="Calibri" w:hAnsi="Calibri" w:cs="Calibri"/>
                <w:color w:val="000000"/>
              </w:rPr>
              <w:t>0.97</w:t>
            </w:r>
          </w:p>
        </w:tc>
        <w:tc>
          <w:tcPr>
            <w:tcW w:w="1575" w:type="dxa"/>
            <w:gridSpan w:val="2"/>
          </w:tcPr>
          <w:p w:rsidR="00531131" w:rsidRDefault="00531131" w:rsidP="00531131">
            <w:pPr>
              <w:cnfStyle w:val="000000100000"/>
              <w:rPr>
                <w:rFonts w:ascii="Calibri" w:hAnsi="Calibri" w:cs="Calibri"/>
                <w:color w:val="000000"/>
              </w:rPr>
            </w:pPr>
            <w:r>
              <w:rPr>
                <w:rFonts w:ascii="Calibri" w:hAnsi="Calibri" w:cs="Calibri"/>
                <w:color w:val="000000"/>
              </w:rPr>
              <w:t>0.98</w:t>
            </w:r>
          </w:p>
        </w:tc>
        <w:tc>
          <w:tcPr>
            <w:tcW w:w="1575" w:type="dxa"/>
            <w:gridSpan w:val="2"/>
          </w:tcPr>
          <w:p w:rsidR="00531131" w:rsidRDefault="00531131" w:rsidP="00531131">
            <w:pPr>
              <w:cnfStyle w:val="000000100000"/>
              <w:rPr>
                <w:rFonts w:ascii="Calibri" w:hAnsi="Calibri" w:cs="Calibri"/>
                <w:color w:val="000000"/>
              </w:rPr>
            </w:pPr>
            <w:r>
              <w:rPr>
                <w:rFonts w:ascii="Calibri" w:hAnsi="Calibri" w:cs="Calibri"/>
                <w:color w:val="000000"/>
              </w:rPr>
              <w:t>0.97</w:t>
            </w:r>
          </w:p>
        </w:tc>
      </w:tr>
      <w:tr w:rsidR="00531131" w:rsidTr="00444E68">
        <w:tc>
          <w:tcPr>
            <w:cnfStyle w:val="001000000000"/>
            <w:tcW w:w="2943" w:type="dxa"/>
            <w:gridSpan w:val="2"/>
            <w:vAlign w:val="center"/>
          </w:tcPr>
          <w:p w:rsidR="00531131" w:rsidRDefault="00531131" w:rsidP="00531131">
            <w:pPr>
              <w:rPr>
                <w:rFonts w:ascii="Calibri" w:hAnsi="Calibri" w:cs="Calibri"/>
                <w:color w:val="000000"/>
              </w:rPr>
            </w:pPr>
            <w:r>
              <w:rPr>
                <w:rFonts w:ascii="Calibri" w:hAnsi="Calibri" w:cs="Calibri"/>
                <w:color w:val="000000"/>
              </w:rPr>
              <w:t>Adjusted R-squared</w:t>
            </w:r>
          </w:p>
        </w:tc>
        <w:tc>
          <w:tcPr>
            <w:tcW w:w="1574" w:type="dxa"/>
            <w:vAlign w:val="bottom"/>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vAlign w:val="bottom"/>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tcPr>
          <w:p w:rsidR="00531131" w:rsidRDefault="00531131" w:rsidP="00531131">
            <w:pPr>
              <w:keepNext/>
              <w:cnfStyle w:val="000000000000"/>
              <w:rPr>
                <w:rFonts w:ascii="Calibri" w:hAnsi="Calibri" w:cs="Calibri"/>
                <w:color w:val="000000"/>
              </w:rPr>
            </w:pPr>
            <w:r>
              <w:rPr>
                <w:rFonts w:ascii="Calibri" w:hAnsi="Calibri" w:cs="Calibri"/>
                <w:color w:val="000000"/>
              </w:rPr>
              <w:t>0.97</w:t>
            </w:r>
          </w:p>
        </w:tc>
        <w:tc>
          <w:tcPr>
            <w:tcW w:w="1575" w:type="dxa"/>
            <w:gridSpan w:val="2"/>
          </w:tcPr>
          <w:p w:rsidR="00531131" w:rsidRDefault="00531131" w:rsidP="00B85539">
            <w:pPr>
              <w:keepNext/>
              <w:cnfStyle w:val="000000000000"/>
              <w:rPr>
                <w:rFonts w:ascii="Calibri" w:hAnsi="Calibri" w:cs="Calibri"/>
                <w:color w:val="000000"/>
              </w:rPr>
            </w:pPr>
            <w:r>
              <w:rPr>
                <w:rFonts w:ascii="Calibri" w:hAnsi="Calibri" w:cs="Calibri"/>
                <w:color w:val="000000"/>
              </w:rPr>
              <w:t>0.97</w:t>
            </w:r>
          </w:p>
        </w:tc>
      </w:tr>
    </w:tbl>
    <w:p w:rsidR="00B85539" w:rsidRDefault="00B85539" w:rsidP="00F513BC">
      <w:pPr>
        <w:pStyle w:val="Caption"/>
        <w:framePr w:hSpace="142" w:wrap="around" w:vAnchor="text" w:hAnchor="text" w:y="1"/>
        <w:suppressOverlap/>
        <w:jc w:val="both"/>
      </w:pPr>
      <w:r w:rsidRPr="00770C4A">
        <w:rPr>
          <w:color w:val="auto"/>
        </w:rPr>
        <w:t xml:space="preserve">Notes: (a) </w:t>
      </w:r>
      <w:r>
        <w:rPr>
          <w:color w:val="auto"/>
        </w:rPr>
        <w:t>Total trade effects refers to the overall trade effect with all countries in the sample</w:t>
      </w:r>
      <w:r w:rsidRPr="00770C4A">
        <w:rPr>
          <w:color w:val="auto"/>
        </w:rPr>
        <w:t xml:space="preserve">; (b) </w:t>
      </w:r>
      <w:r>
        <w:rPr>
          <w:color w:val="auto"/>
        </w:rPr>
        <w:t>trade effects per trading partner group refers to trade effects with either EMU countries or the Rest of the World (RW);</w:t>
      </w:r>
      <w:r w:rsidRPr="00770C4A">
        <w:rPr>
          <w:color w:val="auto"/>
        </w:rPr>
        <w:t xml:space="preserve"> (c) rejection of redundant period and cross-section fixed effects at p = 0.000; (</w:t>
      </w:r>
      <w:proofErr w:type="spellStart"/>
      <w:r w:rsidRPr="00770C4A">
        <w:rPr>
          <w:color w:val="auto"/>
        </w:rPr>
        <w:t>i</w:t>
      </w:r>
      <w:proofErr w:type="spellEnd"/>
      <w:r w:rsidRPr="00770C4A">
        <w:rPr>
          <w:color w:val="auto"/>
        </w:rPr>
        <w:t xml:space="preserve">) </w:t>
      </w:r>
      <w:r>
        <w:rPr>
          <w:color w:val="auto"/>
        </w:rPr>
        <w:t xml:space="preserve">the second column displays the original outcome of testing hypothesis 4, the third column displays the outcome of testing hypothesis 4 with deflated export and GDP data, the fourth column displays the original outcome of testing hypotheses 5 and 6, and the fifth column displays the outcome of testing hypotheses 5 and 6 with deflated export and GDP data; (ii) </w:t>
      </w:r>
      <w:r w:rsidRPr="00770C4A">
        <w:rPr>
          <w:color w:val="auto"/>
        </w:rPr>
        <w:t>p-values are in parentheses, p***&lt;0.01, p**&lt;0.05, p*&lt;0.10; (i</w:t>
      </w:r>
      <w:r>
        <w:rPr>
          <w:color w:val="auto"/>
        </w:rPr>
        <w:t>i</w:t>
      </w:r>
      <w:r w:rsidRPr="00770C4A">
        <w:rPr>
          <w:color w:val="auto"/>
        </w:rPr>
        <w:t xml:space="preserve">i) </w:t>
      </w:r>
      <w:proofErr w:type="spellStart"/>
      <w:r>
        <w:rPr>
          <w:i/>
          <w:color w:val="auto"/>
        </w:rPr>
        <w:t>group</w:t>
      </w:r>
      <w:r w:rsidRPr="00770C4A">
        <w:rPr>
          <w:color w:val="auto"/>
        </w:rPr>
        <w:t>_x_m</w:t>
      </w:r>
      <w:proofErr w:type="spellEnd"/>
      <w:r w:rsidRPr="00770C4A">
        <w:rPr>
          <w:color w:val="auto"/>
        </w:rPr>
        <w:t>_</w:t>
      </w:r>
      <w:r>
        <w:rPr>
          <w:color w:val="auto"/>
        </w:rPr>
        <w:t>(</w:t>
      </w:r>
      <w:r w:rsidRPr="00770C4A">
        <w:rPr>
          <w:i/>
          <w:color w:val="auto"/>
        </w:rPr>
        <w:t>partner</w:t>
      </w:r>
      <w:r>
        <w:rPr>
          <w:color w:val="auto"/>
        </w:rPr>
        <w:t>)</w:t>
      </w:r>
      <w:r w:rsidRPr="00770C4A">
        <w:rPr>
          <w:i/>
          <w:color w:val="auto"/>
        </w:rPr>
        <w:t>_</w:t>
      </w:r>
      <w:r>
        <w:rPr>
          <w:i/>
          <w:color w:val="auto"/>
        </w:rPr>
        <w:t>07</w:t>
      </w:r>
      <w:r w:rsidRPr="00770C4A">
        <w:rPr>
          <w:color w:val="auto"/>
        </w:rPr>
        <w:t xml:space="preserve"> indicates trade effects for </w:t>
      </w:r>
      <w:r>
        <w:rPr>
          <w:color w:val="auto"/>
        </w:rPr>
        <w:t xml:space="preserve">either the </w:t>
      </w:r>
      <w:proofErr w:type="spellStart"/>
      <w:r>
        <w:rPr>
          <w:color w:val="auto"/>
        </w:rPr>
        <w:t>newEMU</w:t>
      </w:r>
      <w:proofErr w:type="spellEnd"/>
      <w:r>
        <w:rPr>
          <w:color w:val="auto"/>
        </w:rPr>
        <w:t xml:space="preserve"> group or the 2004 EU entrant group,</w:t>
      </w:r>
      <w:r w:rsidRPr="00770C4A">
        <w:rPr>
          <w:color w:val="auto"/>
        </w:rPr>
        <w:t xml:space="preserve"> with </w:t>
      </w:r>
      <w:r>
        <w:rPr>
          <w:color w:val="auto"/>
        </w:rPr>
        <w:t>(1) all countries in the sample, (2)</w:t>
      </w:r>
      <w:r w:rsidRPr="00770C4A">
        <w:rPr>
          <w:color w:val="auto"/>
        </w:rPr>
        <w:t xml:space="preserve"> EMU members</w:t>
      </w:r>
      <w:r>
        <w:rPr>
          <w:color w:val="auto"/>
        </w:rPr>
        <w:t xml:space="preserve"> (EMU)</w:t>
      </w:r>
      <w:r w:rsidRPr="00770C4A">
        <w:rPr>
          <w:color w:val="auto"/>
        </w:rPr>
        <w:t xml:space="preserve"> or</w:t>
      </w:r>
      <w:r>
        <w:rPr>
          <w:color w:val="auto"/>
        </w:rPr>
        <w:t xml:space="preserve"> (3)</w:t>
      </w:r>
      <w:r w:rsidRPr="00770C4A">
        <w:rPr>
          <w:color w:val="auto"/>
        </w:rPr>
        <w:t xml:space="preserve"> the Rest of the World</w:t>
      </w:r>
      <w:r>
        <w:rPr>
          <w:color w:val="auto"/>
        </w:rPr>
        <w:t xml:space="preserve"> (RW)</w:t>
      </w:r>
      <w:r w:rsidRPr="00770C4A">
        <w:rPr>
          <w:color w:val="auto"/>
        </w:rPr>
        <w:t xml:space="preserve">, from </w:t>
      </w:r>
      <w:r w:rsidR="00F513BC">
        <w:rPr>
          <w:color w:val="auto"/>
        </w:rPr>
        <w:t>2007</w:t>
      </w:r>
      <w:r>
        <w:rPr>
          <w:color w:val="auto"/>
        </w:rPr>
        <w:t xml:space="preserve"> </w:t>
      </w:r>
      <w:r w:rsidRPr="00770C4A">
        <w:rPr>
          <w:color w:val="auto"/>
        </w:rPr>
        <w:t>onwards</w:t>
      </w:r>
      <w:r>
        <w:rPr>
          <w:color w:val="auto"/>
        </w:rPr>
        <w:t>.</w:t>
      </w:r>
    </w:p>
    <w:p w:rsidR="00A02364" w:rsidRDefault="00A02364" w:rsidP="0012390A"/>
    <w:p w:rsidR="00A02364" w:rsidRDefault="00A02364">
      <w:r>
        <w:br w:type="page"/>
      </w:r>
    </w:p>
    <w:p w:rsidR="0012390A" w:rsidRDefault="001D1BCD" w:rsidP="0012390A">
      <w:pPr>
        <w:pStyle w:val="Heading1"/>
      </w:pPr>
      <w:bookmarkStart w:id="60" w:name="_Toc353180797"/>
      <w:bookmarkStart w:id="61" w:name="_Toc353348814"/>
      <w:r>
        <w:t>Appendix C –</w:t>
      </w:r>
      <w:r w:rsidR="00144741">
        <w:t xml:space="preserve"> </w:t>
      </w:r>
      <w:r w:rsidR="0048328A">
        <w:t>Expected Trade Effects</w:t>
      </w:r>
      <w:r w:rsidR="00C02553">
        <w:t xml:space="preserve"> for Latvia and Lithuania</w:t>
      </w:r>
      <w:bookmarkEnd w:id="60"/>
      <w:bookmarkEnd w:id="61"/>
    </w:p>
    <w:p w:rsidR="005E528D" w:rsidRDefault="0027325C" w:rsidP="00634C97">
      <w:pPr>
        <w:spacing w:after="120"/>
        <w:jc w:val="both"/>
      </w:pPr>
      <w:r>
        <w:t>The aim of this section was to make a prediction on the trade effects of Euro adoption by Latvia (in 2014) and Lithuania (in 201</w:t>
      </w:r>
      <w:r w:rsidR="00F96E97">
        <w:t>5</w:t>
      </w:r>
      <w:r>
        <w:t>)</w:t>
      </w:r>
      <w:r w:rsidR="00F96E97">
        <w:t xml:space="preserve">. </w:t>
      </w:r>
      <w:r w:rsidR="005E528D">
        <w:t xml:space="preserve">However, since Euro adoption </w:t>
      </w:r>
      <w:r w:rsidR="00EA3C7B">
        <w:t xml:space="preserve">did not lead to larger increases in trade for the new EMU members compared to the average growth in trade of the 2004 EU entrants, no predictions can be made. </w:t>
      </w:r>
      <w:r w:rsidR="00634C97">
        <w:t>Nonetheless can some graphs help shed some light on their recent trade evolution</w:t>
      </w:r>
      <w:r w:rsidR="00A26985">
        <w:t xml:space="preserve"> in comparison to the new EMU members</w:t>
      </w:r>
      <w:r w:rsidR="00634C97">
        <w:t xml:space="preserve">. </w:t>
      </w:r>
      <w:r w:rsidR="001908E6">
        <w:t>When looking at the graphs below, it can be seen that the new EMU members (Cyprus, Malta, the Slovak Republic and Slovenia) showed less volatility in total trade during the crisis compared to the newest (Estonia) and soon-to-be new EMU members (Lat</w:t>
      </w:r>
      <w:r w:rsidR="00634C97">
        <w:t>via and Lithuania). These last three countries restored their pre-crisis trade levels in three years, whereas amongst the new EMU members under investigation in this research, only the Slovak Republic succeeded in this.</w:t>
      </w:r>
    </w:p>
    <w:p w:rsidR="001908E6" w:rsidRPr="00634C97" w:rsidRDefault="000C2799" w:rsidP="00634C97">
      <w:pPr>
        <w:pStyle w:val="Caption"/>
        <w:keepNext/>
        <w:spacing w:after="120"/>
        <w:jc w:val="both"/>
        <w:rPr>
          <w:color w:val="auto"/>
          <w:sz w:val="24"/>
        </w:rPr>
      </w:pPr>
      <w:r>
        <w:rPr>
          <w:color w:val="auto"/>
          <w:sz w:val="24"/>
        </w:rPr>
        <w:t>Figure</w:t>
      </w:r>
      <w:r w:rsidR="001908E6" w:rsidRPr="00634C97">
        <w:rPr>
          <w:color w:val="auto"/>
          <w:sz w:val="24"/>
        </w:rPr>
        <w:t xml:space="preserve"> C-1 – Indexed Total Trade per Country</w:t>
      </w:r>
    </w:p>
    <w:p w:rsidR="002A31B9" w:rsidRDefault="00A43D5B" w:rsidP="002A31B9">
      <w:pPr>
        <w:keepNext/>
        <w:jc w:val="both"/>
      </w:pPr>
      <w:r w:rsidRPr="00A43D5B">
        <w:rPr>
          <w:noProof/>
        </w:rPr>
        <w:drawing>
          <wp:inline distT="0" distB="0" distL="0" distR="0">
            <wp:extent cx="5732839" cy="2626242"/>
            <wp:effectExtent l="19050" t="0" r="20261" b="2658"/>
            <wp:docPr id="10"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0D65" w:rsidRPr="002A31B9" w:rsidRDefault="002A31B9" w:rsidP="002A31B9">
      <w:pPr>
        <w:pStyle w:val="Caption"/>
        <w:spacing w:after="0"/>
        <w:jc w:val="right"/>
        <w:rPr>
          <w:b w:val="0"/>
          <w:color w:val="auto"/>
        </w:rPr>
      </w:pPr>
      <w:r w:rsidRPr="002A31B9">
        <w:rPr>
          <w:b w:val="0"/>
          <w:color w:val="auto"/>
        </w:rPr>
        <w:t>Source: IMF Direction of Trade Statistics</w:t>
      </w:r>
    </w:p>
    <w:p w:rsidR="001908E6" w:rsidRPr="00634C97" w:rsidRDefault="000C2799" w:rsidP="00634C97">
      <w:pPr>
        <w:pStyle w:val="Caption"/>
        <w:keepNext/>
        <w:spacing w:after="120"/>
        <w:jc w:val="both"/>
        <w:rPr>
          <w:color w:val="auto"/>
          <w:sz w:val="24"/>
        </w:rPr>
      </w:pPr>
      <w:r>
        <w:rPr>
          <w:color w:val="auto"/>
          <w:sz w:val="24"/>
        </w:rPr>
        <w:t>Figure</w:t>
      </w:r>
      <w:r w:rsidR="001908E6" w:rsidRPr="00634C97">
        <w:rPr>
          <w:color w:val="auto"/>
          <w:sz w:val="24"/>
        </w:rPr>
        <w:t xml:space="preserve"> C-2 – Percentage Change in Total Trade per Country per Year</w:t>
      </w:r>
    </w:p>
    <w:p w:rsidR="002A31B9" w:rsidRDefault="00A43D5B" w:rsidP="002A31B9">
      <w:pPr>
        <w:keepNext/>
        <w:jc w:val="both"/>
      </w:pPr>
      <w:r w:rsidRPr="00A43D5B">
        <w:rPr>
          <w:noProof/>
        </w:rPr>
        <w:drawing>
          <wp:inline distT="0" distB="0" distL="0" distR="0">
            <wp:extent cx="5731510" cy="2721304"/>
            <wp:effectExtent l="19050" t="0" r="21590" b="2846"/>
            <wp:docPr id="9"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31B9" w:rsidRPr="002A31B9" w:rsidRDefault="002A31B9" w:rsidP="002A31B9">
      <w:pPr>
        <w:pStyle w:val="Caption"/>
        <w:spacing w:after="0"/>
        <w:jc w:val="right"/>
        <w:rPr>
          <w:b w:val="0"/>
          <w:color w:val="auto"/>
        </w:rPr>
      </w:pPr>
      <w:r w:rsidRPr="002A31B9">
        <w:rPr>
          <w:b w:val="0"/>
          <w:color w:val="auto"/>
        </w:rPr>
        <w:t>Source: IMF Direction of Trade Statistics</w:t>
      </w:r>
    </w:p>
    <w:p w:rsidR="00E64F0C" w:rsidRDefault="002E57D3" w:rsidP="00915F1E">
      <w:pPr>
        <w:pStyle w:val="Heading1"/>
      </w:pPr>
      <w:bookmarkStart w:id="62" w:name="_Toc353180798"/>
      <w:bookmarkStart w:id="63" w:name="_Toc353348815"/>
      <w:r>
        <w:t xml:space="preserve">Appendix D – </w:t>
      </w:r>
      <w:r w:rsidR="00C02553">
        <w:t>Export and Import</w:t>
      </w:r>
      <w:r w:rsidR="00E64F0C">
        <w:t xml:space="preserve"> Trade Effects of the </w:t>
      </w:r>
      <w:proofErr w:type="spellStart"/>
      <w:r w:rsidR="00E64F0C">
        <w:t>newEMU</w:t>
      </w:r>
      <w:proofErr w:type="spellEnd"/>
      <w:r w:rsidR="00E64F0C">
        <w:t xml:space="preserve"> Group</w:t>
      </w:r>
      <w:bookmarkEnd w:id="62"/>
      <w:bookmarkEnd w:id="63"/>
    </w:p>
    <w:p w:rsidR="00213840" w:rsidRPr="00213840" w:rsidRDefault="00213840" w:rsidP="00213840">
      <w:pPr>
        <w:pStyle w:val="Caption"/>
        <w:keepNext/>
        <w:rPr>
          <w:color w:val="auto"/>
          <w:sz w:val="28"/>
        </w:rPr>
      </w:pPr>
    </w:p>
    <w:p w:rsidR="00213840" w:rsidRPr="009E4CF3" w:rsidRDefault="00213840" w:rsidP="00E963F2">
      <w:pPr>
        <w:pStyle w:val="Caption"/>
        <w:keepNext/>
        <w:spacing w:after="0"/>
        <w:jc w:val="both"/>
        <w:rPr>
          <w:color w:val="auto"/>
          <w:sz w:val="28"/>
        </w:rPr>
      </w:pPr>
      <w:r w:rsidRPr="009E4CF3">
        <w:rPr>
          <w:color w:val="auto"/>
          <w:sz w:val="28"/>
        </w:rPr>
        <w:t>D</w:t>
      </w:r>
      <w:r w:rsidRPr="009E4CF3">
        <w:rPr>
          <w:color w:val="auto"/>
          <w:sz w:val="28"/>
        </w:rPr>
        <w:noBreakHyphen/>
      </w:r>
      <w:r w:rsidR="008A5472">
        <w:rPr>
          <w:color w:val="auto"/>
          <w:sz w:val="28"/>
        </w:rPr>
        <w:fldChar w:fldCharType="begin"/>
      </w:r>
      <w:r w:rsidR="009E4CF3">
        <w:rPr>
          <w:color w:val="auto"/>
          <w:sz w:val="28"/>
        </w:rPr>
        <w:instrText xml:space="preserve"> SEQ Table \* ARABIC \s 1 </w:instrText>
      </w:r>
      <w:r w:rsidR="008A5472">
        <w:rPr>
          <w:color w:val="auto"/>
          <w:sz w:val="28"/>
        </w:rPr>
        <w:fldChar w:fldCharType="separate"/>
      </w:r>
      <w:r w:rsidR="009E4CF3">
        <w:rPr>
          <w:noProof/>
          <w:color w:val="auto"/>
          <w:sz w:val="28"/>
        </w:rPr>
        <w:t>1</w:t>
      </w:r>
      <w:r w:rsidR="008A5472">
        <w:rPr>
          <w:color w:val="auto"/>
          <w:sz w:val="28"/>
        </w:rPr>
        <w:fldChar w:fldCharType="end"/>
      </w:r>
      <w:r w:rsidR="009E4CF3">
        <w:rPr>
          <w:color w:val="auto"/>
          <w:sz w:val="28"/>
        </w:rPr>
        <w:t xml:space="preserve"> </w:t>
      </w:r>
      <w:r w:rsidRPr="009E4CF3">
        <w:rPr>
          <w:color w:val="auto"/>
          <w:sz w:val="28"/>
        </w:rPr>
        <w:t xml:space="preserve">Export and Import Effects for </w:t>
      </w:r>
      <w:proofErr w:type="spellStart"/>
      <w:r w:rsidRPr="009E4CF3">
        <w:rPr>
          <w:color w:val="auto"/>
          <w:sz w:val="28"/>
        </w:rPr>
        <w:t>newEMU</w:t>
      </w:r>
      <w:proofErr w:type="spellEnd"/>
      <w:r w:rsidRPr="009E4CF3">
        <w:rPr>
          <w:color w:val="auto"/>
          <w:sz w:val="28"/>
        </w:rPr>
        <w:t xml:space="preserve"> and </w:t>
      </w:r>
      <w:r w:rsidR="00E455B4">
        <w:rPr>
          <w:color w:val="auto"/>
          <w:sz w:val="28"/>
        </w:rPr>
        <w:t xml:space="preserve">2004 </w:t>
      </w:r>
      <w:r w:rsidRPr="009E4CF3">
        <w:rPr>
          <w:color w:val="auto"/>
          <w:sz w:val="28"/>
        </w:rPr>
        <w:t>Benchmark Group</w:t>
      </w:r>
    </w:p>
    <w:tbl>
      <w:tblPr>
        <w:tblStyle w:val="Lichtearcering-accent11"/>
        <w:tblpPr w:leftFromText="141" w:rightFromText="141" w:vertAnchor="text" w:horzAnchor="margin" w:tblpY="63"/>
        <w:tblOverlap w:val="never"/>
        <w:tblW w:w="0" w:type="auto"/>
        <w:tblLook w:val="04A0"/>
      </w:tblPr>
      <w:tblGrid>
        <w:gridCol w:w="2235"/>
        <w:gridCol w:w="141"/>
        <w:gridCol w:w="1332"/>
      </w:tblGrid>
      <w:tr w:rsidR="008033AE" w:rsidTr="00837900">
        <w:trPr>
          <w:cnfStyle w:val="100000000000"/>
        </w:trPr>
        <w:tc>
          <w:tcPr>
            <w:cnfStyle w:val="001000000000"/>
            <w:tcW w:w="3708" w:type="dxa"/>
            <w:gridSpan w:val="3"/>
          </w:tcPr>
          <w:p w:rsidR="008033AE" w:rsidRPr="001333EC" w:rsidRDefault="008033AE" w:rsidP="009E4CF3">
            <w:pPr>
              <w:jc w:val="both"/>
              <w:rPr>
                <w:color w:val="auto"/>
              </w:rPr>
            </w:pPr>
            <w:r w:rsidRPr="001333EC">
              <w:rPr>
                <w:color w:val="auto"/>
              </w:rPr>
              <w:t>Eff</w:t>
            </w:r>
            <w:r w:rsidR="009E4CF3">
              <w:rPr>
                <w:color w:val="auto"/>
              </w:rPr>
              <w:t>ects of Euro adoption on total e</w:t>
            </w:r>
            <w:r w:rsidRPr="001333EC">
              <w:rPr>
                <w:color w:val="auto"/>
              </w:rPr>
              <w:t xml:space="preserve">xport and </w:t>
            </w:r>
            <w:r w:rsidR="009E4CF3">
              <w:rPr>
                <w:color w:val="auto"/>
              </w:rPr>
              <w:t>i</w:t>
            </w:r>
            <w:r w:rsidRPr="001333EC">
              <w:rPr>
                <w:color w:val="auto"/>
              </w:rPr>
              <w:t xml:space="preserve">mport </w:t>
            </w:r>
            <w:r>
              <w:rPr>
                <w:color w:val="auto"/>
              </w:rPr>
              <w:t xml:space="preserve">for </w:t>
            </w:r>
            <w:r w:rsidR="00213840">
              <w:rPr>
                <w:color w:val="auto"/>
              </w:rPr>
              <w:t xml:space="preserve">the </w:t>
            </w:r>
            <w:proofErr w:type="spellStart"/>
            <w:r>
              <w:rPr>
                <w:color w:val="auto"/>
              </w:rPr>
              <w:t>newEMU</w:t>
            </w:r>
            <w:proofErr w:type="spellEnd"/>
            <w:r>
              <w:rPr>
                <w:color w:val="auto"/>
              </w:rPr>
              <w:t xml:space="preserve"> group and </w:t>
            </w:r>
            <w:r w:rsidR="00213840">
              <w:rPr>
                <w:color w:val="auto"/>
              </w:rPr>
              <w:t>the</w:t>
            </w:r>
            <w:r w:rsidR="009E4CF3">
              <w:rPr>
                <w:color w:val="auto"/>
              </w:rPr>
              <w:t xml:space="preserve"> 2004</w:t>
            </w:r>
            <w:r w:rsidR="00213840">
              <w:rPr>
                <w:color w:val="auto"/>
              </w:rPr>
              <w:t xml:space="preserve"> </w:t>
            </w:r>
            <w:r>
              <w:rPr>
                <w:color w:val="auto"/>
              </w:rPr>
              <w:t xml:space="preserve">benchmark </w:t>
            </w:r>
            <w:r w:rsidR="00213840">
              <w:rPr>
                <w:color w:val="auto"/>
              </w:rPr>
              <w:t>g</w:t>
            </w:r>
            <w:r>
              <w:rPr>
                <w:color w:val="auto"/>
              </w:rPr>
              <w:t>roup</w:t>
            </w:r>
          </w:p>
        </w:tc>
      </w:tr>
      <w:tr w:rsidR="008033AE" w:rsidTr="00837900">
        <w:trPr>
          <w:cnfStyle w:val="000000100000"/>
        </w:trPr>
        <w:tc>
          <w:tcPr>
            <w:cnfStyle w:val="001000000000"/>
            <w:tcW w:w="3708" w:type="dxa"/>
            <w:gridSpan w:val="3"/>
          </w:tcPr>
          <w:p w:rsidR="008033AE" w:rsidRPr="001333EC" w:rsidRDefault="008033AE" w:rsidP="00837900">
            <w:pPr>
              <w:rPr>
                <w:color w:val="auto"/>
              </w:rPr>
            </w:pPr>
            <w:r w:rsidRPr="001333EC">
              <w:rPr>
                <w:color w:val="auto"/>
              </w:rPr>
              <w:t>Dependent Variable: LN_NOM_EX</w:t>
            </w:r>
          </w:p>
        </w:tc>
      </w:tr>
      <w:tr w:rsidR="008033AE" w:rsidTr="00837900">
        <w:tc>
          <w:tcPr>
            <w:cnfStyle w:val="001000000000"/>
            <w:tcW w:w="3708" w:type="dxa"/>
            <w:gridSpan w:val="3"/>
          </w:tcPr>
          <w:p w:rsidR="008033AE" w:rsidRPr="001333EC" w:rsidRDefault="008033AE" w:rsidP="00837900">
            <w:pPr>
              <w:rPr>
                <w:b w:val="0"/>
                <w:color w:val="auto"/>
              </w:rPr>
            </w:pPr>
            <w:r w:rsidRPr="001333EC">
              <w:rPr>
                <w:color w:val="auto"/>
              </w:rPr>
              <w:t>Method: Panel Least Squares</w:t>
            </w:r>
          </w:p>
        </w:tc>
      </w:tr>
      <w:tr w:rsidR="008033AE" w:rsidTr="00837900">
        <w:trPr>
          <w:cnfStyle w:val="000000100000"/>
        </w:trPr>
        <w:tc>
          <w:tcPr>
            <w:cnfStyle w:val="001000000000"/>
            <w:tcW w:w="3708" w:type="dxa"/>
            <w:gridSpan w:val="3"/>
          </w:tcPr>
          <w:p w:rsidR="008033AE" w:rsidRPr="001333EC" w:rsidRDefault="008033AE" w:rsidP="00837900">
            <w:pPr>
              <w:rPr>
                <w:b w:val="0"/>
                <w:color w:val="auto"/>
              </w:rPr>
            </w:pPr>
            <w:r w:rsidRPr="001333EC">
              <w:rPr>
                <w:b w:val="0"/>
                <w:color w:val="auto"/>
              </w:rPr>
              <w:t>Country Pair Fixed Effect with time fixed effects</w:t>
            </w:r>
          </w:p>
        </w:tc>
      </w:tr>
      <w:tr w:rsidR="008033AE" w:rsidTr="00837900">
        <w:tc>
          <w:tcPr>
            <w:cnfStyle w:val="001000000000"/>
            <w:tcW w:w="3708" w:type="dxa"/>
            <w:gridSpan w:val="3"/>
          </w:tcPr>
          <w:p w:rsidR="008033AE" w:rsidRDefault="008033AE" w:rsidP="00837900"/>
        </w:tc>
      </w:tr>
      <w:tr w:rsidR="008033AE" w:rsidTr="00837900">
        <w:trPr>
          <w:cnfStyle w:val="000000100000"/>
        </w:trPr>
        <w:tc>
          <w:tcPr>
            <w:cnfStyle w:val="001000000000"/>
            <w:tcW w:w="2235" w:type="dxa"/>
          </w:tcPr>
          <w:p w:rsidR="008033AE" w:rsidRPr="00B634B3" w:rsidRDefault="008033AE" w:rsidP="00837900">
            <w:pPr>
              <w:rPr>
                <w:b w:val="0"/>
                <w:bCs w:val="0"/>
                <w:color w:val="auto"/>
                <w:u w:val="single"/>
              </w:rPr>
            </w:pPr>
            <w:r w:rsidRPr="00B634B3">
              <w:rPr>
                <w:color w:val="auto"/>
                <w:u w:val="single"/>
              </w:rPr>
              <w:t>Variable:</w:t>
            </w:r>
          </w:p>
        </w:tc>
        <w:tc>
          <w:tcPr>
            <w:tcW w:w="1473" w:type="dxa"/>
            <w:gridSpan w:val="2"/>
          </w:tcPr>
          <w:p w:rsidR="008033AE" w:rsidRPr="00B634B3" w:rsidRDefault="008033AE" w:rsidP="00837900">
            <w:pPr>
              <w:cnfStyle w:val="000000100000"/>
              <w:rPr>
                <w:i/>
                <w:color w:val="auto"/>
              </w:rPr>
            </w:pPr>
            <w:r w:rsidRPr="00B634B3">
              <w:rPr>
                <w:i/>
                <w:color w:val="auto"/>
              </w:rPr>
              <w:t>Coefficient</w:t>
            </w:r>
          </w:p>
        </w:tc>
      </w:tr>
      <w:tr w:rsidR="008033AE" w:rsidTr="00837900">
        <w:tc>
          <w:tcPr>
            <w:cnfStyle w:val="001000000000"/>
            <w:tcW w:w="2376" w:type="dxa"/>
            <w:gridSpan w:val="2"/>
            <w:vAlign w:val="center"/>
          </w:tcPr>
          <w:p w:rsidR="008033AE" w:rsidRPr="003D76CD" w:rsidRDefault="008033AE" w:rsidP="00837900">
            <w:pPr>
              <w:rPr>
                <w:rFonts w:ascii="Calibri" w:hAnsi="Calibri" w:cs="Calibri"/>
                <w:b w:val="0"/>
                <w:color w:val="000000"/>
              </w:rPr>
            </w:pPr>
            <w:r>
              <w:rPr>
                <w:rFonts w:ascii="Calibri" w:hAnsi="Calibri" w:cs="Calibri"/>
                <w:b w:val="0"/>
                <w:color w:val="000000"/>
              </w:rPr>
              <w:t>2004_X_07</w:t>
            </w:r>
          </w:p>
        </w:tc>
        <w:tc>
          <w:tcPr>
            <w:tcW w:w="1332" w:type="dxa"/>
            <w:vAlign w:val="bottom"/>
          </w:tcPr>
          <w:p w:rsidR="008033AE" w:rsidRDefault="008033AE" w:rsidP="00837900">
            <w:pPr>
              <w:cnfStyle w:val="000000000000"/>
              <w:rPr>
                <w:rFonts w:ascii="Calibri" w:hAnsi="Calibri" w:cs="Calibri"/>
                <w:b/>
                <w:color w:val="000000"/>
              </w:rPr>
            </w:pPr>
            <w:r w:rsidRPr="003E5D6A">
              <w:rPr>
                <w:rFonts w:ascii="Calibri" w:hAnsi="Calibri" w:cs="Calibri"/>
                <w:b/>
                <w:color w:val="000000"/>
              </w:rPr>
              <w:t>0.103</w:t>
            </w:r>
          </w:p>
          <w:p w:rsidR="008033AE" w:rsidRPr="003E5D6A" w:rsidRDefault="008033AE" w:rsidP="00837900">
            <w:pPr>
              <w:cnfStyle w:val="000000000000"/>
              <w:rPr>
                <w:rFonts w:ascii="Calibri" w:hAnsi="Calibri" w:cs="Calibri"/>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8033AE" w:rsidTr="00837900">
        <w:trPr>
          <w:cnfStyle w:val="000000100000"/>
        </w:trPr>
        <w:tc>
          <w:tcPr>
            <w:cnfStyle w:val="001000000000"/>
            <w:tcW w:w="2376" w:type="dxa"/>
            <w:gridSpan w:val="2"/>
            <w:vAlign w:val="center"/>
          </w:tcPr>
          <w:p w:rsidR="008033AE" w:rsidRPr="003D76CD" w:rsidRDefault="008033AE" w:rsidP="00837900">
            <w:pPr>
              <w:rPr>
                <w:rFonts w:ascii="Calibri" w:hAnsi="Calibri" w:cs="Calibri"/>
                <w:b w:val="0"/>
                <w:color w:val="000000"/>
              </w:rPr>
            </w:pPr>
            <w:r>
              <w:rPr>
                <w:rFonts w:ascii="Calibri" w:hAnsi="Calibri" w:cs="Calibri"/>
                <w:b w:val="0"/>
                <w:color w:val="000000"/>
              </w:rPr>
              <w:t>2004_M_07</w:t>
            </w:r>
          </w:p>
        </w:tc>
        <w:tc>
          <w:tcPr>
            <w:tcW w:w="1332" w:type="dxa"/>
            <w:vAlign w:val="bottom"/>
          </w:tcPr>
          <w:p w:rsidR="008033AE" w:rsidRDefault="008033AE" w:rsidP="00837900">
            <w:pPr>
              <w:cnfStyle w:val="000000100000"/>
              <w:rPr>
                <w:rFonts w:ascii="Calibri" w:hAnsi="Calibri" w:cs="Calibri"/>
                <w:b/>
                <w:color w:val="000000"/>
              </w:rPr>
            </w:pPr>
            <w:r w:rsidRPr="003E5D6A">
              <w:rPr>
                <w:rFonts w:ascii="Calibri" w:hAnsi="Calibri" w:cs="Calibri"/>
                <w:b/>
                <w:color w:val="000000"/>
              </w:rPr>
              <w:t>0.026</w:t>
            </w:r>
          </w:p>
          <w:p w:rsidR="008033AE" w:rsidRPr="003E5D6A" w:rsidRDefault="008033AE" w:rsidP="00837900">
            <w:pPr>
              <w:cnfStyle w:val="000000100000"/>
              <w:rPr>
                <w:rFonts w:ascii="Calibri" w:hAnsi="Calibri" w:cs="Calibri"/>
                <w:b/>
                <w:color w:val="000000"/>
              </w:rPr>
            </w:pPr>
            <w:r>
              <w:rPr>
                <w:rFonts w:ascii="Calibri" w:hAnsi="Calibri" w:cs="Calibri"/>
                <w:i/>
                <w:color w:val="000000"/>
                <w:sz w:val="16"/>
                <w:szCs w:val="16"/>
                <w:lang w:val="nl-NL"/>
              </w:rPr>
              <w:t>(</w:t>
            </w:r>
            <w:r>
              <w:rPr>
                <w:rFonts w:ascii="Calibri" w:hAnsi="Calibri" w:cs="Calibri"/>
                <w:i/>
                <w:color w:val="000000"/>
                <w:sz w:val="16"/>
                <w:szCs w:val="16"/>
              </w:rPr>
              <w:t>0.002</w:t>
            </w:r>
            <w:r w:rsidRPr="00BD7CED">
              <w:rPr>
                <w:rFonts w:ascii="Calibri" w:hAnsi="Calibri" w:cs="Calibri"/>
                <w:i/>
                <w:color w:val="000000"/>
                <w:sz w:val="16"/>
                <w:szCs w:val="16"/>
              </w:rPr>
              <w:t>)***</w:t>
            </w:r>
          </w:p>
        </w:tc>
      </w:tr>
      <w:tr w:rsidR="008033AE" w:rsidTr="00837900">
        <w:tc>
          <w:tcPr>
            <w:cnfStyle w:val="001000000000"/>
            <w:tcW w:w="2376" w:type="dxa"/>
            <w:gridSpan w:val="2"/>
            <w:vAlign w:val="center"/>
          </w:tcPr>
          <w:p w:rsidR="008033AE" w:rsidRPr="003D76CD" w:rsidRDefault="008033AE" w:rsidP="00837900">
            <w:pPr>
              <w:rPr>
                <w:rFonts w:ascii="Calibri" w:hAnsi="Calibri" w:cs="Calibri"/>
                <w:b w:val="0"/>
                <w:color w:val="000000"/>
              </w:rPr>
            </w:pPr>
            <w:r>
              <w:rPr>
                <w:rFonts w:ascii="Calibri" w:hAnsi="Calibri" w:cs="Calibri"/>
                <w:b w:val="0"/>
                <w:color w:val="000000"/>
              </w:rPr>
              <w:t>newEMU_X_07</w:t>
            </w:r>
          </w:p>
        </w:tc>
        <w:tc>
          <w:tcPr>
            <w:tcW w:w="1332" w:type="dxa"/>
            <w:vAlign w:val="bottom"/>
          </w:tcPr>
          <w:p w:rsidR="008033AE" w:rsidRDefault="008033AE" w:rsidP="00837900">
            <w:pPr>
              <w:cnfStyle w:val="000000000000"/>
              <w:rPr>
                <w:rFonts w:ascii="Calibri" w:hAnsi="Calibri" w:cs="Calibri"/>
                <w:b/>
                <w:color w:val="000000"/>
              </w:rPr>
            </w:pPr>
            <w:r w:rsidRPr="003E5D6A">
              <w:rPr>
                <w:rFonts w:ascii="Calibri" w:hAnsi="Calibri" w:cs="Calibri"/>
                <w:b/>
                <w:color w:val="000000"/>
              </w:rPr>
              <w:t>-0.054</w:t>
            </w:r>
          </w:p>
          <w:p w:rsidR="008033AE" w:rsidRPr="003E5D6A" w:rsidRDefault="008033AE" w:rsidP="00837900">
            <w:pPr>
              <w:cnfStyle w:val="000000000000"/>
              <w:rPr>
                <w:rFonts w:ascii="Calibri" w:hAnsi="Calibri" w:cs="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8033AE" w:rsidTr="00837900">
        <w:trPr>
          <w:cnfStyle w:val="000000100000"/>
        </w:trPr>
        <w:tc>
          <w:tcPr>
            <w:cnfStyle w:val="001000000000"/>
            <w:tcW w:w="2376" w:type="dxa"/>
            <w:gridSpan w:val="2"/>
            <w:vAlign w:val="center"/>
          </w:tcPr>
          <w:p w:rsidR="008033AE" w:rsidRPr="003D76CD" w:rsidRDefault="008033AE" w:rsidP="00837900">
            <w:pPr>
              <w:rPr>
                <w:rFonts w:ascii="Calibri" w:hAnsi="Calibri" w:cs="Calibri"/>
                <w:b w:val="0"/>
                <w:color w:val="000000"/>
              </w:rPr>
            </w:pPr>
            <w:r>
              <w:rPr>
                <w:rFonts w:ascii="Calibri" w:hAnsi="Calibri" w:cs="Calibri"/>
                <w:b w:val="0"/>
                <w:color w:val="000000"/>
              </w:rPr>
              <w:t>newEMU_M_07</w:t>
            </w:r>
          </w:p>
        </w:tc>
        <w:tc>
          <w:tcPr>
            <w:tcW w:w="1332" w:type="dxa"/>
            <w:vAlign w:val="bottom"/>
          </w:tcPr>
          <w:p w:rsidR="008033AE" w:rsidRDefault="008033AE" w:rsidP="00837900">
            <w:pPr>
              <w:cnfStyle w:val="000000100000"/>
              <w:rPr>
                <w:rFonts w:ascii="Calibri" w:hAnsi="Calibri" w:cs="Calibri"/>
                <w:b/>
                <w:color w:val="000000"/>
              </w:rPr>
            </w:pPr>
            <w:r w:rsidRPr="003E5D6A">
              <w:rPr>
                <w:rFonts w:ascii="Calibri" w:hAnsi="Calibri" w:cs="Calibri"/>
                <w:b/>
                <w:color w:val="000000"/>
              </w:rPr>
              <w:t>0.010</w:t>
            </w:r>
          </w:p>
          <w:p w:rsidR="008033AE" w:rsidRPr="003E5D6A" w:rsidRDefault="008033AE" w:rsidP="00E963F2">
            <w:pPr>
              <w:keepNext/>
              <w:cnfStyle w:val="000000100000"/>
              <w:rPr>
                <w:rFonts w:ascii="Calibri" w:hAnsi="Calibri" w:cs="Calibri"/>
                <w:b/>
                <w:color w:val="000000"/>
              </w:rPr>
            </w:pPr>
            <w:r>
              <w:rPr>
                <w:rFonts w:ascii="Calibri" w:hAnsi="Calibri" w:cs="Calibri"/>
                <w:i/>
                <w:color w:val="000000"/>
                <w:sz w:val="16"/>
                <w:szCs w:val="16"/>
                <w:lang w:val="nl-NL"/>
              </w:rPr>
              <w:t>(</w:t>
            </w:r>
            <w:r>
              <w:rPr>
                <w:rFonts w:ascii="Calibri" w:hAnsi="Calibri" w:cs="Calibri"/>
                <w:i/>
                <w:color w:val="000000"/>
                <w:sz w:val="16"/>
                <w:szCs w:val="16"/>
              </w:rPr>
              <w:t>0.352)</w:t>
            </w:r>
          </w:p>
        </w:tc>
      </w:tr>
    </w:tbl>
    <w:p w:rsidR="008033AE" w:rsidRDefault="008033AE" w:rsidP="008033AE">
      <w:pPr>
        <w:pStyle w:val="Heading2"/>
      </w:pPr>
      <w:bookmarkStart w:id="64" w:name="_GoBack"/>
    </w:p>
    <w:p w:rsidR="008033AE" w:rsidRDefault="008033AE" w:rsidP="008033AE">
      <w:pPr>
        <w:pStyle w:val="Heading2"/>
      </w:pPr>
    </w:p>
    <w:p w:rsidR="008033AE" w:rsidRDefault="008033AE" w:rsidP="008033AE">
      <w:pPr>
        <w:pStyle w:val="Heading2"/>
      </w:pPr>
    </w:p>
    <w:p w:rsidR="008033AE" w:rsidRDefault="008033AE" w:rsidP="008033AE">
      <w:pPr>
        <w:pStyle w:val="Heading2"/>
      </w:pPr>
    </w:p>
    <w:p w:rsidR="008033AE" w:rsidRDefault="008033AE" w:rsidP="008033AE">
      <w:pPr>
        <w:pStyle w:val="Heading2"/>
      </w:pPr>
    </w:p>
    <w:p w:rsidR="008033AE" w:rsidRDefault="008033AE" w:rsidP="008033AE">
      <w:pPr>
        <w:pStyle w:val="Heading2"/>
      </w:pPr>
    </w:p>
    <w:p w:rsidR="008033AE" w:rsidRDefault="008033AE" w:rsidP="008033AE">
      <w:pPr>
        <w:pStyle w:val="Heading2"/>
      </w:pPr>
    </w:p>
    <w:p w:rsidR="00E963F2" w:rsidRPr="00787CBC" w:rsidRDefault="00E963F2" w:rsidP="00E963F2">
      <w:pPr>
        <w:pStyle w:val="Caption"/>
        <w:framePr w:w="9291" w:h="504" w:hRule="exact" w:hSpace="141" w:wrap="around" w:vAnchor="text" w:hAnchor="page" w:x="1316" w:y="483"/>
        <w:suppressOverlap/>
        <w:jc w:val="both"/>
        <w:rPr>
          <w:color w:val="auto"/>
        </w:rPr>
      </w:pPr>
      <w:r w:rsidRPr="00787CBC">
        <w:rPr>
          <w:color w:val="auto"/>
        </w:rPr>
        <w:t xml:space="preserve">Notes: </w:t>
      </w:r>
      <w:r>
        <w:rPr>
          <w:color w:val="auto"/>
        </w:rPr>
        <w:t xml:space="preserve">The table displays the coefficients found when using the Country-Pair fixed effect model with fixed time effects in testing the effect of Euro adoption on export and import separately for the average of the </w:t>
      </w:r>
      <w:proofErr w:type="spellStart"/>
      <w:r>
        <w:rPr>
          <w:color w:val="auto"/>
        </w:rPr>
        <w:t>newEMU</w:t>
      </w:r>
      <w:proofErr w:type="spellEnd"/>
      <w:r>
        <w:rPr>
          <w:color w:val="auto"/>
        </w:rPr>
        <w:t xml:space="preserve"> group and 2004 group.</w:t>
      </w:r>
    </w:p>
    <w:p w:rsidR="00E963F2" w:rsidRDefault="00E963F2" w:rsidP="00E963F2">
      <w:pPr>
        <w:spacing w:after="0" w:line="240" w:lineRule="auto"/>
      </w:pPr>
    </w:p>
    <w:p w:rsidR="009E4CF3" w:rsidRPr="009E4CF3" w:rsidRDefault="009E4CF3" w:rsidP="00E963F2">
      <w:pPr>
        <w:pStyle w:val="Caption"/>
        <w:keepNext/>
        <w:spacing w:after="0"/>
        <w:jc w:val="both"/>
        <w:rPr>
          <w:color w:val="auto"/>
          <w:sz w:val="28"/>
        </w:rPr>
      </w:pPr>
      <w:r w:rsidRPr="009E4CF3">
        <w:rPr>
          <w:color w:val="auto"/>
          <w:sz w:val="28"/>
        </w:rPr>
        <w:t>D</w:t>
      </w:r>
      <w:r w:rsidRPr="009E4CF3">
        <w:rPr>
          <w:color w:val="auto"/>
          <w:sz w:val="28"/>
        </w:rPr>
        <w:noBreakHyphen/>
      </w:r>
      <w:r w:rsidR="008A5472" w:rsidRPr="009E4CF3">
        <w:rPr>
          <w:color w:val="auto"/>
          <w:sz w:val="28"/>
        </w:rPr>
        <w:fldChar w:fldCharType="begin"/>
      </w:r>
      <w:r w:rsidRPr="009E4CF3">
        <w:rPr>
          <w:color w:val="auto"/>
          <w:sz w:val="28"/>
        </w:rPr>
        <w:instrText xml:space="preserve"> SEQ Table \* ARABIC \s 1 </w:instrText>
      </w:r>
      <w:r w:rsidR="008A5472" w:rsidRPr="009E4CF3">
        <w:rPr>
          <w:color w:val="auto"/>
          <w:sz w:val="28"/>
        </w:rPr>
        <w:fldChar w:fldCharType="separate"/>
      </w:r>
      <w:r w:rsidRPr="009E4CF3">
        <w:rPr>
          <w:noProof/>
          <w:color w:val="auto"/>
          <w:sz w:val="28"/>
        </w:rPr>
        <w:t>2</w:t>
      </w:r>
      <w:r w:rsidR="008A5472" w:rsidRPr="009E4CF3">
        <w:rPr>
          <w:color w:val="auto"/>
          <w:sz w:val="28"/>
        </w:rPr>
        <w:fldChar w:fldCharType="end"/>
      </w:r>
      <w:r w:rsidRPr="009E4CF3">
        <w:rPr>
          <w:color w:val="auto"/>
          <w:sz w:val="28"/>
        </w:rPr>
        <w:t xml:space="preserve"> Export and Import</w:t>
      </w:r>
      <w:r>
        <w:rPr>
          <w:color w:val="auto"/>
          <w:sz w:val="28"/>
        </w:rPr>
        <w:t xml:space="preserve"> Effects per Partner Group for </w:t>
      </w:r>
      <w:proofErr w:type="spellStart"/>
      <w:r>
        <w:rPr>
          <w:color w:val="auto"/>
          <w:sz w:val="28"/>
        </w:rPr>
        <w:t>newEMU</w:t>
      </w:r>
      <w:proofErr w:type="spellEnd"/>
      <w:r>
        <w:rPr>
          <w:color w:val="auto"/>
          <w:sz w:val="28"/>
        </w:rPr>
        <w:t xml:space="preserve"> Group </w:t>
      </w:r>
      <w:r w:rsidRPr="009E4CF3">
        <w:rPr>
          <w:color w:val="auto"/>
          <w:sz w:val="28"/>
        </w:rPr>
        <w:t xml:space="preserve">and </w:t>
      </w:r>
      <w:r>
        <w:rPr>
          <w:color w:val="auto"/>
          <w:sz w:val="28"/>
        </w:rPr>
        <w:t>2004 Benchmark G</w:t>
      </w:r>
      <w:r w:rsidRPr="009E4CF3">
        <w:rPr>
          <w:color w:val="auto"/>
          <w:sz w:val="28"/>
        </w:rPr>
        <w:t>roup</w:t>
      </w:r>
    </w:p>
    <w:tbl>
      <w:tblPr>
        <w:tblStyle w:val="Lichtearcering-accent11"/>
        <w:tblpPr w:leftFromText="141" w:rightFromText="141" w:vertAnchor="text" w:horzAnchor="margin" w:tblpY="145"/>
        <w:tblOverlap w:val="never"/>
        <w:tblW w:w="0" w:type="auto"/>
        <w:tblLook w:val="04A0"/>
      </w:tblPr>
      <w:tblGrid>
        <w:gridCol w:w="2235"/>
        <w:gridCol w:w="141"/>
        <w:gridCol w:w="1332"/>
      </w:tblGrid>
      <w:tr w:rsidR="008033AE" w:rsidTr="008033AE">
        <w:trPr>
          <w:cnfStyle w:val="100000000000"/>
        </w:trPr>
        <w:tc>
          <w:tcPr>
            <w:cnfStyle w:val="001000000000"/>
            <w:tcW w:w="3708" w:type="dxa"/>
            <w:gridSpan w:val="3"/>
          </w:tcPr>
          <w:bookmarkEnd w:id="64"/>
          <w:p w:rsidR="008033AE" w:rsidRPr="001333EC" w:rsidRDefault="008033AE" w:rsidP="009E4CF3">
            <w:pPr>
              <w:jc w:val="both"/>
              <w:rPr>
                <w:color w:val="auto"/>
              </w:rPr>
            </w:pPr>
            <w:r w:rsidRPr="001333EC">
              <w:rPr>
                <w:color w:val="auto"/>
              </w:rPr>
              <w:t xml:space="preserve">Effects of Euro adoption on </w:t>
            </w:r>
            <w:r w:rsidR="009E4CF3">
              <w:rPr>
                <w:color w:val="auto"/>
              </w:rPr>
              <w:t>export and i</w:t>
            </w:r>
            <w:r w:rsidRPr="001333EC">
              <w:rPr>
                <w:color w:val="auto"/>
              </w:rPr>
              <w:t xml:space="preserve">mport per </w:t>
            </w:r>
            <w:r w:rsidR="009E4CF3">
              <w:rPr>
                <w:color w:val="auto"/>
              </w:rPr>
              <w:t>trading p</w:t>
            </w:r>
            <w:r>
              <w:rPr>
                <w:color w:val="auto"/>
              </w:rPr>
              <w:t xml:space="preserve">artner </w:t>
            </w:r>
            <w:r w:rsidR="009E4CF3">
              <w:rPr>
                <w:color w:val="auto"/>
              </w:rPr>
              <w:t>g</w:t>
            </w:r>
            <w:r>
              <w:rPr>
                <w:color w:val="auto"/>
              </w:rPr>
              <w:t xml:space="preserve">roup, for </w:t>
            </w:r>
            <w:r w:rsidR="00213840">
              <w:rPr>
                <w:color w:val="auto"/>
              </w:rPr>
              <w:t xml:space="preserve">the </w:t>
            </w:r>
            <w:proofErr w:type="spellStart"/>
            <w:r>
              <w:rPr>
                <w:color w:val="auto"/>
              </w:rPr>
              <w:t>newEMU</w:t>
            </w:r>
            <w:proofErr w:type="spellEnd"/>
            <w:r>
              <w:rPr>
                <w:color w:val="auto"/>
              </w:rPr>
              <w:t xml:space="preserve"> group and </w:t>
            </w:r>
            <w:r w:rsidR="00213840">
              <w:rPr>
                <w:color w:val="auto"/>
              </w:rPr>
              <w:t xml:space="preserve">the </w:t>
            </w:r>
            <w:r w:rsidR="009E4CF3">
              <w:rPr>
                <w:color w:val="auto"/>
              </w:rPr>
              <w:t xml:space="preserve">2004 </w:t>
            </w:r>
            <w:r w:rsidR="00213840">
              <w:rPr>
                <w:color w:val="auto"/>
              </w:rPr>
              <w:t>benchmark g</w:t>
            </w:r>
            <w:r>
              <w:rPr>
                <w:color w:val="auto"/>
              </w:rPr>
              <w:t>roup</w:t>
            </w:r>
          </w:p>
        </w:tc>
      </w:tr>
      <w:tr w:rsidR="008033AE" w:rsidTr="008033AE">
        <w:trPr>
          <w:cnfStyle w:val="000000100000"/>
        </w:trPr>
        <w:tc>
          <w:tcPr>
            <w:cnfStyle w:val="001000000000"/>
            <w:tcW w:w="3708" w:type="dxa"/>
            <w:gridSpan w:val="3"/>
          </w:tcPr>
          <w:p w:rsidR="008033AE" w:rsidRPr="001333EC" w:rsidRDefault="008033AE" w:rsidP="008033AE">
            <w:pPr>
              <w:rPr>
                <w:color w:val="auto"/>
              </w:rPr>
            </w:pPr>
            <w:r w:rsidRPr="001333EC">
              <w:rPr>
                <w:color w:val="auto"/>
              </w:rPr>
              <w:t>Dependent Variable: LN_NOM_EX</w:t>
            </w:r>
          </w:p>
        </w:tc>
      </w:tr>
      <w:tr w:rsidR="008033AE" w:rsidTr="008033AE">
        <w:tc>
          <w:tcPr>
            <w:cnfStyle w:val="001000000000"/>
            <w:tcW w:w="3708" w:type="dxa"/>
            <w:gridSpan w:val="3"/>
          </w:tcPr>
          <w:p w:rsidR="008033AE" w:rsidRPr="001333EC" w:rsidRDefault="008033AE" w:rsidP="008033AE">
            <w:pPr>
              <w:rPr>
                <w:b w:val="0"/>
                <w:color w:val="auto"/>
              </w:rPr>
            </w:pPr>
            <w:r w:rsidRPr="001333EC">
              <w:rPr>
                <w:color w:val="auto"/>
              </w:rPr>
              <w:t>Method: Panel Least Squares</w:t>
            </w:r>
          </w:p>
        </w:tc>
      </w:tr>
      <w:tr w:rsidR="008033AE" w:rsidTr="008033AE">
        <w:trPr>
          <w:cnfStyle w:val="000000100000"/>
        </w:trPr>
        <w:tc>
          <w:tcPr>
            <w:cnfStyle w:val="001000000000"/>
            <w:tcW w:w="3708" w:type="dxa"/>
            <w:gridSpan w:val="3"/>
          </w:tcPr>
          <w:p w:rsidR="008033AE" w:rsidRPr="001333EC" w:rsidRDefault="008033AE" w:rsidP="008033AE">
            <w:pPr>
              <w:rPr>
                <w:b w:val="0"/>
                <w:color w:val="auto"/>
              </w:rPr>
            </w:pPr>
            <w:r w:rsidRPr="001333EC">
              <w:rPr>
                <w:b w:val="0"/>
                <w:color w:val="auto"/>
              </w:rPr>
              <w:t>Country Pair Fixed Effect with time fixed effects</w:t>
            </w:r>
          </w:p>
        </w:tc>
      </w:tr>
      <w:tr w:rsidR="008033AE" w:rsidTr="008033AE">
        <w:tc>
          <w:tcPr>
            <w:cnfStyle w:val="001000000000"/>
            <w:tcW w:w="3708" w:type="dxa"/>
            <w:gridSpan w:val="3"/>
          </w:tcPr>
          <w:p w:rsidR="008033AE" w:rsidRDefault="008033AE" w:rsidP="008033AE"/>
        </w:tc>
      </w:tr>
      <w:tr w:rsidR="008033AE" w:rsidTr="008033AE">
        <w:trPr>
          <w:cnfStyle w:val="000000100000"/>
        </w:trPr>
        <w:tc>
          <w:tcPr>
            <w:cnfStyle w:val="001000000000"/>
            <w:tcW w:w="2235" w:type="dxa"/>
          </w:tcPr>
          <w:p w:rsidR="008033AE" w:rsidRPr="00B634B3" w:rsidRDefault="008033AE" w:rsidP="008033AE">
            <w:pPr>
              <w:rPr>
                <w:b w:val="0"/>
                <w:bCs w:val="0"/>
                <w:color w:val="auto"/>
                <w:u w:val="single"/>
              </w:rPr>
            </w:pPr>
            <w:r w:rsidRPr="00B634B3">
              <w:rPr>
                <w:color w:val="auto"/>
                <w:u w:val="single"/>
              </w:rPr>
              <w:t>Variable:</w:t>
            </w:r>
          </w:p>
        </w:tc>
        <w:tc>
          <w:tcPr>
            <w:tcW w:w="1473" w:type="dxa"/>
            <w:gridSpan w:val="2"/>
          </w:tcPr>
          <w:p w:rsidR="008033AE" w:rsidRPr="00B634B3" w:rsidRDefault="008033AE" w:rsidP="008033AE">
            <w:pPr>
              <w:cnfStyle w:val="000000100000"/>
              <w:rPr>
                <w:i/>
                <w:color w:val="auto"/>
              </w:rPr>
            </w:pPr>
            <w:r w:rsidRPr="00B634B3">
              <w:rPr>
                <w:i/>
                <w:color w:val="auto"/>
              </w:rPr>
              <w:t>Coefficient</w:t>
            </w:r>
          </w:p>
        </w:tc>
      </w:tr>
      <w:tr w:rsidR="008033AE" w:rsidTr="008033AE">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2004_X_EMU_07</w:t>
            </w:r>
          </w:p>
        </w:tc>
        <w:tc>
          <w:tcPr>
            <w:tcW w:w="1332" w:type="dxa"/>
            <w:vAlign w:val="bottom"/>
          </w:tcPr>
          <w:p w:rsidR="008033AE" w:rsidRDefault="008033AE" w:rsidP="008033AE">
            <w:pPr>
              <w:cnfStyle w:val="000000000000"/>
              <w:rPr>
                <w:rFonts w:ascii="Calibri" w:hAnsi="Calibri" w:cs="Calibri"/>
                <w:b/>
                <w:color w:val="000000"/>
              </w:rPr>
            </w:pPr>
            <w:r w:rsidRPr="003E5D6A">
              <w:rPr>
                <w:rFonts w:ascii="Calibri" w:hAnsi="Calibri" w:cs="Calibri"/>
                <w:b/>
                <w:color w:val="000000"/>
              </w:rPr>
              <w:t>0.106</w:t>
            </w:r>
          </w:p>
          <w:p w:rsidR="008033AE" w:rsidRPr="003E5D6A" w:rsidRDefault="008033AE" w:rsidP="008033AE">
            <w:pPr>
              <w:cnfStyle w:val="000000000000"/>
              <w:rPr>
                <w:rFonts w:ascii="Calibri" w:hAnsi="Calibri" w:cs="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8033AE" w:rsidTr="008033AE">
        <w:trPr>
          <w:cnfStyle w:val="000000100000"/>
        </w:trPr>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2004_X_RW_07</w:t>
            </w:r>
          </w:p>
        </w:tc>
        <w:tc>
          <w:tcPr>
            <w:tcW w:w="1332" w:type="dxa"/>
            <w:vAlign w:val="bottom"/>
          </w:tcPr>
          <w:p w:rsidR="008033AE" w:rsidRDefault="008033AE" w:rsidP="008033AE">
            <w:pPr>
              <w:cnfStyle w:val="000000100000"/>
              <w:rPr>
                <w:rFonts w:ascii="Calibri" w:hAnsi="Calibri" w:cs="Calibri"/>
                <w:b/>
                <w:color w:val="000000"/>
              </w:rPr>
            </w:pPr>
            <w:r w:rsidRPr="003E5D6A">
              <w:rPr>
                <w:rFonts w:ascii="Calibri" w:hAnsi="Calibri" w:cs="Calibri"/>
                <w:b/>
                <w:color w:val="000000"/>
              </w:rPr>
              <w:t>0.103</w:t>
            </w:r>
          </w:p>
          <w:p w:rsidR="008033AE" w:rsidRPr="003E5D6A" w:rsidRDefault="008033AE" w:rsidP="008033AE">
            <w:pPr>
              <w:cnfStyle w:val="000000100000"/>
              <w:rPr>
                <w:rFonts w:ascii="Calibri" w:hAnsi="Calibri" w:cs="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8033AE" w:rsidTr="008033AE">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2004_M_EMU_07</w:t>
            </w:r>
          </w:p>
        </w:tc>
        <w:tc>
          <w:tcPr>
            <w:tcW w:w="1332" w:type="dxa"/>
            <w:vAlign w:val="bottom"/>
          </w:tcPr>
          <w:p w:rsidR="008033AE" w:rsidRDefault="008033AE" w:rsidP="008033AE">
            <w:pPr>
              <w:cnfStyle w:val="000000000000"/>
              <w:rPr>
                <w:rFonts w:ascii="Calibri" w:hAnsi="Calibri" w:cs="Calibri"/>
                <w:b/>
                <w:color w:val="000000"/>
              </w:rPr>
            </w:pPr>
            <w:r w:rsidRPr="003E5D6A">
              <w:rPr>
                <w:rFonts w:ascii="Calibri" w:hAnsi="Calibri" w:cs="Calibri"/>
                <w:b/>
                <w:color w:val="000000"/>
              </w:rPr>
              <w:t>0.005</w:t>
            </w:r>
          </w:p>
          <w:p w:rsidR="008033AE" w:rsidRPr="003E5D6A" w:rsidRDefault="008033AE" w:rsidP="008033AE">
            <w:pPr>
              <w:cnfStyle w:val="000000000000"/>
              <w:rPr>
                <w:rFonts w:ascii="Calibri" w:hAnsi="Calibri" w:cs="Calibri"/>
                <w:b/>
                <w:color w:val="000000"/>
              </w:rPr>
            </w:pPr>
            <w:r w:rsidRPr="003E5D6A">
              <w:rPr>
                <w:rFonts w:ascii="Calibri" w:hAnsi="Calibri" w:cs="Calibri"/>
                <w:i/>
                <w:color w:val="000000"/>
                <w:sz w:val="16"/>
                <w:szCs w:val="16"/>
              </w:rPr>
              <w:t>(</w:t>
            </w:r>
            <w:r>
              <w:rPr>
                <w:rFonts w:ascii="Calibri" w:hAnsi="Calibri" w:cs="Calibri"/>
                <w:i/>
                <w:color w:val="000000"/>
                <w:sz w:val="16"/>
                <w:szCs w:val="16"/>
              </w:rPr>
              <w:t>0.673)</w:t>
            </w:r>
            <w:r w:rsidRPr="003E5D6A">
              <w:rPr>
                <w:rFonts w:ascii="Calibri" w:hAnsi="Calibri" w:cs="Calibri"/>
                <w:b/>
                <w:color w:val="000000"/>
              </w:rPr>
              <w:t xml:space="preserve"> </w:t>
            </w:r>
          </w:p>
        </w:tc>
      </w:tr>
      <w:tr w:rsidR="008033AE" w:rsidTr="008033AE">
        <w:trPr>
          <w:cnfStyle w:val="000000100000"/>
        </w:trPr>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2004_M_RW_07</w:t>
            </w:r>
          </w:p>
        </w:tc>
        <w:tc>
          <w:tcPr>
            <w:tcW w:w="1332" w:type="dxa"/>
            <w:vAlign w:val="bottom"/>
          </w:tcPr>
          <w:p w:rsidR="008033AE" w:rsidRDefault="008033AE" w:rsidP="008033AE">
            <w:pPr>
              <w:cnfStyle w:val="000000100000"/>
              <w:rPr>
                <w:rFonts w:ascii="Calibri" w:hAnsi="Calibri" w:cs="Calibri"/>
                <w:b/>
                <w:color w:val="000000"/>
              </w:rPr>
            </w:pPr>
            <w:r w:rsidRPr="003E5D6A">
              <w:rPr>
                <w:rFonts w:ascii="Calibri" w:hAnsi="Calibri" w:cs="Calibri"/>
                <w:b/>
                <w:color w:val="000000"/>
              </w:rPr>
              <w:t>0.038</w:t>
            </w:r>
          </w:p>
          <w:p w:rsidR="008033AE" w:rsidRPr="003E5D6A" w:rsidRDefault="008033AE" w:rsidP="008033AE">
            <w:pPr>
              <w:cnfStyle w:val="000000100000"/>
              <w:rPr>
                <w:rFonts w:ascii="Calibri" w:hAnsi="Calibri" w:cs="Calibri"/>
                <w:b/>
                <w:color w:val="000000"/>
              </w:rPr>
            </w:pPr>
            <w:r w:rsidRPr="003E5D6A">
              <w:rPr>
                <w:rFonts w:ascii="Calibri" w:hAnsi="Calibri" w:cs="Calibri"/>
                <w:i/>
                <w:color w:val="000000"/>
                <w:sz w:val="16"/>
                <w:szCs w:val="16"/>
              </w:rPr>
              <w:t>(</w:t>
            </w:r>
            <w:r w:rsidRPr="00BD7CED">
              <w:rPr>
                <w:rFonts w:ascii="Calibri" w:hAnsi="Calibri" w:cs="Calibri"/>
                <w:i/>
                <w:color w:val="000000"/>
                <w:sz w:val="16"/>
                <w:szCs w:val="16"/>
              </w:rPr>
              <w:t>0.000)***</w:t>
            </w:r>
          </w:p>
        </w:tc>
      </w:tr>
      <w:tr w:rsidR="008033AE" w:rsidTr="008033AE">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newEMU_X_EMU_07</w:t>
            </w:r>
          </w:p>
        </w:tc>
        <w:tc>
          <w:tcPr>
            <w:tcW w:w="1332" w:type="dxa"/>
            <w:vAlign w:val="bottom"/>
          </w:tcPr>
          <w:p w:rsidR="008033AE" w:rsidRDefault="008033AE" w:rsidP="008033AE">
            <w:pPr>
              <w:cnfStyle w:val="000000000000"/>
              <w:rPr>
                <w:rFonts w:ascii="Calibri" w:hAnsi="Calibri" w:cs="Calibri"/>
                <w:b/>
                <w:color w:val="000000"/>
              </w:rPr>
            </w:pPr>
            <w:r w:rsidRPr="003E5D6A">
              <w:rPr>
                <w:rFonts w:ascii="Calibri" w:hAnsi="Calibri" w:cs="Calibri"/>
                <w:b/>
                <w:color w:val="000000"/>
              </w:rPr>
              <w:t>-0.039</w:t>
            </w:r>
          </w:p>
          <w:p w:rsidR="008033AE" w:rsidRPr="003E5D6A" w:rsidRDefault="008033AE" w:rsidP="008033AE">
            <w:pPr>
              <w:cnfStyle w:val="000000000000"/>
              <w:rPr>
                <w:rFonts w:ascii="Calibri" w:hAnsi="Calibri" w:cs="Calibri"/>
                <w:b/>
                <w:color w:val="000000"/>
              </w:rPr>
            </w:pPr>
            <w:r>
              <w:rPr>
                <w:rFonts w:ascii="Calibri" w:hAnsi="Calibri" w:cs="Calibri"/>
                <w:i/>
                <w:color w:val="000000"/>
                <w:sz w:val="16"/>
                <w:szCs w:val="16"/>
                <w:lang w:val="nl-NL"/>
              </w:rPr>
              <w:t>(</w:t>
            </w:r>
            <w:r>
              <w:rPr>
                <w:rFonts w:ascii="Calibri" w:hAnsi="Calibri" w:cs="Calibri"/>
                <w:i/>
                <w:color w:val="000000"/>
                <w:sz w:val="16"/>
                <w:szCs w:val="16"/>
              </w:rPr>
              <w:t>0.041)**</w:t>
            </w:r>
          </w:p>
        </w:tc>
      </w:tr>
      <w:tr w:rsidR="008033AE" w:rsidTr="008033AE">
        <w:trPr>
          <w:cnfStyle w:val="000000100000"/>
        </w:trPr>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newEMU_X_RW_07</w:t>
            </w:r>
          </w:p>
        </w:tc>
        <w:tc>
          <w:tcPr>
            <w:tcW w:w="1332" w:type="dxa"/>
            <w:vAlign w:val="bottom"/>
          </w:tcPr>
          <w:p w:rsidR="008033AE" w:rsidRDefault="008033AE" w:rsidP="008033AE">
            <w:pPr>
              <w:cnfStyle w:val="000000100000"/>
              <w:rPr>
                <w:rFonts w:ascii="Calibri" w:hAnsi="Calibri" w:cs="Calibri"/>
                <w:b/>
                <w:color w:val="000000"/>
              </w:rPr>
            </w:pPr>
            <w:r w:rsidRPr="003E5D6A">
              <w:rPr>
                <w:rFonts w:ascii="Calibri" w:hAnsi="Calibri" w:cs="Calibri"/>
                <w:b/>
                <w:color w:val="000000"/>
              </w:rPr>
              <w:t>-0.063</w:t>
            </w:r>
          </w:p>
          <w:p w:rsidR="008033AE" w:rsidRPr="003E5D6A" w:rsidRDefault="008033AE" w:rsidP="008033AE">
            <w:pPr>
              <w:cnfStyle w:val="000000100000"/>
              <w:rPr>
                <w:rFonts w:ascii="Calibri" w:hAnsi="Calibri" w:cs="Calibri"/>
                <w:b/>
                <w:color w:val="000000"/>
              </w:rPr>
            </w:pPr>
            <w:r>
              <w:rPr>
                <w:rFonts w:ascii="Calibri" w:hAnsi="Calibri" w:cs="Calibri"/>
                <w:i/>
                <w:color w:val="000000"/>
                <w:sz w:val="16"/>
                <w:szCs w:val="16"/>
                <w:lang w:val="nl-NL"/>
              </w:rPr>
              <w:t>(</w:t>
            </w:r>
            <w:r w:rsidRPr="00BD7CED">
              <w:rPr>
                <w:rFonts w:ascii="Calibri" w:hAnsi="Calibri" w:cs="Calibri"/>
                <w:i/>
                <w:color w:val="000000"/>
                <w:sz w:val="16"/>
                <w:szCs w:val="16"/>
              </w:rPr>
              <w:t>0.000)***</w:t>
            </w:r>
          </w:p>
        </w:tc>
      </w:tr>
      <w:tr w:rsidR="008033AE" w:rsidTr="008033AE">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newEMU_M_EMU_07</w:t>
            </w:r>
          </w:p>
        </w:tc>
        <w:tc>
          <w:tcPr>
            <w:tcW w:w="1332" w:type="dxa"/>
            <w:vAlign w:val="bottom"/>
          </w:tcPr>
          <w:p w:rsidR="008033AE" w:rsidRDefault="008033AE" w:rsidP="008033AE">
            <w:pPr>
              <w:cnfStyle w:val="000000000000"/>
              <w:rPr>
                <w:rFonts w:ascii="Calibri" w:hAnsi="Calibri" w:cs="Calibri"/>
                <w:b/>
                <w:color w:val="000000"/>
              </w:rPr>
            </w:pPr>
            <w:r w:rsidRPr="003E5D6A">
              <w:rPr>
                <w:rFonts w:ascii="Calibri" w:hAnsi="Calibri" w:cs="Calibri"/>
                <w:b/>
                <w:color w:val="000000"/>
              </w:rPr>
              <w:t>0.062</w:t>
            </w:r>
          </w:p>
          <w:p w:rsidR="008033AE" w:rsidRPr="003E5D6A" w:rsidRDefault="008033AE" w:rsidP="008033AE">
            <w:pPr>
              <w:cnfStyle w:val="000000000000"/>
              <w:rPr>
                <w:rFonts w:ascii="Calibri" w:hAnsi="Calibri" w:cs="Calibri"/>
                <w:b/>
                <w:color w:val="000000"/>
              </w:rPr>
            </w:pPr>
            <w:r>
              <w:rPr>
                <w:rFonts w:ascii="Calibri" w:hAnsi="Calibri" w:cs="Calibri"/>
                <w:i/>
                <w:color w:val="000000"/>
                <w:sz w:val="16"/>
                <w:szCs w:val="16"/>
                <w:lang w:val="nl-NL"/>
              </w:rPr>
              <w:t>(</w:t>
            </w:r>
            <w:r>
              <w:rPr>
                <w:rFonts w:ascii="Calibri" w:hAnsi="Calibri" w:cs="Calibri"/>
                <w:i/>
                <w:color w:val="000000"/>
                <w:sz w:val="16"/>
                <w:szCs w:val="16"/>
              </w:rPr>
              <w:t>0.001)***</w:t>
            </w:r>
          </w:p>
        </w:tc>
      </w:tr>
      <w:tr w:rsidR="008033AE" w:rsidTr="008033AE">
        <w:trPr>
          <w:cnfStyle w:val="000000100000"/>
        </w:trPr>
        <w:tc>
          <w:tcPr>
            <w:cnfStyle w:val="001000000000"/>
            <w:tcW w:w="2376" w:type="dxa"/>
            <w:gridSpan w:val="2"/>
            <w:vAlign w:val="center"/>
          </w:tcPr>
          <w:p w:rsidR="008033AE" w:rsidRPr="003D76CD" w:rsidRDefault="008033AE" w:rsidP="008033AE">
            <w:pPr>
              <w:rPr>
                <w:rFonts w:ascii="Calibri" w:hAnsi="Calibri" w:cs="Calibri"/>
                <w:b w:val="0"/>
                <w:color w:val="000000"/>
              </w:rPr>
            </w:pPr>
            <w:r>
              <w:rPr>
                <w:rFonts w:ascii="Calibri" w:hAnsi="Calibri" w:cs="Calibri"/>
                <w:b w:val="0"/>
                <w:color w:val="000000"/>
              </w:rPr>
              <w:t>newEMU_M_RW_07</w:t>
            </w:r>
          </w:p>
        </w:tc>
        <w:tc>
          <w:tcPr>
            <w:tcW w:w="1332" w:type="dxa"/>
            <w:vAlign w:val="bottom"/>
          </w:tcPr>
          <w:p w:rsidR="008033AE" w:rsidRDefault="008033AE" w:rsidP="008033AE">
            <w:pPr>
              <w:cnfStyle w:val="000000100000"/>
              <w:rPr>
                <w:rFonts w:ascii="Calibri" w:hAnsi="Calibri" w:cs="Calibri"/>
                <w:b/>
                <w:color w:val="000000"/>
              </w:rPr>
            </w:pPr>
            <w:r w:rsidRPr="003E5D6A">
              <w:rPr>
                <w:rFonts w:ascii="Calibri" w:hAnsi="Calibri" w:cs="Calibri"/>
                <w:b/>
                <w:color w:val="000000"/>
              </w:rPr>
              <w:t>-0.017</w:t>
            </w:r>
          </w:p>
          <w:p w:rsidR="008033AE" w:rsidRPr="003E5D6A" w:rsidRDefault="008033AE" w:rsidP="00E963F2">
            <w:pPr>
              <w:keepNext/>
              <w:cnfStyle w:val="000000100000"/>
              <w:rPr>
                <w:rFonts w:ascii="Calibri" w:hAnsi="Calibri" w:cs="Calibri"/>
                <w:b/>
                <w:color w:val="000000"/>
              </w:rPr>
            </w:pPr>
            <w:r>
              <w:rPr>
                <w:rFonts w:ascii="Calibri" w:hAnsi="Calibri" w:cs="Calibri"/>
                <w:i/>
                <w:color w:val="000000"/>
                <w:sz w:val="16"/>
                <w:szCs w:val="16"/>
                <w:lang w:val="nl-NL"/>
              </w:rPr>
              <w:t>(</w:t>
            </w:r>
            <w:r>
              <w:rPr>
                <w:rFonts w:ascii="Calibri" w:hAnsi="Calibri" w:cs="Calibri"/>
                <w:i/>
                <w:color w:val="000000"/>
                <w:sz w:val="16"/>
                <w:szCs w:val="16"/>
              </w:rPr>
              <w:t>0.230)</w:t>
            </w:r>
          </w:p>
        </w:tc>
      </w:tr>
    </w:tbl>
    <w:p w:rsidR="00915F1E" w:rsidRDefault="00915F1E" w:rsidP="00915F1E"/>
    <w:p w:rsidR="008033AE" w:rsidRDefault="008033AE" w:rsidP="00915F1E"/>
    <w:p w:rsidR="00E963F2" w:rsidRPr="00787CBC" w:rsidRDefault="00E963F2" w:rsidP="00E963F2">
      <w:pPr>
        <w:pStyle w:val="Caption"/>
        <w:framePr w:h="704" w:hRule="exact" w:hSpace="141" w:wrap="around" w:vAnchor="text" w:hAnchor="page" w:x="1316" w:y="5581"/>
        <w:suppressOverlap/>
        <w:jc w:val="both"/>
        <w:rPr>
          <w:color w:val="auto"/>
        </w:rPr>
      </w:pPr>
      <w:r w:rsidRPr="00787CBC">
        <w:rPr>
          <w:color w:val="auto"/>
        </w:rPr>
        <w:t xml:space="preserve">Notes: </w:t>
      </w:r>
      <w:r>
        <w:rPr>
          <w:color w:val="auto"/>
        </w:rPr>
        <w:t xml:space="preserve">The table displays the coefficients found when using the Country-Pair fixed effect model with fixed time effects in testing the effect of Euro adoption on export and import separately for the </w:t>
      </w:r>
      <w:proofErr w:type="spellStart"/>
      <w:r>
        <w:rPr>
          <w:color w:val="auto"/>
        </w:rPr>
        <w:t>newEMU</w:t>
      </w:r>
      <w:proofErr w:type="spellEnd"/>
      <w:r>
        <w:rPr>
          <w:color w:val="auto"/>
        </w:rPr>
        <w:t xml:space="preserve"> group and the 2004 group, for each specific trading partner group (existing EMU members and the Rest of the World).</w:t>
      </w:r>
    </w:p>
    <w:p w:rsidR="002E57D3" w:rsidRPr="003E5D6A" w:rsidRDefault="002E57D3" w:rsidP="003E5D6A">
      <w:pPr>
        <w:tabs>
          <w:tab w:val="left" w:pos="1253"/>
        </w:tabs>
      </w:pPr>
    </w:p>
    <w:sectPr w:rsidR="002E57D3" w:rsidRPr="003E5D6A" w:rsidSect="00711486">
      <w:footerReference w:type="default" r:id="rId13"/>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B9" w:rsidRDefault="006F13B9" w:rsidP="00A07CC7">
      <w:pPr>
        <w:spacing w:after="0" w:line="240" w:lineRule="auto"/>
      </w:pPr>
      <w:r>
        <w:separator/>
      </w:r>
    </w:p>
  </w:endnote>
  <w:endnote w:type="continuationSeparator" w:id="0">
    <w:p w:rsidR="006F13B9" w:rsidRDefault="006F13B9" w:rsidP="00A07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02096"/>
      <w:docPartObj>
        <w:docPartGallery w:val="Page Numbers (Bottom of Page)"/>
        <w:docPartUnique/>
      </w:docPartObj>
    </w:sdtPr>
    <w:sdtEndPr>
      <w:rPr>
        <w:color w:val="7F7F7F" w:themeColor="background1" w:themeShade="7F"/>
        <w:spacing w:val="60"/>
      </w:rPr>
    </w:sdtEndPr>
    <w:sdtContent>
      <w:p w:rsidR="003B1B98" w:rsidRDefault="008A5472">
        <w:pPr>
          <w:pStyle w:val="Footer"/>
          <w:pBdr>
            <w:top w:val="single" w:sz="4" w:space="1" w:color="D9D9D9" w:themeColor="background1" w:themeShade="D9"/>
          </w:pBdr>
          <w:jc w:val="right"/>
        </w:pPr>
        <w:fldSimple w:instr=" PAGE   \* MERGEFORMAT ">
          <w:r w:rsidR="00B80F3E">
            <w:rPr>
              <w:noProof/>
            </w:rPr>
            <w:t>44</w:t>
          </w:r>
        </w:fldSimple>
        <w:r w:rsidR="003B1B98">
          <w:t xml:space="preserve"> | </w:t>
        </w:r>
        <w:r w:rsidR="003B1B98">
          <w:rPr>
            <w:color w:val="7F7F7F" w:themeColor="background1" w:themeShade="7F"/>
            <w:spacing w:val="60"/>
          </w:rPr>
          <w:t>Page</w:t>
        </w:r>
      </w:p>
    </w:sdtContent>
  </w:sdt>
  <w:p w:rsidR="003B1B98" w:rsidRDefault="003B1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B9" w:rsidRDefault="006F13B9" w:rsidP="00A07CC7">
      <w:pPr>
        <w:spacing w:after="0" w:line="240" w:lineRule="auto"/>
      </w:pPr>
      <w:r>
        <w:separator/>
      </w:r>
    </w:p>
  </w:footnote>
  <w:footnote w:type="continuationSeparator" w:id="0">
    <w:p w:rsidR="006F13B9" w:rsidRDefault="006F13B9" w:rsidP="00A07CC7">
      <w:pPr>
        <w:spacing w:after="0" w:line="240" w:lineRule="auto"/>
      </w:pPr>
      <w:r>
        <w:continuationSeparator/>
      </w:r>
    </w:p>
  </w:footnote>
  <w:footnote w:id="1">
    <w:p w:rsidR="003B1B98" w:rsidRDefault="003B1B98">
      <w:pPr>
        <w:pStyle w:val="FootnoteText"/>
      </w:pPr>
      <w:r>
        <w:rPr>
          <w:rStyle w:val="FootnoteReference"/>
        </w:rPr>
        <w:footnoteRef/>
      </w:r>
      <w:r>
        <w:t xml:space="preserve"> In 2004 Cyprus, Czech Republic, Estonia, Hungary, Latvia, Lithuania, Malta, Poland, Slovak Republic and Slovenia joined the EU, followed by Bulgaria and Romania in 2007.</w:t>
      </w:r>
    </w:p>
  </w:footnote>
  <w:footnote w:id="2">
    <w:p w:rsidR="003B1B98" w:rsidRDefault="003B1B98" w:rsidP="005F3CF5">
      <w:pPr>
        <w:pStyle w:val="FootnoteText"/>
      </w:pPr>
      <w:r>
        <w:rPr>
          <w:rStyle w:val="FootnoteReference"/>
        </w:rPr>
        <w:footnoteRef/>
      </w:r>
      <w:r>
        <w:t xml:space="preserve"> In order to refrain from too many details, the focus will be on small economies, leaving out larger economies that affect world prices. For detailed elaboration, see Fleming (1962), </w:t>
      </w:r>
      <w:proofErr w:type="spellStart"/>
      <w:r>
        <w:t>Mundell</w:t>
      </w:r>
      <w:proofErr w:type="spellEnd"/>
      <w:r>
        <w:t xml:space="preserve"> (1962), </w:t>
      </w:r>
      <w:proofErr w:type="spellStart"/>
      <w:r>
        <w:t>Mundell</w:t>
      </w:r>
      <w:proofErr w:type="spellEnd"/>
      <w:r>
        <w:t xml:space="preserve"> (1963). </w:t>
      </w:r>
    </w:p>
  </w:footnote>
  <w:footnote w:id="3">
    <w:p w:rsidR="003B1B98" w:rsidRDefault="003B1B98" w:rsidP="005F3CF5">
      <w:pPr>
        <w:pStyle w:val="FootnoteText"/>
        <w:jc w:val="both"/>
      </w:pPr>
      <w:r>
        <w:rPr>
          <w:rStyle w:val="FootnoteReference"/>
        </w:rPr>
        <w:footnoteRef/>
      </w:r>
      <w:r>
        <w:t xml:space="preserve"> Empirics investigating this law often do not find results in line with theory (Van </w:t>
      </w:r>
      <w:proofErr w:type="spellStart"/>
      <w:r>
        <w:t>Marrewijk</w:t>
      </w:r>
      <w:proofErr w:type="spellEnd"/>
      <w:r>
        <w:t xml:space="preserve">, 2007). This can be explained by the </w:t>
      </w:r>
      <w:proofErr w:type="spellStart"/>
      <w:r>
        <w:t>Balassa</w:t>
      </w:r>
      <w:proofErr w:type="spellEnd"/>
      <w:r>
        <w:t>-Samuelson effect, which proposes that not all goods are tradable and therefore prices can differ among states due to different prices of non-tradable goods, which make up a part of production costs.</w:t>
      </w:r>
    </w:p>
  </w:footnote>
  <w:footnote w:id="4">
    <w:p w:rsidR="003B1B98" w:rsidRPr="004109EE" w:rsidRDefault="003B1B98" w:rsidP="00D565AA">
      <w:pPr>
        <w:jc w:val="both"/>
        <w:rPr>
          <w:sz w:val="20"/>
          <w:szCs w:val="20"/>
        </w:rPr>
      </w:pPr>
      <w:r w:rsidRPr="004109EE">
        <w:rPr>
          <w:rStyle w:val="FootnoteReference"/>
          <w:sz w:val="20"/>
          <w:szCs w:val="20"/>
        </w:rPr>
        <w:footnoteRef/>
      </w:r>
      <w:r w:rsidRPr="004109EE">
        <w:rPr>
          <w:sz w:val="20"/>
          <w:szCs w:val="20"/>
        </w:rPr>
        <w:t xml:space="preserve"> It must be stated that the gain of the elimination of exchange risk is dependent on the degree of development of financial markets and institutions in a state, and in particular of the foreign exchange market. </w:t>
      </w:r>
    </w:p>
  </w:footnote>
  <w:footnote w:id="5">
    <w:p w:rsidR="003B1B98" w:rsidRPr="001568A7" w:rsidRDefault="003B1B98" w:rsidP="00801312">
      <w:pPr>
        <w:pStyle w:val="FootnoteText"/>
        <w:rPr>
          <w:i/>
        </w:rPr>
      </w:pPr>
      <w:r>
        <w:rPr>
          <w:rStyle w:val="FootnoteReference"/>
        </w:rPr>
        <w:footnoteRef/>
      </w:r>
      <w:r>
        <w:t xml:space="preserve"> A famous title of one of the articles presenting a lower currency union effect is of the article of </w:t>
      </w:r>
      <w:proofErr w:type="spellStart"/>
      <w:r>
        <w:t>Nitsch</w:t>
      </w:r>
      <w:proofErr w:type="spellEnd"/>
      <w:r>
        <w:t xml:space="preserve"> (2002): </w:t>
      </w:r>
      <w:r>
        <w:rPr>
          <w:i/>
        </w:rPr>
        <w:t>Honey, I Shrunk the Currency Union Effect on Trade</w:t>
      </w:r>
    </w:p>
  </w:footnote>
  <w:footnote w:id="6">
    <w:p w:rsidR="003B1B98" w:rsidRDefault="003B1B98" w:rsidP="00801312">
      <w:pPr>
        <w:pStyle w:val="FootnoteText"/>
      </w:pPr>
      <w:r>
        <w:rPr>
          <w:rStyle w:val="FootnoteReference"/>
        </w:rPr>
        <w:footnoteRef/>
      </w:r>
      <w:r>
        <w:t xml:space="preserve"> </w:t>
      </w:r>
      <w:proofErr w:type="spellStart"/>
      <w:r>
        <w:t>Belke</w:t>
      </w:r>
      <w:proofErr w:type="spellEnd"/>
      <w:r>
        <w:t xml:space="preserve"> and Spies (2008) only include Czech Republic, Estonia, Hungary, Latvia, Lithuania, Poland, Slovak Republic and Slovenia in their sample and leave out Cyprus and Malta. These countries however are of key relevance in this thesis since they are among the states that already have adopted the euro as their national currency.</w:t>
      </w:r>
    </w:p>
  </w:footnote>
  <w:footnote w:id="7">
    <w:p w:rsidR="003B1B98" w:rsidRDefault="003B1B98" w:rsidP="00801312">
      <w:pPr>
        <w:pStyle w:val="FootnoteText"/>
      </w:pPr>
      <w:r>
        <w:rPr>
          <w:rStyle w:val="FootnoteReference"/>
        </w:rPr>
        <w:footnoteRef/>
      </w:r>
      <w:r>
        <w:t xml:space="preserve"> </w:t>
      </w:r>
      <w:proofErr w:type="spellStart"/>
      <w:r>
        <w:t>Cieslik</w:t>
      </w:r>
      <w:proofErr w:type="spellEnd"/>
      <w:r>
        <w:t xml:space="preserve"> et al. (2004) use in their sample Bulgaria, Czech Republic, Estonia, Hungary, Latvia, Lithuania, Poland and Romania. They thus exclude Slovenia, Slovak Republic, Cyprus and Malta which are exactly the countries under investigation in this research. </w:t>
      </w:r>
    </w:p>
  </w:footnote>
  <w:footnote w:id="8">
    <w:p w:rsidR="003B1B98" w:rsidRDefault="003B1B98">
      <w:pPr>
        <w:pStyle w:val="FootnoteText"/>
      </w:pPr>
      <w:r>
        <w:rPr>
          <w:rStyle w:val="FootnoteReference"/>
        </w:rPr>
        <w:footnoteRef/>
      </w:r>
      <w:r>
        <w:t xml:space="preserve"> Slovenia in 2007. It is thus pretended that Slovenia, Cyprus, Malta and the Slovak Republic all adopted the Euro in 2007. This will later be subject to change to see whether this leads to different outcomes. </w:t>
      </w:r>
    </w:p>
  </w:footnote>
  <w:footnote w:id="9">
    <w:p w:rsidR="003B1B98" w:rsidRDefault="003B1B98">
      <w:pPr>
        <w:pStyle w:val="FootnoteText"/>
      </w:pPr>
      <w:r>
        <w:rPr>
          <w:rStyle w:val="FootnoteReference"/>
        </w:rPr>
        <w:footnoteRef/>
      </w:r>
      <w:r>
        <w:t xml:space="preserve"> See Anderson (1979) for the technical derivation</w:t>
      </w:r>
    </w:p>
  </w:footnote>
  <w:footnote w:id="10">
    <w:p w:rsidR="003B1B98" w:rsidRDefault="003B1B98">
      <w:pPr>
        <w:pStyle w:val="FootnoteText"/>
      </w:pPr>
      <w:r>
        <w:rPr>
          <w:rStyle w:val="FootnoteReference"/>
        </w:rPr>
        <w:footnoteRef/>
      </w:r>
      <w:r>
        <w:t xml:space="preserve"> See </w:t>
      </w:r>
      <w:proofErr w:type="spellStart"/>
      <w:r>
        <w:t>Bergstrand</w:t>
      </w:r>
      <w:proofErr w:type="spellEnd"/>
      <w:r>
        <w:t xml:space="preserve"> (1985) for the technical derivation</w:t>
      </w:r>
    </w:p>
  </w:footnote>
  <w:footnote w:id="11">
    <w:p w:rsidR="003B1B98" w:rsidRDefault="003B1B98">
      <w:pPr>
        <w:pStyle w:val="FootnoteText"/>
      </w:pPr>
      <w:r>
        <w:rPr>
          <w:rStyle w:val="FootnoteReference"/>
        </w:rPr>
        <w:footnoteRef/>
      </w:r>
      <w:r>
        <w:t xml:space="preserve"> See </w:t>
      </w:r>
      <w:proofErr w:type="spellStart"/>
      <w:r>
        <w:t>Deardroff</w:t>
      </w:r>
      <w:proofErr w:type="spellEnd"/>
      <w:r>
        <w:t xml:space="preserve"> (1997) for the technical derivation</w:t>
      </w:r>
    </w:p>
  </w:footnote>
  <w:footnote w:id="12">
    <w:p w:rsidR="003B1B98" w:rsidRDefault="003B1B98" w:rsidP="00360DCD">
      <w:pPr>
        <w:pStyle w:val="FootnoteText"/>
        <w:jc w:val="both"/>
      </w:pPr>
      <w:r>
        <w:rPr>
          <w:rStyle w:val="FootnoteReference"/>
        </w:rPr>
        <w:footnoteRef/>
      </w:r>
      <w:r>
        <w:t xml:space="preserve"> The </w:t>
      </w:r>
      <w:proofErr w:type="spellStart"/>
      <w:r>
        <w:t>microfounded</w:t>
      </w:r>
      <w:proofErr w:type="spellEnd"/>
      <w:r>
        <w:t xml:space="preserve"> gravity equation of Baldwin (2006; p. 13) is the following:</w:t>
      </w:r>
    </w:p>
    <w:p w:rsidR="003B1B98" w:rsidRPr="00D030F0" w:rsidRDefault="008A5472" w:rsidP="00360DCD">
      <w:pPr>
        <w:pStyle w:val="FootnoteText"/>
        <w:jc w:val="both"/>
        <w:rPr>
          <w:rFonts w:eastAsiaTheme="minorEastAsia"/>
          <w:sz w:val="22"/>
          <w:szCs w:val="22"/>
        </w:rPr>
      </w:pPr>
      <m:oMathPara>
        <m:oMath>
          <m:sSub>
            <m:sSubPr>
              <m:ctrlPr>
                <w:rPr>
                  <w:rFonts w:ascii="Cambria Math" w:hAnsi="Cambria Math"/>
                  <w:i/>
                  <w:sz w:val="22"/>
                  <w:szCs w:val="22"/>
                </w:rPr>
              </m:ctrlPr>
            </m:sSubPr>
            <m:e>
              <m:r>
                <w:rPr>
                  <w:rFonts w:ascii="Cambria Math" w:hAnsi="Cambria Math"/>
                </w:rPr>
                <m:t>V</m:t>
              </m:r>
            </m:e>
            <m:sub>
              <m:r>
                <w:rPr>
                  <w:rFonts w:ascii="Cambria Math" w:hAnsi="Cambria Math"/>
                </w:rPr>
                <m:t>od,t</m:t>
              </m:r>
            </m:sub>
          </m:sSub>
          <m:r>
            <w:rPr>
              <w:rFonts w:ascii="Cambria Math" w:hAnsi="Cambria Math"/>
            </w:rPr>
            <m:t xml:space="preserve">= </m:t>
          </m:r>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rPr>
                        <m:t>τ</m:t>
                      </m:r>
                    </m:e>
                    <m:sub>
                      <m:r>
                        <w:rPr>
                          <w:rFonts w:ascii="Cambria Math" w:hAnsi="Cambria Math"/>
                        </w:rPr>
                        <m:t>od,t</m:t>
                      </m:r>
                    </m:sub>
                    <m:sup>
                      <m:r>
                        <w:rPr>
                          <w:rFonts w:ascii="Cambria Math" w:hAnsi="Cambria Math"/>
                        </w:rPr>
                        <m:t>1-</m:t>
                      </m:r>
                      <m:r>
                        <m:rPr>
                          <m:sty m:val="p"/>
                        </m:rPr>
                        <w:rPr>
                          <w:rFonts w:ascii="Cambria Math" w:hAnsi="Cambria Math" w:cstheme="minorHAnsi"/>
                          <w:vertAlign w:val="superscript"/>
                        </w:rPr>
                        <m:t>σ</m:t>
                      </m:r>
                    </m:sup>
                  </m:sSubSup>
                </m:num>
                <m:den>
                  <m:sSub>
                    <m:sSubPr>
                      <m:ctrlPr>
                        <w:rPr>
                          <w:rFonts w:ascii="Cambria Math" w:hAnsi="Cambria Math"/>
                          <w:i/>
                          <w:sz w:val="22"/>
                          <w:szCs w:val="22"/>
                        </w:rPr>
                      </m:ctrlPr>
                    </m:sSubPr>
                    <m:e>
                      <m:r>
                        <m:rPr>
                          <m:sty m:val="p"/>
                        </m:rPr>
                        <w:rPr>
                          <w:rFonts w:ascii="Cambria Math" w:hAnsi="Cambria Math" w:cstheme="minorHAnsi"/>
                        </w:rPr>
                        <m:t>Ω</m:t>
                      </m:r>
                    </m:e>
                    <m:sub>
                      <m:r>
                        <w:rPr>
                          <w:rFonts w:ascii="Cambria Math" w:hAnsi="Cambria Math"/>
                        </w:rPr>
                        <m:t>od,t</m:t>
                      </m:r>
                    </m:sub>
                  </m:sSub>
                  <m:r>
                    <w:rPr>
                      <w:rFonts w:ascii="Cambria Math" w:hAnsi="Cambria Math"/>
                    </w:rPr>
                    <m:t>,</m:t>
                  </m:r>
                  <m:sSub>
                    <m:sSubPr>
                      <m:ctrlPr>
                        <w:rPr>
                          <w:rFonts w:ascii="Cambria Math" w:hAnsi="Cambria Math"/>
                          <w:i/>
                          <w:sz w:val="22"/>
                          <w:szCs w:val="22"/>
                        </w:rPr>
                      </m:ctrlPr>
                    </m:sSubPr>
                    <m:e>
                      <m:r>
                        <m:rPr>
                          <m:sty m:val="p"/>
                        </m:rPr>
                        <w:rPr>
                          <w:rFonts w:ascii="Cambria Math" w:hAnsi="Cambria Math" w:cstheme="minorHAnsi"/>
                        </w:rPr>
                        <m:t>Δ</m:t>
                      </m:r>
                    </m:e>
                    <m:sub>
                      <m:r>
                        <w:rPr>
                          <w:rFonts w:ascii="Cambria Math" w:hAnsi="Cambria Math"/>
                        </w:rPr>
                        <m:t>od,t</m:t>
                      </m:r>
                    </m:sub>
                  </m:sSub>
                </m:den>
              </m:f>
            </m:e>
          </m:d>
          <m:sSub>
            <m:sSubPr>
              <m:ctrlPr>
                <w:rPr>
                  <w:rFonts w:ascii="Cambria Math" w:hAnsi="Cambria Math"/>
                  <w:i/>
                  <w:sz w:val="22"/>
                  <w:szCs w:val="22"/>
                </w:rPr>
              </m:ctrlPr>
            </m:sSubPr>
            <m:e>
              <m:r>
                <w:rPr>
                  <w:rFonts w:ascii="Cambria Math" w:hAnsi="Cambria Math"/>
                </w:rPr>
                <m:t>E</m:t>
              </m:r>
            </m:e>
            <m:sub>
              <m:r>
                <w:rPr>
                  <w:rFonts w:ascii="Cambria Math" w:hAnsi="Cambria Math"/>
                </w:rPr>
                <m:t>o,t</m:t>
              </m:r>
            </m:sub>
          </m:sSub>
          <m:sSub>
            <m:sSubPr>
              <m:ctrlPr>
                <w:rPr>
                  <w:rFonts w:ascii="Cambria Math" w:hAnsi="Cambria Math"/>
                  <w:i/>
                  <w:sz w:val="22"/>
                  <w:szCs w:val="22"/>
                </w:rPr>
              </m:ctrlPr>
            </m:sSubPr>
            <m:e>
              <m:r>
                <w:rPr>
                  <w:rFonts w:ascii="Cambria Math" w:hAnsi="Cambria Math"/>
                </w:rPr>
                <m:t>E</m:t>
              </m:r>
            </m:e>
            <m:sub>
              <m:r>
                <w:rPr>
                  <w:rFonts w:ascii="Cambria Math" w:hAnsi="Cambria Math"/>
                </w:rPr>
                <m:t>d,t</m:t>
              </m:r>
            </m:sub>
          </m:sSub>
        </m:oMath>
      </m:oMathPara>
    </w:p>
    <w:p w:rsidR="003B1B98" w:rsidRPr="00D030F0" w:rsidRDefault="003B1B98" w:rsidP="00360DCD">
      <w:pPr>
        <w:pStyle w:val="FootnoteText"/>
        <w:jc w:val="both"/>
      </w:pPr>
      <w:r>
        <w:t xml:space="preserve">Where </w:t>
      </w:r>
      <w:proofErr w:type="spellStart"/>
      <w:r>
        <w:t>V</w:t>
      </w:r>
      <w:r>
        <w:rPr>
          <w:vertAlign w:val="subscript"/>
        </w:rPr>
        <w:t>od,t</w:t>
      </w:r>
      <w:proofErr w:type="spellEnd"/>
      <w:r>
        <w:t xml:space="preserve"> is the value of trade from country o (origin) to country d (destination) at time t. </w:t>
      </w:r>
      <w:r>
        <w:rPr>
          <w:rFonts w:cstheme="minorHAnsi"/>
        </w:rPr>
        <w:t>Ƭ</w:t>
      </w:r>
      <w:r>
        <w:t xml:space="preserve"> captures all costs of trade, </w:t>
      </w:r>
      <w:r>
        <w:rPr>
          <w:rFonts w:cstheme="minorHAnsi"/>
        </w:rPr>
        <w:t>σ</w:t>
      </w:r>
      <w:r>
        <w:t xml:space="preserve"> is the elasticity of substitution of differentiated goods with </w:t>
      </w:r>
      <w:r>
        <w:rPr>
          <w:rFonts w:cstheme="minorHAnsi"/>
        </w:rPr>
        <w:t>σ</w:t>
      </w:r>
      <w:r>
        <w:t xml:space="preserve">&gt;1, </w:t>
      </w:r>
      <w:r>
        <w:rPr>
          <w:rFonts w:cstheme="minorHAnsi"/>
        </w:rPr>
        <w:t>Ω</w:t>
      </w:r>
      <w:r>
        <w:t xml:space="preserve"> reflects the world’s openness to the exporter’s goods and </w:t>
      </w:r>
      <w:r>
        <w:rPr>
          <w:rFonts w:cstheme="minorHAnsi"/>
        </w:rPr>
        <w:t>Δ</w:t>
      </w:r>
      <w:r>
        <w:t xml:space="preserve"> reflects the importer’s openness to all goods. </w:t>
      </w:r>
      <w:proofErr w:type="spellStart"/>
      <w:r>
        <w:t>E</w:t>
      </w:r>
      <w:r>
        <w:rPr>
          <w:vertAlign w:val="subscript"/>
        </w:rPr>
        <w:t>o</w:t>
      </w:r>
      <w:proofErr w:type="spellEnd"/>
      <w:r>
        <w:t xml:space="preserve"> and E</w:t>
      </w:r>
      <w:r>
        <w:rPr>
          <w:vertAlign w:val="subscript"/>
        </w:rPr>
        <w:t>d</w:t>
      </w:r>
      <w:r>
        <w:t xml:space="preserve"> reflect the country’s nominal expenditure. The function between parentheses is very intuitive since an increase in trade costs, the world’s openness to the exporter’s goods or the importer’s openness to all goods reduces trade between country o and d.</w:t>
      </w:r>
    </w:p>
  </w:footnote>
  <w:footnote w:id="13">
    <w:p w:rsidR="003B1B98" w:rsidRPr="00605343" w:rsidRDefault="003B1B98">
      <w:pPr>
        <w:pStyle w:val="FootnoteText"/>
      </w:pPr>
      <w:r>
        <w:rPr>
          <w:rStyle w:val="FootnoteReference"/>
        </w:rPr>
        <w:footnoteRef/>
      </w:r>
      <w:r>
        <w:t xml:space="preserve"> </w:t>
      </w:r>
      <w:r w:rsidRPr="00605343">
        <w:t xml:space="preserve">See Appendix </w:t>
      </w:r>
      <w:r>
        <w:t>A</w:t>
      </w:r>
      <w:r w:rsidRPr="00605343">
        <w:t xml:space="preserve"> for details on s</w:t>
      </w:r>
      <w:r>
        <w:t>ources of variables</w:t>
      </w:r>
    </w:p>
  </w:footnote>
  <w:footnote w:id="14">
    <w:p w:rsidR="003B1B98" w:rsidRPr="00AD01F5" w:rsidRDefault="003B1B98">
      <w:pPr>
        <w:pStyle w:val="FootnoteText"/>
      </w:pPr>
      <w:r>
        <w:rPr>
          <w:rStyle w:val="FootnoteReference"/>
        </w:rPr>
        <w:footnoteRef/>
      </w:r>
      <w:r>
        <w:t xml:space="preserve"> </w:t>
      </w:r>
      <w:r w:rsidRPr="00AD01F5">
        <w:t xml:space="preserve">The cross-sections in this </w:t>
      </w:r>
      <w:r>
        <w:t xml:space="preserve">research are the country-pairs. For the country fixed effect model (CFE), the countries’ specific characteristics are constructed manually, i.e. by means of dummy variables, of which the overall majority is high significant (p &lt; 0.01). Given the many dummy variables, no Random effects can be applied in this model specification and therefore no </w:t>
      </w:r>
      <w:proofErr w:type="spellStart"/>
      <w:r>
        <w:t>Hausman</w:t>
      </w:r>
      <w:proofErr w:type="spellEnd"/>
      <w:r>
        <w:t xml:space="preserve"> test on random effects can be conducted.</w:t>
      </w:r>
    </w:p>
  </w:footnote>
  <w:footnote w:id="15">
    <w:p w:rsidR="003B1B98" w:rsidRPr="007C581D" w:rsidRDefault="003B1B98">
      <w:pPr>
        <w:pStyle w:val="FootnoteText"/>
      </w:pPr>
      <w:r>
        <w:rPr>
          <w:rStyle w:val="FootnoteReference"/>
        </w:rPr>
        <w:footnoteRef/>
      </w:r>
      <w:r>
        <w:t xml:space="preserve"> </w:t>
      </w:r>
      <w:r w:rsidRPr="007C581D">
        <w:t xml:space="preserve">The </w:t>
      </w:r>
      <w:r>
        <w:t xml:space="preserve">exporting </w:t>
      </w:r>
      <w:r w:rsidRPr="007C581D">
        <w:t>country fixed effects of C</w:t>
      </w:r>
      <w:r>
        <w:t xml:space="preserve">yprus and Malta in the CFE model are -0,945 and -0,548 respectively, both p = 0.000. The average over 36 countries is -0.169, so these are severe outliers. They are also the only two countries with insignificant importing country fixed effects. </w:t>
      </w:r>
    </w:p>
  </w:footnote>
  <w:footnote w:id="16">
    <w:p w:rsidR="003B1B98" w:rsidRPr="00C05C1A" w:rsidRDefault="003B1B98">
      <w:pPr>
        <w:pStyle w:val="FootnoteText"/>
      </w:pPr>
      <w:r>
        <w:rPr>
          <w:rStyle w:val="FootnoteReference"/>
        </w:rPr>
        <w:footnoteRef/>
      </w:r>
      <w:r>
        <w:t xml:space="preserve"> </w:t>
      </w:r>
      <w:r w:rsidRPr="00C05C1A">
        <w:t>Non-EMU 2004 EU entrants are a</w:t>
      </w:r>
      <w:r>
        <w:t>ll countries that entered the EU in 2004, but have not yet joined EMU. These are thus the remaining six EU entrants: Czech Republic, Estonia, Hungary, Latvia, Lithuania and Poland.</w:t>
      </w:r>
    </w:p>
  </w:footnote>
  <w:footnote w:id="17">
    <w:p w:rsidR="003B1B98" w:rsidRDefault="003B1B98" w:rsidP="00FE33D6">
      <w:pPr>
        <w:pStyle w:val="FootnoteText"/>
      </w:pPr>
      <w:r>
        <w:rPr>
          <w:rStyle w:val="FootnoteReference"/>
        </w:rPr>
        <w:footnoteRef/>
      </w:r>
      <w:r>
        <w:t xml:space="preserve"> Austria, Belgium, Finland, France, Germany, Greece, Ireland, Italy, Luxembourg, the Netherlands, Portugal and Spain.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DF4"/>
    <w:multiLevelType w:val="hybridMultilevel"/>
    <w:tmpl w:val="80B4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76CC"/>
    <w:multiLevelType w:val="hybridMultilevel"/>
    <w:tmpl w:val="A1943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BE08F3"/>
    <w:multiLevelType w:val="hybridMultilevel"/>
    <w:tmpl w:val="2F5EA9EE"/>
    <w:lvl w:ilvl="0" w:tplc="95DECD3C">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52560E6"/>
    <w:multiLevelType w:val="hybridMultilevel"/>
    <w:tmpl w:val="D440227E"/>
    <w:lvl w:ilvl="0" w:tplc="004847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5B039D4"/>
    <w:multiLevelType w:val="multilevel"/>
    <w:tmpl w:val="455662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D824471"/>
    <w:multiLevelType w:val="multilevel"/>
    <w:tmpl w:val="455662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6F8316F"/>
    <w:multiLevelType w:val="hybridMultilevel"/>
    <w:tmpl w:val="7D907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C4442"/>
    <w:multiLevelType w:val="hybridMultilevel"/>
    <w:tmpl w:val="4244C0C8"/>
    <w:lvl w:ilvl="0" w:tplc="7700B28C">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FD2546"/>
    <w:multiLevelType w:val="hybridMultilevel"/>
    <w:tmpl w:val="695E9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A06B5"/>
    <w:multiLevelType w:val="hybridMultilevel"/>
    <w:tmpl w:val="0DF4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0653B"/>
    <w:multiLevelType w:val="hybridMultilevel"/>
    <w:tmpl w:val="B52AA5AC"/>
    <w:lvl w:ilvl="0" w:tplc="70D8B20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F023C7"/>
    <w:multiLevelType w:val="multilevel"/>
    <w:tmpl w:val="BD8AD50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26C0406"/>
    <w:multiLevelType w:val="multilevel"/>
    <w:tmpl w:val="455662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4F81BD"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FEC7A8C"/>
    <w:multiLevelType w:val="hybridMultilevel"/>
    <w:tmpl w:val="3654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96D5B"/>
    <w:multiLevelType w:val="multilevel"/>
    <w:tmpl w:val="BD8AD50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1"/>
  </w:num>
  <w:num w:numId="3">
    <w:abstractNumId w:val="14"/>
  </w:num>
  <w:num w:numId="4">
    <w:abstractNumId w:val="11"/>
  </w:num>
  <w:num w:numId="5">
    <w:abstractNumId w:val="8"/>
  </w:num>
  <w:num w:numId="6">
    <w:abstractNumId w:val="9"/>
  </w:num>
  <w:num w:numId="7">
    <w:abstractNumId w:val="3"/>
  </w:num>
  <w:num w:numId="8">
    <w:abstractNumId w:val="13"/>
  </w:num>
  <w:num w:numId="9">
    <w:abstractNumId w:val="6"/>
  </w:num>
  <w:num w:numId="10">
    <w:abstractNumId w:val="0"/>
  </w:num>
  <w:num w:numId="11">
    <w:abstractNumId w:val="4"/>
  </w:num>
  <w:num w:numId="12">
    <w:abstractNumId w:val="7"/>
  </w:num>
  <w:num w:numId="13">
    <w:abstractNumId w:val="2"/>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36782"/>
    <w:rsid w:val="00001888"/>
    <w:rsid w:val="00001F7B"/>
    <w:rsid w:val="000075AE"/>
    <w:rsid w:val="0001122B"/>
    <w:rsid w:val="00011E30"/>
    <w:rsid w:val="000123D9"/>
    <w:rsid w:val="00012D7B"/>
    <w:rsid w:val="00014752"/>
    <w:rsid w:val="00016652"/>
    <w:rsid w:val="000172D2"/>
    <w:rsid w:val="00020938"/>
    <w:rsid w:val="00022C8E"/>
    <w:rsid w:val="0002356F"/>
    <w:rsid w:val="000267A6"/>
    <w:rsid w:val="000367EC"/>
    <w:rsid w:val="00037D02"/>
    <w:rsid w:val="0004356B"/>
    <w:rsid w:val="00044609"/>
    <w:rsid w:val="00046128"/>
    <w:rsid w:val="00046E56"/>
    <w:rsid w:val="00053E98"/>
    <w:rsid w:val="000553BD"/>
    <w:rsid w:val="0005619A"/>
    <w:rsid w:val="000612BD"/>
    <w:rsid w:val="00061D9C"/>
    <w:rsid w:val="00063C96"/>
    <w:rsid w:val="00065DE5"/>
    <w:rsid w:val="0007160C"/>
    <w:rsid w:val="000727E2"/>
    <w:rsid w:val="000738D0"/>
    <w:rsid w:val="000747BE"/>
    <w:rsid w:val="00080D55"/>
    <w:rsid w:val="00086353"/>
    <w:rsid w:val="000932F5"/>
    <w:rsid w:val="00094D44"/>
    <w:rsid w:val="000A01B9"/>
    <w:rsid w:val="000A2BB1"/>
    <w:rsid w:val="000A3AEA"/>
    <w:rsid w:val="000A4924"/>
    <w:rsid w:val="000A72CE"/>
    <w:rsid w:val="000A7910"/>
    <w:rsid w:val="000B0932"/>
    <w:rsid w:val="000B2B72"/>
    <w:rsid w:val="000B6144"/>
    <w:rsid w:val="000C2799"/>
    <w:rsid w:val="000C4FB4"/>
    <w:rsid w:val="000C7E21"/>
    <w:rsid w:val="000D3894"/>
    <w:rsid w:val="000D4231"/>
    <w:rsid w:val="000E4885"/>
    <w:rsid w:val="000F0FC8"/>
    <w:rsid w:val="000F7D60"/>
    <w:rsid w:val="0011002B"/>
    <w:rsid w:val="00115BD4"/>
    <w:rsid w:val="00116F96"/>
    <w:rsid w:val="00120B71"/>
    <w:rsid w:val="00121188"/>
    <w:rsid w:val="0012390A"/>
    <w:rsid w:val="00124054"/>
    <w:rsid w:val="001273E8"/>
    <w:rsid w:val="001333EC"/>
    <w:rsid w:val="00136E3F"/>
    <w:rsid w:val="00137020"/>
    <w:rsid w:val="001376B7"/>
    <w:rsid w:val="001400CE"/>
    <w:rsid w:val="00144741"/>
    <w:rsid w:val="001450EA"/>
    <w:rsid w:val="00146C14"/>
    <w:rsid w:val="00147AEE"/>
    <w:rsid w:val="00150D26"/>
    <w:rsid w:val="00153A89"/>
    <w:rsid w:val="00155D1D"/>
    <w:rsid w:val="001568A7"/>
    <w:rsid w:val="0016395F"/>
    <w:rsid w:val="00165572"/>
    <w:rsid w:val="00173509"/>
    <w:rsid w:val="001737CA"/>
    <w:rsid w:val="001738DE"/>
    <w:rsid w:val="001739D2"/>
    <w:rsid w:val="00173A68"/>
    <w:rsid w:val="00174B8C"/>
    <w:rsid w:val="001858C2"/>
    <w:rsid w:val="00187295"/>
    <w:rsid w:val="001908E6"/>
    <w:rsid w:val="001925DB"/>
    <w:rsid w:val="001945FC"/>
    <w:rsid w:val="001A15FD"/>
    <w:rsid w:val="001A1966"/>
    <w:rsid w:val="001A7120"/>
    <w:rsid w:val="001A73CE"/>
    <w:rsid w:val="001A75CD"/>
    <w:rsid w:val="001B1F32"/>
    <w:rsid w:val="001B5634"/>
    <w:rsid w:val="001C09CB"/>
    <w:rsid w:val="001C2591"/>
    <w:rsid w:val="001C4077"/>
    <w:rsid w:val="001D1352"/>
    <w:rsid w:val="001D149D"/>
    <w:rsid w:val="001D1BCD"/>
    <w:rsid w:val="001D37FB"/>
    <w:rsid w:val="001D5565"/>
    <w:rsid w:val="001D7C2C"/>
    <w:rsid w:val="001F09A4"/>
    <w:rsid w:val="001F1179"/>
    <w:rsid w:val="001F2E8C"/>
    <w:rsid w:val="001F5DB2"/>
    <w:rsid w:val="001F6660"/>
    <w:rsid w:val="001F6EAC"/>
    <w:rsid w:val="001F75E7"/>
    <w:rsid w:val="00200A4D"/>
    <w:rsid w:val="0020311D"/>
    <w:rsid w:val="0021292F"/>
    <w:rsid w:val="00213840"/>
    <w:rsid w:val="0021757F"/>
    <w:rsid w:val="0021788B"/>
    <w:rsid w:val="00223507"/>
    <w:rsid w:val="00224188"/>
    <w:rsid w:val="0022419F"/>
    <w:rsid w:val="00246D95"/>
    <w:rsid w:val="00250259"/>
    <w:rsid w:val="00253EB0"/>
    <w:rsid w:val="00254129"/>
    <w:rsid w:val="00254233"/>
    <w:rsid w:val="00261915"/>
    <w:rsid w:val="00261F68"/>
    <w:rsid w:val="002644A2"/>
    <w:rsid w:val="00264B7A"/>
    <w:rsid w:val="002654CA"/>
    <w:rsid w:val="0026635D"/>
    <w:rsid w:val="002664DB"/>
    <w:rsid w:val="0026746D"/>
    <w:rsid w:val="00272536"/>
    <w:rsid w:val="0027325C"/>
    <w:rsid w:val="00274BC1"/>
    <w:rsid w:val="002760F9"/>
    <w:rsid w:val="00276A09"/>
    <w:rsid w:val="00277040"/>
    <w:rsid w:val="002774B0"/>
    <w:rsid w:val="00277A70"/>
    <w:rsid w:val="00280B5B"/>
    <w:rsid w:val="0028188C"/>
    <w:rsid w:val="0028274C"/>
    <w:rsid w:val="00284699"/>
    <w:rsid w:val="00285FCE"/>
    <w:rsid w:val="002904AE"/>
    <w:rsid w:val="00291C7E"/>
    <w:rsid w:val="0029226F"/>
    <w:rsid w:val="00295E8D"/>
    <w:rsid w:val="00295F63"/>
    <w:rsid w:val="002967CD"/>
    <w:rsid w:val="002A31B9"/>
    <w:rsid w:val="002A4209"/>
    <w:rsid w:val="002A5CBC"/>
    <w:rsid w:val="002A64C5"/>
    <w:rsid w:val="002B3340"/>
    <w:rsid w:val="002B79AC"/>
    <w:rsid w:val="002C2871"/>
    <w:rsid w:val="002C41EB"/>
    <w:rsid w:val="002D0F43"/>
    <w:rsid w:val="002E01F0"/>
    <w:rsid w:val="002E3787"/>
    <w:rsid w:val="002E57D3"/>
    <w:rsid w:val="002F25A0"/>
    <w:rsid w:val="002F5EE7"/>
    <w:rsid w:val="00300634"/>
    <w:rsid w:val="00301987"/>
    <w:rsid w:val="00303C25"/>
    <w:rsid w:val="00304826"/>
    <w:rsid w:val="00306117"/>
    <w:rsid w:val="00311D26"/>
    <w:rsid w:val="00315371"/>
    <w:rsid w:val="00315B91"/>
    <w:rsid w:val="00316DC7"/>
    <w:rsid w:val="00321214"/>
    <w:rsid w:val="00321DAF"/>
    <w:rsid w:val="00322899"/>
    <w:rsid w:val="00333C05"/>
    <w:rsid w:val="00335137"/>
    <w:rsid w:val="00336782"/>
    <w:rsid w:val="00336E72"/>
    <w:rsid w:val="003410EF"/>
    <w:rsid w:val="003428E2"/>
    <w:rsid w:val="00343FF6"/>
    <w:rsid w:val="0034565B"/>
    <w:rsid w:val="003465E5"/>
    <w:rsid w:val="00347DC6"/>
    <w:rsid w:val="0035355E"/>
    <w:rsid w:val="00354D5F"/>
    <w:rsid w:val="00356E79"/>
    <w:rsid w:val="00357977"/>
    <w:rsid w:val="00360D01"/>
    <w:rsid w:val="00360DCD"/>
    <w:rsid w:val="003613D5"/>
    <w:rsid w:val="00362A73"/>
    <w:rsid w:val="00363D41"/>
    <w:rsid w:val="003660AE"/>
    <w:rsid w:val="00366500"/>
    <w:rsid w:val="00373630"/>
    <w:rsid w:val="00380070"/>
    <w:rsid w:val="003825EA"/>
    <w:rsid w:val="0038617C"/>
    <w:rsid w:val="0038776F"/>
    <w:rsid w:val="003878A8"/>
    <w:rsid w:val="003909DB"/>
    <w:rsid w:val="00391B3B"/>
    <w:rsid w:val="003923F6"/>
    <w:rsid w:val="00392EF9"/>
    <w:rsid w:val="00394BB9"/>
    <w:rsid w:val="0039555E"/>
    <w:rsid w:val="003A0633"/>
    <w:rsid w:val="003A12CD"/>
    <w:rsid w:val="003A382E"/>
    <w:rsid w:val="003A635C"/>
    <w:rsid w:val="003A7DC2"/>
    <w:rsid w:val="003B171F"/>
    <w:rsid w:val="003B1B98"/>
    <w:rsid w:val="003B48DF"/>
    <w:rsid w:val="003B53C0"/>
    <w:rsid w:val="003B6124"/>
    <w:rsid w:val="003B7460"/>
    <w:rsid w:val="003C118B"/>
    <w:rsid w:val="003C5878"/>
    <w:rsid w:val="003D30C1"/>
    <w:rsid w:val="003D436D"/>
    <w:rsid w:val="003D5A63"/>
    <w:rsid w:val="003D7138"/>
    <w:rsid w:val="003D76CD"/>
    <w:rsid w:val="003E5D6A"/>
    <w:rsid w:val="003E72D6"/>
    <w:rsid w:val="003E7480"/>
    <w:rsid w:val="003F1AAA"/>
    <w:rsid w:val="003F2E26"/>
    <w:rsid w:val="003F4627"/>
    <w:rsid w:val="003F5D67"/>
    <w:rsid w:val="003F6128"/>
    <w:rsid w:val="003F6FEF"/>
    <w:rsid w:val="003F7BF5"/>
    <w:rsid w:val="00406C1D"/>
    <w:rsid w:val="00411884"/>
    <w:rsid w:val="00412D89"/>
    <w:rsid w:val="0041343D"/>
    <w:rsid w:val="00414C88"/>
    <w:rsid w:val="004162D2"/>
    <w:rsid w:val="00417433"/>
    <w:rsid w:val="00417FA8"/>
    <w:rsid w:val="00424B5F"/>
    <w:rsid w:val="00432B9D"/>
    <w:rsid w:val="004336CA"/>
    <w:rsid w:val="00434F3C"/>
    <w:rsid w:val="00436167"/>
    <w:rsid w:val="004368B2"/>
    <w:rsid w:val="0043698B"/>
    <w:rsid w:val="00442EC6"/>
    <w:rsid w:val="00444498"/>
    <w:rsid w:val="00444E68"/>
    <w:rsid w:val="0044786B"/>
    <w:rsid w:val="00452AE2"/>
    <w:rsid w:val="004540FC"/>
    <w:rsid w:val="00464D3B"/>
    <w:rsid w:val="004670D1"/>
    <w:rsid w:val="004723F3"/>
    <w:rsid w:val="00477DA0"/>
    <w:rsid w:val="004800A2"/>
    <w:rsid w:val="0048328A"/>
    <w:rsid w:val="00483426"/>
    <w:rsid w:val="00483522"/>
    <w:rsid w:val="0048393B"/>
    <w:rsid w:val="0048519E"/>
    <w:rsid w:val="00486224"/>
    <w:rsid w:val="004868DB"/>
    <w:rsid w:val="00486E3B"/>
    <w:rsid w:val="0049060F"/>
    <w:rsid w:val="00494FB2"/>
    <w:rsid w:val="004950A3"/>
    <w:rsid w:val="004A2294"/>
    <w:rsid w:val="004A3D3F"/>
    <w:rsid w:val="004A63A3"/>
    <w:rsid w:val="004B0AAD"/>
    <w:rsid w:val="004B1B16"/>
    <w:rsid w:val="004B285E"/>
    <w:rsid w:val="004B455B"/>
    <w:rsid w:val="004B6C41"/>
    <w:rsid w:val="004C15FB"/>
    <w:rsid w:val="004C1689"/>
    <w:rsid w:val="004C442C"/>
    <w:rsid w:val="004C4D08"/>
    <w:rsid w:val="004D11BB"/>
    <w:rsid w:val="004D1EAE"/>
    <w:rsid w:val="004D38FF"/>
    <w:rsid w:val="004D3C76"/>
    <w:rsid w:val="004D531F"/>
    <w:rsid w:val="004D7E16"/>
    <w:rsid w:val="004E0FCF"/>
    <w:rsid w:val="004E11E6"/>
    <w:rsid w:val="004E1B9D"/>
    <w:rsid w:val="004E1E41"/>
    <w:rsid w:val="004E2EE9"/>
    <w:rsid w:val="004E3C0B"/>
    <w:rsid w:val="004E5863"/>
    <w:rsid w:val="004E645D"/>
    <w:rsid w:val="004E6C03"/>
    <w:rsid w:val="004F278A"/>
    <w:rsid w:val="004F3489"/>
    <w:rsid w:val="004F3BC5"/>
    <w:rsid w:val="004F4F3D"/>
    <w:rsid w:val="004F5F15"/>
    <w:rsid w:val="004F71E7"/>
    <w:rsid w:val="00506571"/>
    <w:rsid w:val="00507B43"/>
    <w:rsid w:val="00510CDA"/>
    <w:rsid w:val="0051180B"/>
    <w:rsid w:val="00512969"/>
    <w:rsid w:val="00514749"/>
    <w:rsid w:val="00515EFC"/>
    <w:rsid w:val="00517B8D"/>
    <w:rsid w:val="00524243"/>
    <w:rsid w:val="00524514"/>
    <w:rsid w:val="00524640"/>
    <w:rsid w:val="005259B1"/>
    <w:rsid w:val="005300CF"/>
    <w:rsid w:val="00531131"/>
    <w:rsid w:val="0053154D"/>
    <w:rsid w:val="00533655"/>
    <w:rsid w:val="00533C38"/>
    <w:rsid w:val="00535EF7"/>
    <w:rsid w:val="00536993"/>
    <w:rsid w:val="005413EA"/>
    <w:rsid w:val="005455E1"/>
    <w:rsid w:val="00545BE0"/>
    <w:rsid w:val="00553F27"/>
    <w:rsid w:val="00555E7F"/>
    <w:rsid w:val="00557620"/>
    <w:rsid w:val="0056030D"/>
    <w:rsid w:val="00561CAD"/>
    <w:rsid w:val="00563C32"/>
    <w:rsid w:val="00564416"/>
    <w:rsid w:val="00567648"/>
    <w:rsid w:val="00570276"/>
    <w:rsid w:val="0057131A"/>
    <w:rsid w:val="00571453"/>
    <w:rsid w:val="00571556"/>
    <w:rsid w:val="00573865"/>
    <w:rsid w:val="00576BF3"/>
    <w:rsid w:val="005843AD"/>
    <w:rsid w:val="00586BEE"/>
    <w:rsid w:val="00595536"/>
    <w:rsid w:val="005960D5"/>
    <w:rsid w:val="005A116A"/>
    <w:rsid w:val="005A4290"/>
    <w:rsid w:val="005A51C6"/>
    <w:rsid w:val="005A6766"/>
    <w:rsid w:val="005A70DF"/>
    <w:rsid w:val="005B66A1"/>
    <w:rsid w:val="005B6720"/>
    <w:rsid w:val="005C0CFA"/>
    <w:rsid w:val="005C118E"/>
    <w:rsid w:val="005C4106"/>
    <w:rsid w:val="005D221F"/>
    <w:rsid w:val="005D2488"/>
    <w:rsid w:val="005D7C60"/>
    <w:rsid w:val="005E056B"/>
    <w:rsid w:val="005E1B78"/>
    <w:rsid w:val="005E39B3"/>
    <w:rsid w:val="005E4ABA"/>
    <w:rsid w:val="005E528D"/>
    <w:rsid w:val="005E533E"/>
    <w:rsid w:val="005F20D1"/>
    <w:rsid w:val="005F32DB"/>
    <w:rsid w:val="005F3CF5"/>
    <w:rsid w:val="005F3DF9"/>
    <w:rsid w:val="005F4DF4"/>
    <w:rsid w:val="005F6B0C"/>
    <w:rsid w:val="0060006F"/>
    <w:rsid w:val="00601ABC"/>
    <w:rsid w:val="00605082"/>
    <w:rsid w:val="00605343"/>
    <w:rsid w:val="006055D6"/>
    <w:rsid w:val="00605774"/>
    <w:rsid w:val="0060604C"/>
    <w:rsid w:val="00606CCE"/>
    <w:rsid w:val="00611163"/>
    <w:rsid w:val="00616944"/>
    <w:rsid w:val="00620A88"/>
    <w:rsid w:val="006215DF"/>
    <w:rsid w:val="00623C6D"/>
    <w:rsid w:val="00627EEB"/>
    <w:rsid w:val="00630808"/>
    <w:rsid w:val="00631547"/>
    <w:rsid w:val="00631B64"/>
    <w:rsid w:val="00633531"/>
    <w:rsid w:val="00634C97"/>
    <w:rsid w:val="006363B8"/>
    <w:rsid w:val="00640249"/>
    <w:rsid w:val="0064027C"/>
    <w:rsid w:val="00644000"/>
    <w:rsid w:val="00647654"/>
    <w:rsid w:val="00650A52"/>
    <w:rsid w:val="00650FEB"/>
    <w:rsid w:val="006517D3"/>
    <w:rsid w:val="00651B68"/>
    <w:rsid w:val="006558B4"/>
    <w:rsid w:val="006609CB"/>
    <w:rsid w:val="00663100"/>
    <w:rsid w:val="0066596C"/>
    <w:rsid w:val="006665ED"/>
    <w:rsid w:val="0066793A"/>
    <w:rsid w:val="006705C0"/>
    <w:rsid w:val="00670ECA"/>
    <w:rsid w:val="0067453C"/>
    <w:rsid w:val="00676DAF"/>
    <w:rsid w:val="00677322"/>
    <w:rsid w:val="006778B9"/>
    <w:rsid w:val="00681115"/>
    <w:rsid w:val="006819DE"/>
    <w:rsid w:val="00682682"/>
    <w:rsid w:val="006834B2"/>
    <w:rsid w:val="00684AA1"/>
    <w:rsid w:val="00685856"/>
    <w:rsid w:val="00694589"/>
    <w:rsid w:val="006952F2"/>
    <w:rsid w:val="00695755"/>
    <w:rsid w:val="006A1EFD"/>
    <w:rsid w:val="006A2F6E"/>
    <w:rsid w:val="006A4258"/>
    <w:rsid w:val="006A7787"/>
    <w:rsid w:val="006B21B8"/>
    <w:rsid w:val="006B39C3"/>
    <w:rsid w:val="006B4F16"/>
    <w:rsid w:val="006B559E"/>
    <w:rsid w:val="006B596A"/>
    <w:rsid w:val="006B7314"/>
    <w:rsid w:val="006C0900"/>
    <w:rsid w:val="006C124A"/>
    <w:rsid w:val="006C1A72"/>
    <w:rsid w:val="006C7E2A"/>
    <w:rsid w:val="006D0FC4"/>
    <w:rsid w:val="006D3113"/>
    <w:rsid w:val="006D53C3"/>
    <w:rsid w:val="006E20F7"/>
    <w:rsid w:val="006E324C"/>
    <w:rsid w:val="006E3670"/>
    <w:rsid w:val="006E544F"/>
    <w:rsid w:val="006E5608"/>
    <w:rsid w:val="006E6B71"/>
    <w:rsid w:val="006E76F6"/>
    <w:rsid w:val="006F13B9"/>
    <w:rsid w:val="006F2963"/>
    <w:rsid w:val="006F39BB"/>
    <w:rsid w:val="006F43ED"/>
    <w:rsid w:val="006F5E8E"/>
    <w:rsid w:val="006F7A7F"/>
    <w:rsid w:val="00700AC2"/>
    <w:rsid w:val="0070710E"/>
    <w:rsid w:val="00711486"/>
    <w:rsid w:val="00714DA5"/>
    <w:rsid w:val="00722FD2"/>
    <w:rsid w:val="0072605F"/>
    <w:rsid w:val="00726B28"/>
    <w:rsid w:val="007325FB"/>
    <w:rsid w:val="007419CA"/>
    <w:rsid w:val="007439B0"/>
    <w:rsid w:val="007453D7"/>
    <w:rsid w:val="00746324"/>
    <w:rsid w:val="00750A3E"/>
    <w:rsid w:val="007537CF"/>
    <w:rsid w:val="007607E5"/>
    <w:rsid w:val="00762A9F"/>
    <w:rsid w:val="00763562"/>
    <w:rsid w:val="0076468B"/>
    <w:rsid w:val="00766957"/>
    <w:rsid w:val="00770AFC"/>
    <w:rsid w:val="00770C4A"/>
    <w:rsid w:val="007721D6"/>
    <w:rsid w:val="00772F83"/>
    <w:rsid w:val="007810E0"/>
    <w:rsid w:val="00782C6D"/>
    <w:rsid w:val="0078629A"/>
    <w:rsid w:val="00786542"/>
    <w:rsid w:val="00787CBC"/>
    <w:rsid w:val="00795A61"/>
    <w:rsid w:val="00795B23"/>
    <w:rsid w:val="00796490"/>
    <w:rsid w:val="007966AB"/>
    <w:rsid w:val="007A043F"/>
    <w:rsid w:val="007A5CC9"/>
    <w:rsid w:val="007A6933"/>
    <w:rsid w:val="007B0A29"/>
    <w:rsid w:val="007B2EC3"/>
    <w:rsid w:val="007B3505"/>
    <w:rsid w:val="007B3FD4"/>
    <w:rsid w:val="007B6B89"/>
    <w:rsid w:val="007B6D1B"/>
    <w:rsid w:val="007B7170"/>
    <w:rsid w:val="007B734A"/>
    <w:rsid w:val="007B79A6"/>
    <w:rsid w:val="007C10A4"/>
    <w:rsid w:val="007C1B9B"/>
    <w:rsid w:val="007C2427"/>
    <w:rsid w:val="007C581D"/>
    <w:rsid w:val="007C595C"/>
    <w:rsid w:val="007C5E23"/>
    <w:rsid w:val="007C6C51"/>
    <w:rsid w:val="007D0EDC"/>
    <w:rsid w:val="007D4093"/>
    <w:rsid w:val="007E0C4B"/>
    <w:rsid w:val="007E1F5C"/>
    <w:rsid w:val="007E20DF"/>
    <w:rsid w:val="007E3B40"/>
    <w:rsid w:val="007E4CFC"/>
    <w:rsid w:val="007E55FE"/>
    <w:rsid w:val="007E7D73"/>
    <w:rsid w:val="007F1BEA"/>
    <w:rsid w:val="007F1D45"/>
    <w:rsid w:val="007F213E"/>
    <w:rsid w:val="007F5239"/>
    <w:rsid w:val="00801312"/>
    <w:rsid w:val="008033AE"/>
    <w:rsid w:val="008105F2"/>
    <w:rsid w:val="00810983"/>
    <w:rsid w:val="00811029"/>
    <w:rsid w:val="0081533F"/>
    <w:rsid w:val="008170A9"/>
    <w:rsid w:val="008178C4"/>
    <w:rsid w:val="00817910"/>
    <w:rsid w:val="00817D60"/>
    <w:rsid w:val="00820D3D"/>
    <w:rsid w:val="00821862"/>
    <w:rsid w:val="00822DDD"/>
    <w:rsid w:val="00822E0E"/>
    <w:rsid w:val="00822EE3"/>
    <w:rsid w:val="00824045"/>
    <w:rsid w:val="008248AA"/>
    <w:rsid w:val="00827D7C"/>
    <w:rsid w:val="00831AF7"/>
    <w:rsid w:val="00834962"/>
    <w:rsid w:val="00836D48"/>
    <w:rsid w:val="00837900"/>
    <w:rsid w:val="00841100"/>
    <w:rsid w:val="00843CAF"/>
    <w:rsid w:val="00844C51"/>
    <w:rsid w:val="008459DC"/>
    <w:rsid w:val="00850B4C"/>
    <w:rsid w:val="00854A81"/>
    <w:rsid w:val="008627CE"/>
    <w:rsid w:val="008660E9"/>
    <w:rsid w:val="00867B01"/>
    <w:rsid w:val="00872D05"/>
    <w:rsid w:val="008747D4"/>
    <w:rsid w:val="00874DE0"/>
    <w:rsid w:val="008758E6"/>
    <w:rsid w:val="00877BA0"/>
    <w:rsid w:val="00880E66"/>
    <w:rsid w:val="00891437"/>
    <w:rsid w:val="00892012"/>
    <w:rsid w:val="00892567"/>
    <w:rsid w:val="00893D43"/>
    <w:rsid w:val="0089481D"/>
    <w:rsid w:val="00895B1E"/>
    <w:rsid w:val="00896903"/>
    <w:rsid w:val="008A49AB"/>
    <w:rsid w:val="008A5472"/>
    <w:rsid w:val="008A5A33"/>
    <w:rsid w:val="008A667F"/>
    <w:rsid w:val="008C744E"/>
    <w:rsid w:val="008D171E"/>
    <w:rsid w:val="008D4598"/>
    <w:rsid w:val="008D717B"/>
    <w:rsid w:val="008E0686"/>
    <w:rsid w:val="008E5E68"/>
    <w:rsid w:val="008E6917"/>
    <w:rsid w:val="008F2C56"/>
    <w:rsid w:val="008F44A6"/>
    <w:rsid w:val="008F4865"/>
    <w:rsid w:val="008F4AE5"/>
    <w:rsid w:val="0090372B"/>
    <w:rsid w:val="009048B9"/>
    <w:rsid w:val="00906C64"/>
    <w:rsid w:val="00907239"/>
    <w:rsid w:val="009118AB"/>
    <w:rsid w:val="00915419"/>
    <w:rsid w:val="00915F1E"/>
    <w:rsid w:val="00917877"/>
    <w:rsid w:val="009228A1"/>
    <w:rsid w:val="00922E57"/>
    <w:rsid w:val="00926BD4"/>
    <w:rsid w:val="009276DF"/>
    <w:rsid w:val="009313E3"/>
    <w:rsid w:val="009325BC"/>
    <w:rsid w:val="00935806"/>
    <w:rsid w:val="009472D7"/>
    <w:rsid w:val="00947400"/>
    <w:rsid w:val="009511A8"/>
    <w:rsid w:val="0095195F"/>
    <w:rsid w:val="00951AEA"/>
    <w:rsid w:val="009522FA"/>
    <w:rsid w:val="0095403B"/>
    <w:rsid w:val="009548BC"/>
    <w:rsid w:val="0095692C"/>
    <w:rsid w:val="00956A80"/>
    <w:rsid w:val="009632E2"/>
    <w:rsid w:val="009658DA"/>
    <w:rsid w:val="0097139D"/>
    <w:rsid w:val="00971D7D"/>
    <w:rsid w:val="00972E0E"/>
    <w:rsid w:val="0098020A"/>
    <w:rsid w:val="0098063C"/>
    <w:rsid w:val="00983E9E"/>
    <w:rsid w:val="00984064"/>
    <w:rsid w:val="009853C5"/>
    <w:rsid w:val="00985D67"/>
    <w:rsid w:val="0098713C"/>
    <w:rsid w:val="009911EF"/>
    <w:rsid w:val="00993101"/>
    <w:rsid w:val="00993495"/>
    <w:rsid w:val="00994216"/>
    <w:rsid w:val="009968E1"/>
    <w:rsid w:val="00997EE4"/>
    <w:rsid w:val="009A0314"/>
    <w:rsid w:val="009A37E1"/>
    <w:rsid w:val="009A3859"/>
    <w:rsid w:val="009A5A74"/>
    <w:rsid w:val="009A5B74"/>
    <w:rsid w:val="009A5D16"/>
    <w:rsid w:val="009B06B0"/>
    <w:rsid w:val="009B5CA6"/>
    <w:rsid w:val="009C5A2B"/>
    <w:rsid w:val="009D04D4"/>
    <w:rsid w:val="009D2F0F"/>
    <w:rsid w:val="009D4DC6"/>
    <w:rsid w:val="009E0548"/>
    <w:rsid w:val="009E08A7"/>
    <w:rsid w:val="009E17A7"/>
    <w:rsid w:val="009E1A47"/>
    <w:rsid w:val="009E4CF3"/>
    <w:rsid w:val="009F155F"/>
    <w:rsid w:val="009F18D2"/>
    <w:rsid w:val="009F1E90"/>
    <w:rsid w:val="009F3BD2"/>
    <w:rsid w:val="009F5CD3"/>
    <w:rsid w:val="00A02364"/>
    <w:rsid w:val="00A0681C"/>
    <w:rsid w:val="00A07CC7"/>
    <w:rsid w:val="00A10707"/>
    <w:rsid w:val="00A12E06"/>
    <w:rsid w:val="00A15A45"/>
    <w:rsid w:val="00A170E5"/>
    <w:rsid w:val="00A24611"/>
    <w:rsid w:val="00A261F1"/>
    <w:rsid w:val="00A26985"/>
    <w:rsid w:val="00A320B0"/>
    <w:rsid w:val="00A354D6"/>
    <w:rsid w:val="00A355ED"/>
    <w:rsid w:val="00A409DA"/>
    <w:rsid w:val="00A41469"/>
    <w:rsid w:val="00A43D5B"/>
    <w:rsid w:val="00A54C6B"/>
    <w:rsid w:val="00A5592F"/>
    <w:rsid w:val="00A60239"/>
    <w:rsid w:val="00A6113C"/>
    <w:rsid w:val="00A62A97"/>
    <w:rsid w:val="00A64969"/>
    <w:rsid w:val="00A6525D"/>
    <w:rsid w:val="00A66936"/>
    <w:rsid w:val="00A70E94"/>
    <w:rsid w:val="00A7162D"/>
    <w:rsid w:val="00A7461A"/>
    <w:rsid w:val="00A76117"/>
    <w:rsid w:val="00A8175F"/>
    <w:rsid w:val="00A82D07"/>
    <w:rsid w:val="00A858B8"/>
    <w:rsid w:val="00A907E7"/>
    <w:rsid w:val="00A94217"/>
    <w:rsid w:val="00A9469C"/>
    <w:rsid w:val="00A95CA6"/>
    <w:rsid w:val="00A9723A"/>
    <w:rsid w:val="00AA0022"/>
    <w:rsid w:val="00AA0320"/>
    <w:rsid w:val="00AA1814"/>
    <w:rsid w:val="00AA266D"/>
    <w:rsid w:val="00AA4D38"/>
    <w:rsid w:val="00AA6C68"/>
    <w:rsid w:val="00AB1815"/>
    <w:rsid w:val="00AB1838"/>
    <w:rsid w:val="00AB4659"/>
    <w:rsid w:val="00AC4E68"/>
    <w:rsid w:val="00AC5BF4"/>
    <w:rsid w:val="00AC5FB8"/>
    <w:rsid w:val="00AC63BF"/>
    <w:rsid w:val="00AD01F5"/>
    <w:rsid w:val="00AD4DD3"/>
    <w:rsid w:val="00AD525C"/>
    <w:rsid w:val="00AD65E7"/>
    <w:rsid w:val="00AD79EE"/>
    <w:rsid w:val="00AE40AE"/>
    <w:rsid w:val="00AE52C7"/>
    <w:rsid w:val="00AE5884"/>
    <w:rsid w:val="00AE6197"/>
    <w:rsid w:val="00AF0C56"/>
    <w:rsid w:val="00AF249B"/>
    <w:rsid w:val="00AF56EC"/>
    <w:rsid w:val="00AF5E25"/>
    <w:rsid w:val="00AF6C1D"/>
    <w:rsid w:val="00B0041C"/>
    <w:rsid w:val="00B00C16"/>
    <w:rsid w:val="00B11C32"/>
    <w:rsid w:val="00B12FD3"/>
    <w:rsid w:val="00B13B7B"/>
    <w:rsid w:val="00B13C5A"/>
    <w:rsid w:val="00B14A24"/>
    <w:rsid w:val="00B15EB6"/>
    <w:rsid w:val="00B16DE4"/>
    <w:rsid w:val="00B2013F"/>
    <w:rsid w:val="00B20B68"/>
    <w:rsid w:val="00B22081"/>
    <w:rsid w:val="00B22E04"/>
    <w:rsid w:val="00B239BB"/>
    <w:rsid w:val="00B24586"/>
    <w:rsid w:val="00B26DAC"/>
    <w:rsid w:val="00B30551"/>
    <w:rsid w:val="00B31A8B"/>
    <w:rsid w:val="00B40427"/>
    <w:rsid w:val="00B4144E"/>
    <w:rsid w:val="00B41F52"/>
    <w:rsid w:val="00B42953"/>
    <w:rsid w:val="00B462EF"/>
    <w:rsid w:val="00B5068D"/>
    <w:rsid w:val="00B572E6"/>
    <w:rsid w:val="00B57840"/>
    <w:rsid w:val="00B57CB9"/>
    <w:rsid w:val="00B61CC6"/>
    <w:rsid w:val="00B62011"/>
    <w:rsid w:val="00B634B3"/>
    <w:rsid w:val="00B63F46"/>
    <w:rsid w:val="00B644B5"/>
    <w:rsid w:val="00B64A98"/>
    <w:rsid w:val="00B65C43"/>
    <w:rsid w:val="00B672C2"/>
    <w:rsid w:val="00B67A18"/>
    <w:rsid w:val="00B739F1"/>
    <w:rsid w:val="00B74E6C"/>
    <w:rsid w:val="00B75A86"/>
    <w:rsid w:val="00B75F9E"/>
    <w:rsid w:val="00B80F3E"/>
    <w:rsid w:val="00B81AF0"/>
    <w:rsid w:val="00B81C70"/>
    <w:rsid w:val="00B85539"/>
    <w:rsid w:val="00B85A75"/>
    <w:rsid w:val="00B90E6E"/>
    <w:rsid w:val="00B918C3"/>
    <w:rsid w:val="00B973AD"/>
    <w:rsid w:val="00B97DB9"/>
    <w:rsid w:val="00BA22C2"/>
    <w:rsid w:val="00BA26CA"/>
    <w:rsid w:val="00BA3840"/>
    <w:rsid w:val="00BA4877"/>
    <w:rsid w:val="00BA594D"/>
    <w:rsid w:val="00BA5E53"/>
    <w:rsid w:val="00BA64E7"/>
    <w:rsid w:val="00BA68D7"/>
    <w:rsid w:val="00BA7104"/>
    <w:rsid w:val="00BB009E"/>
    <w:rsid w:val="00BB3170"/>
    <w:rsid w:val="00BB3417"/>
    <w:rsid w:val="00BB373C"/>
    <w:rsid w:val="00BB50F4"/>
    <w:rsid w:val="00BB5F62"/>
    <w:rsid w:val="00BC522B"/>
    <w:rsid w:val="00BD299A"/>
    <w:rsid w:val="00BD44BD"/>
    <w:rsid w:val="00BD494C"/>
    <w:rsid w:val="00BE4ECB"/>
    <w:rsid w:val="00BF4044"/>
    <w:rsid w:val="00BF59A1"/>
    <w:rsid w:val="00C013ED"/>
    <w:rsid w:val="00C0254B"/>
    <w:rsid w:val="00C02553"/>
    <w:rsid w:val="00C05C1A"/>
    <w:rsid w:val="00C06BA4"/>
    <w:rsid w:val="00C07878"/>
    <w:rsid w:val="00C201B1"/>
    <w:rsid w:val="00C22629"/>
    <w:rsid w:val="00C22BF4"/>
    <w:rsid w:val="00C27B5B"/>
    <w:rsid w:val="00C27D0D"/>
    <w:rsid w:val="00C30540"/>
    <w:rsid w:val="00C31595"/>
    <w:rsid w:val="00C40BB8"/>
    <w:rsid w:val="00C454D9"/>
    <w:rsid w:val="00C50261"/>
    <w:rsid w:val="00C51DFE"/>
    <w:rsid w:val="00C532F6"/>
    <w:rsid w:val="00C533F8"/>
    <w:rsid w:val="00C577F0"/>
    <w:rsid w:val="00C57D08"/>
    <w:rsid w:val="00C61892"/>
    <w:rsid w:val="00C61AEA"/>
    <w:rsid w:val="00C629C1"/>
    <w:rsid w:val="00C6341C"/>
    <w:rsid w:val="00C63DD3"/>
    <w:rsid w:val="00C647A4"/>
    <w:rsid w:val="00C65FA3"/>
    <w:rsid w:val="00C7654F"/>
    <w:rsid w:val="00C82C07"/>
    <w:rsid w:val="00C90B25"/>
    <w:rsid w:val="00C910D9"/>
    <w:rsid w:val="00C9272F"/>
    <w:rsid w:val="00C93542"/>
    <w:rsid w:val="00CA0A18"/>
    <w:rsid w:val="00CA23A1"/>
    <w:rsid w:val="00CA3967"/>
    <w:rsid w:val="00CA6F01"/>
    <w:rsid w:val="00CB0631"/>
    <w:rsid w:val="00CB761F"/>
    <w:rsid w:val="00CC0538"/>
    <w:rsid w:val="00CC199D"/>
    <w:rsid w:val="00CC3EB8"/>
    <w:rsid w:val="00CC74C7"/>
    <w:rsid w:val="00CD01CB"/>
    <w:rsid w:val="00CD1284"/>
    <w:rsid w:val="00CD3C8B"/>
    <w:rsid w:val="00CD4D30"/>
    <w:rsid w:val="00CD5999"/>
    <w:rsid w:val="00CD68BC"/>
    <w:rsid w:val="00CD6EDE"/>
    <w:rsid w:val="00CD7097"/>
    <w:rsid w:val="00CD70F1"/>
    <w:rsid w:val="00CD75BD"/>
    <w:rsid w:val="00CD766B"/>
    <w:rsid w:val="00CE0B3B"/>
    <w:rsid w:val="00CE3610"/>
    <w:rsid w:val="00CE4E06"/>
    <w:rsid w:val="00CE54F9"/>
    <w:rsid w:val="00CF567F"/>
    <w:rsid w:val="00CF5F8C"/>
    <w:rsid w:val="00D00E7A"/>
    <w:rsid w:val="00D01933"/>
    <w:rsid w:val="00D030F0"/>
    <w:rsid w:val="00D03698"/>
    <w:rsid w:val="00D05A15"/>
    <w:rsid w:val="00D05F3D"/>
    <w:rsid w:val="00D06B98"/>
    <w:rsid w:val="00D132C5"/>
    <w:rsid w:val="00D13593"/>
    <w:rsid w:val="00D20C5E"/>
    <w:rsid w:val="00D235CD"/>
    <w:rsid w:val="00D246E3"/>
    <w:rsid w:val="00D24AF7"/>
    <w:rsid w:val="00D26C80"/>
    <w:rsid w:val="00D271AD"/>
    <w:rsid w:val="00D323C8"/>
    <w:rsid w:val="00D3492F"/>
    <w:rsid w:val="00D35A02"/>
    <w:rsid w:val="00D4022F"/>
    <w:rsid w:val="00D437AF"/>
    <w:rsid w:val="00D44C2E"/>
    <w:rsid w:val="00D467BF"/>
    <w:rsid w:val="00D5030C"/>
    <w:rsid w:val="00D565AA"/>
    <w:rsid w:val="00D60B5A"/>
    <w:rsid w:val="00D61534"/>
    <w:rsid w:val="00D633E1"/>
    <w:rsid w:val="00D64877"/>
    <w:rsid w:val="00D72177"/>
    <w:rsid w:val="00D731F4"/>
    <w:rsid w:val="00D7324F"/>
    <w:rsid w:val="00D759AB"/>
    <w:rsid w:val="00D803A7"/>
    <w:rsid w:val="00D804F9"/>
    <w:rsid w:val="00D84535"/>
    <w:rsid w:val="00D84640"/>
    <w:rsid w:val="00D906F9"/>
    <w:rsid w:val="00D90875"/>
    <w:rsid w:val="00D94C9F"/>
    <w:rsid w:val="00DA02EF"/>
    <w:rsid w:val="00DA1685"/>
    <w:rsid w:val="00DA2138"/>
    <w:rsid w:val="00DA68A0"/>
    <w:rsid w:val="00DA77A3"/>
    <w:rsid w:val="00DB2F95"/>
    <w:rsid w:val="00DC0EE2"/>
    <w:rsid w:val="00DC1C36"/>
    <w:rsid w:val="00DC37F7"/>
    <w:rsid w:val="00DC5602"/>
    <w:rsid w:val="00DC5C67"/>
    <w:rsid w:val="00DC5FB8"/>
    <w:rsid w:val="00DC7065"/>
    <w:rsid w:val="00DD0B6A"/>
    <w:rsid w:val="00DD37FF"/>
    <w:rsid w:val="00DD4535"/>
    <w:rsid w:val="00DD689A"/>
    <w:rsid w:val="00DD7FE0"/>
    <w:rsid w:val="00DE0160"/>
    <w:rsid w:val="00DE0EAA"/>
    <w:rsid w:val="00DE4053"/>
    <w:rsid w:val="00DF3FA7"/>
    <w:rsid w:val="00DF5B14"/>
    <w:rsid w:val="00E02EE1"/>
    <w:rsid w:val="00E07EFF"/>
    <w:rsid w:val="00E1499C"/>
    <w:rsid w:val="00E17CA7"/>
    <w:rsid w:val="00E2017D"/>
    <w:rsid w:val="00E20526"/>
    <w:rsid w:val="00E2203F"/>
    <w:rsid w:val="00E2630C"/>
    <w:rsid w:val="00E267CF"/>
    <w:rsid w:val="00E31C36"/>
    <w:rsid w:val="00E33EB3"/>
    <w:rsid w:val="00E35130"/>
    <w:rsid w:val="00E37E8F"/>
    <w:rsid w:val="00E40848"/>
    <w:rsid w:val="00E418C1"/>
    <w:rsid w:val="00E4201C"/>
    <w:rsid w:val="00E455B4"/>
    <w:rsid w:val="00E465A1"/>
    <w:rsid w:val="00E46D93"/>
    <w:rsid w:val="00E52D3F"/>
    <w:rsid w:val="00E54DFB"/>
    <w:rsid w:val="00E56011"/>
    <w:rsid w:val="00E57447"/>
    <w:rsid w:val="00E60E93"/>
    <w:rsid w:val="00E626AA"/>
    <w:rsid w:val="00E64F0C"/>
    <w:rsid w:val="00E711D0"/>
    <w:rsid w:val="00E72EC5"/>
    <w:rsid w:val="00E7448F"/>
    <w:rsid w:val="00E752BD"/>
    <w:rsid w:val="00E75B3C"/>
    <w:rsid w:val="00E76749"/>
    <w:rsid w:val="00E80713"/>
    <w:rsid w:val="00E8574B"/>
    <w:rsid w:val="00E90D65"/>
    <w:rsid w:val="00E94883"/>
    <w:rsid w:val="00E963F2"/>
    <w:rsid w:val="00E97027"/>
    <w:rsid w:val="00EA3C7B"/>
    <w:rsid w:val="00EA3F48"/>
    <w:rsid w:val="00EA503A"/>
    <w:rsid w:val="00EA6AE3"/>
    <w:rsid w:val="00EA7169"/>
    <w:rsid w:val="00EB0F53"/>
    <w:rsid w:val="00EB2300"/>
    <w:rsid w:val="00EB58CE"/>
    <w:rsid w:val="00ED0AB5"/>
    <w:rsid w:val="00ED1B6D"/>
    <w:rsid w:val="00ED2688"/>
    <w:rsid w:val="00ED718B"/>
    <w:rsid w:val="00EE4AEF"/>
    <w:rsid w:val="00EE6746"/>
    <w:rsid w:val="00EF60B4"/>
    <w:rsid w:val="00F00B73"/>
    <w:rsid w:val="00F0704C"/>
    <w:rsid w:val="00F10D70"/>
    <w:rsid w:val="00F1641E"/>
    <w:rsid w:val="00F247C0"/>
    <w:rsid w:val="00F252D1"/>
    <w:rsid w:val="00F3478A"/>
    <w:rsid w:val="00F35526"/>
    <w:rsid w:val="00F3729B"/>
    <w:rsid w:val="00F41B69"/>
    <w:rsid w:val="00F46673"/>
    <w:rsid w:val="00F513BC"/>
    <w:rsid w:val="00F54844"/>
    <w:rsid w:val="00F60AB6"/>
    <w:rsid w:val="00F61E95"/>
    <w:rsid w:val="00F654AD"/>
    <w:rsid w:val="00F7170E"/>
    <w:rsid w:val="00F71CFB"/>
    <w:rsid w:val="00F72197"/>
    <w:rsid w:val="00F72683"/>
    <w:rsid w:val="00F73078"/>
    <w:rsid w:val="00F8332F"/>
    <w:rsid w:val="00F86C89"/>
    <w:rsid w:val="00F92A01"/>
    <w:rsid w:val="00F96E97"/>
    <w:rsid w:val="00FA1EE2"/>
    <w:rsid w:val="00FA3F8C"/>
    <w:rsid w:val="00FA6868"/>
    <w:rsid w:val="00FA6F41"/>
    <w:rsid w:val="00FB0964"/>
    <w:rsid w:val="00FB2477"/>
    <w:rsid w:val="00FB596E"/>
    <w:rsid w:val="00FB5F3F"/>
    <w:rsid w:val="00FC7815"/>
    <w:rsid w:val="00FD3791"/>
    <w:rsid w:val="00FD485D"/>
    <w:rsid w:val="00FD5572"/>
    <w:rsid w:val="00FD68B1"/>
    <w:rsid w:val="00FE33D6"/>
    <w:rsid w:val="00FF3EC8"/>
    <w:rsid w:val="00FF4449"/>
    <w:rsid w:val="00FF4BA2"/>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B9"/>
  </w:style>
  <w:style w:type="paragraph" w:styleId="Heading1">
    <w:name w:val="heading 1"/>
    <w:basedOn w:val="Normal"/>
    <w:next w:val="Normal"/>
    <w:link w:val="Heading1Char"/>
    <w:uiPriority w:val="9"/>
    <w:qFormat/>
    <w:rsid w:val="00336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2A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78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07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CC7"/>
    <w:rPr>
      <w:sz w:val="20"/>
      <w:szCs w:val="20"/>
    </w:rPr>
  </w:style>
  <w:style w:type="character" w:styleId="FootnoteReference">
    <w:name w:val="footnote reference"/>
    <w:basedOn w:val="DefaultParagraphFont"/>
    <w:uiPriority w:val="99"/>
    <w:semiHidden/>
    <w:unhideWhenUsed/>
    <w:rsid w:val="00A07CC7"/>
    <w:rPr>
      <w:vertAlign w:val="superscript"/>
    </w:rPr>
  </w:style>
  <w:style w:type="paragraph" w:styleId="Title">
    <w:name w:val="Title"/>
    <w:basedOn w:val="Normal"/>
    <w:next w:val="Normal"/>
    <w:link w:val="TitleChar"/>
    <w:uiPriority w:val="10"/>
    <w:qFormat/>
    <w:rsid w:val="00DD7F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7FE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23A1"/>
    <w:pPr>
      <w:ind w:left="720"/>
      <w:contextualSpacing/>
    </w:pPr>
  </w:style>
  <w:style w:type="paragraph" w:styleId="TOCHeading">
    <w:name w:val="TOC Heading"/>
    <w:basedOn w:val="Heading1"/>
    <w:next w:val="Normal"/>
    <w:uiPriority w:val="39"/>
    <w:semiHidden/>
    <w:unhideWhenUsed/>
    <w:qFormat/>
    <w:rsid w:val="00E37E8F"/>
    <w:pPr>
      <w:outlineLvl w:val="9"/>
    </w:pPr>
  </w:style>
  <w:style w:type="paragraph" w:styleId="TOC1">
    <w:name w:val="toc 1"/>
    <w:basedOn w:val="Normal"/>
    <w:next w:val="Normal"/>
    <w:autoRedefine/>
    <w:uiPriority w:val="39"/>
    <w:unhideWhenUsed/>
    <w:rsid w:val="00E37E8F"/>
    <w:pPr>
      <w:spacing w:after="100"/>
    </w:pPr>
  </w:style>
  <w:style w:type="paragraph" w:styleId="TOC2">
    <w:name w:val="toc 2"/>
    <w:basedOn w:val="Normal"/>
    <w:next w:val="Normal"/>
    <w:autoRedefine/>
    <w:uiPriority w:val="39"/>
    <w:unhideWhenUsed/>
    <w:rsid w:val="00E37E8F"/>
    <w:pPr>
      <w:spacing w:after="100"/>
      <w:ind w:left="220"/>
    </w:pPr>
  </w:style>
  <w:style w:type="character" w:styleId="Hyperlink">
    <w:name w:val="Hyperlink"/>
    <w:basedOn w:val="DefaultParagraphFont"/>
    <w:uiPriority w:val="99"/>
    <w:unhideWhenUsed/>
    <w:rsid w:val="00E37E8F"/>
    <w:rPr>
      <w:color w:val="0000FF" w:themeColor="hyperlink"/>
      <w:u w:val="single"/>
    </w:rPr>
  </w:style>
  <w:style w:type="paragraph" w:styleId="BalloonText">
    <w:name w:val="Balloon Text"/>
    <w:basedOn w:val="Normal"/>
    <w:link w:val="BalloonTextChar"/>
    <w:uiPriority w:val="99"/>
    <w:semiHidden/>
    <w:unhideWhenUsed/>
    <w:rsid w:val="00E37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8F"/>
    <w:rPr>
      <w:rFonts w:ascii="Tahoma" w:hAnsi="Tahoma" w:cs="Tahoma"/>
      <w:sz w:val="16"/>
      <w:szCs w:val="16"/>
    </w:rPr>
  </w:style>
  <w:style w:type="character" w:styleId="FollowedHyperlink">
    <w:name w:val="FollowedHyperlink"/>
    <w:basedOn w:val="DefaultParagraphFont"/>
    <w:uiPriority w:val="99"/>
    <w:semiHidden/>
    <w:unhideWhenUsed/>
    <w:rsid w:val="00A8175F"/>
    <w:rPr>
      <w:color w:val="800080" w:themeColor="followedHyperlink"/>
      <w:u w:val="single"/>
    </w:rPr>
  </w:style>
  <w:style w:type="character" w:customStyle="1" w:styleId="Heading3Char">
    <w:name w:val="Heading 3 Char"/>
    <w:basedOn w:val="DefaultParagraphFont"/>
    <w:link w:val="Heading3"/>
    <w:uiPriority w:val="9"/>
    <w:rsid w:val="00362A7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D4093"/>
    <w:pPr>
      <w:spacing w:after="100"/>
      <w:ind w:left="440"/>
    </w:pPr>
  </w:style>
  <w:style w:type="paragraph" w:styleId="Caption">
    <w:name w:val="caption"/>
    <w:basedOn w:val="Normal"/>
    <w:next w:val="Normal"/>
    <w:uiPriority w:val="99"/>
    <w:unhideWhenUsed/>
    <w:qFormat/>
    <w:rsid w:val="005F3CF5"/>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8F44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4A6"/>
  </w:style>
  <w:style w:type="paragraph" w:styleId="Footer">
    <w:name w:val="footer"/>
    <w:basedOn w:val="Normal"/>
    <w:link w:val="FooterChar"/>
    <w:uiPriority w:val="99"/>
    <w:unhideWhenUsed/>
    <w:rsid w:val="008F4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A6"/>
  </w:style>
  <w:style w:type="character" w:styleId="PlaceholderText">
    <w:name w:val="Placeholder Text"/>
    <w:basedOn w:val="DefaultParagraphFont"/>
    <w:uiPriority w:val="99"/>
    <w:semiHidden/>
    <w:rsid w:val="00D94C9F"/>
    <w:rPr>
      <w:color w:val="808080"/>
    </w:rPr>
  </w:style>
  <w:style w:type="table" w:styleId="TableGrid">
    <w:name w:val="Table Grid"/>
    <w:basedOn w:val="TableNormal"/>
    <w:uiPriority w:val="59"/>
    <w:rsid w:val="00D50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D503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chtearcering-accent11">
    <w:name w:val="Lichte arcering - accent 11"/>
    <w:basedOn w:val="TableNormal"/>
    <w:uiPriority w:val="60"/>
    <w:rsid w:val="00B15E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chtearcering-accent111">
    <w:name w:val="Lichte arcering - accent 111"/>
    <w:basedOn w:val="TableNormal"/>
    <w:uiPriority w:val="60"/>
    <w:rsid w:val="00AC5BF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uiPriority w:val="99"/>
    <w:unhideWhenUsed/>
    <w:rsid w:val="00915F1E"/>
    <w:pPr>
      <w:spacing w:after="0"/>
    </w:pPr>
  </w:style>
  <w:style w:type="table" w:customStyle="1" w:styleId="Lichtearcering-accent12">
    <w:name w:val="Lichte arcering - accent 12"/>
    <w:basedOn w:val="TableNormal"/>
    <w:uiPriority w:val="60"/>
    <w:rsid w:val="00FE33D6"/>
    <w:pPr>
      <w:spacing w:after="0" w:line="240" w:lineRule="auto"/>
    </w:pPr>
    <w:rPr>
      <w:rFonts w:ascii="Calibri" w:eastAsia="Calibri" w:hAnsi="Calibri"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2A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78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07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CC7"/>
    <w:rPr>
      <w:sz w:val="20"/>
      <w:szCs w:val="20"/>
    </w:rPr>
  </w:style>
  <w:style w:type="character" w:styleId="FootnoteReference">
    <w:name w:val="footnote reference"/>
    <w:basedOn w:val="DefaultParagraphFont"/>
    <w:uiPriority w:val="99"/>
    <w:semiHidden/>
    <w:unhideWhenUsed/>
    <w:rsid w:val="00A07CC7"/>
    <w:rPr>
      <w:vertAlign w:val="superscript"/>
    </w:rPr>
  </w:style>
  <w:style w:type="paragraph" w:styleId="Title">
    <w:name w:val="Title"/>
    <w:basedOn w:val="Normal"/>
    <w:next w:val="Normal"/>
    <w:link w:val="TitleChar"/>
    <w:uiPriority w:val="10"/>
    <w:qFormat/>
    <w:rsid w:val="00DD7F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7FE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23A1"/>
    <w:pPr>
      <w:ind w:left="720"/>
      <w:contextualSpacing/>
    </w:pPr>
  </w:style>
  <w:style w:type="paragraph" w:styleId="TOCHeading">
    <w:name w:val="TOC Heading"/>
    <w:basedOn w:val="Heading1"/>
    <w:next w:val="Normal"/>
    <w:uiPriority w:val="39"/>
    <w:semiHidden/>
    <w:unhideWhenUsed/>
    <w:qFormat/>
    <w:rsid w:val="00E37E8F"/>
    <w:pPr>
      <w:outlineLvl w:val="9"/>
    </w:pPr>
  </w:style>
  <w:style w:type="paragraph" w:styleId="TOC1">
    <w:name w:val="toc 1"/>
    <w:basedOn w:val="Normal"/>
    <w:next w:val="Normal"/>
    <w:autoRedefine/>
    <w:uiPriority w:val="39"/>
    <w:unhideWhenUsed/>
    <w:rsid w:val="00E37E8F"/>
    <w:pPr>
      <w:spacing w:after="100"/>
    </w:pPr>
  </w:style>
  <w:style w:type="paragraph" w:styleId="TOC2">
    <w:name w:val="toc 2"/>
    <w:basedOn w:val="Normal"/>
    <w:next w:val="Normal"/>
    <w:autoRedefine/>
    <w:uiPriority w:val="39"/>
    <w:unhideWhenUsed/>
    <w:rsid w:val="00E37E8F"/>
    <w:pPr>
      <w:spacing w:after="100"/>
      <w:ind w:left="220"/>
    </w:pPr>
  </w:style>
  <w:style w:type="character" w:styleId="Hyperlink">
    <w:name w:val="Hyperlink"/>
    <w:basedOn w:val="DefaultParagraphFont"/>
    <w:uiPriority w:val="99"/>
    <w:unhideWhenUsed/>
    <w:rsid w:val="00E37E8F"/>
    <w:rPr>
      <w:color w:val="0000FF" w:themeColor="hyperlink"/>
      <w:u w:val="single"/>
    </w:rPr>
  </w:style>
  <w:style w:type="paragraph" w:styleId="BalloonText">
    <w:name w:val="Balloon Text"/>
    <w:basedOn w:val="Normal"/>
    <w:link w:val="BalloonTextChar"/>
    <w:uiPriority w:val="99"/>
    <w:semiHidden/>
    <w:unhideWhenUsed/>
    <w:rsid w:val="00E37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8F"/>
    <w:rPr>
      <w:rFonts w:ascii="Tahoma" w:hAnsi="Tahoma" w:cs="Tahoma"/>
      <w:sz w:val="16"/>
      <w:szCs w:val="16"/>
    </w:rPr>
  </w:style>
  <w:style w:type="character" w:styleId="FollowedHyperlink">
    <w:name w:val="FollowedHyperlink"/>
    <w:basedOn w:val="DefaultParagraphFont"/>
    <w:uiPriority w:val="99"/>
    <w:semiHidden/>
    <w:unhideWhenUsed/>
    <w:rsid w:val="00A8175F"/>
    <w:rPr>
      <w:color w:val="800080" w:themeColor="followedHyperlink"/>
      <w:u w:val="single"/>
    </w:rPr>
  </w:style>
  <w:style w:type="character" w:customStyle="1" w:styleId="Heading3Char">
    <w:name w:val="Heading 3 Char"/>
    <w:basedOn w:val="DefaultParagraphFont"/>
    <w:link w:val="Heading3"/>
    <w:uiPriority w:val="9"/>
    <w:rsid w:val="00362A7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D4093"/>
    <w:pPr>
      <w:spacing w:after="100"/>
      <w:ind w:left="440"/>
    </w:pPr>
  </w:style>
  <w:style w:type="paragraph" w:styleId="Caption">
    <w:name w:val="caption"/>
    <w:basedOn w:val="Normal"/>
    <w:next w:val="Normal"/>
    <w:uiPriority w:val="35"/>
    <w:unhideWhenUsed/>
    <w:qFormat/>
    <w:rsid w:val="005F3CF5"/>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8F44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4A6"/>
  </w:style>
  <w:style w:type="paragraph" w:styleId="Footer">
    <w:name w:val="footer"/>
    <w:basedOn w:val="Normal"/>
    <w:link w:val="FooterChar"/>
    <w:uiPriority w:val="99"/>
    <w:unhideWhenUsed/>
    <w:rsid w:val="008F4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A6"/>
  </w:style>
  <w:style w:type="character" w:styleId="PlaceholderText">
    <w:name w:val="Placeholder Text"/>
    <w:basedOn w:val="DefaultParagraphFont"/>
    <w:uiPriority w:val="99"/>
    <w:semiHidden/>
    <w:rsid w:val="00D94C9F"/>
    <w:rPr>
      <w:color w:val="808080"/>
    </w:rPr>
  </w:style>
  <w:style w:type="table" w:styleId="TableGrid">
    <w:name w:val="Table Grid"/>
    <w:basedOn w:val="TableNormal"/>
    <w:uiPriority w:val="59"/>
    <w:rsid w:val="00D50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D503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8411487">
      <w:bodyDiv w:val="1"/>
      <w:marLeft w:val="0"/>
      <w:marRight w:val="0"/>
      <w:marTop w:val="0"/>
      <w:marBottom w:val="0"/>
      <w:divBdr>
        <w:top w:val="none" w:sz="0" w:space="0" w:color="auto"/>
        <w:left w:val="none" w:sz="0" w:space="0" w:color="auto"/>
        <w:bottom w:val="none" w:sz="0" w:space="0" w:color="auto"/>
        <w:right w:val="none" w:sz="0" w:space="0" w:color="auto"/>
      </w:divBdr>
    </w:div>
    <w:div w:id="30960336">
      <w:bodyDiv w:val="1"/>
      <w:marLeft w:val="0"/>
      <w:marRight w:val="0"/>
      <w:marTop w:val="0"/>
      <w:marBottom w:val="0"/>
      <w:divBdr>
        <w:top w:val="none" w:sz="0" w:space="0" w:color="auto"/>
        <w:left w:val="none" w:sz="0" w:space="0" w:color="auto"/>
        <w:bottom w:val="none" w:sz="0" w:space="0" w:color="auto"/>
        <w:right w:val="none" w:sz="0" w:space="0" w:color="auto"/>
      </w:divBdr>
    </w:div>
    <w:div w:id="84348012">
      <w:bodyDiv w:val="1"/>
      <w:marLeft w:val="0"/>
      <w:marRight w:val="0"/>
      <w:marTop w:val="0"/>
      <w:marBottom w:val="0"/>
      <w:divBdr>
        <w:top w:val="none" w:sz="0" w:space="0" w:color="auto"/>
        <w:left w:val="none" w:sz="0" w:space="0" w:color="auto"/>
        <w:bottom w:val="none" w:sz="0" w:space="0" w:color="auto"/>
        <w:right w:val="none" w:sz="0" w:space="0" w:color="auto"/>
      </w:divBdr>
    </w:div>
    <w:div w:id="141042073">
      <w:bodyDiv w:val="1"/>
      <w:marLeft w:val="0"/>
      <w:marRight w:val="0"/>
      <w:marTop w:val="0"/>
      <w:marBottom w:val="0"/>
      <w:divBdr>
        <w:top w:val="none" w:sz="0" w:space="0" w:color="auto"/>
        <w:left w:val="none" w:sz="0" w:space="0" w:color="auto"/>
        <w:bottom w:val="none" w:sz="0" w:space="0" w:color="auto"/>
        <w:right w:val="none" w:sz="0" w:space="0" w:color="auto"/>
      </w:divBdr>
    </w:div>
    <w:div w:id="144052729">
      <w:bodyDiv w:val="1"/>
      <w:marLeft w:val="0"/>
      <w:marRight w:val="0"/>
      <w:marTop w:val="0"/>
      <w:marBottom w:val="0"/>
      <w:divBdr>
        <w:top w:val="none" w:sz="0" w:space="0" w:color="auto"/>
        <w:left w:val="none" w:sz="0" w:space="0" w:color="auto"/>
        <w:bottom w:val="none" w:sz="0" w:space="0" w:color="auto"/>
        <w:right w:val="none" w:sz="0" w:space="0" w:color="auto"/>
      </w:divBdr>
    </w:div>
    <w:div w:id="198010691">
      <w:bodyDiv w:val="1"/>
      <w:marLeft w:val="0"/>
      <w:marRight w:val="0"/>
      <w:marTop w:val="0"/>
      <w:marBottom w:val="0"/>
      <w:divBdr>
        <w:top w:val="none" w:sz="0" w:space="0" w:color="auto"/>
        <w:left w:val="none" w:sz="0" w:space="0" w:color="auto"/>
        <w:bottom w:val="none" w:sz="0" w:space="0" w:color="auto"/>
        <w:right w:val="none" w:sz="0" w:space="0" w:color="auto"/>
      </w:divBdr>
    </w:div>
    <w:div w:id="232855795">
      <w:bodyDiv w:val="1"/>
      <w:marLeft w:val="0"/>
      <w:marRight w:val="0"/>
      <w:marTop w:val="0"/>
      <w:marBottom w:val="0"/>
      <w:divBdr>
        <w:top w:val="none" w:sz="0" w:space="0" w:color="auto"/>
        <w:left w:val="none" w:sz="0" w:space="0" w:color="auto"/>
        <w:bottom w:val="none" w:sz="0" w:space="0" w:color="auto"/>
        <w:right w:val="none" w:sz="0" w:space="0" w:color="auto"/>
      </w:divBdr>
    </w:div>
    <w:div w:id="272831515">
      <w:bodyDiv w:val="1"/>
      <w:marLeft w:val="0"/>
      <w:marRight w:val="0"/>
      <w:marTop w:val="0"/>
      <w:marBottom w:val="0"/>
      <w:divBdr>
        <w:top w:val="none" w:sz="0" w:space="0" w:color="auto"/>
        <w:left w:val="none" w:sz="0" w:space="0" w:color="auto"/>
        <w:bottom w:val="none" w:sz="0" w:space="0" w:color="auto"/>
        <w:right w:val="none" w:sz="0" w:space="0" w:color="auto"/>
      </w:divBdr>
    </w:div>
    <w:div w:id="282468102">
      <w:bodyDiv w:val="1"/>
      <w:marLeft w:val="0"/>
      <w:marRight w:val="0"/>
      <w:marTop w:val="0"/>
      <w:marBottom w:val="0"/>
      <w:divBdr>
        <w:top w:val="none" w:sz="0" w:space="0" w:color="auto"/>
        <w:left w:val="none" w:sz="0" w:space="0" w:color="auto"/>
        <w:bottom w:val="none" w:sz="0" w:space="0" w:color="auto"/>
        <w:right w:val="none" w:sz="0" w:space="0" w:color="auto"/>
      </w:divBdr>
    </w:div>
    <w:div w:id="312639387">
      <w:bodyDiv w:val="1"/>
      <w:marLeft w:val="0"/>
      <w:marRight w:val="0"/>
      <w:marTop w:val="0"/>
      <w:marBottom w:val="0"/>
      <w:divBdr>
        <w:top w:val="none" w:sz="0" w:space="0" w:color="auto"/>
        <w:left w:val="none" w:sz="0" w:space="0" w:color="auto"/>
        <w:bottom w:val="none" w:sz="0" w:space="0" w:color="auto"/>
        <w:right w:val="none" w:sz="0" w:space="0" w:color="auto"/>
      </w:divBdr>
    </w:div>
    <w:div w:id="328604501">
      <w:bodyDiv w:val="1"/>
      <w:marLeft w:val="0"/>
      <w:marRight w:val="0"/>
      <w:marTop w:val="0"/>
      <w:marBottom w:val="0"/>
      <w:divBdr>
        <w:top w:val="none" w:sz="0" w:space="0" w:color="auto"/>
        <w:left w:val="none" w:sz="0" w:space="0" w:color="auto"/>
        <w:bottom w:val="none" w:sz="0" w:space="0" w:color="auto"/>
        <w:right w:val="none" w:sz="0" w:space="0" w:color="auto"/>
      </w:divBdr>
    </w:div>
    <w:div w:id="365183508">
      <w:bodyDiv w:val="1"/>
      <w:marLeft w:val="0"/>
      <w:marRight w:val="0"/>
      <w:marTop w:val="0"/>
      <w:marBottom w:val="0"/>
      <w:divBdr>
        <w:top w:val="none" w:sz="0" w:space="0" w:color="auto"/>
        <w:left w:val="none" w:sz="0" w:space="0" w:color="auto"/>
        <w:bottom w:val="none" w:sz="0" w:space="0" w:color="auto"/>
        <w:right w:val="none" w:sz="0" w:space="0" w:color="auto"/>
      </w:divBdr>
    </w:div>
    <w:div w:id="374232193">
      <w:bodyDiv w:val="1"/>
      <w:marLeft w:val="0"/>
      <w:marRight w:val="0"/>
      <w:marTop w:val="0"/>
      <w:marBottom w:val="0"/>
      <w:divBdr>
        <w:top w:val="none" w:sz="0" w:space="0" w:color="auto"/>
        <w:left w:val="none" w:sz="0" w:space="0" w:color="auto"/>
        <w:bottom w:val="none" w:sz="0" w:space="0" w:color="auto"/>
        <w:right w:val="none" w:sz="0" w:space="0" w:color="auto"/>
      </w:divBdr>
    </w:div>
    <w:div w:id="385378299">
      <w:bodyDiv w:val="1"/>
      <w:marLeft w:val="0"/>
      <w:marRight w:val="0"/>
      <w:marTop w:val="0"/>
      <w:marBottom w:val="0"/>
      <w:divBdr>
        <w:top w:val="none" w:sz="0" w:space="0" w:color="auto"/>
        <w:left w:val="none" w:sz="0" w:space="0" w:color="auto"/>
        <w:bottom w:val="none" w:sz="0" w:space="0" w:color="auto"/>
        <w:right w:val="none" w:sz="0" w:space="0" w:color="auto"/>
      </w:divBdr>
    </w:div>
    <w:div w:id="468010984">
      <w:bodyDiv w:val="1"/>
      <w:marLeft w:val="0"/>
      <w:marRight w:val="0"/>
      <w:marTop w:val="0"/>
      <w:marBottom w:val="0"/>
      <w:divBdr>
        <w:top w:val="none" w:sz="0" w:space="0" w:color="auto"/>
        <w:left w:val="none" w:sz="0" w:space="0" w:color="auto"/>
        <w:bottom w:val="none" w:sz="0" w:space="0" w:color="auto"/>
        <w:right w:val="none" w:sz="0" w:space="0" w:color="auto"/>
      </w:divBdr>
    </w:div>
    <w:div w:id="494145810">
      <w:bodyDiv w:val="1"/>
      <w:marLeft w:val="0"/>
      <w:marRight w:val="0"/>
      <w:marTop w:val="0"/>
      <w:marBottom w:val="0"/>
      <w:divBdr>
        <w:top w:val="none" w:sz="0" w:space="0" w:color="auto"/>
        <w:left w:val="none" w:sz="0" w:space="0" w:color="auto"/>
        <w:bottom w:val="none" w:sz="0" w:space="0" w:color="auto"/>
        <w:right w:val="none" w:sz="0" w:space="0" w:color="auto"/>
      </w:divBdr>
    </w:div>
    <w:div w:id="547837645">
      <w:bodyDiv w:val="1"/>
      <w:marLeft w:val="0"/>
      <w:marRight w:val="0"/>
      <w:marTop w:val="0"/>
      <w:marBottom w:val="0"/>
      <w:divBdr>
        <w:top w:val="none" w:sz="0" w:space="0" w:color="auto"/>
        <w:left w:val="none" w:sz="0" w:space="0" w:color="auto"/>
        <w:bottom w:val="none" w:sz="0" w:space="0" w:color="auto"/>
        <w:right w:val="none" w:sz="0" w:space="0" w:color="auto"/>
      </w:divBdr>
    </w:div>
    <w:div w:id="580794869">
      <w:bodyDiv w:val="1"/>
      <w:marLeft w:val="0"/>
      <w:marRight w:val="0"/>
      <w:marTop w:val="0"/>
      <w:marBottom w:val="0"/>
      <w:divBdr>
        <w:top w:val="none" w:sz="0" w:space="0" w:color="auto"/>
        <w:left w:val="none" w:sz="0" w:space="0" w:color="auto"/>
        <w:bottom w:val="none" w:sz="0" w:space="0" w:color="auto"/>
        <w:right w:val="none" w:sz="0" w:space="0" w:color="auto"/>
      </w:divBdr>
    </w:div>
    <w:div w:id="606158134">
      <w:bodyDiv w:val="1"/>
      <w:marLeft w:val="0"/>
      <w:marRight w:val="0"/>
      <w:marTop w:val="0"/>
      <w:marBottom w:val="0"/>
      <w:divBdr>
        <w:top w:val="none" w:sz="0" w:space="0" w:color="auto"/>
        <w:left w:val="none" w:sz="0" w:space="0" w:color="auto"/>
        <w:bottom w:val="none" w:sz="0" w:space="0" w:color="auto"/>
        <w:right w:val="none" w:sz="0" w:space="0" w:color="auto"/>
      </w:divBdr>
    </w:div>
    <w:div w:id="676999307">
      <w:bodyDiv w:val="1"/>
      <w:marLeft w:val="0"/>
      <w:marRight w:val="0"/>
      <w:marTop w:val="0"/>
      <w:marBottom w:val="0"/>
      <w:divBdr>
        <w:top w:val="none" w:sz="0" w:space="0" w:color="auto"/>
        <w:left w:val="none" w:sz="0" w:space="0" w:color="auto"/>
        <w:bottom w:val="none" w:sz="0" w:space="0" w:color="auto"/>
        <w:right w:val="none" w:sz="0" w:space="0" w:color="auto"/>
      </w:divBdr>
    </w:div>
    <w:div w:id="687220061">
      <w:bodyDiv w:val="1"/>
      <w:marLeft w:val="0"/>
      <w:marRight w:val="0"/>
      <w:marTop w:val="0"/>
      <w:marBottom w:val="0"/>
      <w:divBdr>
        <w:top w:val="none" w:sz="0" w:space="0" w:color="auto"/>
        <w:left w:val="none" w:sz="0" w:space="0" w:color="auto"/>
        <w:bottom w:val="none" w:sz="0" w:space="0" w:color="auto"/>
        <w:right w:val="none" w:sz="0" w:space="0" w:color="auto"/>
      </w:divBdr>
    </w:div>
    <w:div w:id="699554071">
      <w:bodyDiv w:val="1"/>
      <w:marLeft w:val="0"/>
      <w:marRight w:val="0"/>
      <w:marTop w:val="0"/>
      <w:marBottom w:val="0"/>
      <w:divBdr>
        <w:top w:val="none" w:sz="0" w:space="0" w:color="auto"/>
        <w:left w:val="none" w:sz="0" w:space="0" w:color="auto"/>
        <w:bottom w:val="none" w:sz="0" w:space="0" w:color="auto"/>
        <w:right w:val="none" w:sz="0" w:space="0" w:color="auto"/>
      </w:divBdr>
    </w:div>
    <w:div w:id="710495134">
      <w:bodyDiv w:val="1"/>
      <w:marLeft w:val="0"/>
      <w:marRight w:val="0"/>
      <w:marTop w:val="0"/>
      <w:marBottom w:val="0"/>
      <w:divBdr>
        <w:top w:val="none" w:sz="0" w:space="0" w:color="auto"/>
        <w:left w:val="none" w:sz="0" w:space="0" w:color="auto"/>
        <w:bottom w:val="none" w:sz="0" w:space="0" w:color="auto"/>
        <w:right w:val="none" w:sz="0" w:space="0" w:color="auto"/>
      </w:divBdr>
    </w:div>
    <w:div w:id="733236944">
      <w:bodyDiv w:val="1"/>
      <w:marLeft w:val="0"/>
      <w:marRight w:val="0"/>
      <w:marTop w:val="0"/>
      <w:marBottom w:val="0"/>
      <w:divBdr>
        <w:top w:val="none" w:sz="0" w:space="0" w:color="auto"/>
        <w:left w:val="none" w:sz="0" w:space="0" w:color="auto"/>
        <w:bottom w:val="none" w:sz="0" w:space="0" w:color="auto"/>
        <w:right w:val="none" w:sz="0" w:space="0" w:color="auto"/>
      </w:divBdr>
    </w:div>
    <w:div w:id="741486739">
      <w:bodyDiv w:val="1"/>
      <w:marLeft w:val="0"/>
      <w:marRight w:val="0"/>
      <w:marTop w:val="0"/>
      <w:marBottom w:val="0"/>
      <w:divBdr>
        <w:top w:val="none" w:sz="0" w:space="0" w:color="auto"/>
        <w:left w:val="none" w:sz="0" w:space="0" w:color="auto"/>
        <w:bottom w:val="none" w:sz="0" w:space="0" w:color="auto"/>
        <w:right w:val="none" w:sz="0" w:space="0" w:color="auto"/>
      </w:divBdr>
    </w:div>
    <w:div w:id="817570570">
      <w:bodyDiv w:val="1"/>
      <w:marLeft w:val="0"/>
      <w:marRight w:val="0"/>
      <w:marTop w:val="0"/>
      <w:marBottom w:val="0"/>
      <w:divBdr>
        <w:top w:val="none" w:sz="0" w:space="0" w:color="auto"/>
        <w:left w:val="none" w:sz="0" w:space="0" w:color="auto"/>
        <w:bottom w:val="none" w:sz="0" w:space="0" w:color="auto"/>
        <w:right w:val="none" w:sz="0" w:space="0" w:color="auto"/>
      </w:divBdr>
    </w:div>
    <w:div w:id="831600212">
      <w:bodyDiv w:val="1"/>
      <w:marLeft w:val="0"/>
      <w:marRight w:val="0"/>
      <w:marTop w:val="0"/>
      <w:marBottom w:val="0"/>
      <w:divBdr>
        <w:top w:val="none" w:sz="0" w:space="0" w:color="auto"/>
        <w:left w:val="none" w:sz="0" w:space="0" w:color="auto"/>
        <w:bottom w:val="none" w:sz="0" w:space="0" w:color="auto"/>
        <w:right w:val="none" w:sz="0" w:space="0" w:color="auto"/>
      </w:divBdr>
    </w:div>
    <w:div w:id="868178482">
      <w:bodyDiv w:val="1"/>
      <w:marLeft w:val="0"/>
      <w:marRight w:val="0"/>
      <w:marTop w:val="0"/>
      <w:marBottom w:val="0"/>
      <w:divBdr>
        <w:top w:val="none" w:sz="0" w:space="0" w:color="auto"/>
        <w:left w:val="none" w:sz="0" w:space="0" w:color="auto"/>
        <w:bottom w:val="none" w:sz="0" w:space="0" w:color="auto"/>
        <w:right w:val="none" w:sz="0" w:space="0" w:color="auto"/>
      </w:divBdr>
    </w:div>
    <w:div w:id="1012295039">
      <w:bodyDiv w:val="1"/>
      <w:marLeft w:val="0"/>
      <w:marRight w:val="0"/>
      <w:marTop w:val="0"/>
      <w:marBottom w:val="0"/>
      <w:divBdr>
        <w:top w:val="none" w:sz="0" w:space="0" w:color="auto"/>
        <w:left w:val="none" w:sz="0" w:space="0" w:color="auto"/>
        <w:bottom w:val="none" w:sz="0" w:space="0" w:color="auto"/>
        <w:right w:val="none" w:sz="0" w:space="0" w:color="auto"/>
      </w:divBdr>
    </w:div>
    <w:div w:id="1038625859">
      <w:bodyDiv w:val="1"/>
      <w:marLeft w:val="0"/>
      <w:marRight w:val="0"/>
      <w:marTop w:val="0"/>
      <w:marBottom w:val="0"/>
      <w:divBdr>
        <w:top w:val="none" w:sz="0" w:space="0" w:color="auto"/>
        <w:left w:val="none" w:sz="0" w:space="0" w:color="auto"/>
        <w:bottom w:val="none" w:sz="0" w:space="0" w:color="auto"/>
        <w:right w:val="none" w:sz="0" w:space="0" w:color="auto"/>
      </w:divBdr>
    </w:div>
    <w:div w:id="1047224646">
      <w:bodyDiv w:val="1"/>
      <w:marLeft w:val="0"/>
      <w:marRight w:val="0"/>
      <w:marTop w:val="0"/>
      <w:marBottom w:val="0"/>
      <w:divBdr>
        <w:top w:val="none" w:sz="0" w:space="0" w:color="auto"/>
        <w:left w:val="none" w:sz="0" w:space="0" w:color="auto"/>
        <w:bottom w:val="none" w:sz="0" w:space="0" w:color="auto"/>
        <w:right w:val="none" w:sz="0" w:space="0" w:color="auto"/>
      </w:divBdr>
    </w:div>
    <w:div w:id="1049186123">
      <w:bodyDiv w:val="1"/>
      <w:marLeft w:val="0"/>
      <w:marRight w:val="0"/>
      <w:marTop w:val="0"/>
      <w:marBottom w:val="0"/>
      <w:divBdr>
        <w:top w:val="none" w:sz="0" w:space="0" w:color="auto"/>
        <w:left w:val="none" w:sz="0" w:space="0" w:color="auto"/>
        <w:bottom w:val="none" w:sz="0" w:space="0" w:color="auto"/>
        <w:right w:val="none" w:sz="0" w:space="0" w:color="auto"/>
      </w:divBdr>
    </w:div>
    <w:div w:id="1160003945">
      <w:bodyDiv w:val="1"/>
      <w:marLeft w:val="0"/>
      <w:marRight w:val="0"/>
      <w:marTop w:val="0"/>
      <w:marBottom w:val="0"/>
      <w:divBdr>
        <w:top w:val="none" w:sz="0" w:space="0" w:color="auto"/>
        <w:left w:val="none" w:sz="0" w:space="0" w:color="auto"/>
        <w:bottom w:val="none" w:sz="0" w:space="0" w:color="auto"/>
        <w:right w:val="none" w:sz="0" w:space="0" w:color="auto"/>
      </w:divBdr>
    </w:div>
    <w:div w:id="1190996355">
      <w:bodyDiv w:val="1"/>
      <w:marLeft w:val="0"/>
      <w:marRight w:val="0"/>
      <w:marTop w:val="0"/>
      <w:marBottom w:val="0"/>
      <w:divBdr>
        <w:top w:val="none" w:sz="0" w:space="0" w:color="auto"/>
        <w:left w:val="none" w:sz="0" w:space="0" w:color="auto"/>
        <w:bottom w:val="none" w:sz="0" w:space="0" w:color="auto"/>
        <w:right w:val="none" w:sz="0" w:space="0" w:color="auto"/>
      </w:divBdr>
    </w:div>
    <w:div w:id="1224103920">
      <w:bodyDiv w:val="1"/>
      <w:marLeft w:val="0"/>
      <w:marRight w:val="0"/>
      <w:marTop w:val="0"/>
      <w:marBottom w:val="0"/>
      <w:divBdr>
        <w:top w:val="none" w:sz="0" w:space="0" w:color="auto"/>
        <w:left w:val="none" w:sz="0" w:space="0" w:color="auto"/>
        <w:bottom w:val="none" w:sz="0" w:space="0" w:color="auto"/>
        <w:right w:val="none" w:sz="0" w:space="0" w:color="auto"/>
      </w:divBdr>
    </w:div>
    <w:div w:id="1287277187">
      <w:bodyDiv w:val="1"/>
      <w:marLeft w:val="0"/>
      <w:marRight w:val="0"/>
      <w:marTop w:val="0"/>
      <w:marBottom w:val="0"/>
      <w:divBdr>
        <w:top w:val="none" w:sz="0" w:space="0" w:color="auto"/>
        <w:left w:val="none" w:sz="0" w:space="0" w:color="auto"/>
        <w:bottom w:val="none" w:sz="0" w:space="0" w:color="auto"/>
        <w:right w:val="none" w:sz="0" w:space="0" w:color="auto"/>
      </w:divBdr>
    </w:div>
    <w:div w:id="1298989668">
      <w:bodyDiv w:val="1"/>
      <w:marLeft w:val="0"/>
      <w:marRight w:val="0"/>
      <w:marTop w:val="0"/>
      <w:marBottom w:val="0"/>
      <w:divBdr>
        <w:top w:val="none" w:sz="0" w:space="0" w:color="auto"/>
        <w:left w:val="none" w:sz="0" w:space="0" w:color="auto"/>
        <w:bottom w:val="none" w:sz="0" w:space="0" w:color="auto"/>
        <w:right w:val="none" w:sz="0" w:space="0" w:color="auto"/>
      </w:divBdr>
    </w:div>
    <w:div w:id="1348214220">
      <w:bodyDiv w:val="1"/>
      <w:marLeft w:val="0"/>
      <w:marRight w:val="0"/>
      <w:marTop w:val="0"/>
      <w:marBottom w:val="0"/>
      <w:divBdr>
        <w:top w:val="none" w:sz="0" w:space="0" w:color="auto"/>
        <w:left w:val="none" w:sz="0" w:space="0" w:color="auto"/>
        <w:bottom w:val="none" w:sz="0" w:space="0" w:color="auto"/>
        <w:right w:val="none" w:sz="0" w:space="0" w:color="auto"/>
      </w:divBdr>
    </w:div>
    <w:div w:id="1360080276">
      <w:bodyDiv w:val="1"/>
      <w:marLeft w:val="0"/>
      <w:marRight w:val="0"/>
      <w:marTop w:val="0"/>
      <w:marBottom w:val="0"/>
      <w:divBdr>
        <w:top w:val="none" w:sz="0" w:space="0" w:color="auto"/>
        <w:left w:val="none" w:sz="0" w:space="0" w:color="auto"/>
        <w:bottom w:val="none" w:sz="0" w:space="0" w:color="auto"/>
        <w:right w:val="none" w:sz="0" w:space="0" w:color="auto"/>
      </w:divBdr>
    </w:div>
    <w:div w:id="1369254499">
      <w:bodyDiv w:val="1"/>
      <w:marLeft w:val="0"/>
      <w:marRight w:val="0"/>
      <w:marTop w:val="0"/>
      <w:marBottom w:val="0"/>
      <w:divBdr>
        <w:top w:val="none" w:sz="0" w:space="0" w:color="auto"/>
        <w:left w:val="none" w:sz="0" w:space="0" w:color="auto"/>
        <w:bottom w:val="none" w:sz="0" w:space="0" w:color="auto"/>
        <w:right w:val="none" w:sz="0" w:space="0" w:color="auto"/>
      </w:divBdr>
    </w:div>
    <w:div w:id="1410081976">
      <w:bodyDiv w:val="1"/>
      <w:marLeft w:val="0"/>
      <w:marRight w:val="0"/>
      <w:marTop w:val="0"/>
      <w:marBottom w:val="0"/>
      <w:divBdr>
        <w:top w:val="none" w:sz="0" w:space="0" w:color="auto"/>
        <w:left w:val="none" w:sz="0" w:space="0" w:color="auto"/>
        <w:bottom w:val="none" w:sz="0" w:space="0" w:color="auto"/>
        <w:right w:val="none" w:sz="0" w:space="0" w:color="auto"/>
      </w:divBdr>
    </w:div>
    <w:div w:id="1454250402">
      <w:bodyDiv w:val="1"/>
      <w:marLeft w:val="0"/>
      <w:marRight w:val="0"/>
      <w:marTop w:val="0"/>
      <w:marBottom w:val="0"/>
      <w:divBdr>
        <w:top w:val="none" w:sz="0" w:space="0" w:color="auto"/>
        <w:left w:val="none" w:sz="0" w:space="0" w:color="auto"/>
        <w:bottom w:val="none" w:sz="0" w:space="0" w:color="auto"/>
        <w:right w:val="none" w:sz="0" w:space="0" w:color="auto"/>
      </w:divBdr>
    </w:div>
    <w:div w:id="1483934057">
      <w:bodyDiv w:val="1"/>
      <w:marLeft w:val="0"/>
      <w:marRight w:val="0"/>
      <w:marTop w:val="0"/>
      <w:marBottom w:val="0"/>
      <w:divBdr>
        <w:top w:val="none" w:sz="0" w:space="0" w:color="auto"/>
        <w:left w:val="none" w:sz="0" w:space="0" w:color="auto"/>
        <w:bottom w:val="none" w:sz="0" w:space="0" w:color="auto"/>
        <w:right w:val="none" w:sz="0" w:space="0" w:color="auto"/>
      </w:divBdr>
    </w:div>
    <w:div w:id="1562793047">
      <w:bodyDiv w:val="1"/>
      <w:marLeft w:val="0"/>
      <w:marRight w:val="0"/>
      <w:marTop w:val="0"/>
      <w:marBottom w:val="0"/>
      <w:divBdr>
        <w:top w:val="none" w:sz="0" w:space="0" w:color="auto"/>
        <w:left w:val="none" w:sz="0" w:space="0" w:color="auto"/>
        <w:bottom w:val="none" w:sz="0" w:space="0" w:color="auto"/>
        <w:right w:val="none" w:sz="0" w:space="0" w:color="auto"/>
      </w:divBdr>
    </w:div>
    <w:div w:id="1644042407">
      <w:bodyDiv w:val="1"/>
      <w:marLeft w:val="0"/>
      <w:marRight w:val="0"/>
      <w:marTop w:val="0"/>
      <w:marBottom w:val="0"/>
      <w:divBdr>
        <w:top w:val="none" w:sz="0" w:space="0" w:color="auto"/>
        <w:left w:val="none" w:sz="0" w:space="0" w:color="auto"/>
        <w:bottom w:val="none" w:sz="0" w:space="0" w:color="auto"/>
        <w:right w:val="none" w:sz="0" w:space="0" w:color="auto"/>
      </w:divBdr>
    </w:div>
    <w:div w:id="1657999333">
      <w:bodyDiv w:val="1"/>
      <w:marLeft w:val="0"/>
      <w:marRight w:val="0"/>
      <w:marTop w:val="0"/>
      <w:marBottom w:val="0"/>
      <w:divBdr>
        <w:top w:val="none" w:sz="0" w:space="0" w:color="auto"/>
        <w:left w:val="none" w:sz="0" w:space="0" w:color="auto"/>
        <w:bottom w:val="none" w:sz="0" w:space="0" w:color="auto"/>
        <w:right w:val="none" w:sz="0" w:space="0" w:color="auto"/>
      </w:divBdr>
    </w:div>
    <w:div w:id="1661958546">
      <w:bodyDiv w:val="1"/>
      <w:marLeft w:val="0"/>
      <w:marRight w:val="0"/>
      <w:marTop w:val="0"/>
      <w:marBottom w:val="0"/>
      <w:divBdr>
        <w:top w:val="none" w:sz="0" w:space="0" w:color="auto"/>
        <w:left w:val="none" w:sz="0" w:space="0" w:color="auto"/>
        <w:bottom w:val="none" w:sz="0" w:space="0" w:color="auto"/>
        <w:right w:val="none" w:sz="0" w:space="0" w:color="auto"/>
      </w:divBdr>
    </w:div>
    <w:div w:id="1695694570">
      <w:bodyDiv w:val="1"/>
      <w:marLeft w:val="0"/>
      <w:marRight w:val="0"/>
      <w:marTop w:val="0"/>
      <w:marBottom w:val="0"/>
      <w:divBdr>
        <w:top w:val="none" w:sz="0" w:space="0" w:color="auto"/>
        <w:left w:val="none" w:sz="0" w:space="0" w:color="auto"/>
        <w:bottom w:val="none" w:sz="0" w:space="0" w:color="auto"/>
        <w:right w:val="none" w:sz="0" w:space="0" w:color="auto"/>
      </w:divBdr>
    </w:div>
    <w:div w:id="1705906440">
      <w:bodyDiv w:val="1"/>
      <w:marLeft w:val="0"/>
      <w:marRight w:val="0"/>
      <w:marTop w:val="0"/>
      <w:marBottom w:val="0"/>
      <w:divBdr>
        <w:top w:val="none" w:sz="0" w:space="0" w:color="auto"/>
        <w:left w:val="none" w:sz="0" w:space="0" w:color="auto"/>
        <w:bottom w:val="none" w:sz="0" w:space="0" w:color="auto"/>
        <w:right w:val="none" w:sz="0" w:space="0" w:color="auto"/>
      </w:divBdr>
    </w:div>
    <w:div w:id="1832211308">
      <w:bodyDiv w:val="1"/>
      <w:marLeft w:val="0"/>
      <w:marRight w:val="0"/>
      <w:marTop w:val="0"/>
      <w:marBottom w:val="0"/>
      <w:divBdr>
        <w:top w:val="none" w:sz="0" w:space="0" w:color="auto"/>
        <w:left w:val="none" w:sz="0" w:space="0" w:color="auto"/>
        <w:bottom w:val="none" w:sz="0" w:space="0" w:color="auto"/>
        <w:right w:val="none" w:sz="0" w:space="0" w:color="auto"/>
      </w:divBdr>
    </w:div>
    <w:div w:id="1870950382">
      <w:bodyDiv w:val="1"/>
      <w:marLeft w:val="0"/>
      <w:marRight w:val="0"/>
      <w:marTop w:val="0"/>
      <w:marBottom w:val="0"/>
      <w:divBdr>
        <w:top w:val="none" w:sz="0" w:space="0" w:color="auto"/>
        <w:left w:val="none" w:sz="0" w:space="0" w:color="auto"/>
        <w:bottom w:val="none" w:sz="0" w:space="0" w:color="auto"/>
        <w:right w:val="none" w:sz="0" w:space="0" w:color="auto"/>
      </w:divBdr>
    </w:div>
    <w:div w:id="1893232946">
      <w:bodyDiv w:val="1"/>
      <w:marLeft w:val="0"/>
      <w:marRight w:val="0"/>
      <w:marTop w:val="0"/>
      <w:marBottom w:val="0"/>
      <w:divBdr>
        <w:top w:val="none" w:sz="0" w:space="0" w:color="auto"/>
        <w:left w:val="none" w:sz="0" w:space="0" w:color="auto"/>
        <w:bottom w:val="none" w:sz="0" w:space="0" w:color="auto"/>
        <w:right w:val="none" w:sz="0" w:space="0" w:color="auto"/>
      </w:divBdr>
    </w:div>
    <w:div w:id="1906866736">
      <w:bodyDiv w:val="1"/>
      <w:marLeft w:val="0"/>
      <w:marRight w:val="0"/>
      <w:marTop w:val="0"/>
      <w:marBottom w:val="0"/>
      <w:divBdr>
        <w:top w:val="none" w:sz="0" w:space="0" w:color="auto"/>
        <w:left w:val="none" w:sz="0" w:space="0" w:color="auto"/>
        <w:bottom w:val="none" w:sz="0" w:space="0" w:color="auto"/>
        <w:right w:val="none" w:sz="0" w:space="0" w:color="auto"/>
      </w:divBdr>
    </w:div>
    <w:div w:id="1915780448">
      <w:bodyDiv w:val="1"/>
      <w:marLeft w:val="0"/>
      <w:marRight w:val="0"/>
      <w:marTop w:val="0"/>
      <w:marBottom w:val="0"/>
      <w:divBdr>
        <w:top w:val="none" w:sz="0" w:space="0" w:color="auto"/>
        <w:left w:val="none" w:sz="0" w:space="0" w:color="auto"/>
        <w:bottom w:val="none" w:sz="0" w:space="0" w:color="auto"/>
        <w:right w:val="none" w:sz="0" w:space="0" w:color="auto"/>
      </w:divBdr>
    </w:div>
    <w:div w:id="1983650745">
      <w:bodyDiv w:val="1"/>
      <w:marLeft w:val="0"/>
      <w:marRight w:val="0"/>
      <w:marTop w:val="0"/>
      <w:marBottom w:val="0"/>
      <w:divBdr>
        <w:top w:val="none" w:sz="0" w:space="0" w:color="auto"/>
        <w:left w:val="none" w:sz="0" w:space="0" w:color="auto"/>
        <w:bottom w:val="none" w:sz="0" w:space="0" w:color="auto"/>
        <w:right w:val="none" w:sz="0" w:space="0" w:color="auto"/>
      </w:divBdr>
    </w:div>
    <w:div w:id="21313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305105mo\AppData\Local\Microsoft\Windows\Temporary%20Internet%20Files\Content.IE5\23GBK9RP\5519f592-05cb-445c-b0a7-b4d3de3d492c.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Trade%20newEMU%20-%20EMU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Trade%20newEMU%20-%20EMU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2"/>
          <c:order val="0"/>
          <c:tx>
            <c:v>World Trade</c:v>
          </c:tx>
          <c:marker>
            <c:symbol val="none"/>
          </c:marker>
          <c:cat>
            <c:strRef>
              <c:f>'International Trade World'!$D$3:$AV$3</c:f>
              <c:strCache>
                <c:ptCount val="45"/>
                <c:pt idx="0">
                  <c:v>Q1-2001</c:v>
                </c:pt>
                <c:pt idx="1">
                  <c:v>Q2-2001</c:v>
                </c:pt>
                <c:pt idx="2">
                  <c:v>Q3-2001</c:v>
                </c:pt>
                <c:pt idx="3">
                  <c:v>Q4-2001</c:v>
                </c:pt>
                <c:pt idx="4">
                  <c:v>Q1-2002</c:v>
                </c:pt>
                <c:pt idx="5">
                  <c:v>Q2-2002</c:v>
                </c:pt>
                <c:pt idx="6">
                  <c:v>Q3-2002</c:v>
                </c:pt>
                <c:pt idx="7">
                  <c:v>Q4-2002</c:v>
                </c:pt>
                <c:pt idx="8">
                  <c:v>Q1-2003</c:v>
                </c:pt>
                <c:pt idx="9">
                  <c:v>Q2-2003</c:v>
                </c:pt>
                <c:pt idx="10">
                  <c:v>Q3-2003</c:v>
                </c:pt>
                <c:pt idx="11">
                  <c:v>Q4-2003</c:v>
                </c:pt>
                <c:pt idx="12">
                  <c:v>Q1-2004</c:v>
                </c:pt>
                <c:pt idx="13">
                  <c:v>Q2-2004</c:v>
                </c:pt>
                <c:pt idx="14">
                  <c:v>Q3-2004</c:v>
                </c:pt>
                <c:pt idx="15">
                  <c:v>Q4-2004</c:v>
                </c:pt>
                <c:pt idx="16">
                  <c:v>Q1-2005</c:v>
                </c:pt>
                <c:pt idx="17">
                  <c:v>Q2-2005</c:v>
                </c:pt>
                <c:pt idx="18">
                  <c:v>Q3-2005</c:v>
                </c:pt>
                <c:pt idx="19">
                  <c:v>Q4-2005</c:v>
                </c:pt>
                <c:pt idx="20">
                  <c:v>Q1-2006</c:v>
                </c:pt>
                <c:pt idx="21">
                  <c:v>Q2-2006</c:v>
                </c:pt>
                <c:pt idx="22">
                  <c:v>Q3-2006</c:v>
                </c:pt>
                <c:pt idx="23">
                  <c:v>Q4-2006</c:v>
                </c:pt>
                <c:pt idx="24">
                  <c:v>Q1-2007</c:v>
                </c:pt>
                <c:pt idx="25">
                  <c:v>Q2-2007</c:v>
                </c:pt>
                <c:pt idx="26">
                  <c:v>Q3-2007</c:v>
                </c:pt>
                <c:pt idx="27">
                  <c:v>Q4-2007</c:v>
                </c:pt>
                <c:pt idx="28">
                  <c:v>Q1-2008</c:v>
                </c:pt>
                <c:pt idx="29">
                  <c:v>Q2-2008</c:v>
                </c:pt>
                <c:pt idx="30">
                  <c:v>Q3-2008</c:v>
                </c:pt>
                <c:pt idx="31">
                  <c:v>Q4-2008</c:v>
                </c:pt>
                <c:pt idx="32">
                  <c:v>Q1-2009</c:v>
                </c:pt>
                <c:pt idx="33">
                  <c:v>Q2-2009</c:v>
                </c:pt>
                <c:pt idx="34">
                  <c:v>Q3-2009</c:v>
                </c:pt>
                <c:pt idx="35">
                  <c:v>Q4-2009</c:v>
                </c:pt>
                <c:pt idx="36">
                  <c:v>Q1-2010</c:v>
                </c:pt>
                <c:pt idx="37">
                  <c:v>Q2-2010</c:v>
                </c:pt>
                <c:pt idx="38">
                  <c:v>Q3-2010</c:v>
                </c:pt>
                <c:pt idx="39">
                  <c:v>Q4-2010</c:v>
                </c:pt>
                <c:pt idx="40">
                  <c:v>Q1-2011</c:v>
                </c:pt>
                <c:pt idx="41">
                  <c:v>Q2-2011</c:v>
                </c:pt>
                <c:pt idx="42">
                  <c:v>Q3-2011</c:v>
                </c:pt>
                <c:pt idx="43">
                  <c:v>Q4-2011</c:v>
                </c:pt>
                <c:pt idx="44">
                  <c:v>Q1-2012</c:v>
                </c:pt>
              </c:strCache>
            </c:strRef>
          </c:cat>
          <c:val>
            <c:numRef>
              <c:f>'International Trade World'!$D$8:$AV$8</c:f>
              <c:numCache>
                <c:formatCode>Standaard</c:formatCode>
                <c:ptCount val="45"/>
                <c:pt idx="0">
                  <c:v>2432.5100000000002</c:v>
                </c:pt>
                <c:pt idx="1">
                  <c:v>2396.1279999999997</c:v>
                </c:pt>
                <c:pt idx="2">
                  <c:v>2362.786999999973</c:v>
                </c:pt>
                <c:pt idx="3">
                  <c:v>2353.556</c:v>
                </c:pt>
                <c:pt idx="4">
                  <c:v>2407.623</c:v>
                </c:pt>
                <c:pt idx="5">
                  <c:v>2483.0309999999999</c:v>
                </c:pt>
                <c:pt idx="6">
                  <c:v>2526.9589999999998</c:v>
                </c:pt>
                <c:pt idx="7">
                  <c:v>2557.241</c:v>
                </c:pt>
                <c:pt idx="8">
                  <c:v>2593.0920000000001</c:v>
                </c:pt>
                <c:pt idx="9">
                  <c:v>2598.6790000000001</c:v>
                </c:pt>
                <c:pt idx="10">
                  <c:v>2667.3340000000012</c:v>
                </c:pt>
                <c:pt idx="11">
                  <c:v>2767.79</c:v>
                </c:pt>
                <c:pt idx="12">
                  <c:v>2844.8609999999999</c:v>
                </c:pt>
                <c:pt idx="13">
                  <c:v>2931.61</c:v>
                </c:pt>
                <c:pt idx="14">
                  <c:v>2978.0770000000002</c:v>
                </c:pt>
                <c:pt idx="15">
                  <c:v>3050.2809999999754</c:v>
                </c:pt>
                <c:pt idx="16">
                  <c:v>3070.2979999999998</c:v>
                </c:pt>
                <c:pt idx="17">
                  <c:v>3170.1819999999998</c:v>
                </c:pt>
                <c:pt idx="18">
                  <c:v>3235.4540000000002</c:v>
                </c:pt>
                <c:pt idx="19">
                  <c:v>3320.201</c:v>
                </c:pt>
                <c:pt idx="20">
                  <c:v>3419.049</c:v>
                </c:pt>
                <c:pt idx="21">
                  <c:v>3492.9330000000223</c:v>
                </c:pt>
                <c:pt idx="22">
                  <c:v>3520.0740000000001</c:v>
                </c:pt>
                <c:pt idx="23">
                  <c:v>3600.8620000000001</c:v>
                </c:pt>
                <c:pt idx="24">
                  <c:v>3680.0129999999999</c:v>
                </c:pt>
                <c:pt idx="25">
                  <c:v>3735.228999999973</c:v>
                </c:pt>
                <c:pt idx="26">
                  <c:v>3809.5030000000002</c:v>
                </c:pt>
                <c:pt idx="27">
                  <c:v>3875.5149999999999</c:v>
                </c:pt>
                <c:pt idx="28">
                  <c:v>3944.96</c:v>
                </c:pt>
                <c:pt idx="29">
                  <c:v>3961.3629999999998</c:v>
                </c:pt>
                <c:pt idx="30">
                  <c:v>3942.5720000000001</c:v>
                </c:pt>
                <c:pt idx="31">
                  <c:v>3694.8470000000002</c:v>
                </c:pt>
                <c:pt idx="32">
                  <c:v>3375.2719999999999</c:v>
                </c:pt>
                <c:pt idx="33">
                  <c:v>3391.4769999999999</c:v>
                </c:pt>
                <c:pt idx="34">
                  <c:v>3518.174</c:v>
                </c:pt>
                <c:pt idx="35">
                  <c:v>3636.0129999999999</c:v>
                </c:pt>
                <c:pt idx="36">
                  <c:v>3747.3629999999998</c:v>
                </c:pt>
                <c:pt idx="37">
                  <c:v>3896.8249999999998</c:v>
                </c:pt>
                <c:pt idx="38">
                  <c:v>3975.482</c:v>
                </c:pt>
                <c:pt idx="39">
                  <c:v>4045.576</c:v>
                </c:pt>
                <c:pt idx="40">
                  <c:v>4107.3690000000024</c:v>
                </c:pt>
                <c:pt idx="41">
                  <c:v>4113.9720000000007</c:v>
                </c:pt>
                <c:pt idx="42">
                  <c:v>4172.08</c:v>
                </c:pt>
                <c:pt idx="43">
                  <c:v>4170.1580000000004</c:v>
                </c:pt>
                <c:pt idx="44">
                  <c:v>4197.5470000000005</c:v>
                </c:pt>
              </c:numCache>
            </c:numRef>
          </c:val>
        </c:ser>
        <c:marker val="1"/>
        <c:axId val="98560256"/>
        <c:axId val="101584896"/>
      </c:lineChart>
      <c:catAx>
        <c:axId val="98560256"/>
        <c:scaling>
          <c:orientation val="minMax"/>
        </c:scaling>
        <c:axPos val="b"/>
        <c:tickLblPos val="nextTo"/>
        <c:crossAx val="101584896"/>
        <c:crosses val="autoZero"/>
        <c:auto val="1"/>
        <c:lblAlgn val="ctr"/>
        <c:lblOffset val="100"/>
        <c:tickLblSkip val="4"/>
      </c:catAx>
      <c:valAx>
        <c:axId val="101584896"/>
        <c:scaling>
          <c:orientation val="minMax"/>
          <c:min val="2000"/>
        </c:scaling>
        <c:axPos val="l"/>
        <c:majorGridlines/>
        <c:title>
          <c:tx>
            <c:rich>
              <a:bodyPr rot="-5400000" vert="horz"/>
              <a:lstStyle/>
              <a:p>
                <a:pPr>
                  <a:defRPr/>
                </a:pPr>
                <a:r>
                  <a:rPr lang="en-US"/>
                  <a:t>Billions of 2005 US dollar</a:t>
                </a:r>
              </a:p>
            </c:rich>
          </c:tx>
          <c:layout>
            <c:manualLayout>
              <c:xMode val="edge"/>
              <c:yMode val="edge"/>
              <c:x val="3.0586885872682087E-2"/>
              <c:y val="0.18159368236865128"/>
            </c:manualLayout>
          </c:layout>
        </c:title>
        <c:numFmt formatCode="Standaard" sourceLinked="1"/>
        <c:tickLblPos val="nextTo"/>
        <c:crossAx val="98560256"/>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tx>
            <c:strRef>
              <c:f>Sheet1!$A$2</c:f>
              <c:strCache>
                <c:ptCount val="1"/>
                <c:pt idx="0">
                  <c:v>Cyprus</c:v>
                </c:pt>
              </c:strCache>
            </c:strRef>
          </c:tx>
          <c:spPr>
            <a:ln w="28575">
              <a:noFill/>
            </a:ln>
          </c:spPr>
          <c:xVal>
            <c:numRef>
              <c:f>Sheet1!$C$2</c:f>
              <c:numCache>
                <c:formatCode>Standaard</c:formatCode>
                <c:ptCount val="1"/>
                <c:pt idx="0">
                  <c:v>0.4300000000000001</c:v>
                </c:pt>
              </c:numCache>
            </c:numRef>
          </c:xVal>
          <c:yVal>
            <c:numRef>
              <c:f>Sheet1!$B$2</c:f>
              <c:numCache>
                <c:formatCode>Standaard</c:formatCode>
                <c:ptCount val="1"/>
                <c:pt idx="0">
                  <c:v>-6.1000000000000013E-2</c:v>
                </c:pt>
              </c:numCache>
            </c:numRef>
          </c:yVal>
        </c:ser>
        <c:ser>
          <c:idx val="1"/>
          <c:order val="1"/>
          <c:tx>
            <c:strRef>
              <c:f>Sheet1!$A$3</c:f>
              <c:strCache>
                <c:ptCount val="1"/>
                <c:pt idx="0">
                  <c:v>Malta</c:v>
                </c:pt>
              </c:strCache>
            </c:strRef>
          </c:tx>
          <c:spPr>
            <a:ln w="28575">
              <a:noFill/>
            </a:ln>
          </c:spPr>
          <c:xVal>
            <c:numRef>
              <c:f>Sheet1!$C$3</c:f>
              <c:numCache>
                <c:formatCode>Standaard</c:formatCode>
                <c:ptCount val="1"/>
                <c:pt idx="0">
                  <c:v>0.99</c:v>
                </c:pt>
              </c:numCache>
            </c:numRef>
          </c:xVal>
          <c:yVal>
            <c:numRef>
              <c:f>Sheet1!$B$3</c:f>
              <c:numCache>
                <c:formatCode>Standaard</c:formatCode>
                <c:ptCount val="1"/>
                <c:pt idx="0">
                  <c:v>2.5999999999999999E-2</c:v>
                </c:pt>
              </c:numCache>
            </c:numRef>
          </c:yVal>
        </c:ser>
        <c:ser>
          <c:idx val="2"/>
          <c:order val="2"/>
          <c:tx>
            <c:strRef>
              <c:f>Sheet1!$A$4</c:f>
              <c:strCache>
                <c:ptCount val="1"/>
                <c:pt idx="0">
                  <c:v>Slovak Republic</c:v>
                </c:pt>
              </c:strCache>
            </c:strRef>
          </c:tx>
          <c:spPr>
            <a:ln w="28575">
              <a:noFill/>
            </a:ln>
          </c:spPr>
          <c:xVal>
            <c:numRef>
              <c:f>Sheet1!$C$4</c:f>
              <c:numCache>
                <c:formatCode>Standaard</c:formatCode>
                <c:ptCount val="1"/>
                <c:pt idx="0">
                  <c:v>1.44</c:v>
                </c:pt>
              </c:numCache>
            </c:numRef>
          </c:xVal>
          <c:yVal>
            <c:numRef>
              <c:f>Sheet1!$B$4</c:f>
              <c:numCache>
                <c:formatCode>Standaard</c:formatCode>
                <c:ptCount val="1"/>
                <c:pt idx="0">
                  <c:v>4.3000000000000003E-2</c:v>
                </c:pt>
              </c:numCache>
            </c:numRef>
          </c:yVal>
        </c:ser>
        <c:ser>
          <c:idx val="3"/>
          <c:order val="3"/>
          <c:tx>
            <c:strRef>
              <c:f>Sheet1!$A$5</c:f>
              <c:strCache>
                <c:ptCount val="1"/>
                <c:pt idx="0">
                  <c:v>Slovenia</c:v>
                </c:pt>
              </c:strCache>
            </c:strRef>
          </c:tx>
          <c:spPr>
            <a:ln w="28575">
              <a:noFill/>
            </a:ln>
          </c:spPr>
          <c:xVal>
            <c:numRef>
              <c:f>Sheet1!$C$5</c:f>
              <c:numCache>
                <c:formatCode>Standaard</c:formatCode>
                <c:ptCount val="1"/>
                <c:pt idx="0">
                  <c:v>1.27</c:v>
                </c:pt>
              </c:numCache>
            </c:numRef>
          </c:xVal>
          <c:yVal>
            <c:numRef>
              <c:f>Sheet1!$B$5</c:f>
              <c:numCache>
                <c:formatCode>Standaard</c:formatCode>
                <c:ptCount val="1"/>
                <c:pt idx="0">
                  <c:v>7.5999999999999998E-2</c:v>
                </c:pt>
              </c:numCache>
            </c:numRef>
          </c:yVal>
        </c:ser>
        <c:axId val="101598720"/>
        <c:axId val="101600640"/>
      </c:scatterChart>
      <c:valAx>
        <c:axId val="101598720"/>
        <c:scaling>
          <c:orientation val="minMax"/>
          <c:max val="1.6"/>
          <c:min val="0"/>
        </c:scaling>
        <c:axPos val="b"/>
        <c:title>
          <c:tx>
            <c:rich>
              <a:bodyPr/>
              <a:lstStyle/>
              <a:p>
                <a:pPr>
                  <a:defRPr/>
                </a:pPr>
                <a:r>
                  <a:rPr lang="en-US"/>
                  <a:t>Openness to Trade</a:t>
                </a:r>
              </a:p>
            </c:rich>
          </c:tx>
        </c:title>
        <c:numFmt formatCode="Standaard" sourceLinked="1"/>
        <c:tickLblPos val="nextTo"/>
        <c:crossAx val="101600640"/>
        <c:crosses val="autoZero"/>
        <c:crossBetween val="midCat"/>
        <c:majorUnit val="0.2"/>
      </c:valAx>
      <c:valAx>
        <c:axId val="101600640"/>
        <c:scaling>
          <c:orientation val="minMax"/>
          <c:max val="9.0000000000000024E-2"/>
          <c:min val="-8.0000000000000043E-2"/>
        </c:scaling>
        <c:axPos val="l"/>
        <c:majorGridlines/>
        <c:title>
          <c:tx>
            <c:rich>
              <a:bodyPr rot="-5400000" vert="horz"/>
              <a:lstStyle/>
              <a:p>
                <a:pPr>
                  <a:defRPr/>
                </a:pPr>
                <a:r>
                  <a:rPr lang="en-US"/>
                  <a:t>Total Trade Effect of Euro Adoption</a:t>
                </a:r>
              </a:p>
            </c:rich>
          </c:tx>
        </c:title>
        <c:numFmt formatCode="Standaard" sourceLinked="1"/>
        <c:tickLblPos val="nextTo"/>
        <c:crossAx val="101598720"/>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25066080520853"/>
          <c:y val="8.8437591134441565E-2"/>
          <c:w val="0.62710145330773648"/>
          <c:h val="0.73444808982210552"/>
        </c:manualLayout>
      </c:layout>
      <c:scatterChart>
        <c:scatterStyle val="lineMarker"/>
        <c:ser>
          <c:idx val="0"/>
          <c:order val="0"/>
          <c:tx>
            <c:strRef>
              <c:f>Sheet1!$A$2</c:f>
              <c:strCache>
                <c:ptCount val="1"/>
                <c:pt idx="0">
                  <c:v>Cyprus</c:v>
                </c:pt>
              </c:strCache>
            </c:strRef>
          </c:tx>
          <c:spPr>
            <a:ln w="28575">
              <a:noFill/>
            </a:ln>
          </c:spPr>
          <c:xVal>
            <c:numRef>
              <c:f>Sheet1!$G$2</c:f>
              <c:numCache>
                <c:formatCode>Standaard</c:formatCode>
                <c:ptCount val="1"/>
                <c:pt idx="0">
                  <c:v>0.23</c:v>
                </c:pt>
              </c:numCache>
            </c:numRef>
          </c:xVal>
          <c:yVal>
            <c:numRef>
              <c:f>Sheet1!$F$2</c:f>
              <c:numCache>
                <c:formatCode>Standaard</c:formatCode>
                <c:ptCount val="1"/>
                <c:pt idx="0">
                  <c:v>1.7000000000000001E-2</c:v>
                </c:pt>
              </c:numCache>
            </c:numRef>
          </c:yVal>
        </c:ser>
        <c:ser>
          <c:idx val="1"/>
          <c:order val="1"/>
          <c:tx>
            <c:strRef>
              <c:f>Sheet1!$A$3</c:f>
              <c:strCache>
                <c:ptCount val="1"/>
                <c:pt idx="0">
                  <c:v>Malta</c:v>
                </c:pt>
              </c:strCache>
            </c:strRef>
          </c:tx>
          <c:spPr>
            <a:ln w="28575">
              <a:noFill/>
            </a:ln>
          </c:spPr>
          <c:xVal>
            <c:numRef>
              <c:f>Sheet1!$G$3</c:f>
              <c:numCache>
                <c:formatCode>Standaard</c:formatCode>
                <c:ptCount val="1"/>
                <c:pt idx="0">
                  <c:v>0.5</c:v>
                </c:pt>
              </c:numCache>
            </c:numRef>
          </c:xVal>
          <c:yVal>
            <c:numRef>
              <c:f>Sheet1!$F$3</c:f>
              <c:numCache>
                <c:formatCode>Standaard</c:formatCode>
                <c:ptCount val="1"/>
                <c:pt idx="0">
                  <c:v>3.3000000000000002E-2</c:v>
                </c:pt>
              </c:numCache>
            </c:numRef>
          </c:yVal>
        </c:ser>
        <c:ser>
          <c:idx val="2"/>
          <c:order val="2"/>
          <c:tx>
            <c:strRef>
              <c:f>Sheet1!$A$4</c:f>
              <c:strCache>
                <c:ptCount val="1"/>
                <c:pt idx="0">
                  <c:v>Slovak Republic</c:v>
                </c:pt>
              </c:strCache>
            </c:strRef>
          </c:tx>
          <c:spPr>
            <a:ln w="28575">
              <a:noFill/>
            </a:ln>
          </c:spPr>
          <c:xVal>
            <c:numRef>
              <c:f>Sheet1!$G$4</c:f>
              <c:numCache>
                <c:formatCode>Standaard</c:formatCode>
                <c:ptCount val="1"/>
                <c:pt idx="0">
                  <c:v>0.64000000000000024</c:v>
                </c:pt>
              </c:numCache>
            </c:numRef>
          </c:xVal>
          <c:yVal>
            <c:numRef>
              <c:f>Sheet1!$F$4</c:f>
              <c:numCache>
                <c:formatCode>Standaard</c:formatCode>
                <c:ptCount val="1"/>
                <c:pt idx="0">
                  <c:v>5.3000000000000012E-2</c:v>
                </c:pt>
              </c:numCache>
            </c:numRef>
          </c:yVal>
        </c:ser>
        <c:ser>
          <c:idx val="3"/>
          <c:order val="3"/>
          <c:tx>
            <c:strRef>
              <c:f>Sheet1!$A$5</c:f>
              <c:strCache>
                <c:ptCount val="1"/>
                <c:pt idx="0">
                  <c:v>Slovenia</c:v>
                </c:pt>
              </c:strCache>
            </c:strRef>
          </c:tx>
          <c:spPr>
            <a:ln w="28575">
              <a:noFill/>
            </a:ln>
          </c:spPr>
          <c:xVal>
            <c:numRef>
              <c:f>Sheet1!$G$5</c:f>
              <c:numCache>
                <c:formatCode>Standaard</c:formatCode>
                <c:ptCount val="1"/>
                <c:pt idx="0">
                  <c:v>0.74000000000000021</c:v>
                </c:pt>
              </c:numCache>
            </c:numRef>
          </c:xVal>
          <c:yVal>
            <c:numRef>
              <c:f>Sheet1!$F$5</c:f>
              <c:numCache>
                <c:formatCode>Standaard</c:formatCode>
                <c:ptCount val="1"/>
                <c:pt idx="0">
                  <c:v>7.5999999999999998E-2</c:v>
                </c:pt>
              </c:numCache>
            </c:numRef>
          </c:yVal>
        </c:ser>
        <c:axId val="101627392"/>
        <c:axId val="101629312"/>
      </c:scatterChart>
      <c:valAx>
        <c:axId val="101627392"/>
        <c:scaling>
          <c:orientation val="minMax"/>
          <c:max val="0.8"/>
          <c:min val="0"/>
        </c:scaling>
        <c:axPos val="b"/>
        <c:title>
          <c:tx>
            <c:rich>
              <a:bodyPr/>
              <a:lstStyle/>
              <a:p>
                <a:pPr>
                  <a:defRPr/>
                </a:pPr>
                <a:r>
                  <a:rPr lang="en-US"/>
                  <a:t>Openness to EMU Trade</a:t>
                </a:r>
              </a:p>
            </c:rich>
          </c:tx>
          <c:layout>
            <c:manualLayout>
              <c:xMode val="edge"/>
              <c:yMode val="edge"/>
              <c:x val="0.31933613421997203"/>
              <c:y val="0.88793963254593233"/>
            </c:manualLayout>
          </c:layout>
        </c:title>
        <c:numFmt formatCode="Standaard" sourceLinked="1"/>
        <c:tickLblPos val="nextTo"/>
        <c:crossAx val="101629312"/>
        <c:crosses val="autoZero"/>
        <c:crossBetween val="midCat"/>
        <c:majorUnit val="0.1"/>
      </c:valAx>
      <c:valAx>
        <c:axId val="101629312"/>
        <c:scaling>
          <c:orientation val="minMax"/>
          <c:max val="8.0000000000000043E-2"/>
          <c:min val="0"/>
        </c:scaling>
        <c:axPos val="l"/>
        <c:majorGridlines/>
        <c:title>
          <c:tx>
            <c:rich>
              <a:bodyPr rot="-5400000" vert="horz"/>
              <a:lstStyle/>
              <a:p>
                <a:pPr>
                  <a:defRPr/>
                </a:pPr>
                <a:r>
                  <a:rPr lang="en-US"/>
                  <a:t>EMU Trade Effect of Euro Adoption</a:t>
                </a:r>
              </a:p>
            </c:rich>
          </c:tx>
        </c:title>
        <c:numFmt formatCode="Standaard" sourceLinked="1"/>
        <c:tickLblPos val="nextTo"/>
        <c:crossAx val="101627392"/>
        <c:crosses val="autoZero"/>
        <c:crossBetween val="midCat"/>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Sheet2!$B$30</c:f>
              <c:strCache>
                <c:ptCount val="1"/>
                <c:pt idx="0">
                  <c:v>Cyprus_World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Sheet2!$B$31:$B$42</c:f>
              <c:numCache>
                <c:formatCode>0</c:formatCode>
                <c:ptCount val="12"/>
                <c:pt idx="0">
                  <c:v>67.0582220362854</c:v>
                </c:pt>
                <c:pt idx="1">
                  <c:v>73.507022740346585</c:v>
                </c:pt>
                <c:pt idx="2">
                  <c:v>71.52522418425454</c:v>
                </c:pt>
                <c:pt idx="3">
                  <c:v>78.430419104095463</c:v>
                </c:pt>
                <c:pt idx="4">
                  <c:v>100</c:v>
                </c:pt>
                <c:pt idx="5">
                  <c:v>112.35893651454249</c:v>
                </c:pt>
                <c:pt idx="6">
                  <c:v>119.72384274803132</c:v>
                </c:pt>
                <c:pt idx="7">
                  <c:v>145.28159005229503</c:v>
                </c:pt>
                <c:pt idx="8">
                  <c:v>178.42193074412464</c:v>
                </c:pt>
                <c:pt idx="9">
                  <c:v>131.73938481393029</c:v>
                </c:pt>
                <c:pt idx="10">
                  <c:v>143.11093040265959</c:v>
                </c:pt>
                <c:pt idx="11">
                  <c:v>149.58722321791507</c:v>
                </c:pt>
              </c:numCache>
            </c:numRef>
          </c:val>
        </c:ser>
        <c:ser>
          <c:idx val="1"/>
          <c:order val="1"/>
          <c:tx>
            <c:strRef>
              <c:f>Sheet2!$C$30</c:f>
              <c:strCache>
                <c:ptCount val="1"/>
                <c:pt idx="0">
                  <c:v>Estonia_World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Sheet2!$C$31:$C$42</c:f>
              <c:numCache>
                <c:formatCode>0</c:formatCode>
                <c:ptCount val="12"/>
                <c:pt idx="0">
                  <c:v>64.227775605202424</c:v>
                </c:pt>
                <c:pt idx="1">
                  <c:v>64.830279813691078</c:v>
                </c:pt>
                <c:pt idx="2">
                  <c:v>71.554190337225748</c:v>
                </c:pt>
                <c:pt idx="3">
                  <c:v>95.262313946952716</c:v>
                </c:pt>
                <c:pt idx="4">
                  <c:v>100</c:v>
                </c:pt>
                <c:pt idx="5">
                  <c:v>125.46747304254464</c:v>
                </c:pt>
                <c:pt idx="6">
                  <c:v>162.34881678741999</c:v>
                </c:pt>
                <c:pt idx="7">
                  <c:v>187.19371803335662</c:v>
                </c:pt>
                <c:pt idx="8">
                  <c:v>199.99040983181467</c:v>
                </c:pt>
                <c:pt idx="9">
                  <c:v>134.63745323706718</c:v>
                </c:pt>
                <c:pt idx="10">
                  <c:v>156.22015547229685</c:v>
                </c:pt>
                <c:pt idx="11">
                  <c:v>223.57714324560342</c:v>
                </c:pt>
              </c:numCache>
            </c:numRef>
          </c:val>
        </c:ser>
        <c:ser>
          <c:idx val="2"/>
          <c:order val="2"/>
          <c:tx>
            <c:strRef>
              <c:f>Sheet2!$D$30</c:f>
              <c:strCache>
                <c:ptCount val="1"/>
                <c:pt idx="0">
                  <c:v>Latvia_World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Sheet2!$D$31:$D$42</c:f>
              <c:numCache>
                <c:formatCode>0</c:formatCode>
                <c:ptCount val="12"/>
                <c:pt idx="0">
                  <c:v>45.831024687104851</c:v>
                </c:pt>
                <c:pt idx="1">
                  <c:v>50.344053923919574</c:v>
                </c:pt>
                <c:pt idx="2">
                  <c:v>57.663006580123181</c:v>
                </c:pt>
                <c:pt idx="3">
                  <c:v>73.850365921816802</c:v>
                </c:pt>
                <c:pt idx="4">
                  <c:v>100</c:v>
                </c:pt>
                <c:pt idx="5">
                  <c:v>125.30998682320515</c:v>
                </c:pt>
                <c:pt idx="6">
                  <c:v>160.88912302464394</c:v>
                </c:pt>
                <c:pt idx="7">
                  <c:v>214.53574296431049</c:v>
                </c:pt>
                <c:pt idx="8">
                  <c:v>238.33454771033641</c:v>
                </c:pt>
                <c:pt idx="9">
                  <c:v>158.83863465147141</c:v>
                </c:pt>
                <c:pt idx="10">
                  <c:v>191.13390208414253</c:v>
                </c:pt>
                <c:pt idx="11">
                  <c:v>262.86162385017593</c:v>
                </c:pt>
              </c:numCache>
            </c:numRef>
          </c:val>
        </c:ser>
        <c:ser>
          <c:idx val="3"/>
          <c:order val="3"/>
          <c:tx>
            <c:strRef>
              <c:f>Sheet2!$E$30</c:f>
              <c:strCache>
                <c:ptCount val="1"/>
                <c:pt idx="0">
                  <c:v>Lithuania_World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Sheet2!$E$31:$E$42</c:f>
              <c:numCache>
                <c:formatCode>0</c:formatCode>
                <c:ptCount val="12"/>
                <c:pt idx="0">
                  <c:v>42.749353631863627</c:v>
                </c:pt>
                <c:pt idx="1">
                  <c:v>50.456462925712074</c:v>
                </c:pt>
                <c:pt idx="2">
                  <c:v>60.832639299481627</c:v>
                </c:pt>
                <c:pt idx="3">
                  <c:v>78.275531460654534</c:v>
                </c:pt>
                <c:pt idx="4">
                  <c:v>100</c:v>
                </c:pt>
                <c:pt idx="5">
                  <c:v>125.74531605344815</c:v>
                </c:pt>
                <c:pt idx="6">
                  <c:v>154.89479595201777</c:v>
                </c:pt>
                <c:pt idx="7">
                  <c:v>192.03358687735619</c:v>
                </c:pt>
                <c:pt idx="8">
                  <c:v>253.79319340043605</c:v>
                </c:pt>
                <c:pt idx="9">
                  <c:v>160.69938074028798</c:v>
                </c:pt>
                <c:pt idx="10">
                  <c:v>200.25543976422489</c:v>
                </c:pt>
                <c:pt idx="11">
                  <c:v>272.40001276211558</c:v>
                </c:pt>
              </c:numCache>
            </c:numRef>
          </c:val>
        </c:ser>
        <c:ser>
          <c:idx val="4"/>
          <c:order val="4"/>
          <c:tx>
            <c:strRef>
              <c:f>Sheet2!$F$30</c:f>
              <c:strCache>
                <c:ptCount val="1"/>
                <c:pt idx="0">
                  <c:v>Malta_World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Sheet2!$F$31:$F$42</c:f>
              <c:numCache>
                <c:formatCode>0</c:formatCode>
                <c:ptCount val="12"/>
                <c:pt idx="0">
                  <c:v>90.886173827219352</c:v>
                </c:pt>
                <c:pt idx="1">
                  <c:v>108.95142951020368</c:v>
                </c:pt>
                <c:pt idx="2">
                  <c:v>78.469356282639879</c:v>
                </c:pt>
                <c:pt idx="3">
                  <c:v>91.128480409718378</c:v>
                </c:pt>
                <c:pt idx="4">
                  <c:v>100</c:v>
                </c:pt>
                <c:pt idx="5">
                  <c:v>94.965452540392363</c:v>
                </c:pt>
                <c:pt idx="6">
                  <c:v>110.60932326767239</c:v>
                </c:pt>
                <c:pt idx="7">
                  <c:v>128.40782679004073</c:v>
                </c:pt>
                <c:pt idx="8">
                  <c:v>136.86745251233091</c:v>
                </c:pt>
                <c:pt idx="9">
                  <c:v>114.29394989722861</c:v>
                </c:pt>
                <c:pt idx="10">
                  <c:v>118.15248988678455</c:v>
                </c:pt>
                <c:pt idx="11">
                  <c:v>147.07975877658018</c:v>
                </c:pt>
              </c:numCache>
            </c:numRef>
          </c:val>
        </c:ser>
        <c:ser>
          <c:idx val="5"/>
          <c:order val="5"/>
          <c:tx>
            <c:strRef>
              <c:f>Sheet2!$G$30</c:f>
              <c:strCache>
                <c:ptCount val="1"/>
                <c:pt idx="0">
                  <c:v>SlovakRep_World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Sheet2!$G$31:$G$42</c:f>
              <c:numCache>
                <c:formatCode>0</c:formatCode>
                <c:ptCount val="12"/>
                <c:pt idx="0">
                  <c:v>47.768623505844026</c:v>
                </c:pt>
                <c:pt idx="1">
                  <c:v>53.251242916326738</c:v>
                </c:pt>
                <c:pt idx="2">
                  <c:v>59.901229613322784</c:v>
                </c:pt>
                <c:pt idx="3">
                  <c:v>80.717098021053587</c:v>
                </c:pt>
                <c:pt idx="4">
                  <c:v>100</c:v>
                </c:pt>
                <c:pt idx="5">
                  <c:v>122.19668744488071</c:v>
                </c:pt>
                <c:pt idx="6">
                  <c:v>160.41168223933838</c:v>
                </c:pt>
                <c:pt idx="7">
                  <c:v>220.16451272623743</c:v>
                </c:pt>
                <c:pt idx="8">
                  <c:v>267.54452653412488</c:v>
                </c:pt>
                <c:pt idx="9">
                  <c:v>206.37832361996144</c:v>
                </c:pt>
                <c:pt idx="10">
                  <c:v>230.07525567004663</c:v>
                </c:pt>
                <c:pt idx="11">
                  <c:v>282.43757299490193</c:v>
                </c:pt>
              </c:numCache>
            </c:numRef>
          </c:val>
        </c:ser>
        <c:ser>
          <c:idx val="6"/>
          <c:order val="6"/>
          <c:tx>
            <c:strRef>
              <c:f>Sheet2!$H$30</c:f>
              <c:strCache>
                <c:ptCount val="1"/>
                <c:pt idx="0">
                  <c:v>Slovenia_World</c:v>
                </c:pt>
              </c:strCache>
            </c:strRef>
          </c:tx>
          <c:marker>
            <c:symbol val="none"/>
          </c:marker>
          <c:cat>
            <c:strRef>
              <c:f>Sheet2!$A$31:$A$42</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Sheet2!$H$31:$H$42</c:f>
              <c:numCache>
                <c:formatCode>0</c:formatCode>
                <c:ptCount val="12"/>
                <c:pt idx="0">
                  <c:v>57.223256119527861</c:v>
                </c:pt>
                <c:pt idx="1">
                  <c:v>58.730287577343972</c:v>
                </c:pt>
                <c:pt idx="2">
                  <c:v>64.737365662337396</c:v>
                </c:pt>
                <c:pt idx="3">
                  <c:v>80.821133296572768</c:v>
                </c:pt>
                <c:pt idx="4">
                  <c:v>100</c:v>
                </c:pt>
                <c:pt idx="5">
                  <c:v>120.11625074920241</c:v>
                </c:pt>
                <c:pt idx="6">
                  <c:v>144.23230483954075</c:v>
                </c:pt>
                <c:pt idx="7">
                  <c:v>187.80626293713794</c:v>
                </c:pt>
                <c:pt idx="8">
                  <c:v>217.02759893944454</c:v>
                </c:pt>
                <c:pt idx="9">
                  <c:v>160.29028531948316</c:v>
                </c:pt>
                <c:pt idx="10">
                  <c:v>179.97577393356798</c:v>
                </c:pt>
                <c:pt idx="11">
                  <c:v>213.43531122619598</c:v>
                </c:pt>
              </c:numCache>
            </c:numRef>
          </c:val>
        </c:ser>
        <c:marker val="1"/>
        <c:axId val="102019072"/>
        <c:axId val="102020608"/>
      </c:lineChart>
      <c:catAx>
        <c:axId val="102019072"/>
        <c:scaling>
          <c:orientation val="minMax"/>
        </c:scaling>
        <c:axPos val="b"/>
        <c:tickLblPos val="nextTo"/>
        <c:crossAx val="102020608"/>
        <c:crosses val="autoZero"/>
        <c:auto val="1"/>
        <c:lblAlgn val="ctr"/>
        <c:lblOffset val="100"/>
      </c:catAx>
      <c:valAx>
        <c:axId val="102020608"/>
        <c:scaling>
          <c:orientation val="minMax"/>
        </c:scaling>
        <c:axPos val="l"/>
        <c:majorGridlines/>
        <c:title>
          <c:tx>
            <c:rich>
              <a:bodyPr rot="-5400000" vert="horz"/>
              <a:lstStyle/>
              <a:p>
                <a:pPr>
                  <a:defRPr/>
                </a:pPr>
                <a:r>
                  <a:rPr lang="en-US"/>
                  <a:t>Index Total Import + Export per Country (100=2004)</a:t>
                </a:r>
              </a:p>
            </c:rich>
          </c:tx>
        </c:title>
        <c:numFmt formatCode="0" sourceLinked="1"/>
        <c:tickLblPos val="nextTo"/>
        <c:crossAx val="1020190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Sheet2!$K$32</c:f>
              <c:strCache>
                <c:ptCount val="1"/>
                <c:pt idx="0">
                  <c:v>Cyprus_World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Sheet2!$K$33:$K$43</c:f>
              <c:numCache>
                <c:formatCode>0.00</c:formatCode>
                <c:ptCount val="11"/>
                <c:pt idx="0">
                  <c:v>9.6167188873150011E-2</c:v>
                </c:pt>
                <c:pt idx="1">
                  <c:v>-2.6960669636864918E-2</c:v>
                </c:pt>
                <c:pt idx="2">
                  <c:v>9.6542094045767551E-2</c:v>
                </c:pt>
                <c:pt idx="3">
                  <c:v>0.27501549962746852</c:v>
                </c:pt>
                <c:pt idx="4">
                  <c:v>0.12358936514542554</c:v>
                </c:pt>
                <c:pt idx="5">
                  <c:v>6.5548023699348298E-2</c:v>
                </c:pt>
                <c:pt idx="6">
                  <c:v>0.21347249401317597</c:v>
                </c:pt>
                <c:pt idx="7">
                  <c:v>0.2281110819333729</c:v>
                </c:pt>
                <c:pt idx="8">
                  <c:v>-0.2616413001221351</c:v>
                </c:pt>
                <c:pt idx="9">
                  <c:v>8.6318496209698337E-2</c:v>
                </c:pt>
                <c:pt idx="10">
                  <c:v>4.5253656006802416E-2</c:v>
                </c:pt>
              </c:numCache>
            </c:numRef>
          </c:val>
        </c:ser>
        <c:ser>
          <c:idx val="1"/>
          <c:order val="1"/>
          <c:tx>
            <c:strRef>
              <c:f>Sheet2!$L$32</c:f>
              <c:strCache>
                <c:ptCount val="1"/>
                <c:pt idx="0">
                  <c:v>Estonia_World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Sheet2!$L$33:$L$43</c:f>
              <c:numCache>
                <c:formatCode>0.00</c:formatCode>
                <c:ptCount val="11"/>
                <c:pt idx="0">
                  <c:v>9.3807422538223634E-3</c:v>
                </c:pt>
                <c:pt idx="1">
                  <c:v>0.10371558695809632</c:v>
                </c:pt>
                <c:pt idx="2">
                  <c:v>0.33133103034208938</c:v>
                </c:pt>
                <c:pt idx="3">
                  <c:v>4.9733056617598914E-2</c:v>
                </c:pt>
                <c:pt idx="4">
                  <c:v>0.25467473042544631</c:v>
                </c:pt>
                <c:pt idx="5">
                  <c:v>0.29395143498561682</c:v>
                </c:pt>
                <c:pt idx="6">
                  <c:v>0.15303407648772072</c:v>
                </c:pt>
                <c:pt idx="7">
                  <c:v>6.8360690374116129E-2</c:v>
                </c:pt>
                <c:pt idx="8">
                  <c:v>-0.32678045237122688</c:v>
                </c:pt>
                <c:pt idx="9">
                  <c:v>0.16030236547350019</c:v>
                </c:pt>
                <c:pt idx="10">
                  <c:v>0.43116707680687966</c:v>
                </c:pt>
              </c:numCache>
            </c:numRef>
          </c:val>
        </c:ser>
        <c:ser>
          <c:idx val="2"/>
          <c:order val="2"/>
          <c:tx>
            <c:strRef>
              <c:f>Sheet2!$M$32</c:f>
              <c:strCache>
                <c:ptCount val="1"/>
                <c:pt idx="0">
                  <c:v>Latvia_World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Sheet2!$M$33:$M$43</c:f>
              <c:numCache>
                <c:formatCode>0.00</c:formatCode>
                <c:ptCount val="11"/>
                <c:pt idx="0">
                  <c:v>9.8471052472115017E-2</c:v>
                </c:pt>
                <c:pt idx="1">
                  <c:v>0.14537869094261019</c:v>
                </c:pt>
                <c:pt idx="2">
                  <c:v>0.28072347076112225</c:v>
                </c:pt>
                <c:pt idx="3">
                  <c:v>0.35408943140331955</c:v>
                </c:pt>
                <c:pt idx="4">
                  <c:v>0.25309986823205183</c:v>
                </c:pt>
                <c:pt idx="5">
                  <c:v>0.28392897568201009</c:v>
                </c:pt>
                <c:pt idx="6">
                  <c:v>0.33343845084822427</c:v>
                </c:pt>
                <c:pt idx="7">
                  <c:v>0.1109316537057647</c:v>
                </c:pt>
                <c:pt idx="8">
                  <c:v>-0.33354758604061735</c:v>
                </c:pt>
                <c:pt idx="9">
                  <c:v>0.20332123543830841</c:v>
                </c:pt>
                <c:pt idx="10">
                  <c:v>0.37527472093598901</c:v>
                </c:pt>
              </c:numCache>
            </c:numRef>
          </c:val>
        </c:ser>
        <c:ser>
          <c:idx val="3"/>
          <c:order val="3"/>
          <c:tx>
            <c:strRef>
              <c:f>Sheet2!$N$32</c:f>
              <c:strCache>
                <c:ptCount val="1"/>
                <c:pt idx="0">
                  <c:v>Lithuania_World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Sheet2!$N$33:$N$43</c:f>
              <c:numCache>
                <c:formatCode>0.00</c:formatCode>
                <c:ptCount val="11"/>
                <c:pt idx="0">
                  <c:v>0.18028598420968658</c:v>
                </c:pt>
                <c:pt idx="1">
                  <c:v>0.20564613078500077</c:v>
                </c:pt>
                <c:pt idx="2">
                  <c:v>0.28673574518608153</c:v>
                </c:pt>
                <c:pt idx="3">
                  <c:v>0.27753843549775531</c:v>
                </c:pt>
                <c:pt idx="4">
                  <c:v>0.25745316053448181</c:v>
                </c:pt>
                <c:pt idx="5">
                  <c:v>0.23181364374780841</c:v>
                </c:pt>
                <c:pt idx="6">
                  <c:v>0.23976784176043647</c:v>
                </c:pt>
                <c:pt idx="7">
                  <c:v>0.32160835782608738</c:v>
                </c:pt>
                <c:pt idx="8">
                  <c:v>-0.36680972965758102</c:v>
                </c:pt>
                <c:pt idx="9">
                  <c:v>0.24614941788646297</c:v>
                </c:pt>
                <c:pt idx="10">
                  <c:v>0.36026273784538371</c:v>
                </c:pt>
              </c:numCache>
            </c:numRef>
          </c:val>
        </c:ser>
        <c:ser>
          <c:idx val="4"/>
          <c:order val="4"/>
          <c:tx>
            <c:strRef>
              <c:f>Sheet2!$O$32</c:f>
              <c:strCache>
                <c:ptCount val="1"/>
                <c:pt idx="0">
                  <c:v>Malta_World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Sheet2!$O$33:$O$43</c:f>
              <c:numCache>
                <c:formatCode>0.00</c:formatCode>
                <c:ptCount val="11"/>
                <c:pt idx="0">
                  <c:v>0.1987679195003581</c:v>
                </c:pt>
                <c:pt idx="1">
                  <c:v>-0.27977671669474541</c:v>
                </c:pt>
                <c:pt idx="2">
                  <c:v>0.16132570377513283</c:v>
                </c:pt>
                <c:pt idx="3">
                  <c:v>9.7351777955637514E-2</c:v>
                </c:pt>
                <c:pt idx="4">
                  <c:v>-5.0345474596076474E-2</c:v>
                </c:pt>
                <c:pt idx="5">
                  <c:v>0.16473222955080521</c:v>
                </c:pt>
                <c:pt idx="6">
                  <c:v>0.1609132304272069</c:v>
                </c:pt>
                <c:pt idx="7">
                  <c:v>6.5880919674175559E-2</c:v>
                </c:pt>
                <c:pt idx="8">
                  <c:v>-0.16492966151370789</c:v>
                </c:pt>
                <c:pt idx="9">
                  <c:v>3.3759792123953962E-2</c:v>
                </c:pt>
                <c:pt idx="10">
                  <c:v>0.24482995591133278</c:v>
                </c:pt>
              </c:numCache>
            </c:numRef>
          </c:val>
        </c:ser>
        <c:ser>
          <c:idx val="5"/>
          <c:order val="5"/>
          <c:tx>
            <c:strRef>
              <c:f>Sheet2!$P$32</c:f>
              <c:strCache>
                <c:ptCount val="1"/>
                <c:pt idx="0">
                  <c:v>SlovakRep_World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Sheet2!$P$33:$P$43</c:f>
              <c:numCache>
                <c:formatCode>0.00</c:formatCode>
                <c:ptCount val="11"/>
                <c:pt idx="0">
                  <c:v>0.11477449020091542</c:v>
                </c:pt>
                <c:pt idx="1">
                  <c:v>0.12487946445579005</c:v>
                </c:pt>
                <c:pt idx="2">
                  <c:v>0.34750319053719514</c:v>
                </c:pt>
                <c:pt idx="3">
                  <c:v>0.2388948866065132</c:v>
                </c:pt>
                <c:pt idx="4">
                  <c:v>0.22196687444880714</c:v>
                </c:pt>
                <c:pt idx="5">
                  <c:v>0.31273347578833049</c:v>
                </c:pt>
                <c:pt idx="6">
                  <c:v>0.37249675118889564</c:v>
                </c:pt>
                <c:pt idx="7">
                  <c:v>0.21520277369496771</c:v>
                </c:pt>
                <c:pt idx="8">
                  <c:v>-0.22862064758540951</c:v>
                </c:pt>
                <c:pt idx="9">
                  <c:v>0.11482277612508598</c:v>
                </c:pt>
                <c:pt idx="10">
                  <c:v>0.22758778284244774</c:v>
                </c:pt>
              </c:numCache>
            </c:numRef>
          </c:val>
        </c:ser>
        <c:ser>
          <c:idx val="6"/>
          <c:order val="6"/>
          <c:tx>
            <c:strRef>
              <c:f>Sheet2!$Q$32</c:f>
              <c:strCache>
                <c:ptCount val="1"/>
                <c:pt idx="0">
                  <c:v>Slovenia_World</c:v>
                </c:pt>
              </c:strCache>
            </c:strRef>
          </c:tx>
          <c:marker>
            <c:symbol val="none"/>
          </c:marker>
          <c:cat>
            <c:strRef>
              <c:f>Sheet2!$J$33:$J$43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Sheet2!$Q$33:$Q$43</c:f>
              <c:numCache>
                <c:formatCode>0.00</c:formatCode>
                <c:ptCount val="11"/>
                <c:pt idx="0">
                  <c:v>2.6335996236709912E-2</c:v>
                </c:pt>
                <c:pt idx="1">
                  <c:v>0.10228245651074636</c:v>
                </c:pt>
                <c:pt idx="2">
                  <c:v>0.24844643382813186</c:v>
                </c:pt>
                <c:pt idx="3">
                  <c:v>0.23730014565683541</c:v>
                </c:pt>
                <c:pt idx="4">
                  <c:v>0.20116250749202341</c:v>
                </c:pt>
                <c:pt idx="5">
                  <c:v>0.20077261769260288</c:v>
                </c:pt>
                <c:pt idx="6">
                  <c:v>0.30210955961685182</c:v>
                </c:pt>
                <c:pt idx="7">
                  <c:v>0.15559297941031666</c:v>
                </c:pt>
                <c:pt idx="8">
                  <c:v>-0.26142902514344485</c:v>
                </c:pt>
                <c:pt idx="9">
                  <c:v>0.12281148901100801</c:v>
                </c:pt>
                <c:pt idx="10">
                  <c:v>0.185911339961668</c:v>
                </c:pt>
              </c:numCache>
            </c:numRef>
          </c:val>
        </c:ser>
        <c:marker val="1"/>
        <c:axId val="102193024"/>
        <c:axId val="102194560"/>
      </c:lineChart>
      <c:catAx>
        <c:axId val="102193024"/>
        <c:scaling>
          <c:orientation val="minMax"/>
        </c:scaling>
        <c:axPos val="b"/>
        <c:tickLblPos val="nextTo"/>
        <c:crossAx val="102194560"/>
        <c:crosses val="autoZero"/>
        <c:auto val="1"/>
        <c:lblAlgn val="ctr"/>
        <c:lblOffset val="100"/>
      </c:catAx>
      <c:valAx>
        <c:axId val="102194560"/>
        <c:scaling>
          <c:orientation val="minMax"/>
          <c:min val="-0.4"/>
        </c:scaling>
        <c:axPos val="l"/>
        <c:majorGridlines/>
        <c:title>
          <c:tx>
            <c:rich>
              <a:bodyPr rot="-5400000" vert="horz"/>
              <a:lstStyle/>
              <a:p>
                <a:pPr>
                  <a:defRPr/>
                </a:pPr>
                <a:r>
                  <a:rPr lang="en-US"/>
                  <a:t>% Change in Total Import + Export per Country per Year</a:t>
                </a:r>
              </a:p>
            </c:rich>
          </c:tx>
        </c:title>
        <c:numFmt formatCode="0.00" sourceLinked="1"/>
        <c:tickLblPos val="nextTo"/>
        <c:crossAx val="102193024"/>
        <c:crosses val="autoZero"/>
        <c:crossBetween val="between"/>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0.03109</cdr:x>
      <cdr:y>0.54444</cdr:y>
    </cdr:from>
    <cdr:to>
      <cdr:x>0.1505</cdr:x>
      <cdr:y>0.75778</cdr:y>
    </cdr:to>
    <cdr:sp macro="" textlink="">
      <cdr:nvSpPr>
        <cdr:cNvPr id="2" name="TextBox 1"/>
        <cdr:cNvSpPr txBox="1"/>
      </cdr:nvSpPr>
      <cdr:spPr>
        <a:xfrm xmlns:a="http://schemas.openxmlformats.org/drawingml/2006/main">
          <a:off x="238125" y="23336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88E4-9353-45D1-85D0-C1F8B0AC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24811</Words>
  <Characters>141424</Characters>
  <Application>Microsoft Office Word</Application>
  <DocSecurity>0</DocSecurity>
  <Lines>1178</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165904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Ooms, M.P.A. (Mattis)</dc:creator>
  <cp:lastModifiedBy>Thea T. L. Kruining</cp:lastModifiedBy>
  <cp:revision>2</cp:revision>
  <cp:lastPrinted>2012-12-17T16:55:00Z</cp:lastPrinted>
  <dcterms:created xsi:type="dcterms:W3CDTF">2013-04-11T13:58:00Z</dcterms:created>
  <dcterms:modified xsi:type="dcterms:W3CDTF">2013-04-11T13:58:00Z</dcterms:modified>
</cp:coreProperties>
</file>