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9B" w:rsidRDefault="005E009B" w:rsidP="00CB35E7">
      <w:pPr>
        <w:spacing w:line="360" w:lineRule="auto"/>
        <w:jc w:val="center"/>
      </w:pPr>
    </w:p>
    <w:p w:rsidR="006244C9" w:rsidRDefault="00C71468" w:rsidP="00CB35E7">
      <w:pPr>
        <w:spacing w:line="360" w:lineRule="auto"/>
        <w:jc w:val="center"/>
        <w:rPr>
          <w:b/>
        </w:rPr>
      </w:pPr>
      <w:r w:rsidRPr="00CB35E7">
        <w:rPr>
          <w:b/>
        </w:rPr>
        <w:t>M</w:t>
      </w:r>
      <w:r w:rsidR="0052491C" w:rsidRPr="00CB35E7">
        <w:rPr>
          <w:b/>
        </w:rPr>
        <w:t>aster Thesis</w:t>
      </w:r>
    </w:p>
    <w:p w:rsidR="00CB35E7" w:rsidRDefault="00CB35E7" w:rsidP="00CB35E7">
      <w:pPr>
        <w:spacing w:line="360" w:lineRule="auto"/>
        <w:jc w:val="center"/>
      </w:pPr>
      <w:r w:rsidRPr="00CB35E7">
        <w:t>Master in Economics and Business – International Economics</w:t>
      </w:r>
    </w:p>
    <w:p w:rsidR="00CB35E7" w:rsidRDefault="00CB35E7" w:rsidP="00CB35E7">
      <w:pPr>
        <w:spacing w:line="360" w:lineRule="auto"/>
        <w:jc w:val="center"/>
      </w:pPr>
    </w:p>
    <w:p w:rsidR="00CB35E7" w:rsidRDefault="00CB35E7" w:rsidP="00CB35E7">
      <w:pPr>
        <w:spacing w:line="360" w:lineRule="auto"/>
        <w:jc w:val="center"/>
      </w:pPr>
    </w:p>
    <w:p w:rsidR="00CB35E7" w:rsidRPr="00CB35E7" w:rsidRDefault="00CB35E7" w:rsidP="00CB35E7">
      <w:pPr>
        <w:spacing w:line="360" w:lineRule="auto"/>
        <w:jc w:val="center"/>
        <w:rPr>
          <w:b/>
          <w:sz w:val="32"/>
          <w:szCs w:val="32"/>
        </w:rPr>
      </w:pPr>
    </w:p>
    <w:p w:rsidR="00CB35E7" w:rsidRDefault="00CB35E7" w:rsidP="00CB35E7">
      <w:pPr>
        <w:spacing w:line="360" w:lineRule="auto"/>
        <w:jc w:val="center"/>
        <w:rPr>
          <w:b/>
          <w:sz w:val="32"/>
          <w:szCs w:val="32"/>
        </w:rPr>
      </w:pPr>
      <w:r w:rsidRPr="00CB35E7">
        <w:rPr>
          <w:b/>
          <w:sz w:val="32"/>
          <w:szCs w:val="32"/>
        </w:rPr>
        <w:t xml:space="preserve">Regional Economic Growth and Income Inequality: </w:t>
      </w:r>
    </w:p>
    <w:p w:rsidR="00CB35E7" w:rsidRPr="00CB35E7" w:rsidRDefault="00CB35E7" w:rsidP="00CB35E7">
      <w:pPr>
        <w:spacing w:line="360" w:lineRule="auto"/>
        <w:jc w:val="center"/>
        <w:rPr>
          <w:b/>
          <w:sz w:val="32"/>
          <w:szCs w:val="32"/>
        </w:rPr>
      </w:pPr>
      <w:r w:rsidRPr="00CB35E7">
        <w:rPr>
          <w:b/>
          <w:sz w:val="32"/>
          <w:szCs w:val="32"/>
        </w:rPr>
        <w:t>Evidence from Chilean Regions</w:t>
      </w:r>
    </w:p>
    <w:p w:rsidR="00CB35E7" w:rsidRDefault="00CB35E7" w:rsidP="00CB35E7">
      <w:pPr>
        <w:spacing w:line="360" w:lineRule="auto"/>
        <w:jc w:val="center"/>
      </w:pPr>
    </w:p>
    <w:p w:rsidR="00CB35E7" w:rsidRDefault="00CB35E7" w:rsidP="00CB35E7">
      <w:pPr>
        <w:spacing w:line="360" w:lineRule="auto"/>
        <w:jc w:val="center"/>
      </w:pPr>
    </w:p>
    <w:p w:rsidR="00CB35E7" w:rsidRDefault="00CB35E7" w:rsidP="00CB35E7">
      <w:pPr>
        <w:spacing w:line="360" w:lineRule="auto"/>
        <w:jc w:val="center"/>
      </w:pPr>
    </w:p>
    <w:p w:rsidR="00CB35E7" w:rsidRDefault="00CB35E7" w:rsidP="00CB35E7">
      <w:pPr>
        <w:spacing w:line="360" w:lineRule="auto"/>
        <w:jc w:val="center"/>
      </w:pPr>
    </w:p>
    <w:p w:rsidR="00CB35E7" w:rsidRDefault="00CB35E7" w:rsidP="00CB35E7">
      <w:pPr>
        <w:spacing w:line="360" w:lineRule="auto"/>
        <w:jc w:val="center"/>
      </w:pPr>
    </w:p>
    <w:p w:rsidR="00CB35E7" w:rsidRDefault="00CB35E7" w:rsidP="00CB35E7">
      <w:pPr>
        <w:spacing w:line="360" w:lineRule="auto"/>
        <w:jc w:val="center"/>
      </w:pPr>
    </w:p>
    <w:p w:rsidR="00CB35E7" w:rsidRDefault="00CB35E7" w:rsidP="00CB35E7">
      <w:pPr>
        <w:spacing w:line="360" w:lineRule="auto"/>
        <w:jc w:val="center"/>
      </w:pPr>
      <w:r>
        <w:t>ERASMUS UNIVERSITY ROTTERDAM</w:t>
      </w:r>
    </w:p>
    <w:p w:rsidR="00CB35E7" w:rsidRDefault="00CB35E7" w:rsidP="00CB35E7">
      <w:pPr>
        <w:spacing w:line="360" w:lineRule="auto"/>
        <w:jc w:val="center"/>
      </w:pPr>
      <w:r>
        <w:t>Erasmus School of Economics</w:t>
      </w:r>
    </w:p>
    <w:p w:rsidR="00B044C7" w:rsidRDefault="00B044C7" w:rsidP="00CB35E7">
      <w:pPr>
        <w:spacing w:line="360" w:lineRule="auto"/>
        <w:jc w:val="center"/>
      </w:pPr>
      <w:r>
        <w:t>Department of Economics</w:t>
      </w:r>
    </w:p>
    <w:p w:rsidR="00CB35E7" w:rsidRDefault="00CB35E7" w:rsidP="00CB35E7">
      <w:pPr>
        <w:spacing w:line="360" w:lineRule="auto"/>
        <w:jc w:val="center"/>
      </w:pPr>
      <w:r>
        <w:t>Supervisor: Prof.</w:t>
      </w:r>
      <w:r w:rsidR="0082619B">
        <w:t xml:space="preserve"> Dr. J-</w:t>
      </w:r>
      <w:r>
        <w:t>M.A. Viaene</w:t>
      </w:r>
    </w:p>
    <w:p w:rsidR="00660C67" w:rsidRPr="00232A65" w:rsidRDefault="00520A50" w:rsidP="00660C67">
      <w:pPr>
        <w:spacing w:line="360" w:lineRule="auto"/>
        <w:jc w:val="center"/>
        <w:rPr>
          <w:lang w:val="nl-NL"/>
        </w:rPr>
      </w:pPr>
      <w:proofErr w:type="gramStart"/>
      <w:r w:rsidRPr="00232A65">
        <w:rPr>
          <w:lang w:val="nl-NL"/>
        </w:rPr>
        <w:t>Co-Reader</w:t>
      </w:r>
      <w:proofErr w:type="gramEnd"/>
      <w:r w:rsidRPr="00232A65">
        <w:rPr>
          <w:lang w:val="nl-NL"/>
        </w:rPr>
        <w:t xml:space="preserve">: </w:t>
      </w:r>
      <w:r w:rsidR="0082619B" w:rsidRPr="00232A65">
        <w:rPr>
          <w:lang w:val="nl-NL"/>
        </w:rPr>
        <w:t>Dr</w:t>
      </w:r>
      <w:r w:rsidRPr="00232A65">
        <w:rPr>
          <w:lang w:val="nl-NL"/>
        </w:rPr>
        <w:t xml:space="preserve">. </w:t>
      </w:r>
      <w:r w:rsidR="00B044C7" w:rsidRPr="00232A65">
        <w:rPr>
          <w:lang w:val="nl-NL"/>
        </w:rPr>
        <w:t>J.L.</w:t>
      </w:r>
      <w:r w:rsidRPr="00232A65">
        <w:rPr>
          <w:lang w:val="nl-NL"/>
        </w:rPr>
        <w:t xml:space="preserve"> de Kruijk</w:t>
      </w:r>
    </w:p>
    <w:p w:rsidR="00520A50" w:rsidRPr="00232A65" w:rsidRDefault="00520A50" w:rsidP="00660C67">
      <w:pPr>
        <w:spacing w:line="360" w:lineRule="auto"/>
        <w:jc w:val="center"/>
        <w:rPr>
          <w:lang w:val="nl-NL"/>
        </w:rPr>
      </w:pPr>
    </w:p>
    <w:p w:rsidR="00660C67" w:rsidRPr="00232A65" w:rsidRDefault="00B044C7" w:rsidP="00660C67">
      <w:pPr>
        <w:spacing w:line="360" w:lineRule="auto"/>
        <w:jc w:val="center"/>
        <w:rPr>
          <w:lang w:val="nl-NL"/>
        </w:rPr>
      </w:pPr>
      <w:r w:rsidRPr="00232A65">
        <w:rPr>
          <w:lang w:val="nl-NL"/>
        </w:rPr>
        <w:t xml:space="preserve">Name: </w:t>
      </w:r>
      <w:r w:rsidR="0052491C" w:rsidRPr="00232A65">
        <w:rPr>
          <w:lang w:val="nl-NL"/>
        </w:rPr>
        <w:t xml:space="preserve">Rutger </w:t>
      </w:r>
      <w:r w:rsidR="00660C67" w:rsidRPr="00232A65">
        <w:rPr>
          <w:lang w:val="nl-NL"/>
        </w:rPr>
        <w:t xml:space="preserve">Jan </w:t>
      </w:r>
      <w:r w:rsidR="0052491C" w:rsidRPr="00232A65">
        <w:rPr>
          <w:lang w:val="nl-NL"/>
        </w:rPr>
        <w:t>Kok</w:t>
      </w:r>
    </w:p>
    <w:p w:rsidR="00C71468" w:rsidRPr="00232A65" w:rsidRDefault="00232A65" w:rsidP="00660C67">
      <w:pPr>
        <w:spacing w:line="360" w:lineRule="auto"/>
        <w:jc w:val="center"/>
        <w:rPr>
          <w:lang w:val="nl-NL"/>
        </w:rPr>
      </w:pPr>
      <w:r w:rsidRPr="00232A65">
        <w:rPr>
          <w:lang w:val="nl-NL"/>
        </w:rPr>
        <w:t>Exam</w:t>
      </w:r>
      <w:r w:rsidR="00660C67" w:rsidRPr="00232A65">
        <w:rPr>
          <w:lang w:val="nl-NL"/>
        </w:rPr>
        <w:t xml:space="preserve"> Number: </w:t>
      </w:r>
      <w:r w:rsidR="00C71468" w:rsidRPr="00232A65">
        <w:rPr>
          <w:lang w:val="nl-NL"/>
        </w:rPr>
        <w:t>290821</w:t>
      </w:r>
    </w:p>
    <w:p w:rsidR="006244C9" w:rsidRPr="00660C67" w:rsidRDefault="00660C67" w:rsidP="00660C67">
      <w:pPr>
        <w:spacing w:line="360" w:lineRule="auto"/>
        <w:jc w:val="center"/>
      </w:pPr>
      <w:r w:rsidRPr="00660C67">
        <w:t xml:space="preserve">Contact Details: </w:t>
      </w:r>
      <w:bookmarkStart w:id="0" w:name="_GoBack"/>
      <w:bookmarkEnd w:id="0"/>
      <w:r w:rsidRPr="00660C67">
        <w:t>290821rk@eur.nl</w:t>
      </w:r>
    </w:p>
    <w:p w:rsidR="001B12F5" w:rsidRPr="00660C67" w:rsidRDefault="00660C67" w:rsidP="001B12F5">
      <w:pPr>
        <w:spacing w:line="360" w:lineRule="auto"/>
        <w:jc w:val="center"/>
        <w:rPr>
          <w:b/>
        </w:rPr>
      </w:pPr>
      <w:r w:rsidRPr="00660C67">
        <w:rPr>
          <w:b/>
        </w:rPr>
        <w:lastRenderedPageBreak/>
        <w:t>Abstract</w:t>
      </w:r>
    </w:p>
    <w:p w:rsidR="0070128E" w:rsidRPr="00220A38" w:rsidRDefault="005E009B" w:rsidP="00142112">
      <w:pPr>
        <w:spacing w:line="360" w:lineRule="auto"/>
        <w:jc w:val="both"/>
      </w:pPr>
      <w:r>
        <w:t>Recently,</w:t>
      </w:r>
      <w:r w:rsidR="00331CFA" w:rsidRPr="00220A38">
        <w:t xml:space="preserve"> the relationship between </w:t>
      </w:r>
      <w:r w:rsidR="00C1060B" w:rsidRPr="00220A38">
        <w:t xml:space="preserve">income inequality and economic </w:t>
      </w:r>
      <w:r w:rsidR="00E776CC">
        <w:t xml:space="preserve">development or </w:t>
      </w:r>
      <w:r w:rsidR="00C1060B" w:rsidRPr="00220A38">
        <w:t>growth</w:t>
      </w:r>
      <w:r w:rsidR="00331CFA" w:rsidRPr="00220A38">
        <w:t xml:space="preserve"> has regained interest from economists. Theories </w:t>
      </w:r>
      <w:r w:rsidR="00F92165" w:rsidRPr="00220A38">
        <w:t>have pointed</w:t>
      </w:r>
      <w:r w:rsidR="00331CFA" w:rsidRPr="00220A38">
        <w:t xml:space="preserve"> to positive</w:t>
      </w:r>
      <w:r w:rsidR="00C1060B" w:rsidRPr="00220A38">
        <w:t>,</w:t>
      </w:r>
      <w:r w:rsidR="00331CFA" w:rsidRPr="00220A38">
        <w:t xml:space="preserve"> negati</w:t>
      </w:r>
      <w:r w:rsidR="00F17264" w:rsidRPr="00220A38">
        <w:t xml:space="preserve">ve </w:t>
      </w:r>
      <w:r w:rsidR="00C1060B" w:rsidRPr="00220A38">
        <w:t xml:space="preserve">and causally reverse </w:t>
      </w:r>
      <w:r w:rsidR="00043A43">
        <w:t xml:space="preserve">(the </w:t>
      </w:r>
      <w:r w:rsidR="00CE2D82">
        <w:t xml:space="preserve">inverted-U or </w:t>
      </w:r>
      <w:r w:rsidR="00043A43">
        <w:t xml:space="preserve">Kuznets curve) </w:t>
      </w:r>
      <w:r w:rsidR="00F17264" w:rsidRPr="00220A38">
        <w:t xml:space="preserve">connections between the two </w:t>
      </w:r>
      <w:r w:rsidR="00AE785C" w:rsidRPr="00220A38">
        <w:t>and empirical work on the subject has given ambiguous results.</w:t>
      </w:r>
      <w:r w:rsidR="00331CFA" w:rsidRPr="00220A38">
        <w:t xml:space="preserve"> </w:t>
      </w:r>
      <w:r w:rsidR="001A62CB" w:rsidRPr="00220A38">
        <w:t xml:space="preserve">These </w:t>
      </w:r>
      <w:r w:rsidR="00660C67">
        <w:t>inconclusive r</w:t>
      </w:r>
      <w:r w:rsidR="001A62CB" w:rsidRPr="00220A38">
        <w:t>esults have been mainly attributed to inconsistent measurement of inequality indicators</w:t>
      </w:r>
      <w:r>
        <w:t xml:space="preserve"> due to the use of</w:t>
      </w:r>
      <w:r w:rsidR="00C1060B" w:rsidRPr="00220A38">
        <w:t xml:space="preserve"> multiple sources</w:t>
      </w:r>
      <w:r w:rsidR="001A62CB" w:rsidRPr="00220A38">
        <w:t xml:space="preserve">, the neglect of changes in parts of the income distribution </w:t>
      </w:r>
      <w:r w:rsidR="00C1060B" w:rsidRPr="00220A38">
        <w:t xml:space="preserve">due to </w:t>
      </w:r>
      <w:r w:rsidR="00A578F0">
        <w:t>the</w:t>
      </w:r>
      <w:r w:rsidR="00C1060B" w:rsidRPr="00220A38">
        <w:t xml:space="preserve"> focus</w:t>
      </w:r>
      <w:r w:rsidR="001A62CB" w:rsidRPr="00220A38">
        <w:t xml:space="preserve"> on a single inequality </w:t>
      </w:r>
      <w:r w:rsidR="00070B78" w:rsidRPr="00220A38">
        <w:t>measure</w:t>
      </w:r>
      <w:r w:rsidR="00C1060B" w:rsidRPr="00220A38">
        <w:t xml:space="preserve"> and</w:t>
      </w:r>
      <w:r>
        <w:t xml:space="preserve"> to</w:t>
      </w:r>
      <w:r w:rsidR="00C1060B" w:rsidRPr="00220A38">
        <w:t xml:space="preserve"> </w:t>
      </w:r>
      <w:r w:rsidR="00EC5838" w:rsidRPr="00220A38">
        <w:t>omitted variables related to</w:t>
      </w:r>
      <w:r w:rsidR="00070B78" w:rsidRPr="00220A38">
        <w:t xml:space="preserve"> institutional differences between countries</w:t>
      </w:r>
      <w:r w:rsidR="001A62CB" w:rsidRPr="00220A38">
        <w:t xml:space="preserve">. </w:t>
      </w:r>
      <w:r w:rsidR="00E776CC">
        <w:t>This thesis</w:t>
      </w:r>
      <w:r w:rsidR="00553FE1" w:rsidRPr="00220A38">
        <w:t xml:space="preserve"> </w:t>
      </w:r>
      <w:r w:rsidR="00660C67">
        <w:t>analyzes</w:t>
      </w:r>
      <w:r w:rsidR="00553FE1" w:rsidRPr="00220A38">
        <w:t xml:space="preserve"> the </w:t>
      </w:r>
      <w:r w:rsidR="009E7A85" w:rsidRPr="00220A38">
        <w:t>association</w:t>
      </w:r>
      <w:r w:rsidR="00553FE1" w:rsidRPr="00220A38">
        <w:t xml:space="preserve"> between</w:t>
      </w:r>
      <w:r w:rsidR="00331CFA" w:rsidRPr="00220A38">
        <w:t xml:space="preserve"> e</w:t>
      </w:r>
      <w:r w:rsidR="001A62CB" w:rsidRPr="00220A38">
        <w:t>conomic growth and</w:t>
      </w:r>
      <w:r w:rsidR="00331CFA" w:rsidRPr="00220A38">
        <w:t xml:space="preserve"> inequality </w:t>
      </w:r>
      <w:r w:rsidR="001A62CB" w:rsidRPr="00220A38">
        <w:t>on a subnational level in</w:t>
      </w:r>
      <w:r w:rsidR="00331CFA" w:rsidRPr="00220A38">
        <w:t xml:space="preserve"> Chile between 1990 and 20</w:t>
      </w:r>
      <w:r w:rsidR="001A62CB" w:rsidRPr="00220A38">
        <w:t>09</w:t>
      </w:r>
      <w:r w:rsidR="00331CFA" w:rsidRPr="00220A38">
        <w:t xml:space="preserve">, a period with high economic growth in a country with large spatial differences in growth and inequality patterns. </w:t>
      </w:r>
      <w:r>
        <w:t>Inequality measures are</w:t>
      </w:r>
      <w:r w:rsidR="00CE2D82">
        <w:t xml:space="preserve"> </w:t>
      </w:r>
      <w:r w:rsidR="00660C67">
        <w:t xml:space="preserve">compiled from </w:t>
      </w:r>
      <w:r w:rsidR="00E776CC">
        <w:t xml:space="preserve">a </w:t>
      </w:r>
      <w:r>
        <w:t xml:space="preserve">single </w:t>
      </w:r>
      <w:r w:rsidR="00660C67">
        <w:t xml:space="preserve">regionally </w:t>
      </w:r>
      <w:r w:rsidR="00E776CC">
        <w:t>representative household survey</w:t>
      </w:r>
      <w:r w:rsidR="00331CFA" w:rsidRPr="00220A38">
        <w:t xml:space="preserve">, </w:t>
      </w:r>
      <w:r w:rsidR="00520A50">
        <w:t xml:space="preserve">thereby </w:t>
      </w:r>
      <w:r w:rsidR="00660C67">
        <w:t xml:space="preserve">minimizing </w:t>
      </w:r>
      <w:r w:rsidR="003A0147" w:rsidRPr="00220A38">
        <w:t>measurement errors and</w:t>
      </w:r>
      <w:r w:rsidR="00660C67">
        <w:t xml:space="preserve"> allowing for the analysis of</w:t>
      </w:r>
      <w:r w:rsidR="003A0147" w:rsidRPr="00220A38">
        <w:t xml:space="preserve"> parts of the income distribution. </w:t>
      </w:r>
      <w:r w:rsidR="00984262">
        <w:t xml:space="preserve">Results show weak signs of a U-curve relationship </w:t>
      </w:r>
      <w:r w:rsidR="00CE2D82">
        <w:t xml:space="preserve">instead of an inverted-U </w:t>
      </w:r>
      <w:r w:rsidR="00984262">
        <w:t xml:space="preserve">between </w:t>
      </w:r>
      <w:r w:rsidR="00520A50">
        <w:t xml:space="preserve">regional </w:t>
      </w:r>
      <w:r w:rsidR="00984262">
        <w:t xml:space="preserve">inequality and </w:t>
      </w:r>
      <w:r w:rsidR="00520A50">
        <w:t xml:space="preserve">regional </w:t>
      </w:r>
      <w:r>
        <w:t>development. In addition,</w:t>
      </w:r>
      <w:r w:rsidR="00984262">
        <w:t xml:space="preserve"> no clear </w:t>
      </w:r>
      <w:r w:rsidR="00CE2D82">
        <w:t xml:space="preserve">overall </w:t>
      </w:r>
      <w:r w:rsidR="00984262">
        <w:t xml:space="preserve">relationship between </w:t>
      </w:r>
      <w:r w:rsidR="00660C67">
        <w:t>income inequality</w:t>
      </w:r>
      <w:r w:rsidR="00984262">
        <w:t xml:space="preserve"> </w:t>
      </w:r>
      <w:r>
        <w:t xml:space="preserve">measures </w:t>
      </w:r>
      <w:r w:rsidR="00984262">
        <w:t>and</w:t>
      </w:r>
      <w:r>
        <w:t xml:space="preserve"> e</w:t>
      </w:r>
      <w:r w:rsidR="00984262">
        <w:t>conomic growth</w:t>
      </w:r>
      <w:r w:rsidR="00520A50">
        <w:t xml:space="preserve"> for Chilean regions</w:t>
      </w:r>
      <w:r>
        <w:t xml:space="preserve"> emerges</w:t>
      </w:r>
      <w:r w:rsidR="00520A50">
        <w:t xml:space="preserve"> in the relevant period</w:t>
      </w:r>
      <w:r w:rsidR="00CE6BCB">
        <w:t xml:space="preserve"> for both the short and long run. </w:t>
      </w:r>
    </w:p>
    <w:p w:rsidR="003A0147" w:rsidRPr="00984262" w:rsidRDefault="003A0147"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C376DF" w:rsidRPr="00984262" w:rsidRDefault="00C376DF" w:rsidP="00142112">
      <w:pPr>
        <w:jc w:val="both"/>
      </w:pPr>
    </w:p>
    <w:p w:rsidR="000A4ED7" w:rsidRPr="00984262" w:rsidRDefault="000A4ED7" w:rsidP="00142112">
      <w:pPr>
        <w:jc w:val="both"/>
      </w:pPr>
    </w:p>
    <w:p w:rsidR="000A4ED7" w:rsidRDefault="000A4ED7" w:rsidP="00142112">
      <w:pPr>
        <w:jc w:val="both"/>
      </w:pPr>
    </w:p>
    <w:p w:rsidR="00CB35E7" w:rsidRDefault="00CB35E7">
      <w:r>
        <w:br w:type="page"/>
      </w:r>
    </w:p>
    <w:p w:rsidR="00712FEC" w:rsidRDefault="00385DC6" w:rsidP="001B12F5">
      <w:pPr>
        <w:spacing w:line="360" w:lineRule="auto"/>
        <w:jc w:val="center"/>
        <w:rPr>
          <w:b/>
        </w:rPr>
      </w:pPr>
      <w:r w:rsidRPr="00220A38">
        <w:rPr>
          <w:b/>
        </w:rPr>
        <w:lastRenderedPageBreak/>
        <w:t>List of contents</w:t>
      </w:r>
    </w:p>
    <w:p w:rsidR="00D96D88" w:rsidRPr="00D96D88" w:rsidRDefault="00D96D88" w:rsidP="00712FEC">
      <w:pPr>
        <w:pStyle w:val="NoSpacing"/>
        <w:spacing w:line="360" w:lineRule="auto"/>
      </w:pPr>
      <w:r>
        <w:rPr>
          <w:b/>
        </w:rPr>
        <w:tab/>
      </w:r>
      <w:r w:rsidRPr="00D96D88">
        <w:t>Abstract</w:t>
      </w:r>
      <w:r w:rsidRPr="00D96D88">
        <w:tab/>
      </w:r>
      <w:r w:rsidRPr="00D96D88">
        <w:tab/>
      </w:r>
      <w:r w:rsidRPr="00D96D88">
        <w:tab/>
      </w:r>
      <w:r w:rsidRPr="00D96D88">
        <w:tab/>
      </w:r>
      <w:r w:rsidRPr="00D96D88">
        <w:tab/>
      </w:r>
      <w:r w:rsidRPr="00D96D88">
        <w:tab/>
      </w:r>
      <w:r w:rsidRPr="00D96D88">
        <w:tab/>
      </w:r>
      <w:r w:rsidRPr="00D96D88">
        <w:tab/>
      </w:r>
      <w:r w:rsidRPr="00D96D88">
        <w:tab/>
        <w:t>page 1</w:t>
      </w:r>
    </w:p>
    <w:p w:rsidR="00D96D88" w:rsidRPr="00D96D88" w:rsidRDefault="00CA692D" w:rsidP="00CF2E4F">
      <w:pPr>
        <w:pStyle w:val="ListParagraph"/>
        <w:numPr>
          <w:ilvl w:val="0"/>
          <w:numId w:val="29"/>
        </w:numPr>
        <w:spacing w:line="360" w:lineRule="auto"/>
        <w:jc w:val="both"/>
      </w:pPr>
      <w:r w:rsidRPr="00D96D88">
        <w:t>Introduction</w:t>
      </w:r>
      <w:r w:rsidR="00D96D88" w:rsidRPr="00D96D88">
        <w:tab/>
      </w:r>
      <w:r w:rsidR="00D96D88" w:rsidRPr="00D96D88">
        <w:tab/>
      </w:r>
      <w:r w:rsidR="00D96D88" w:rsidRPr="00D96D88">
        <w:tab/>
      </w:r>
      <w:r w:rsidR="00D96D88" w:rsidRPr="00D96D88">
        <w:tab/>
      </w:r>
      <w:r w:rsidR="00D96D88" w:rsidRPr="00D96D88">
        <w:tab/>
      </w:r>
      <w:r w:rsidR="00D96D88" w:rsidRPr="00D96D88">
        <w:tab/>
      </w:r>
      <w:r w:rsidR="00D96D88" w:rsidRPr="00D96D88">
        <w:tab/>
      </w:r>
      <w:r w:rsidR="00D96D88" w:rsidRPr="00D96D88">
        <w:tab/>
      </w:r>
      <w:r w:rsidR="00D96D88" w:rsidRPr="00D96D88">
        <w:tab/>
        <w:t>page 3</w:t>
      </w:r>
      <w:r w:rsidR="00D96D88" w:rsidRPr="00D96D88">
        <w:tab/>
      </w:r>
    </w:p>
    <w:p w:rsidR="00C2640C" w:rsidRPr="00D96D88" w:rsidRDefault="005E009B" w:rsidP="000F5E7D">
      <w:pPr>
        <w:pStyle w:val="ListParagraph"/>
        <w:numPr>
          <w:ilvl w:val="0"/>
          <w:numId w:val="29"/>
        </w:numPr>
        <w:spacing w:line="360" w:lineRule="auto"/>
        <w:jc w:val="both"/>
      </w:pPr>
      <w:r>
        <w:t>Literature Review</w:t>
      </w:r>
      <w:r>
        <w:tab/>
      </w:r>
      <w:r>
        <w:tab/>
      </w:r>
      <w:r>
        <w:tab/>
      </w:r>
      <w:r>
        <w:tab/>
      </w:r>
      <w:r>
        <w:tab/>
      </w:r>
      <w:r>
        <w:tab/>
      </w:r>
      <w:r>
        <w:tab/>
      </w:r>
      <w:r>
        <w:tab/>
        <w:t>page 6</w:t>
      </w:r>
    </w:p>
    <w:p w:rsidR="00163F86" w:rsidRPr="00D96D88" w:rsidRDefault="00163F86" w:rsidP="000F5E7D">
      <w:pPr>
        <w:pStyle w:val="ListParagraph"/>
        <w:numPr>
          <w:ilvl w:val="1"/>
          <w:numId w:val="29"/>
        </w:numPr>
        <w:spacing w:line="360" w:lineRule="auto"/>
        <w:jc w:val="both"/>
      </w:pPr>
      <w:r w:rsidRPr="00D96D88">
        <w:t>Kuznets</w:t>
      </w:r>
      <w:r w:rsidR="00D96D88">
        <w:t xml:space="preserve"> and the Development</w:t>
      </w:r>
      <w:r w:rsidR="000716AC" w:rsidRPr="00D96D88">
        <w:t>-Inequality Relationship</w:t>
      </w:r>
      <w:r w:rsidR="005E009B">
        <w:tab/>
      </w:r>
      <w:r w:rsidR="005E009B">
        <w:tab/>
      </w:r>
      <w:r w:rsidR="005E009B">
        <w:tab/>
        <w:t>page 6</w:t>
      </w:r>
    </w:p>
    <w:p w:rsidR="000716AC" w:rsidRPr="00D96D88" w:rsidRDefault="000716AC" w:rsidP="000F5E7D">
      <w:pPr>
        <w:pStyle w:val="ListParagraph"/>
        <w:numPr>
          <w:ilvl w:val="1"/>
          <w:numId w:val="29"/>
        </w:numPr>
        <w:spacing w:line="360" w:lineRule="auto"/>
        <w:jc w:val="both"/>
      </w:pPr>
      <w:r w:rsidRPr="00D96D88">
        <w:t>Empirical Results on the Kuznets Relationship</w:t>
      </w:r>
      <w:r w:rsidR="005E009B">
        <w:tab/>
      </w:r>
      <w:r w:rsidR="005E009B">
        <w:tab/>
      </w:r>
      <w:r w:rsidR="005E009B">
        <w:tab/>
      </w:r>
      <w:r w:rsidR="005E009B">
        <w:tab/>
        <w:t>page 8</w:t>
      </w:r>
    </w:p>
    <w:p w:rsidR="00163F86" w:rsidRPr="00D96D88" w:rsidRDefault="00D96D88" w:rsidP="000F5E7D">
      <w:pPr>
        <w:pStyle w:val="ListParagraph"/>
        <w:numPr>
          <w:ilvl w:val="1"/>
          <w:numId w:val="29"/>
        </w:numPr>
        <w:spacing w:line="360" w:lineRule="auto"/>
        <w:jc w:val="both"/>
      </w:pPr>
      <w:r>
        <w:t>Inequality and</w:t>
      </w:r>
      <w:r w:rsidR="00EC5838" w:rsidRPr="00D96D88">
        <w:t xml:space="preserve"> Growth</w:t>
      </w:r>
      <w:r>
        <w:tab/>
      </w:r>
      <w:r w:rsidRPr="00D96D88">
        <w:tab/>
      </w:r>
      <w:r w:rsidRPr="00D96D88">
        <w:tab/>
      </w:r>
      <w:r w:rsidRPr="00D96D88">
        <w:tab/>
      </w:r>
      <w:r w:rsidRPr="00D96D88">
        <w:tab/>
      </w:r>
      <w:r w:rsidRPr="00D96D88">
        <w:tab/>
      </w:r>
      <w:r w:rsidRPr="00D96D88">
        <w:tab/>
        <w:t>page 1</w:t>
      </w:r>
      <w:r w:rsidR="005E009B">
        <w:t>0</w:t>
      </w:r>
    </w:p>
    <w:p w:rsidR="00163F86" w:rsidRPr="00D96D88" w:rsidRDefault="00163F86" w:rsidP="000F5E7D">
      <w:pPr>
        <w:pStyle w:val="ListParagraph"/>
        <w:numPr>
          <w:ilvl w:val="2"/>
          <w:numId w:val="29"/>
        </w:numPr>
        <w:spacing w:line="360" w:lineRule="auto"/>
        <w:jc w:val="both"/>
      </w:pPr>
      <w:r w:rsidRPr="00D96D88">
        <w:t xml:space="preserve">Positive </w:t>
      </w:r>
      <w:r w:rsidR="000716AC" w:rsidRPr="00D96D88">
        <w:t>Relationship</w:t>
      </w:r>
      <w:r w:rsidR="005E009B">
        <w:tab/>
      </w:r>
      <w:r w:rsidR="005E009B">
        <w:tab/>
      </w:r>
      <w:r w:rsidR="005E009B">
        <w:tab/>
      </w:r>
      <w:r w:rsidR="005E009B">
        <w:tab/>
      </w:r>
      <w:r w:rsidR="005E009B">
        <w:tab/>
      </w:r>
      <w:r w:rsidR="005E009B">
        <w:tab/>
        <w:t>page 11</w:t>
      </w:r>
    </w:p>
    <w:p w:rsidR="00163F86" w:rsidRPr="00D96D88" w:rsidRDefault="00EE4719" w:rsidP="000F5E7D">
      <w:pPr>
        <w:pStyle w:val="ListParagraph"/>
        <w:numPr>
          <w:ilvl w:val="2"/>
          <w:numId w:val="29"/>
        </w:numPr>
        <w:spacing w:line="360" w:lineRule="auto"/>
        <w:jc w:val="both"/>
      </w:pPr>
      <w:r w:rsidRPr="00D96D88">
        <w:t>Credit Market I</w:t>
      </w:r>
      <w:r w:rsidR="00163F86" w:rsidRPr="00D96D88">
        <w:t>mp</w:t>
      </w:r>
      <w:r w:rsidR="000716AC" w:rsidRPr="00D96D88">
        <w:t>erfections</w:t>
      </w:r>
      <w:r w:rsidR="00D96D88" w:rsidRPr="00D96D88">
        <w:tab/>
      </w:r>
      <w:r w:rsidR="00D96D88" w:rsidRPr="00D96D88">
        <w:tab/>
      </w:r>
      <w:r w:rsidR="00D96D88" w:rsidRPr="00D96D88">
        <w:tab/>
      </w:r>
      <w:r w:rsidR="00D96D88" w:rsidRPr="00D96D88">
        <w:tab/>
      </w:r>
      <w:r w:rsidR="00D96D88" w:rsidRPr="00D96D88">
        <w:tab/>
      </w:r>
      <w:r w:rsidR="00D96D88">
        <w:tab/>
      </w:r>
      <w:r w:rsidR="00D96D88" w:rsidRPr="00D96D88">
        <w:t>pag</w:t>
      </w:r>
      <w:r w:rsidR="005E009B">
        <w:t>e 12</w:t>
      </w:r>
    </w:p>
    <w:p w:rsidR="00163F86" w:rsidRPr="00D96D88" w:rsidRDefault="000F77B3" w:rsidP="000F5E7D">
      <w:pPr>
        <w:pStyle w:val="ListParagraph"/>
        <w:numPr>
          <w:ilvl w:val="2"/>
          <w:numId w:val="29"/>
        </w:numPr>
        <w:spacing w:line="360" w:lineRule="auto"/>
        <w:jc w:val="both"/>
      </w:pPr>
      <w:r w:rsidRPr="00D96D88">
        <w:t>Political I</w:t>
      </w:r>
      <w:r w:rsidR="00163F86" w:rsidRPr="00D96D88">
        <w:t>nstability</w:t>
      </w:r>
      <w:r w:rsidR="00D96D88" w:rsidRPr="00D96D88">
        <w:tab/>
      </w:r>
      <w:r w:rsidR="00D96D88" w:rsidRPr="00D96D88">
        <w:tab/>
      </w:r>
      <w:r w:rsidR="00D96D88" w:rsidRPr="00D96D88">
        <w:tab/>
      </w:r>
      <w:r w:rsidR="00D96D88" w:rsidRPr="00D96D88">
        <w:tab/>
      </w:r>
      <w:r w:rsidR="00D96D88" w:rsidRPr="00D96D88">
        <w:tab/>
      </w:r>
      <w:r w:rsidR="00D96D88" w:rsidRPr="00D96D88">
        <w:tab/>
      </w:r>
      <w:r w:rsidR="00D96D88" w:rsidRPr="00D96D88">
        <w:tab/>
        <w:t>page 13</w:t>
      </w:r>
    </w:p>
    <w:p w:rsidR="00851EC6" w:rsidRPr="00D96D88" w:rsidRDefault="00163F86" w:rsidP="000F5E7D">
      <w:pPr>
        <w:pStyle w:val="ListParagraph"/>
        <w:numPr>
          <w:ilvl w:val="2"/>
          <w:numId w:val="29"/>
        </w:numPr>
        <w:spacing w:line="360" w:lineRule="auto"/>
        <w:jc w:val="both"/>
      </w:pPr>
      <w:r w:rsidRPr="00D96D88">
        <w:t>Median Voter</w:t>
      </w:r>
      <w:r w:rsidR="005E009B">
        <w:t xml:space="preserve"> Theorem</w:t>
      </w:r>
      <w:r w:rsidR="005E009B">
        <w:tab/>
      </w:r>
      <w:r w:rsidR="005E009B">
        <w:tab/>
      </w:r>
      <w:r w:rsidR="005E009B">
        <w:tab/>
      </w:r>
      <w:r w:rsidR="005E009B">
        <w:tab/>
      </w:r>
      <w:r w:rsidR="005E009B">
        <w:tab/>
      </w:r>
      <w:r w:rsidR="005E009B">
        <w:tab/>
        <w:t>page 13</w:t>
      </w:r>
    </w:p>
    <w:p w:rsidR="0027588E" w:rsidRPr="00D96D88" w:rsidRDefault="00C306DB" w:rsidP="000F5E7D">
      <w:pPr>
        <w:pStyle w:val="ListParagraph"/>
        <w:numPr>
          <w:ilvl w:val="2"/>
          <w:numId w:val="29"/>
        </w:numPr>
        <w:spacing w:line="360" w:lineRule="auto"/>
        <w:jc w:val="both"/>
      </w:pPr>
      <w:r>
        <w:t>Recent T</w:t>
      </w:r>
      <w:r w:rsidR="005E009B">
        <w:t>heories</w:t>
      </w:r>
      <w:r w:rsidR="005E009B">
        <w:tab/>
      </w:r>
      <w:r w:rsidR="005E009B">
        <w:tab/>
      </w:r>
      <w:r w:rsidR="005E009B">
        <w:tab/>
      </w:r>
      <w:r w:rsidR="005E009B">
        <w:tab/>
      </w:r>
      <w:r w:rsidR="005E009B">
        <w:tab/>
      </w:r>
      <w:r w:rsidR="005E009B">
        <w:tab/>
      </w:r>
      <w:r w:rsidR="005E009B">
        <w:tab/>
        <w:t>page 13</w:t>
      </w:r>
    </w:p>
    <w:p w:rsidR="00D96D88" w:rsidRDefault="00163F86" w:rsidP="00D96D88">
      <w:pPr>
        <w:pStyle w:val="ListParagraph"/>
        <w:numPr>
          <w:ilvl w:val="2"/>
          <w:numId w:val="29"/>
        </w:numPr>
        <w:spacing w:line="360" w:lineRule="auto"/>
        <w:jc w:val="both"/>
      </w:pPr>
      <w:r w:rsidRPr="00D96D88">
        <w:t xml:space="preserve">Empirical </w:t>
      </w:r>
      <w:r w:rsidR="00D96D88">
        <w:t>Results</w:t>
      </w:r>
      <w:r w:rsidR="00D96D88" w:rsidRPr="00D96D88">
        <w:tab/>
      </w:r>
      <w:r w:rsidR="00D96D88">
        <w:tab/>
      </w:r>
      <w:r w:rsidR="00D96D88">
        <w:tab/>
      </w:r>
      <w:r w:rsidR="00D96D88">
        <w:tab/>
      </w:r>
      <w:r w:rsidR="00D96D88">
        <w:tab/>
      </w:r>
      <w:r w:rsidR="00D96D88">
        <w:tab/>
      </w:r>
      <w:r w:rsidR="00D96D88">
        <w:tab/>
      </w:r>
      <w:r w:rsidR="005E009B">
        <w:t>page 14</w:t>
      </w:r>
    </w:p>
    <w:p w:rsidR="00CF2E4F" w:rsidRPr="00D96D88" w:rsidRDefault="000716AC" w:rsidP="00CF2E4F">
      <w:pPr>
        <w:pStyle w:val="ListParagraph"/>
        <w:numPr>
          <w:ilvl w:val="1"/>
          <w:numId w:val="29"/>
        </w:numPr>
        <w:spacing w:line="360" w:lineRule="auto"/>
        <w:jc w:val="both"/>
      </w:pPr>
      <w:r w:rsidRPr="00D96D88">
        <w:t>R</w:t>
      </w:r>
      <w:r w:rsidR="00BB3A73" w:rsidRPr="00D96D88">
        <w:t>egional</w:t>
      </w:r>
      <w:r w:rsidRPr="00D96D88">
        <w:t xml:space="preserve"> Analysis</w:t>
      </w:r>
      <w:r w:rsidR="00CF2E4F">
        <w:tab/>
      </w:r>
      <w:r w:rsidR="00CF2E4F">
        <w:tab/>
      </w:r>
      <w:r w:rsidR="00CF2E4F">
        <w:tab/>
      </w:r>
      <w:r w:rsidR="00CF2E4F">
        <w:tab/>
      </w:r>
      <w:r w:rsidR="00CF2E4F">
        <w:tab/>
      </w:r>
      <w:r w:rsidR="00CF2E4F">
        <w:tab/>
      </w:r>
      <w:r w:rsidR="00CF2E4F">
        <w:tab/>
      </w:r>
      <w:r w:rsidR="00CF2E4F">
        <w:tab/>
        <w:t>page 17</w:t>
      </w:r>
    </w:p>
    <w:p w:rsidR="007E6907" w:rsidRPr="00D96D88" w:rsidRDefault="007E6907" w:rsidP="000F5E7D">
      <w:pPr>
        <w:pStyle w:val="ListParagraph"/>
        <w:numPr>
          <w:ilvl w:val="0"/>
          <w:numId w:val="29"/>
        </w:numPr>
        <w:spacing w:line="360" w:lineRule="auto"/>
        <w:jc w:val="both"/>
      </w:pPr>
      <w:r w:rsidRPr="00D96D88">
        <w:t>Data</w:t>
      </w:r>
      <w:r w:rsidR="005E009B">
        <w:tab/>
      </w:r>
      <w:r w:rsidR="005E009B">
        <w:tab/>
      </w:r>
      <w:r w:rsidR="005E009B">
        <w:tab/>
      </w:r>
      <w:r w:rsidR="005E009B">
        <w:tab/>
      </w:r>
      <w:r w:rsidR="005E009B">
        <w:tab/>
      </w:r>
      <w:r w:rsidR="005E009B">
        <w:tab/>
      </w:r>
      <w:r w:rsidR="005E009B">
        <w:tab/>
      </w:r>
      <w:r w:rsidR="005E009B">
        <w:tab/>
      </w:r>
      <w:r w:rsidR="005E009B">
        <w:tab/>
      </w:r>
      <w:r w:rsidR="005E009B">
        <w:tab/>
        <w:t>page 18</w:t>
      </w:r>
    </w:p>
    <w:p w:rsidR="0011042F" w:rsidRPr="00D96D88" w:rsidRDefault="00CF2E4F" w:rsidP="000F5E7D">
      <w:pPr>
        <w:pStyle w:val="ListParagraph"/>
        <w:numPr>
          <w:ilvl w:val="1"/>
          <w:numId w:val="29"/>
        </w:numPr>
        <w:spacing w:line="360" w:lineRule="auto"/>
        <w:jc w:val="both"/>
      </w:pPr>
      <w:r>
        <w:t>CASEN</w:t>
      </w:r>
      <w:r w:rsidR="00EE4719" w:rsidRPr="00D96D88">
        <w:t xml:space="preserve"> Household Survey</w:t>
      </w:r>
      <w:r w:rsidR="005E009B">
        <w:tab/>
      </w:r>
      <w:r w:rsidR="005E009B">
        <w:tab/>
      </w:r>
      <w:r w:rsidR="005E009B">
        <w:tab/>
      </w:r>
      <w:r w:rsidR="005E009B">
        <w:tab/>
      </w:r>
      <w:r w:rsidR="005E009B">
        <w:tab/>
      </w:r>
      <w:r w:rsidR="005E009B">
        <w:tab/>
      </w:r>
      <w:r w:rsidR="005E009B">
        <w:tab/>
        <w:t>page 18</w:t>
      </w:r>
    </w:p>
    <w:p w:rsidR="000F77B3" w:rsidRPr="00D96D88" w:rsidRDefault="000F77B3" w:rsidP="000F5E7D">
      <w:pPr>
        <w:pStyle w:val="ListParagraph"/>
        <w:numPr>
          <w:ilvl w:val="1"/>
          <w:numId w:val="29"/>
        </w:numPr>
        <w:spacing w:line="360" w:lineRule="auto"/>
        <w:jc w:val="both"/>
      </w:pPr>
      <w:r w:rsidRPr="00D96D88">
        <w:t>Income</w:t>
      </w:r>
      <w:r w:rsidR="00CF2E4F">
        <w:t xml:space="preserve"> and Income Inequalit</w:t>
      </w:r>
      <w:r w:rsidR="005E009B">
        <w:t>y</w:t>
      </w:r>
      <w:r w:rsidR="005E009B">
        <w:tab/>
      </w:r>
      <w:r w:rsidR="005E009B">
        <w:tab/>
      </w:r>
      <w:r w:rsidR="005E009B">
        <w:tab/>
      </w:r>
      <w:r w:rsidR="005E009B">
        <w:tab/>
      </w:r>
      <w:r w:rsidR="005E009B">
        <w:tab/>
      </w:r>
      <w:r w:rsidR="005E009B">
        <w:tab/>
        <w:t>page 19</w:t>
      </w:r>
    </w:p>
    <w:p w:rsidR="00CF2E4F" w:rsidRPr="00D96D88" w:rsidRDefault="000F77B3" w:rsidP="00CF2E4F">
      <w:pPr>
        <w:pStyle w:val="ListParagraph"/>
        <w:numPr>
          <w:ilvl w:val="1"/>
          <w:numId w:val="29"/>
        </w:numPr>
        <w:spacing w:line="360" w:lineRule="auto"/>
        <w:jc w:val="both"/>
      </w:pPr>
      <w:r w:rsidRPr="00D96D88">
        <w:t>Other Variables</w:t>
      </w:r>
      <w:r w:rsidR="005E009B">
        <w:tab/>
      </w:r>
      <w:r w:rsidR="005E009B">
        <w:tab/>
      </w:r>
      <w:r w:rsidR="005E009B">
        <w:tab/>
      </w:r>
      <w:r w:rsidR="005E009B">
        <w:tab/>
      </w:r>
      <w:r w:rsidR="005E009B">
        <w:tab/>
      </w:r>
      <w:r w:rsidR="005E009B">
        <w:tab/>
      </w:r>
      <w:r w:rsidR="005E009B">
        <w:tab/>
      </w:r>
      <w:r w:rsidR="005E009B">
        <w:tab/>
        <w:t>page 24</w:t>
      </w:r>
    </w:p>
    <w:p w:rsidR="000F77B3" w:rsidRPr="00D96D88" w:rsidRDefault="00CF2E4F" w:rsidP="000F5E7D">
      <w:pPr>
        <w:pStyle w:val="ListParagraph"/>
        <w:numPr>
          <w:ilvl w:val="0"/>
          <w:numId w:val="29"/>
        </w:numPr>
        <w:spacing w:line="360" w:lineRule="auto"/>
        <w:jc w:val="both"/>
      </w:pPr>
      <w:r>
        <w:t>Preliminary A</w:t>
      </w:r>
      <w:r w:rsidR="005E009B">
        <w:t>nalysis of the Data</w:t>
      </w:r>
      <w:r w:rsidR="005E009B">
        <w:tab/>
      </w:r>
      <w:r w:rsidR="005E009B">
        <w:tab/>
      </w:r>
      <w:r w:rsidR="005E009B">
        <w:tab/>
      </w:r>
      <w:r w:rsidR="005E009B">
        <w:tab/>
      </w:r>
      <w:r w:rsidR="005E009B">
        <w:tab/>
      </w:r>
      <w:r w:rsidR="005E009B">
        <w:tab/>
        <w:t>page 25</w:t>
      </w:r>
    </w:p>
    <w:p w:rsidR="00385DC6" w:rsidRPr="00D96D88" w:rsidRDefault="003C03A3" w:rsidP="000F5E7D">
      <w:pPr>
        <w:pStyle w:val="ListParagraph"/>
        <w:numPr>
          <w:ilvl w:val="1"/>
          <w:numId w:val="29"/>
        </w:numPr>
        <w:spacing w:line="360" w:lineRule="auto"/>
        <w:jc w:val="both"/>
      </w:pPr>
      <w:r w:rsidRPr="00D96D88">
        <w:t>Chile: H</w:t>
      </w:r>
      <w:r w:rsidR="000F77B3" w:rsidRPr="00D96D88">
        <w:t>igh</w:t>
      </w:r>
      <w:r w:rsidRPr="00D96D88">
        <w:t xml:space="preserve"> Growth and Persistent I</w:t>
      </w:r>
      <w:r w:rsidR="000F77B3" w:rsidRPr="00D96D88">
        <w:t>nequality</w:t>
      </w:r>
      <w:r w:rsidR="005E009B">
        <w:tab/>
      </w:r>
      <w:r w:rsidR="005E009B">
        <w:tab/>
      </w:r>
      <w:r w:rsidR="005E009B">
        <w:tab/>
      </w:r>
      <w:r w:rsidR="005E009B">
        <w:tab/>
        <w:t>page 25</w:t>
      </w:r>
    </w:p>
    <w:p w:rsidR="00CF2E4F" w:rsidRPr="00D96D88" w:rsidRDefault="00A578F0" w:rsidP="00CF2E4F">
      <w:pPr>
        <w:pStyle w:val="ListParagraph"/>
        <w:numPr>
          <w:ilvl w:val="1"/>
          <w:numId w:val="29"/>
        </w:numPr>
        <w:spacing w:line="360" w:lineRule="auto"/>
        <w:jc w:val="both"/>
      </w:pPr>
      <w:r w:rsidRPr="00D96D88">
        <w:t>Regional Growth an</w:t>
      </w:r>
      <w:r w:rsidR="00B7628B" w:rsidRPr="00D96D88">
        <w:t>d</w:t>
      </w:r>
      <w:r w:rsidRPr="00D96D88">
        <w:t xml:space="preserve"> Inequality</w:t>
      </w:r>
      <w:r w:rsidR="005E009B">
        <w:tab/>
      </w:r>
      <w:r w:rsidR="005E009B">
        <w:tab/>
      </w:r>
      <w:r w:rsidR="005E009B">
        <w:tab/>
      </w:r>
      <w:r w:rsidR="005E009B">
        <w:tab/>
      </w:r>
      <w:r w:rsidR="005E009B">
        <w:tab/>
      </w:r>
      <w:r w:rsidR="005E009B">
        <w:tab/>
        <w:t>page 28</w:t>
      </w:r>
    </w:p>
    <w:p w:rsidR="000F77B3" w:rsidRPr="00CF2E4F" w:rsidRDefault="000F77B3" w:rsidP="000F5E7D">
      <w:pPr>
        <w:pStyle w:val="ListParagraph"/>
        <w:numPr>
          <w:ilvl w:val="0"/>
          <w:numId w:val="29"/>
        </w:numPr>
        <w:spacing w:line="360" w:lineRule="auto"/>
        <w:jc w:val="both"/>
      </w:pPr>
      <w:r w:rsidRPr="00CF2E4F">
        <w:t>Methodology</w:t>
      </w:r>
      <w:r w:rsidR="005E009B">
        <w:tab/>
      </w:r>
      <w:r w:rsidR="005E009B">
        <w:tab/>
      </w:r>
      <w:r w:rsidR="005E009B">
        <w:tab/>
      </w:r>
      <w:r w:rsidR="005E009B">
        <w:tab/>
      </w:r>
      <w:r w:rsidR="005E009B">
        <w:tab/>
      </w:r>
      <w:r w:rsidR="005E009B">
        <w:tab/>
      </w:r>
      <w:r w:rsidR="005E009B">
        <w:tab/>
      </w:r>
      <w:r w:rsidR="005E009B">
        <w:tab/>
      </w:r>
      <w:r w:rsidR="005E009B">
        <w:tab/>
        <w:t>page 31</w:t>
      </w:r>
    </w:p>
    <w:p w:rsidR="000F77B3" w:rsidRPr="00D96D88" w:rsidRDefault="000F77B3" w:rsidP="000F5E7D">
      <w:pPr>
        <w:pStyle w:val="ListParagraph"/>
        <w:numPr>
          <w:ilvl w:val="1"/>
          <w:numId w:val="29"/>
        </w:numPr>
        <w:spacing w:line="360" w:lineRule="auto"/>
        <w:jc w:val="both"/>
      </w:pPr>
      <w:r w:rsidRPr="00D96D88">
        <w:t>Estimating the Kuznets Curve</w:t>
      </w:r>
      <w:r w:rsidR="00CF2E4F">
        <w:tab/>
      </w:r>
      <w:r w:rsidR="00CF2E4F">
        <w:tab/>
      </w:r>
      <w:r w:rsidR="00CF2E4F">
        <w:tab/>
      </w:r>
      <w:r w:rsidR="00CF2E4F">
        <w:tab/>
      </w:r>
      <w:r w:rsidR="00CF2E4F">
        <w:tab/>
      </w:r>
      <w:r w:rsidR="00CF2E4F">
        <w:tab/>
      </w:r>
      <w:r w:rsidR="005E009B">
        <w:t>page 31</w:t>
      </w:r>
    </w:p>
    <w:p w:rsidR="00CF2E4F" w:rsidRPr="00D96D88" w:rsidRDefault="00C306DB" w:rsidP="00CF2E4F">
      <w:pPr>
        <w:pStyle w:val="ListParagraph"/>
        <w:numPr>
          <w:ilvl w:val="1"/>
          <w:numId w:val="29"/>
        </w:numPr>
        <w:spacing w:line="360" w:lineRule="auto"/>
        <w:jc w:val="both"/>
      </w:pPr>
      <w:r>
        <w:t>The Inequality-Growth R</w:t>
      </w:r>
      <w:r w:rsidR="000F77B3" w:rsidRPr="00D96D88">
        <w:t>elationship</w:t>
      </w:r>
      <w:r w:rsidR="005E009B">
        <w:tab/>
      </w:r>
      <w:r w:rsidR="005E009B">
        <w:tab/>
      </w:r>
      <w:r w:rsidR="005E009B">
        <w:tab/>
      </w:r>
      <w:r w:rsidR="005E009B">
        <w:tab/>
      </w:r>
      <w:r w:rsidR="005E009B">
        <w:tab/>
        <w:t>page 32</w:t>
      </w:r>
    </w:p>
    <w:p w:rsidR="00385DC6" w:rsidRPr="00D96D88" w:rsidRDefault="00385DC6" w:rsidP="000F5E7D">
      <w:pPr>
        <w:pStyle w:val="ListParagraph"/>
        <w:numPr>
          <w:ilvl w:val="0"/>
          <w:numId w:val="29"/>
        </w:numPr>
        <w:spacing w:line="360" w:lineRule="auto"/>
        <w:jc w:val="both"/>
        <w:rPr>
          <w:lang w:val="nl-NL"/>
        </w:rPr>
      </w:pPr>
      <w:r w:rsidRPr="00D96D88">
        <w:rPr>
          <w:lang w:val="nl-NL"/>
        </w:rPr>
        <w:t>Results</w:t>
      </w:r>
      <w:r w:rsidR="00CF2E4F">
        <w:rPr>
          <w:lang w:val="nl-NL"/>
        </w:rPr>
        <w:tab/>
      </w:r>
      <w:r w:rsidR="00CF2E4F">
        <w:rPr>
          <w:lang w:val="nl-NL"/>
        </w:rPr>
        <w:tab/>
      </w:r>
      <w:r w:rsidR="00CF2E4F">
        <w:rPr>
          <w:lang w:val="nl-NL"/>
        </w:rPr>
        <w:tab/>
      </w:r>
      <w:r w:rsidR="00CF2E4F">
        <w:rPr>
          <w:lang w:val="nl-NL"/>
        </w:rPr>
        <w:tab/>
      </w:r>
      <w:r w:rsidR="00CF2E4F">
        <w:rPr>
          <w:lang w:val="nl-NL"/>
        </w:rPr>
        <w:tab/>
      </w:r>
      <w:r w:rsidR="00CF2E4F">
        <w:rPr>
          <w:lang w:val="nl-NL"/>
        </w:rPr>
        <w:tab/>
      </w:r>
      <w:r w:rsidR="00CF2E4F">
        <w:rPr>
          <w:lang w:val="nl-NL"/>
        </w:rPr>
        <w:tab/>
      </w:r>
      <w:r w:rsidR="00CF2E4F">
        <w:rPr>
          <w:lang w:val="nl-NL"/>
        </w:rPr>
        <w:tab/>
      </w:r>
      <w:r w:rsidR="00CF2E4F">
        <w:rPr>
          <w:lang w:val="nl-NL"/>
        </w:rPr>
        <w:tab/>
      </w:r>
      <w:r w:rsidR="00CF2E4F">
        <w:rPr>
          <w:lang w:val="nl-NL"/>
        </w:rPr>
        <w:tab/>
        <w:t>page 34</w:t>
      </w:r>
    </w:p>
    <w:p w:rsidR="00B7628B" w:rsidRPr="00D96D88" w:rsidRDefault="00C306DB" w:rsidP="00B7628B">
      <w:pPr>
        <w:pStyle w:val="ListParagraph"/>
        <w:numPr>
          <w:ilvl w:val="1"/>
          <w:numId w:val="29"/>
        </w:numPr>
        <w:spacing w:line="360" w:lineRule="auto"/>
        <w:jc w:val="both"/>
      </w:pPr>
      <w:r>
        <w:t>T</w:t>
      </w:r>
      <w:r w:rsidR="00B7628B" w:rsidRPr="00D96D88">
        <w:t>he Kuznets Curve</w:t>
      </w:r>
      <w:r>
        <w:tab/>
      </w:r>
      <w:r>
        <w:tab/>
      </w:r>
      <w:r w:rsidR="005E009B">
        <w:tab/>
      </w:r>
      <w:r w:rsidR="005E009B">
        <w:tab/>
      </w:r>
      <w:r w:rsidR="005E009B">
        <w:tab/>
      </w:r>
      <w:r w:rsidR="005E009B">
        <w:tab/>
      </w:r>
      <w:r w:rsidR="005E009B">
        <w:tab/>
      </w:r>
      <w:r w:rsidR="005E009B">
        <w:tab/>
        <w:t>page 34</w:t>
      </w:r>
    </w:p>
    <w:p w:rsidR="00B7628B" w:rsidRPr="00D96D88" w:rsidRDefault="00C306DB" w:rsidP="00B7628B">
      <w:pPr>
        <w:pStyle w:val="ListParagraph"/>
        <w:numPr>
          <w:ilvl w:val="1"/>
          <w:numId w:val="29"/>
        </w:numPr>
        <w:spacing w:line="360" w:lineRule="auto"/>
        <w:jc w:val="both"/>
      </w:pPr>
      <w:r>
        <w:t>The Inequality-Growth R</w:t>
      </w:r>
      <w:r w:rsidR="00B7628B" w:rsidRPr="00D96D88">
        <w:t>elationship</w:t>
      </w:r>
      <w:r w:rsidR="005E009B">
        <w:tab/>
      </w:r>
      <w:r w:rsidR="005E009B">
        <w:tab/>
      </w:r>
      <w:r w:rsidR="005E009B">
        <w:tab/>
      </w:r>
      <w:r w:rsidR="005E009B">
        <w:tab/>
      </w:r>
      <w:r w:rsidR="005E009B">
        <w:tab/>
      </w:r>
      <w:r>
        <w:t>page 36</w:t>
      </w:r>
    </w:p>
    <w:p w:rsidR="00CF2E4F" w:rsidRPr="00C306DB" w:rsidRDefault="00385DC6" w:rsidP="00CF2E4F">
      <w:pPr>
        <w:pStyle w:val="ListParagraph"/>
        <w:numPr>
          <w:ilvl w:val="0"/>
          <w:numId w:val="29"/>
        </w:numPr>
        <w:spacing w:line="360" w:lineRule="auto"/>
        <w:jc w:val="both"/>
      </w:pPr>
      <w:r w:rsidRPr="00C306DB">
        <w:t>Conclusion</w:t>
      </w:r>
      <w:r w:rsidR="005E009B" w:rsidRPr="00C306DB">
        <w:tab/>
      </w:r>
      <w:r w:rsidR="005E009B" w:rsidRPr="00C306DB">
        <w:tab/>
      </w:r>
      <w:r w:rsidR="005E009B" w:rsidRPr="00C306DB">
        <w:tab/>
      </w:r>
      <w:r w:rsidR="005E009B" w:rsidRPr="00C306DB">
        <w:tab/>
      </w:r>
      <w:r w:rsidR="005E009B" w:rsidRPr="00C306DB">
        <w:tab/>
      </w:r>
      <w:r w:rsidR="005E009B" w:rsidRPr="00C306DB">
        <w:tab/>
      </w:r>
      <w:r w:rsidR="005E009B" w:rsidRPr="00C306DB">
        <w:tab/>
      </w:r>
      <w:r w:rsidR="005E009B" w:rsidRPr="00C306DB">
        <w:tab/>
      </w:r>
      <w:r w:rsidR="005E009B" w:rsidRPr="00C306DB">
        <w:tab/>
      </w:r>
      <w:r w:rsidR="00C306DB" w:rsidRPr="00C306DB">
        <w:t>page 44</w:t>
      </w:r>
    </w:p>
    <w:p w:rsidR="00385DC6" w:rsidRPr="00CF2E4F" w:rsidRDefault="00EA380F" w:rsidP="00780FD7">
      <w:pPr>
        <w:pStyle w:val="ListParagraph"/>
        <w:spacing w:line="360" w:lineRule="auto"/>
        <w:jc w:val="both"/>
      </w:pPr>
      <w:r w:rsidRPr="00CF2E4F">
        <w:t>References</w:t>
      </w:r>
      <w:r w:rsidR="005E009B">
        <w:tab/>
      </w:r>
      <w:r w:rsidR="005E009B">
        <w:tab/>
      </w:r>
      <w:r w:rsidR="005E009B">
        <w:tab/>
      </w:r>
      <w:r w:rsidR="005E009B">
        <w:tab/>
      </w:r>
      <w:r w:rsidR="005E009B">
        <w:tab/>
      </w:r>
      <w:r w:rsidR="005E009B">
        <w:tab/>
      </w:r>
      <w:r w:rsidR="005E009B">
        <w:tab/>
      </w:r>
      <w:r w:rsidR="005E009B">
        <w:tab/>
      </w:r>
      <w:r w:rsidR="005E009B">
        <w:tab/>
      </w:r>
      <w:r w:rsidR="00C306DB">
        <w:t>page 47</w:t>
      </w:r>
    </w:p>
    <w:p w:rsidR="00CF2E4F" w:rsidRDefault="00EA380F" w:rsidP="00CF2E4F">
      <w:pPr>
        <w:pStyle w:val="ListParagraph"/>
        <w:spacing w:line="360" w:lineRule="auto"/>
        <w:jc w:val="both"/>
        <w:rPr>
          <w:rStyle w:val="Hyperlink"/>
          <w:color w:val="auto"/>
          <w:u w:val="none"/>
        </w:rPr>
      </w:pPr>
      <w:proofErr w:type="gramStart"/>
      <w:r w:rsidRPr="00CF2E4F">
        <w:t>Appendix</w:t>
      </w:r>
      <w:r w:rsidR="00CF2E4F">
        <w:t xml:space="preserve"> </w:t>
      </w:r>
      <w:r w:rsidR="00B7628B" w:rsidRPr="00D96D88">
        <w:rPr>
          <w:rStyle w:val="Hyperlink"/>
          <w:color w:val="auto"/>
          <w:u w:val="none"/>
        </w:rPr>
        <w:t>1</w:t>
      </w:r>
      <w:r w:rsidR="00C306DB">
        <w:rPr>
          <w:rStyle w:val="Hyperlink"/>
          <w:color w:val="auto"/>
          <w:u w:val="none"/>
        </w:rPr>
        <w:t>.</w:t>
      </w:r>
      <w:proofErr w:type="gramEnd"/>
      <w:r w:rsidR="00C306DB">
        <w:rPr>
          <w:rStyle w:val="Hyperlink"/>
          <w:color w:val="auto"/>
          <w:u w:val="none"/>
        </w:rPr>
        <w:t xml:space="preserve"> Map of Chilean R</w:t>
      </w:r>
      <w:r w:rsidR="00780FD7" w:rsidRPr="00D96D88">
        <w:rPr>
          <w:rStyle w:val="Hyperlink"/>
          <w:color w:val="auto"/>
          <w:u w:val="none"/>
        </w:rPr>
        <w:t>egions</w:t>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C306DB">
        <w:rPr>
          <w:rStyle w:val="Hyperlink"/>
          <w:color w:val="auto"/>
          <w:u w:val="none"/>
        </w:rPr>
        <w:t>page 52</w:t>
      </w:r>
    </w:p>
    <w:p w:rsidR="00780FD7" w:rsidRPr="00CF2E4F" w:rsidRDefault="00CF2E4F" w:rsidP="00CF2E4F">
      <w:pPr>
        <w:pStyle w:val="ListParagraph"/>
        <w:spacing w:line="360" w:lineRule="auto"/>
        <w:jc w:val="both"/>
        <w:rPr>
          <w:rStyle w:val="Hyperlink"/>
          <w:color w:val="auto"/>
          <w:u w:val="none"/>
        </w:rPr>
      </w:pPr>
      <w:proofErr w:type="gramStart"/>
      <w:r>
        <w:rPr>
          <w:rStyle w:val="Hyperlink"/>
          <w:color w:val="auto"/>
          <w:u w:val="none"/>
        </w:rPr>
        <w:t xml:space="preserve">Appendix </w:t>
      </w:r>
      <w:r w:rsidR="00B7628B" w:rsidRPr="00CF2E4F">
        <w:rPr>
          <w:rStyle w:val="Hyperlink"/>
          <w:color w:val="auto"/>
          <w:u w:val="none"/>
        </w:rPr>
        <w:t>2</w:t>
      </w:r>
      <w:r w:rsidR="00780FD7" w:rsidRPr="00CF2E4F">
        <w:rPr>
          <w:rStyle w:val="Hyperlink"/>
          <w:color w:val="auto"/>
          <w:u w:val="none"/>
        </w:rPr>
        <w:t>.</w:t>
      </w:r>
      <w:proofErr w:type="gramEnd"/>
      <w:r w:rsidR="00780FD7" w:rsidRPr="00CF2E4F">
        <w:rPr>
          <w:rStyle w:val="Hyperlink"/>
          <w:color w:val="auto"/>
          <w:u w:val="none"/>
        </w:rPr>
        <w:t xml:space="preserve"> </w:t>
      </w:r>
      <w:r>
        <w:rPr>
          <w:rStyle w:val="Hyperlink"/>
          <w:color w:val="auto"/>
          <w:u w:val="none"/>
        </w:rPr>
        <w:t>Additional Results</w:t>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5E009B">
        <w:rPr>
          <w:rStyle w:val="Hyperlink"/>
          <w:color w:val="auto"/>
          <w:u w:val="none"/>
        </w:rPr>
        <w:tab/>
      </w:r>
      <w:r w:rsidR="00C306DB">
        <w:rPr>
          <w:rStyle w:val="Hyperlink"/>
          <w:color w:val="auto"/>
          <w:u w:val="none"/>
        </w:rPr>
        <w:t>page 53</w:t>
      </w:r>
    </w:p>
    <w:p w:rsidR="00780FD7" w:rsidRDefault="00780FD7" w:rsidP="00780FD7">
      <w:pPr>
        <w:pStyle w:val="ListParagraph"/>
        <w:spacing w:line="360" w:lineRule="auto"/>
        <w:jc w:val="both"/>
        <w:rPr>
          <w:b/>
        </w:rPr>
      </w:pPr>
    </w:p>
    <w:p w:rsidR="000A611D" w:rsidRDefault="000A611D">
      <w:pPr>
        <w:rPr>
          <w:b/>
        </w:rPr>
      </w:pPr>
      <w:r>
        <w:rPr>
          <w:b/>
        </w:rPr>
        <w:br w:type="page"/>
      </w:r>
    </w:p>
    <w:p w:rsidR="008A67CC" w:rsidRPr="00220A38" w:rsidRDefault="008A67CC" w:rsidP="00142112">
      <w:pPr>
        <w:pStyle w:val="ListParagraph"/>
        <w:numPr>
          <w:ilvl w:val="0"/>
          <w:numId w:val="31"/>
        </w:numPr>
        <w:jc w:val="both"/>
        <w:rPr>
          <w:b/>
        </w:rPr>
      </w:pPr>
      <w:r w:rsidRPr="00220A38">
        <w:rPr>
          <w:b/>
        </w:rPr>
        <w:lastRenderedPageBreak/>
        <w:t>Introduction</w:t>
      </w:r>
    </w:p>
    <w:p w:rsidR="008A67CC" w:rsidRPr="00220A38" w:rsidRDefault="00FC2377" w:rsidP="00142112">
      <w:pPr>
        <w:spacing w:line="360" w:lineRule="auto"/>
        <w:jc w:val="both"/>
      </w:pPr>
      <w:r w:rsidRPr="00220A38">
        <w:t>C</w:t>
      </w:r>
      <w:r w:rsidR="00697EB3" w:rsidRPr="00220A38">
        <w:t>hile</w:t>
      </w:r>
      <w:r w:rsidRPr="00220A38">
        <w:t xml:space="preserve"> experienced high economic growth in the last </w:t>
      </w:r>
      <w:r w:rsidR="007508AA">
        <w:t xml:space="preserve">two </w:t>
      </w:r>
      <w:r w:rsidRPr="00220A38">
        <w:t xml:space="preserve">decades, </w:t>
      </w:r>
      <w:r w:rsidR="003D4FD0" w:rsidRPr="00220A38">
        <w:t xml:space="preserve">with GDP per capita almost doubling at an </w:t>
      </w:r>
      <w:r w:rsidRPr="00220A38">
        <w:t xml:space="preserve">average </w:t>
      </w:r>
      <w:r w:rsidR="003D4FD0" w:rsidRPr="00220A38">
        <w:t xml:space="preserve">annual </w:t>
      </w:r>
      <w:r w:rsidRPr="00220A38">
        <w:t xml:space="preserve">growth </w:t>
      </w:r>
      <w:r w:rsidR="00561045" w:rsidRPr="00220A38">
        <w:t xml:space="preserve">rate </w:t>
      </w:r>
      <w:r w:rsidRPr="00220A38">
        <w:t xml:space="preserve">of </w:t>
      </w:r>
      <w:r w:rsidR="009A5645" w:rsidRPr="00220A38">
        <w:t>5.</w:t>
      </w:r>
      <w:r w:rsidR="003E14F4" w:rsidRPr="00220A38">
        <w:t>2</w:t>
      </w:r>
      <w:r w:rsidR="009A5645" w:rsidRPr="00220A38">
        <w:t>%</w:t>
      </w:r>
      <w:r w:rsidR="003E14F4" w:rsidRPr="00220A38">
        <w:t xml:space="preserve"> from 1990-2010</w:t>
      </w:r>
      <w:r w:rsidR="003C03A3" w:rsidRPr="00220A38">
        <w:rPr>
          <w:rStyle w:val="FootnoteReference"/>
        </w:rPr>
        <w:footnoteReference w:id="1"/>
      </w:r>
      <w:r w:rsidR="003D4FD0" w:rsidRPr="00220A38">
        <w:t>.</w:t>
      </w:r>
      <w:r w:rsidR="009A5645" w:rsidRPr="00220A38">
        <w:t xml:space="preserve"> </w:t>
      </w:r>
      <w:r w:rsidR="00697EB3" w:rsidRPr="00220A38">
        <w:t>The</w:t>
      </w:r>
      <w:r w:rsidR="009A5645" w:rsidRPr="00220A38">
        <w:t xml:space="preserve"> OECD </w:t>
      </w:r>
      <w:r w:rsidR="00697EB3" w:rsidRPr="00220A38">
        <w:t xml:space="preserve">welcomed Chile as its newest member </w:t>
      </w:r>
      <w:r w:rsidR="009A5645" w:rsidRPr="00220A38">
        <w:t xml:space="preserve">in 2010, </w:t>
      </w:r>
      <w:r w:rsidR="00697EB3" w:rsidRPr="00220A38">
        <w:t>but it</w:t>
      </w:r>
      <w:r w:rsidR="009A5645" w:rsidRPr="00220A38">
        <w:t xml:space="preserve"> also became</w:t>
      </w:r>
      <w:r w:rsidR="007508AA">
        <w:t xml:space="preserve"> the most unequal member</w:t>
      </w:r>
      <w:r w:rsidR="009A5645" w:rsidRPr="00220A38">
        <w:t xml:space="preserve">: </w:t>
      </w:r>
      <w:r w:rsidR="00255218" w:rsidRPr="00220A38">
        <w:t>not only topographically (as the country’s length exceeds its average width by a factor of more than 20) but also on an economic level. I</w:t>
      </w:r>
      <w:r w:rsidR="00523B23" w:rsidRPr="00220A38">
        <w:t xml:space="preserve">ncome </w:t>
      </w:r>
      <w:r w:rsidR="009A5645" w:rsidRPr="00220A38">
        <w:t xml:space="preserve">inequality </w:t>
      </w:r>
      <w:r w:rsidR="00EE1981" w:rsidRPr="00220A38">
        <w:t xml:space="preserve">as measured by the </w:t>
      </w:r>
      <w:r w:rsidR="0039413B">
        <w:t>Gini</w:t>
      </w:r>
      <w:r w:rsidR="00EE1981" w:rsidRPr="00220A38">
        <w:t xml:space="preserve">-coefficient </w:t>
      </w:r>
      <w:r w:rsidR="009A5645" w:rsidRPr="00220A38">
        <w:t>remain</w:t>
      </w:r>
      <w:r w:rsidR="00255218" w:rsidRPr="00220A38">
        <w:t>s</w:t>
      </w:r>
      <w:r w:rsidR="009A5645" w:rsidRPr="00220A38">
        <w:t xml:space="preserve"> notoriously high</w:t>
      </w:r>
      <w:r w:rsidR="003E14F4" w:rsidRPr="00220A38">
        <w:t xml:space="preserve"> at 0.50, alt</w:t>
      </w:r>
      <w:r w:rsidR="00323A02" w:rsidRPr="00220A38">
        <w:t>h</w:t>
      </w:r>
      <w:r w:rsidR="003E14F4" w:rsidRPr="00220A38">
        <w:t>ough it has declined from a peak of 0.55 in 1996</w:t>
      </w:r>
      <w:r w:rsidR="00B83B5E" w:rsidRPr="00220A38">
        <w:rPr>
          <w:rStyle w:val="FootnoteReference"/>
        </w:rPr>
        <w:footnoteReference w:id="2"/>
      </w:r>
      <w:r w:rsidR="00B83B5E" w:rsidRPr="00220A38">
        <w:t xml:space="preserve">. </w:t>
      </w:r>
      <w:r w:rsidR="00523B23" w:rsidRPr="00220A38">
        <w:t>Chile</w:t>
      </w:r>
      <w:r w:rsidR="00697EB3" w:rsidRPr="00220A38">
        <w:t xml:space="preserve"> also has </w:t>
      </w:r>
      <w:r w:rsidR="00BA0F51" w:rsidRPr="00220A38">
        <w:t>large</w:t>
      </w:r>
      <w:r w:rsidR="00697EB3" w:rsidRPr="00220A38">
        <w:t xml:space="preserve"> disparities </w:t>
      </w:r>
      <w:r w:rsidR="00323A02" w:rsidRPr="00220A38">
        <w:t>on a subnational level</w:t>
      </w:r>
      <w:r w:rsidR="00255218" w:rsidRPr="00220A38">
        <w:t>. The country is divided in 13 regions, with r</w:t>
      </w:r>
      <w:r w:rsidR="00697EB3" w:rsidRPr="00220A38">
        <w:t xml:space="preserve">egional GDP per capita </w:t>
      </w:r>
      <w:r w:rsidR="00255218" w:rsidRPr="00220A38">
        <w:t>in 2009 varying</w:t>
      </w:r>
      <w:r w:rsidR="00697EB3" w:rsidRPr="00220A38">
        <w:t xml:space="preserve"> from US$ 5.351 to US$ 23.470 and regional </w:t>
      </w:r>
      <w:r w:rsidR="0039413B">
        <w:t>Gini</w:t>
      </w:r>
      <w:r w:rsidR="00697EB3" w:rsidRPr="00220A38">
        <w:t>-</w:t>
      </w:r>
      <w:r w:rsidR="006C14C9" w:rsidRPr="00220A38">
        <w:t>coefficients rang</w:t>
      </w:r>
      <w:r w:rsidR="00255218" w:rsidRPr="00220A38">
        <w:t>ing</w:t>
      </w:r>
      <w:r w:rsidR="00697EB3" w:rsidRPr="00220A38">
        <w:t xml:space="preserve"> from 0.38 to 0.54</w:t>
      </w:r>
      <w:r w:rsidR="00523B23" w:rsidRPr="00220A38">
        <w:t xml:space="preserve"> (OECD, 2010). </w:t>
      </w:r>
      <w:r w:rsidR="006C14C9" w:rsidRPr="00220A38">
        <w:t xml:space="preserve"> The country’s </w:t>
      </w:r>
      <w:r w:rsidR="00E55732" w:rsidRPr="00220A38">
        <w:t>large metropolit</w:t>
      </w:r>
      <w:r w:rsidR="006C14C9" w:rsidRPr="00220A38">
        <w:t xml:space="preserve">an region of its capital Santiago encompasses 35 </w:t>
      </w:r>
      <w:r w:rsidR="006C14C9" w:rsidRPr="00220A38">
        <w:rPr>
          <w:i/>
        </w:rPr>
        <w:t>comunas</w:t>
      </w:r>
      <w:r w:rsidR="00E55732" w:rsidRPr="00220A38">
        <w:t xml:space="preserve"> or sub-regions, in which average income in its richest </w:t>
      </w:r>
      <w:r w:rsidR="00F92165" w:rsidRPr="00220A38">
        <w:t>comuna</w:t>
      </w:r>
      <w:r w:rsidR="00E55732" w:rsidRPr="00220A38">
        <w:t xml:space="preserve"> is eight times as high as in its poorest.</w:t>
      </w:r>
      <w:r w:rsidR="006C14C9" w:rsidRPr="00220A38">
        <w:t xml:space="preserve"> </w:t>
      </w:r>
      <w:r w:rsidR="00561045" w:rsidRPr="00220A38">
        <w:t>These income differences have led to riots</w:t>
      </w:r>
      <w:r w:rsidR="00523B23" w:rsidRPr="00220A38">
        <w:t xml:space="preserve"> and demonstrations</w:t>
      </w:r>
      <w:r w:rsidR="006C14C9" w:rsidRPr="00220A38">
        <w:t xml:space="preserve"> in Santiago,</w:t>
      </w:r>
      <w:r w:rsidR="00523B23" w:rsidRPr="00220A38">
        <w:t xml:space="preserve"> in which public anger </w:t>
      </w:r>
      <w:r w:rsidR="006C14C9" w:rsidRPr="00220A38">
        <w:t xml:space="preserve">was </w:t>
      </w:r>
      <w:r w:rsidR="00523B23" w:rsidRPr="00220A38">
        <w:t>mainly focused on differing educational opportunities within the population, a problem related to the high level of income inequality</w:t>
      </w:r>
      <w:r w:rsidR="003D4FD0" w:rsidRPr="00220A38">
        <w:t xml:space="preserve"> and government policies regarding the subject</w:t>
      </w:r>
      <w:r w:rsidR="00523B23" w:rsidRPr="00220A38">
        <w:t xml:space="preserve">. </w:t>
      </w:r>
    </w:p>
    <w:p w:rsidR="00EE1981" w:rsidRPr="00220A38" w:rsidRDefault="00EE1981" w:rsidP="00142112">
      <w:pPr>
        <w:spacing w:line="360" w:lineRule="auto"/>
        <w:jc w:val="both"/>
      </w:pPr>
      <w:r w:rsidRPr="00220A38">
        <w:t>Theoretical and empirical work linking income inequality and economic growth ha</w:t>
      </w:r>
      <w:r w:rsidR="00561045" w:rsidRPr="00220A38">
        <w:t>s</w:t>
      </w:r>
      <w:r w:rsidRPr="00220A38">
        <w:t xml:space="preserve"> received growing interest from economists over the years</w:t>
      </w:r>
      <w:r w:rsidR="000D6009">
        <w:t>, because it is impo</w:t>
      </w:r>
      <w:r w:rsidRPr="00220A38">
        <w:t xml:space="preserve">rtant for policy makers to understand how economic growth is shared among individuals </w:t>
      </w:r>
      <w:r w:rsidR="003C30FE" w:rsidRPr="00220A38">
        <w:t xml:space="preserve">in an economy and how this distribution of income impacts future growth rates. </w:t>
      </w:r>
      <w:r w:rsidR="00E248CA" w:rsidRPr="00220A38">
        <w:t xml:space="preserve">Do the poor also reap the fruits of economic growth or is it distributed unevenly among society? Do more equal economies grow faster than more unequal ones? </w:t>
      </w:r>
      <w:r w:rsidR="000270D2" w:rsidRPr="00220A38">
        <w:t xml:space="preserve">Does fast growth drive incomes apart? </w:t>
      </w:r>
      <w:r w:rsidR="000D6009">
        <w:t>Despite these interesting questions, the possible link between inequality and economic growth is also surrounded by controversy, which stems</w:t>
      </w:r>
      <w:r w:rsidR="003C30FE" w:rsidRPr="00220A38">
        <w:t xml:space="preserve"> from the inc</w:t>
      </w:r>
      <w:r w:rsidR="000D6009">
        <w:t>onclusiveness of empirical work. Also, there have been problems</w:t>
      </w:r>
      <w:r w:rsidR="0055026D" w:rsidRPr="00220A38">
        <w:t xml:space="preserve"> attributing </w:t>
      </w:r>
      <w:r w:rsidR="000D6009">
        <w:t xml:space="preserve">empirical </w:t>
      </w:r>
      <w:r w:rsidR="00561045" w:rsidRPr="00220A38">
        <w:t xml:space="preserve">results to </w:t>
      </w:r>
      <w:r w:rsidR="000D6009">
        <w:t>the</w:t>
      </w:r>
      <w:r w:rsidR="00561045" w:rsidRPr="00220A38">
        <w:t xml:space="preserve"> wide range of </w:t>
      </w:r>
      <w:r w:rsidR="000D6009">
        <w:t xml:space="preserve">(contradictory) </w:t>
      </w:r>
      <w:r w:rsidR="00561045" w:rsidRPr="00220A38">
        <w:t>theories in the field.</w:t>
      </w:r>
      <w:r w:rsidR="006F11B6" w:rsidRPr="00220A38">
        <w:t xml:space="preserve"> </w:t>
      </w:r>
    </w:p>
    <w:p w:rsidR="00AA5949" w:rsidRPr="00220A38" w:rsidRDefault="00AD1652" w:rsidP="00142112">
      <w:pPr>
        <w:spacing w:line="360" w:lineRule="auto"/>
        <w:jc w:val="both"/>
      </w:pPr>
      <w:r w:rsidRPr="00220A38">
        <w:t xml:space="preserve">Regarding </w:t>
      </w:r>
      <w:r w:rsidR="000D4FF6">
        <w:t xml:space="preserve">these theories, </w:t>
      </w:r>
      <w:r w:rsidR="008D75AC" w:rsidRPr="00220A38">
        <w:t xml:space="preserve">Kuznets (1955) was </w:t>
      </w:r>
      <w:r w:rsidR="000D4FF6">
        <w:t xml:space="preserve">among </w:t>
      </w:r>
      <w:r w:rsidR="008D75AC" w:rsidRPr="00220A38">
        <w:t xml:space="preserve">the first to posit a relationship between economic </w:t>
      </w:r>
      <w:r w:rsidR="00323A02" w:rsidRPr="00220A38">
        <w:t>development</w:t>
      </w:r>
      <w:r w:rsidR="008D75AC" w:rsidRPr="00220A38">
        <w:t xml:space="preserve"> and income inequality.  He hypothesized that due to the industrial revolution and the resulting labor shifts from the low-pay, egalitarian rural areas to the higher pay, less equal urban areas, income inequality must have risen at the end of the 19</w:t>
      </w:r>
      <w:r w:rsidR="008D75AC" w:rsidRPr="00220A38">
        <w:rPr>
          <w:vertAlign w:val="superscript"/>
        </w:rPr>
        <w:t>th</w:t>
      </w:r>
      <w:r w:rsidR="008D75AC" w:rsidRPr="00220A38">
        <w:t xml:space="preserve"> century. During this economic development, he noticed that inequality levels flattened and eventually fell as the economy grew. In a graphica</w:t>
      </w:r>
      <w:r w:rsidR="00F92165" w:rsidRPr="00220A38">
        <w:t xml:space="preserve">l representation with economic </w:t>
      </w:r>
      <w:r w:rsidR="00C72DBD">
        <w:t>development</w:t>
      </w:r>
      <w:r w:rsidR="00F92165" w:rsidRPr="00220A38">
        <w:t xml:space="preserve"> on the horizontal axis and income inequality on the vertical axis, this </w:t>
      </w:r>
      <w:r w:rsidR="0047494A" w:rsidRPr="00220A38">
        <w:t xml:space="preserve">pattern </w:t>
      </w:r>
      <w:r w:rsidR="00F92165" w:rsidRPr="00220A38">
        <w:t>resembled</w:t>
      </w:r>
      <w:r w:rsidR="008D75AC" w:rsidRPr="00220A38">
        <w:t xml:space="preserve"> an inverted-U</w:t>
      </w:r>
      <w:r w:rsidR="00F92165" w:rsidRPr="00220A38">
        <w:t xml:space="preserve"> shape</w:t>
      </w:r>
      <w:r w:rsidR="008D75AC" w:rsidRPr="00220A38">
        <w:t xml:space="preserve"> or a </w:t>
      </w:r>
      <w:r w:rsidR="0047494A" w:rsidRPr="00220A38">
        <w:t>‘</w:t>
      </w:r>
      <w:r w:rsidR="008D75AC" w:rsidRPr="00220A38">
        <w:t>Kuznets curve</w:t>
      </w:r>
      <w:r w:rsidR="0047494A" w:rsidRPr="00220A38">
        <w:t>’</w:t>
      </w:r>
      <w:r w:rsidR="008D75AC" w:rsidRPr="00220A38">
        <w:t xml:space="preserve"> as it is since known. Economists further elaborated on his theoretical work and </w:t>
      </w:r>
      <w:r w:rsidR="0047494A" w:rsidRPr="00220A38">
        <w:t xml:space="preserve">with </w:t>
      </w:r>
      <w:r w:rsidR="000D4FF6">
        <w:t xml:space="preserve">an increasing availability of reliable </w:t>
      </w:r>
      <w:r w:rsidR="000D4FF6">
        <w:lastRenderedPageBreak/>
        <w:t>data</w:t>
      </w:r>
      <w:r w:rsidR="0047494A" w:rsidRPr="00220A38">
        <w:t xml:space="preserve"> </w:t>
      </w:r>
      <w:r w:rsidR="000D4FF6">
        <w:t>compared to</w:t>
      </w:r>
      <w:r w:rsidR="0047494A" w:rsidRPr="00220A38">
        <w:t xml:space="preserve"> the 1950’s, </w:t>
      </w:r>
      <w:r w:rsidR="000D4FF6">
        <w:t xml:space="preserve">several </w:t>
      </w:r>
      <w:r w:rsidR="008D75AC" w:rsidRPr="00220A38">
        <w:t xml:space="preserve">empirical tests of the relationship followed, </w:t>
      </w:r>
      <w:r w:rsidR="00015789" w:rsidRPr="00220A38">
        <w:t xml:space="preserve">to date with ambiguous results </w:t>
      </w:r>
      <w:r w:rsidR="00AA5949" w:rsidRPr="00220A38">
        <w:t>(Kanbur, 2000</w:t>
      </w:r>
      <w:r w:rsidR="00015789" w:rsidRPr="00220A38">
        <w:t>; Barro, 2000</w:t>
      </w:r>
      <w:r w:rsidR="00AA5949" w:rsidRPr="00220A38">
        <w:t>)</w:t>
      </w:r>
      <w:r w:rsidR="008D75AC" w:rsidRPr="00220A38">
        <w:t xml:space="preserve">. </w:t>
      </w:r>
    </w:p>
    <w:p w:rsidR="00B81842" w:rsidRPr="00220A38" w:rsidRDefault="00F92165" w:rsidP="00142112">
      <w:pPr>
        <w:spacing w:line="360" w:lineRule="auto"/>
        <w:jc w:val="both"/>
      </w:pPr>
      <w:r w:rsidRPr="00220A38">
        <w:t>In the 1970’s and 1980’s, the</w:t>
      </w:r>
      <w:r w:rsidR="008D75AC" w:rsidRPr="00220A38">
        <w:t xml:space="preserve"> East-Asian egalitarian growth </w:t>
      </w:r>
      <w:r w:rsidRPr="00220A38">
        <w:t xml:space="preserve">miracles suggested that the Kuznets curve is not a necessary component of economic </w:t>
      </w:r>
      <w:r w:rsidR="0047494A" w:rsidRPr="00220A38">
        <w:t>development</w:t>
      </w:r>
      <w:r w:rsidRPr="00220A38">
        <w:t>. Combined with t</w:t>
      </w:r>
      <w:r w:rsidR="008D75AC" w:rsidRPr="00220A38">
        <w:t>he subsequent rise of</w:t>
      </w:r>
      <w:r w:rsidR="000D6009">
        <w:t xml:space="preserve"> both</w:t>
      </w:r>
      <w:r w:rsidR="008D75AC" w:rsidRPr="00220A38">
        <w:t xml:space="preserve"> </w:t>
      </w:r>
      <w:proofErr w:type="gramStart"/>
      <w:r w:rsidR="008D75AC" w:rsidRPr="00220A38">
        <w:t>income</w:t>
      </w:r>
      <w:proofErr w:type="gramEnd"/>
      <w:r w:rsidR="00AA5949" w:rsidRPr="00220A38">
        <w:t xml:space="preserve"> </w:t>
      </w:r>
      <w:r w:rsidR="00103BC2" w:rsidRPr="00220A38">
        <w:t>inequality</w:t>
      </w:r>
      <w:r w:rsidR="008D75AC" w:rsidRPr="00220A38">
        <w:t xml:space="preserve"> </w:t>
      </w:r>
      <w:r w:rsidR="000D6009">
        <w:t xml:space="preserve">levels </w:t>
      </w:r>
      <w:r w:rsidR="008D75AC" w:rsidRPr="00220A38">
        <w:t xml:space="preserve">in </w:t>
      </w:r>
      <w:r w:rsidR="007508AA">
        <w:t xml:space="preserve">western economies like </w:t>
      </w:r>
      <w:r w:rsidR="008D75AC" w:rsidRPr="00220A38">
        <w:t xml:space="preserve">the US and </w:t>
      </w:r>
      <w:r w:rsidR="007508AA">
        <w:t xml:space="preserve">the </w:t>
      </w:r>
      <w:r w:rsidR="008D75AC" w:rsidRPr="00220A38">
        <w:t>UK in the 1990’</w:t>
      </w:r>
      <w:r w:rsidR="00AA5949" w:rsidRPr="00220A38">
        <w:t xml:space="preserve">s and </w:t>
      </w:r>
      <w:r w:rsidR="00DD6ACD">
        <w:t>of endogenous growth theories</w:t>
      </w:r>
      <w:r w:rsidRPr="00220A38">
        <w:t xml:space="preserve">, </w:t>
      </w:r>
      <w:r w:rsidR="00D978C0" w:rsidRPr="00220A38">
        <w:t>a new strand of theoretical and empirical research followed,</w:t>
      </w:r>
      <w:r w:rsidR="00AA5949" w:rsidRPr="00220A38">
        <w:t xml:space="preserve"> positing the opposite relationship. That is, from income inequality to economic growth. There are four main </w:t>
      </w:r>
      <w:r w:rsidR="00CF5FD6">
        <w:t xml:space="preserve">transmission </w:t>
      </w:r>
      <w:r w:rsidR="0026456D" w:rsidRPr="00220A38">
        <w:t xml:space="preserve">channels through which inequality </w:t>
      </w:r>
      <w:r w:rsidR="000D6009">
        <w:t>could</w:t>
      </w:r>
      <w:r w:rsidR="0047494A" w:rsidRPr="00220A38">
        <w:t xml:space="preserve"> influence</w:t>
      </w:r>
      <w:r w:rsidR="0026456D" w:rsidRPr="00220A38">
        <w:t xml:space="preserve"> </w:t>
      </w:r>
      <w:r w:rsidR="0047494A" w:rsidRPr="00220A38">
        <w:t xml:space="preserve">economic </w:t>
      </w:r>
      <w:r w:rsidR="0026456D" w:rsidRPr="00220A38">
        <w:t xml:space="preserve">growth, resulting in an </w:t>
      </w:r>
      <w:r w:rsidR="00C72DBD">
        <w:t>unclear expected</w:t>
      </w:r>
      <w:r w:rsidR="0026456D" w:rsidRPr="00220A38">
        <w:t xml:space="preserve"> sign of the overall relationship </w:t>
      </w:r>
      <w:r w:rsidR="00AA5949" w:rsidRPr="00220A38">
        <w:t xml:space="preserve">(Barro, 2000). The first </w:t>
      </w:r>
      <w:r w:rsidR="00BE0039">
        <w:t>channel</w:t>
      </w:r>
      <w:r w:rsidR="00AA5949" w:rsidRPr="00220A38">
        <w:t xml:space="preserve">, </w:t>
      </w:r>
      <w:r w:rsidR="0047494A" w:rsidRPr="00220A38">
        <w:t xml:space="preserve">based </w:t>
      </w:r>
      <w:r w:rsidR="00B81842" w:rsidRPr="00220A38">
        <w:t xml:space="preserve">on </w:t>
      </w:r>
      <w:r w:rsidR="0047494A" w:rsidRPr="00220A38">
        <w:t xml:space="preserve">the work of </w:t>
      </w:r>
      <w:r w:rsidR="00AA5949" w:rsidRPr="00220A38">
        <w:t xml:space="preserve">Keynes (1920) and Kaldor (1956a), postulates that inequality is beneficial to economic growth due to its positive effect on aggregate savings, investment and incentives. Redistribution then </w:t>
      </w:r>
      <w:r w:rsidR="00B81842" w:rsidRPr="00220A38">
        <w:t xml:space="preserve">hampers economic growth through its adverse effect on incentives to save and work (Aghion </w:t>
      </w:r>
      <w:r w:rsidR="00B81842" w:rsidRPr="00220A38">
        <w:rPr>
          <w:i/>
        </w:rPr>
        <w:t>et al</w:t>
      </w:r>
      <w:r w:rsidR="00B81842" w:rsidRPr="00220A38">
        <w:t>., 1999).</w:t>
      </w:r>
      <w:r w:rsidR="00D978C0" w:rsidRPr="00220A38">
        <w:t xml:space="preserve"> </w:t>
      </w:r>
      <w:r w:rsidR="00B81842" w:rsidRPr="00220A38">
        <w:t xml:space="preserve">The second </w:t>
      </w:r>
      <w:r w:rsidR="00BE0039">
        <w:t>channel</w:t>
      </w:r>
      <w:r w:rsidR="00B81842" w:rsidRPr="00220A38">
        <w:t xml:space="preserve"> argues that greater inequality will increase public support for more redistribution, resulting </w:t>
      </w:r>
      <w:r w:rsidR="0047494A" w:rsidRPr="00220A38">
        <w:t>i</w:t>
      </w:r>
      <w:r w:rsidR="00B81842" w:rsidRPr="00220A38">
        <w:t xml:space="preserve">n higher tax rates on capital accumulation and </w:t>
      </w:r>
      <w:r w:rsidR="0026456D" w:rsidRPr="00220A38">
        <w:t xml:space="preserve">subsequently </w:t>
      </w:r>
      <w:r w:rsidR="00B81842" w:rsidRPr="00220A38">
        <w:t xml:space="preserve">lower growth rates. The third one suggests that due to credit market imperfections, growth suffers from income inequality because the poor forgo their investment opportunities in education and innovation. The last </w:t>
      </w:r>
      <w:r w:rsidR="00BE0039">
        <w:t>channel</w:t>
      </w:r>
      <w:r w:rsidR="00B81842" w:rsidRPr="00220A38">
        <w:t xml:space="preserve"> </w:t>
      </w:r>
      <w:r w:rsidR="00103BC2" w:rsidRPr="00220A38">
        <w:t xml:space="preserve">entails the view that income inequality can cause social and political instability </w:t>
      </w:r>
      <w:r w:rsidR="00BE550E" w:rsidRPr="00220A38">
        <w:t>resulting in a more uncertain future return on investment which lowers investment and thus growth rates</w:t>
      </w:r>
      <w:r w:rsidR="0026456D" w:rsidRPr="00220A38">
        <w:t xml:space="preserve">. </w:t>
      </w:r>
      <w:r w:rsidR="004A5333" w:rsidRPr="00220A38">
        <w:t xml:space="preserve">Clearly, the sign of the </w:t>
      </w:r>
      <w:r w:rsidR="0026456D" w:rsidRPr="00220A38">
        <w:t>overall relationship</w:t>
      </w:r>
      <w:r w:rsidR="004A5333" w:rsidRPr="00220A38">
        <w:t xml:space="preserve"> due to </w:t>
      </w:r>
      <w:r w:rsidR="00650D4F" w:rsidRPr="00220A38">
        <w:t xml:space="preserve">all </w:t>
      </w:r>
      <w:r w:rsidR="004A5333" w:rsidRPr="00220A38">
        <w:t>these different channels remains ambiguous</w:t>
      </w:r>
      <w:r w:rsidR="0057492B" w:rsidRPr="00220A38">
        <w:t xml:space="preserve"> (Voitchovsky, 2009)</w:t>
      </w:r>
      <w:r w:rsidR="004A5333" w:rsidRPr="00220A38">
        <w:t>.</w:t>
      </w:r>
    </w:p>
    <w:p w:rsidR="00CE2D82" w:rsidRDefault="00103BC2" w:rsidP="00142112">
      <w:pPr>
        <w:spacing w:line="360" w:lineRule="auto"/>
        <w:jc w:val="both"/>
      </w:pPr>
      <w:r w:rsidRPr="00220A38">
        <w:t xml:space="preserve">Empirical results have also not reached a consensus on the sign of the possible effect of income inequality and economic growth. Most studies from the 1990’s based on cross-country </w:t>
      </w:r>
      <w:r w:rsidR="00A578F0">
        <w:t>growth-</w:t>
      </w:r>
      <w:r w:rsidRPr="00220A38">
        <w:t>regressions suggest</w:t>
      </w:r>
      <w:r w:rsidR="0057492B" w:rsidRPr="00220A38">
        <w:t>ed</w:t>
      </w:r>
      <w:r w:rsidRPr="00220A38">
        <w:t xml:space="preserve"> a negative relationship between inequality and growth, while more rece</w:t>
      </w:r>
      <w:r w:rsidR="0057492B" w:rsidRPr="00220A38">
        <w:t xml:space="preserve">nt studies, </w:t>
      </w:r>
      <w:r w:rsidR="00323A02" w:rsidRPr="00220A38">
        <w:t xml:space="preserve">exploiting the time series </w:t>
      </w:r>
      <w:r w:rsidR="00C376DF">
        <w:t xml:space="preserve">property </w:t>
      </w:r>
      <w:r w:rsidR="00323A02" w:rsidRPr="00220A38">
        <w:t>of new datasets</w:t>
      </w:r>
      <w:r w:rsidR="0057492B" w:rsidRPr="00220A38">
        <w:t>, fou</w:t>
      </w:r>
      <w:r w:rsidRPr="00220A38">
        <w:t xml:space="preserve">nd a positive relationship between the two (De Dominicis </w:t>
      </w:r>
      <w:r w:rsidRPr="00220A38">
        <w:rPr>
          <w:i/>
        </w:rPr>
        <w:t>et al</w:t>
      </w:r>
      <w:r w:rsidRPr="00220A38">
        <w:t xml:space="preserve">., 2008). </w:t>
      </w:r>
      <w:r w:rsidR="00ED5EC7" w:rsidRPr="00220A38">
        <w:t>Knowles (2005) a</w:t>
      </w:r>
      <w:r w:rsidR="0057492B" w:rsidRPr="00220A38">
        <w:t>ttributed</w:t>
      </w:r>
      <w:r w:rsidR="00ED5EC7" w:rsidRPr="00220A38">
        <w:t xml:space="preserve"> these differing results to country- or regional measurement errors. </w:t>
      </w:r>
      <w:r w:rsidRPr="00220A38">
        <w:t>Forbes (2000) suggest</w:t>
      </w:r>
      <w:r w:rsidR="0057492B" w:rsidRPr="00220A38">
        <w:t>ed</w:t>
      </w:r>
      <w:r w:rsidRPr="00220A38">
        <w:t xml:space="preserve"> </w:t>
      </w:r>
      <w:r w:rsidR="00BE550E" w:rsidRPr="00220A38">
        <w:t>that the ambiguity in results could</w:t>
      </w:r>
      <w:r w:rsidRPr="00220A38">
        <w:t xml:space="preserve"> </w:t>
      </w:r>
      <w:r w:rsidR="00BE550E" w:rsidRPr="00220A38">
        <w:t xml:space="preserve">reflect the </w:t>
      </w:r>
      <w:r w:rsidRPr="00220A38">
        <w:t>difference between a positive short run effect and</w:t>
      </w:r>
      <w:r w:rsidR="008F420D" w:rsidRPr="00220A38">
        <w:t xml:space="preserve"> a negative long run effect. </w:t>
      </w:r>
      <w:r w:rsidR="0057492B" w:rsidRPr="00220A38">
        <w:t>Voitchovsky (2005) pointed out</w:t>
      </w:r>
      <w:r w:rsidR="00487415" w:rsidRPr="00220A38">
        <w:t xml:space="preserve"> that the differing results could be caused by the inequality measure used, since the widely used </w:t>
      </w:r>
      <w:r w:rsidR="0039413B">
        <w:t>Gini</w:t>
      </w:r>
      <w:r w:rsidR="00487415" w:rsidRPr="00220A38">
        <w:t xml:space="preserve">-coefficient does not reveal if changes in the income distribution are located in the </w:t>
      </w:r>
      <w:r w:rsidR="00BE0039">
        <w:t>bottom</w:t>
      </w:r>
      <w:r w:rsidR="00487415" w:rsidRPr="00220A38">
        <w:t xml:space="preserve">, middle or </w:t>
      </w:r>
      <w:r w:rsidR="00430AD7" w:rsidRPr="00220A38">
        <w:t>upper end</w:t>
      </w:r>
      <w:r w:rsidR="00487415" w:rsidRPr="00220A38">
        <w:t xml:space="preserve"> of the distribution</w:t>
      </w:r>
      <w:r w:rsidR="003509C1" w:rsidRPr="00220A38">
        <w:t xml:space="preserve">, while theories do point to </w:t>
      </w:r>
      <w:r w:rsidR="00DD6ACD">
        <w:t xml:space="preserve">different </w:t>
      </w:r>
      <w:r w:rsidR="003509C1" w:rsidRPr="00220A38">
        <w:t>effects related to specific parts of the income distribution</w:t>
      </w:r>
      <w:r w:rsidR="00487415" w:rsidRPr="00220A38">
        <w:t xml:space="preserve">. </w:t>
      </w:r>
      <w:r w:rsidR="003509C1" w:rsidRPr="00220A38">
        <w:t xml:space="preserve">By constructing human capital inequality measures instead of income inequality measures, </w:t>
      </w:r>
      <w:r w:rsidR="00015789" w:rsidRPr="00220A38">
        <w:t xml:space="preserve">Castello-Climent and Domenech (2002) </w:t>
      </w:r>
      <w:r w:rsidR="003509C1" w:rsidRPr="00220A38">
        <w:t xml:space="preserve">found that human capital inequality measures provide more robust results than income inequality measures in growth estimations. </w:t>
      </w:r>
      <w:r w:rsidR="00487415" w:rsidRPr="00220A38">
        <w:t xml:space="preserve">De Dominicis </w:t>
      </w:r>
      <w:r w:rsidR="00487415" w:rsidRPr="00220A38">
        <w:rPr>
          <w:i/>
        </w:rPr>
        <w:t>et al</w:t>
      </w:r>
      <w:r w:rsidR="0057492B" w:rsidRPr="00220A38">
        <w:t xml:space="preserve">. (2008) </w:t>
      </w:r>
      <w:r w:rsidR="00ED62FF" w:rsidRPr="00220A38">
        <w:t>performed a meta-analysis o</w:t>
      </w:r>
      <w:r w:rsidR="00BE550E" w:rsidRPr="00220A38">
        <w:t>f</w:t>
      </w:r>
      <w:r w:rsidR="00ED62FF" w:rsidRPr="00220A38">
        <w:t xml:space="preserve"> the empirical work and </w:t>
      </w:r>
      <w:r w:rsidR="0057492B" w:rsidRPr="00220A38">
        <w:t>argued</w:t>
      </w:r>
      <w:r w:rsidR="00487415" w:rsidRPr="00220A38">
        <w:t xml:space="preserve"> that data on a regional level within a single country are more appropriate for analysis than cross-country regressions.</w:t>
      </w:r>
      <w:r w:rsidR="00CE2D82">
        <w:t xml:space="preserve"> </w:t>
      </w:r>
    </w:p>
    <w:p w:rsidR="00BC50CE" w:rsidRPr="00220A38" w:rsidRDefault="005B5A7D" w:rsidP="00142112">
      <w:pPr>
        <w:spacing w:line="360" w:lineRule="auto"/>
        <w:jc w:val="both"/>
      </w:pPr>
      <w:r w:rsidRPr="00220A38">
        <w:lastRenderedPageBreak/>
        <w:t xml:space="preserve">The objective of my thesis is to </w:t>
      </w:r>
      <w:r w:rsidR="00C72DBD">
        <w:t>analyze</w:t>
      </w:r>
      <w:r w:rsidRPr="00220A38">
        <w:t xml:space="preserve"> the </w:t>
      </w:r>
      <w:r w:rsidR="00487415" w:rsidRPr="00220A38">
        <w:t>relationship between</w:t>
      </w:r>
      <w:r w:rsidR="00C72DBD">
        <w:t xml:space="preserve"> </w:t>
      </w:r>
      <w:r w:rsidR="007508AA">
        <w:t xml:space="preserve">both </w:t>
      </w:r>
      <w:r w:rsidR="00C72DBD">
        <w:t>the level of development and income inequality</w:t>
      </w:r>
      <w:r w:rsidR="00487415" w:rsidRPr="00220A38">
        <w:t xml:space="preserve"> and </w:t>
      </w:r>
      <w:r w:rsidR="00C72DBD">
        <w:t xml:space="preserve">between income inequality and </w:t>
      </w:r>
      <w:r w:rsidR="00487415" w:rsidRPr="00220A38">
        <w:t xml:space="preserve">economic growth </w:t>
      </w:r>
      <w:r w:rsidR="00ED5EC7" w:rsidRPr="00220A38">
        <w:t xml:space="preserve">on a </w:t>
      </w:r>
      <w:r w:rsidR="00933869">
        <w:t>sub-national</w:t>
      </w:r>
      <w:r w:rsidR="00ED5EC7" w:rsidRPr="00220A38">
        <w:t xml:space="preserve"> </w:t>
      </w:r>
      <w:r w:rsidR="0057492B" w:rsidRPr="00220A38">
        <w:t xml:space="preserve">level in </w:t>
      </w:r>
      <w:r w:rsidR="000270D2" w:rsidRPr="00220A38">
        <w:t>a high-growth but unequal</w:t>
      </w:r>
      <w:r w:rsidR="00BE550E" w:rsidRPr="00220A38">
        <w:t xml:space="preserve"> country, </w:t>
      </w:r>
      <w:r w:rsidR="00ED5EC7" w:rsidRPr="00220A38">
        <w:t>Chile</w:t>
      </w:r>
      <w:r w:rsidR="00BE550E" w:rsidRPr="00220A38">
        <w:t xml:space="preserve">. </w:t>
      </w:r>
      <w:r w:rsidR="00ED5EC7" w:rsidRPr="00220A38">
        <w:t xml:space="preserve">By using </w:t>
      </w:r>
      <w:r w:rsidR="00933869">
        <w:t xml:space="preserve">income </w:t>
      </w:r>
      <w:r w:rsidR="00ED5EC7" w:rsidRPr="00220A38">
        <w:t>data from one, high-quality sourc</w:t>
      </w:r>
      <w:r w:rsidR="00933869">
        <w:t xml:space="preserve">e, comparability between </w:t>
      </w:r>
      <w:r w:rsidR="00ED5EC7" w:rsidRPr="00220A38">
        <w:t xml:space="preserve">data over time is expected to be </w:t>
      </w:r>
      <w:r w:rsidR="003509C1" w:rsidRPr="00220A38">
        <w:t>more consistent than</w:t>
      </w:r>
      <w:r w:rsidR="00430AD7" w:rsidRPr="00220A38">
        <w:t xml:space="preserve"> </w:t>
      </w:r>
      <w:r w:rsidR="00ED5EC7" w:rsidRPr="00220A38">
        <w:t>cross-country data</w:t>
      </w:r>
      <w:r w:rsidR="003509C1" w:rsidRPr="00220A38">
        <w:t xml:space="preserve"> from different sources</w:t>
      </w:r>
      <w:r w:rsidR="00BE550E" w:rsidRPr="00220A38">
        <w:t>. I have compiled different inequ</w:t>
      </w:r>
      <w:r w:rsidR="00CE2D82">
        <w:t>ality indicators based on</w:t>
      </w:r>
      <w:r w:rsidR="00BE550E" w:rsidRPr="00220A38">
        <w:t xml:space="preserve"> data from a </w:t>
      </w:r>
      <w:r w:rsidR="009C2998" w:rsidRPr="00220A38">
        <w:t xml:space="preserve">regionally representative </w:t>
      </w:r>
      <w:r w:rsidR="00CF5FD6">
        <w:t xml:space="preserve">Chilean </w:t>
      </w:r>
      <w:r w:rsidR="00BE550E" w:rsidRPr="00220A38">
        <w:t>household survey</w:t>
      </w:r>
      <w:r w:rsidR="00430AD7" w:rsidRPr="00220A38">
        <w:t xml:space="preserve"> </w:t>
      </w:r>
      <w:r w:rsidR="009C2998" w:rsidRPr="00220A38">
        <w:t xml:space="preserve">from 1990-2009 </w:t>
      </w:r>
      <w:r w:rsidR="00430AD7" w:rsidRPr="00220A38">
        <w:t>to account for changes in parts of the distribution over time</w:t>
      </w:r>
      <w:r w:rsidR="000270D2" w:rsidRPr="00220A38">
        <w:t>.</w:t>
      </w:r>
      <w:r w:rsidR="009C2998" w:rsidRPr="00220A38">
        <w:t xml:space="preserve"> </w:t>
      </w:r>
      <w:r w:rsidR="00A578F0">
        <w:t xml:space="preserve">This </w:t>
      </w:r>
      <w:r w:rsidR="00933869">
        <w:t>research therefore focuses</w:t>
      </w:r>
      <w:r w:rsidR="00A578F0">
        <w:t xml:space="preserve"> on two directions: is </w:t>
      </w:r>
      <w:r w:rsidR="00BE75B6" w:rsidRPr="00220A38">
        <w:t xml:space="preserve">the </w:t>
      </w:r>
      <w:r w:rsidR="00A578F0">
        <w:t xml:space="preserve">level of </w:t>
      </w:r>
      <w:r w:rsidR="00BE75B6" w:rsidRPr="00220A38">
        <w:t>development of Chilean regions during 1990-20</w:t>
      </w:r>
      <w:r w:rsidR="009C2998" w:rsidRPr="00220A38">
        <w:t>09</w:t>
      </w:r>
      <w:r w:rsidR="00BE75B6" w:rsidRPr="00220A38">
        <w:t xml:space="preserve"> </w:t>
      </w:r>
      <w:r w:rsidR="00A578F0">
        <w:t>related to income inequality or has</w:t>
      </w:r>
      <w:r w:rsidR="00BE75B6" w:rsidRPr="00220A38">
        <w:t xml:space="preserve"> inequality had </w:t>
      </w:r>
      <w:r w:rsidR="00CF5FD6">
        <w:t>an</w:t>
      </w:r>
      <w:r w:rsidR="00A578F0">
        <w:t xml:space="preserve"> effect on economic growth?</w:t>
      </w:r>
      <w:r w:rsidR="0055026D" w:rsidRPr="00220A38">
        <w:t xml:space="preserve"> </w:t>
      </w:r>
      <w:r w:rsidR="00CF5FD6">
        <w:t>For policy makers the</w:t>
      </w:r>
      <w:r w:rsidR="004B092C">
        <w:t xml:space="preserve"> </w:t>
      </w:r>
      <w:r w:rsidR="00CF5FD6">
        <w:t xml:space="preserve">question whether these two factors are related is important, </w:t>
      </w:r>
      <w:r w:rsidR="004B092C">
        <w:t>because policies aimed at economic development or aimed at reducing income inequality are usually at the forefront of political decision making. T</w:t>
      </w:r>
      <w:r w:rsidR="00C72DBD">
        <w:t xml:space="preserve">he within-country focus </w:t>
      </w:r>
      <w:r w:rsidR="004B092C">
        <w:t xml:space="preserve">this thesis provides </w:t>
      </w:r>
      <w:r w:rsidR="00C72DBD">
        <w:t xml:space="preserve">has received little attention in both strands of research and has </w:t>
      </w:r>
      <w:r w:rsidR="00C376DF">
        <w:t xml:space="preserve">to my knowledge </w:t>
      </w:r>
      <w:r w:rsidR="00C72DBD">
        <w:t>not yet been applied to a high-inequality country like Chile.</w:t>
      </w:r>
    </w:p>
    <w:p w:rsidR="00BE75B6" w:rsidRDefault="00BC50CE" w:rsidP="00142112">
      <w:pPr>
        <w:spacing w:line="360" w:lineRule="auto"/>
        <w:jc w:val="both"/>
      </w:pPr>
      <w:r w:rsidRPr="00220A38">
        <w:t>To see if economic development in Chilean regions follows a pattern as described by Kuznets (1955), my first hypothesis is:</w:t>
      </w:r>
    </w:p>
    <w:p w:rsidR="00BE0039" w:rsidRPr="00BE0039" w:rsidRDefault="00BE0039" w:rsidP="00BE0039">
      <w:pPr>
        <w:pStyle w:val="ListParagraph"/>
        <w:spacing w:line="360" w:lineRule="auto"/>
        <w:ind w:left="2160" w:hanging="1080"/>
        <w:jc w:val="both"/>
        <w:rPr>
          <w:i/>
        </w:rPr>
      </w:pPr>
      <w:r>
        <w:rPr>
          <w:i/>
        </w:rPr>
        <w:t>H0</w:t>
      </w:r>
      <w:r w:rsidRPr="00220A38">
        <w:rPr>
          <w:i/>
        </w:rPr>
        <w:t>:</w:t>
      </w:r>
      <w:r w:rsidRPr="00220A38">
        <w:rPr>
          <w:i/>
        </w:rPr>
        <w:tab/>
        <w:t xml:space="preserve">Regional economic </w:t>
      </w:r>
      <w:r>
        <w:rPr>
          <w:i/>
        </w:rPr>
        <w:t xml:space="preserve">development </w:t>
      </w:r>
      <w:r w:rsidRPr="00220A38">
        <w:rPr>
          <w:i/>
        </w:rPr>
        <w:t>and regional income inequality with</w:t>
      </w:r>
      <w:r w:rsidR="00C376DF">
        <w:rPr>
          <w:i/>
        </w:rPr>
        <w:t>in Chile during 1990-2009 can</w:t>
      </w:r>
      <w:r w:rsidRPr="00220A38">
        <w:rPr>
          <w:i/>
        </w:rPr>
        <w:t xml:space="preserve"> be characterized as part of an inverted-</w:t>
      </w:r>
      <w:r>
        <w:rPr>
          <w:i/>
        </w:rPr>
        <w:t>U-shaped pattern.</w:t>
      </w:r>
    </w:p>
    <w:p w:rsidR="00430AD7" w:rsidRPr="00220A38" w:rsidRDefault="00BE0039" w:rsidP="00142112">
      <w:pPr>
        <w:pStyle w:val="ListParagraph"/>
        <w:spacing w:line="360" w:lineRule="auto"/>
        <w:ind w:left="2160" w:hanging="1080"/>
        <w:jc w:val="both"/>
        <w:rPr>
          <w:i/>
        </w:rPr>
      </w:pPr>
      <w:r>
        <w:rPr>
          <w:i/>
        </w:rPr>
        <w:t>Ha</w:t>
      </w:r>
      <w:r w:rsidR="00C80FDC" w:rsidRPr="00220A38">
        <w:rPr>
          <w:i/>
        </w:rPr>
        <w:t xml:space="preserve">: </w:t>
      </w:r>
      <w:r w:rsidR="00C80FDC" w:rsidRPr="00220A38">
        <w:rPr>
          <w:i/>
        </w:rPr>
        <w:tab/>
      </w:r>
      <w:r w:rsidR="00430AD7" w:rsidRPr="00220A38">
        <w:rPr>
          <w:i/>
        </w:rPr>
        <w:t xml:space="preserve">Regional </w:t>
      </w:r>
      <w:r w:rsidR="00744027" w:rsidRPr="00220A38">
        <w:rPr>
          <w:i/>
        </w:rPr>
        <w:t xml:space="preserve">economic </w:t>
      </w:r>
      <w:r w:rsidR="00A00006">
        <w:rPr>
          <w:i/>
        </w:rPr>
        <w:t>development</w:t>
      </w:r>
      <w:r w:rsidR="00430AD7" w:rsidRPr="00220A38">
        <w:rPr>
          <w:i/>
        </w:rPr>
        <w:t xml:space="preserve"> and </w:t>
      </w:r>
      <w:r w:rsidR="00744027" w:rsidRPr="00220A38">
        <w:rPr>
          <w:i/>
        </w:rPr>
        <w:t xml:space="preserve">regional </w:t>
      </w:r>
      <w:r w:rsidR="00BE75B6" w:rsidRPr="00220A38">
        <w:rPr>
          <w:i/>
        </w:rPr>
        <w:t xml:space="preserve">income </w:t>
      </w:r>
      <w:r w:rsidR="00430AD7" w:rsidRPr="00220A38">
        <w:rPr>
          <w:i/>
        </w:rPr>
        <w:t xml:space="preserve">inequality </w:t>
      </w:r>
      <w:r w:rsidR="00BE75B6" w:rsidRPr="00220A38">
        <w:rPr>
          <w:i/>
        </w:rPr>
        <w:t>within Chile during1990-20</w:t>
      </w:r>
      <w:r w:rsidR="009C2998" w:rsidRPr="00220A38">
        <w:rPr>
          <w:i/>
        </w:rPr>
        <w:t>09</w:t>
      </w:r>
      <w:r w:rsidR="00BE75B6" w:rsidRPr="00220A38">
        <w:rPr>
          <w:i/>
        </w:rPr>
        <w:t xml:space="preserve"> can</w:t>
      </w:r>
      <w:r w:rsidR="00C376DF">
        <w:rPr>
          <w:i/>
        </w:rPr>
        <w:t>not</w:t>
      </w:r>
      <w:r w:rsidR="00BE75B6" w:rsidRPr="00220A38">
        <w:rPr>
          <w:i/>
        </w:rPr>
        <w:t xml:space="preserve"> be characterized </w:t>
      </w:r>
      <w:r w:rsidR="000270D2" w:rsidRPr="00220A38">
        <w:rPr>
          <w:i/>
        </w:rPr>
        <w:t>as part of an</w:t>
      </w:r>
      <w:r w:rsidR="002E130C" w:rsidRPr="00220A38">
        <w:rPr>
          <w:i/>
        </w:rPr>
        <w:t xml:space="preserve"> inverted-U shaped pattern</w:t>
      </w:r>
      <w:r w:rsidR="00BE75B6" w:rsidRPr="00220A38">
        <w:rPr>
          <w:i/>
        </w:rPr>
        <w:t>.</w:t>
      </w:r>
    </w:p>
    <w:p w:rsidR="00BE75B6" w:rsidRDefault="00A00006" w:rsidP="00142112">
      <w:pPr>
        <w:spacing w:line="360" w:lineRule="auto"/>
        <w:jc w:val="both"/>
      </w:pPr>
      <w:r>
        <w:t>The possible relationship betwe</w:t>
      </w:r>
      <w:r w:rsidR="007508AA">
        <w:t>en growth and inequality leads</w:t>
      </w:r>
      <w:r>
        <w:t xml:space="preserve"> to </w:t>
      </w:r>
      <w:r w:rsidR="00BC50CE" w:rsidRPr="00220A38">
        <w:t>my second hypothesis</w:t>
      </w:r>
      <w:r>
        <w:t xml:space="preserve">, which </w:t>
      </w:r>
      <w:r w:rsidR="009C2998" w:rsidRPr="00220A38">
        <w:t>is</w:t>
      </w:r>
      <w:r w:rsidR="00A36E64" w:rsidRPr="00220A38">
        <w:t>:</w:t>
      </w:r>
    </w:p>
    <w:p w:rsidR="00BE0039" w:rsidRPr="00BE0039" w:rsidRDefault="00BE0039" w:rsidP="00BE0039">
      <w:pPr>
        <w:pStyle w:val="ListParagraph"/>
        <w:spacing w:line="360" w:lineRule="auto"/>
        <w:ind w:left="1080"/>
        <w:jc w:val="both"/>
        <w:rPr>
          <w:i/>
        </w:rPr>
      </w:pPr>
      <w:r>
        <w:rPr>
          <w:i/>
        </w:rPr>
        <w:t>H0</w:t>
      </w:r>
      <w:r w:rsidRPr="00220A38">
        <w:rPr>
          <w:i/>
        </w:rPr>
        <w:t>:</w:t>
      </w:r>
      <w:r w:rsidRPr="00220A38">
        <w:rPr>
          <w:i/>
        </w:rPr>
        <w:tab/>
      </w:r>
      <w:r w:rsidRPr="00220A38">
        <w:rPr>
          <w:i/>
        </w:rPr>
        <w:tab/>
        <w:t xml:space="preserve">Regional income inequality in Chile has had a negative effect on regional </w:t>
      </w:r>
      <w:r w:rsidRPr="00220A38">
        <w:rPr>
          <w:i/>
        </w:rPr>
        <w:tab/>
      </w:r>
      <w:r w:rsidRPr="00220A38">
        <w:rPr>
          <w:i/>
        </w:rPr>
        <w:tab/>
      </w:r>
      <w:r w:rsidR="00E7025C">
        <w:rPr>
          <w:i/>
        </w:rPr>
        <w:t>economic growth during 1990-2009</w:t>
      </w:r>
      <w:r>
        <w:rPr>
          <w:i/>
        </w:rPr>
        <w:t>.</w:t>
      </w:r>
    </w:p>
    <w:p w:rsidR="00430AD7" w:rsidRPr="00220A38" w:rsidRDefault="00BE0039" w:rsidP="00142112">
      <w:pPr>
        <w:pStyle w:val="ListParagraph"/>
        <w:spacing w:line="360" w:lineRule="auto"/>
        <w:ind w:left="1080"/>
        <w:jc w:val="both"/>
        <w:rPr>
          <w:i/>
        </w:rPr>
      </w:pPr>
      <w:r>
        <w:rPr>
          <w:i/>
        </w:rPr>
        <w:t>Ha</w:t>
      </w:r>
      <w:r w:rsidR="00C80FDC" w:rsidRPr="00220A38">
        <w:rPr>
          <w:i/>
        </w:rPr>
        <w:t>:</w:t>
      </w:r>
      <w:r w:rsidR="00C80FDC" w:rsidRPr="00220A38">
        <w:rPr>
          <w:i/>
        </w:rPr>
        <w:tab/>
      </w:r>
      <w:r w:rsidR="00C80FDC" w:rsidRPr="00220A38">
        <w:rPr>
          <w:i/>
        </w:rPr>
        <w:tab/>
      </w:r>
      <w:r w:rsidR="00744027" w:rsidRPr="00220A38">
        <w:rPr>
          <w:i/>
        </w:rPr>
        <w:t xml:space="preserve">Regional income inequality </w:t>
      </w:r>
      <w:r w:rsidR="00C80FDC" w:rsidRPr="00220A38">
        <w:rPr>
          <w:i/>
        </w:rPr>
        <w:t xml:space="preserve">in Chile </w:t>
      </w:r>
      <w:r w:rsidR="00744027" w:rsidRPr="00220A38">
        <w:rPr>
          <w:i/>
        </w:rPr>
        <w:t xml:space="preserve">has </w:t>
      </w:r>
      <w:r w:rsidR="00BE75B6" w:rsidRPr="00220A38">
        <w:rPr>
          <w:i/>
        </w:rPr>
        <w:t xml:space="preserve">had </w:t>
      </w:r>
      <w:r w:rsidR="00744027" w:rsidRPr="00220A38">
        <w:rPr>
          <w:i/>
        </w:rPr>
        <w:t xml:space="preserve">a </w:t>
      </w:r>
      <w:r w:rsidR="00C376DF">
        <w:rPr>
          <w:i/>
        </w:rPr>
        <w:t>non-</w:t>
      </w:r>
      <w:r w:rsidR="00744027" w:rsidRPr="00220A38">
        <w:rPr>
          <w:i/>
        </w:rPr>
        <w:t>negative effect on regional</w:t>
      </w:r>
      <w:r w:rsidR="00C80FDC" w:rsidRPr="00220A38">
        <w:rPr>
          <w:i/>
        </w:rPr>
        <w:tab/>
      </w:r>
      <w:r w:rsidR="00C80FDC" w:rsidRPr="00220A38">
        <w:rPr>
          <w:i/>
        </w:rPr>
        <w:tab/>
      </w:r>
      <w:r w:rsidR="00744027" w:rsidRPr="00220A38">
        <w:rPr>
          <w:i/>
        </w:rPr>
        <w:t xml:space="preserve"> economic growth</w:t>
      </w:r>
      <w:r w:rsidR="00BE75B6" w:rsidRPr="00220A38">
        <w:rPr>
          <w:i/>
        </w:rPr>
        <w:t xml:space="preserve"> during 1990-20</w:t>
      </w:r>
      <w:r w:rsidR="00E7025C">
        <w:rPr>
          <w:i/>
        </w:rPr>
        <w:t>09</w:t>
      </w:r>
      <w:r w:rsidR="00BE75B6" w:rsidRPr="00220A38">
        <w:rPr>
          <w:i/>
        </w:rPr>
        <w:t>.</w:t>
      </w:r>
    </w:p>
    <w:p w:rsidR="00A36E64" w:rsidRPr="00220A38" w:rsidRDefault="009C2998" w:rsidP="00142112">
      <w:pPr>
        <w:spacing w:line="360" w:lineRule="auto"/>
        <w:jc w:val="both"/>
      </w:pPr>
      <w:r w:rsidRPr="00220A38">
        <w:t>Since inequality measures based on human capital are found to provide more robust results</w:t>
      </w:r>
      <w:r w:rsidR="00933869">
        <w:t xml:space="preserve"> as stated before</w:t>
      </w:r>
      <w:r w:rsidR="00A36E64" w:rsidRPr="00220A38">
        <w:t>, my third and final hypothesis states that:</w:t>
      </w:r>
    </w:p>
    <w:p w:rsidR="00933869" w:rsidRDefault="00BE0039" w:rsidP="00933869">
      <w:pPr>
        <w:pStyle w:val="ListParagraph"/>
        <w:spacing w:line="360" w:lineRule="auto"/>
        <w:ind w:left="1080"/>
        <w:rPr>
          <w:i/>
        </w:rPr>
      </w:pPr>
      <w:r>
        <w:rPr>
          <w:i/>
        </w:rPr>
        <w:t>H0</w:t>
      </w:r>
      <w:r w:rsidR="00C80FDC" w:rsidRPr="00220A38">
        <w:rPr>
          <w:i/>
        </w:rPr>
        <w:t>:</w:t>
      </w:r>
      <w:r w:rsidR="00C80FDC" w:rsidRPr="00220A38">
        <w:rPr>
          <w:i/>
        </w:rPr>
        <w:tab/>
      </w:r>
      <w:r w:rsidR="00C80FDC" w:rsidRPr="00220A38">
        <w:rPr>
          <w:i/>
        </w:rPr>
        <w:tab/>
        <w:t>Regional educational in</w:t>
      </w:r>
      <w:r w:rsidR="00B7628B">
        <w:rPr>
          <w:i/>
        </w:rPr>
        <w:t xml:space="preserve">equality in Chile has had a </w:t>
      </w:r>
      <w:r w:rsidR="00933869">
        <w:rPr>
          <w:i/>
        </w:rPr>
        <w:t xml:space="preserve">negative effect </w:t>
      </w:r>
      <w:r w:rsidR="00E16E8F">
        <w:rPr>
          <w:i/>
        </w:rPr>
        <w:t>on regional</w:t>
      </w:r>
      <w:r w:rsidR="00933869">
        <w:rPr>
          <w:i/>
        </w:rPr>
        <w:tab/>
      </w:r>
      <w:r w:rsidR="00E16E8F">
        <w:rPr>
          <w:i/>
        </w:rPr>
        <w:tab/>
      </w:r>
      <w:r w:rsidR="00933869">
        <w:rPr>
          <w:i/>
        </w:rPr>
        <w:t xml:space="preserve"> </w:t>
      </w:r>
      <w:r w:rsidR="00C80FDC" w:rsidRPr="00220A38">
        <w:rPr>
          <w:i/>
        </w:rPr>
        <w:t>economic growth during 1990-20</w:t>
      </w:r>
      <w:r w:rsidR="00E7025C">
        <w:rPr>
          <w:i/>
        </w:rPr>
        <w:t>09</w:t>
      </w:r>
      <w:r w:rsidR="00C80FDC" w:rsidRPr="00220A38">
        <w:rPr>
          <w:i/>
        </w:rPr>
        <w:t>.</w:t>
      </w:r>
      <w:r>
        <w:rPr>
          <w:i/>
        </w:rPr>
        <w:br/>
        <w:t>Ha</w:t>
      </w:r>
      <w:r w:rsidRPr="00220A38">
        <w:rPr>
          <w:i/>
        </w:rPr>
        <w:t>:</w:t>
      </w:r>
      <w:r w:rsidRPr="00220A38">
        <w:rPr>
          <w:i/>
        </w:rPr>
        <w:tab/>
      </w:r>
      <w:r w:rsidRPr="00220A38">
        <w:rPr>
          <w:i/>
        </w:rPr>
        <w:tab/>
        <w:t>Regional educational inequality in Chile has had a</w:t>
      </w:r>
      <w:r w:rsidR="00933869">
        <w:rPr>
          <w:i/>
        </w:rPr>
        <w:t xml:space="preserve"> non-</w:t>
      </w:r>
      <w:r w:rsidRPr="00220A38">
        <w:rPr>
          <w:i/>
        </w:rPr>
        <w:t xml:space="preserve"> negative effect on</w:t>
      </w:r>
      <w:r w:rsidR="00933869">
        <w:rPr>
          <w:i/>
        </w:rPr>
        <w:tab/>
      </w:r>
      <w:r w:rsidR="00933869">
        <w:rPr>
          <w:i/>
        </w:rPr>
        <w:tab/>
      </w:r>
      <w:r w:rsidRPr="00220A38">
        <w:rPr>
          <w:i/>
        </w:rPr>
        <w:t xml:space="preserve"> regional</w:t>
      </w:r>
      <w:r w:rsidR="00933869">
        <w:rPr>
          <w:i/>
        </w:rPr>
        <w:t xml:space="preserve"> </w:t>
      </w:r>
      <w:r w:rsidR="00E7025C">
        <w:rPr>
          <w:i/>
        </w:rPr>
        <w:t>economic growth during 1990-2009</w:t>
      </w:r>
      <w:r w:rsidRPr="00220A38">
        <w:rPr>
          <w:i/>
        </w:rPr>
        <w:t>.</w:t>
      </w:r>
    </w:p>
    <w:p w:rsidR="00933869" w:rsidRDefault="00933869" w:rsidP="00933869">
      <w:pPr>
        <w:pStyle w:val="ListParagraph"/>
        <w:spacing w:line="360" w:lineRule="auto"/>
        <w:ind w:left="1080"/>
        <w:jc w:val="both"/>
        <w:rPr>
          <w:i/>
        </w:rPr>
      </w:pPr>
    </w:p>
    <w:p w:rsidR="004B092C" w:rsidRDefault="00744027" w:rsidP="004B092C">
      <w:pPr>
        <w:pStyle w:val="ListParagraph"/>
        <w:spacing w:line="360" w:lineRule="auto"/>
        <w:ind w:left="0"/>
        <w:jc w:val="both"/>
      </w:pPr>
      <w:r w:rsidRPr="00220A38">
        <w:lastRenderedPageBreak/>
        <w:t xml:space="preserve">The structure of my thesis is as follows. In </w:t>
      </w:r>
      <w:r w:rsidR="009C2998" w:rsidRPr="00220A38">
        <w:t xml:space="preserve">the next </w:t>
      </w:r>
      <w:r w:rsidR="00A00006">
        <w:t>chapter</w:t>
      </w:r>
      <w:r w:rsidRPr="00220A38">
        <w:t xml:space="preserve"> I </w:t>
      </w:r>
      <w:r w:rsidR="00F552DF" w:rsidRPr="00220A38">
        <w:t>give an overview of</w:t>
      </w:r>
      <w:r w:rsidRPr="00220A38">
        <w:t xml:space="preserve"> the relevant theories </w:t>
      </w:r>
      <w:r w:rsidR="00F552DF" w:rsidRPr="00220A38">
        <w:t xml:space="preserve">and empirical work </w:t>
      </w:r>
      <w:r w:rsidR="00650D4F" w:rsidRPr="00220A38">
        <w:t>regarding inequality and growth</w:t>
      </w:r>
      <w:r w:rsidR="00F552DF" w:rsidRPr="00220A38">
        <w:t>, which i</w:t>
      </w:r>
      <w:r w:rsidR="00D03C9D" w:rsidRPr="00220A38">
        <w:t>nclude the Kuznets relationship and</w:t>
      </w:r>
      <w:r w:rsidR="00F552DF" w:rsidRPr="00220A38">
        <w:t xml:space="preserve"> inequality-gr</w:t>
      </w:r>
      <w:r w:rsidR="0078766B" w:rsidRPr="00220A38">
        <w:t xml:space="preserve">owth relationships. In </w:t>
      </w:r>
      <w:r w:rsidR="00A00006">
        <w:t>chapter</w:t>
      </w:r>
      <w:r w:rsidR="0078766B" w:rsidRPr="00220A38">
        <w:t xml:space="preserve"> three</w:t>
      </w:r>
      <w:r w:rsidR="00F552DF" w:rsidRPr="00220A38">
        <w:t xml:space="preserve"> I describe the main features of the data employed </w:t>
      </w:r>
      <w:r w:rsidR="002E130C" w:rsidRPr="00220A38">
        <w:t xml:space="preserve">from the </w:t>
      </w:r>
      <w:r w:rsidR="00CF2E4F">
        <w:t>CASEN</w:t>
      </w:r>
      <w:r w:rsidR="002E130C" w:rsidRPr="00220A38">
        <w:t xml:space="preserve"> household survey and other sources </w:t>
      </w:r>
      <w:r w:rsidR="00F552DF" w:rsidRPr="00220A38">
        <w:t xml:space="preserve">and </w:t>
      </w:r>
      <w:r w:rsidR="009C2998" w:rsidRPr="00220A38">
        <w:t xml:space="preserve">I elaborate how </w:t>
      </w:r>
      <w:r w:rsidR="00F552DF" w:rsidRPr="00220A38">
        <w:t>the different variables</w:t>
      </w:r>
      <w:r w:rsidR="002E130C" w:rsidRPr="00220A38">
        <w:t xml:space="preserve"> </w:t>
      </w:r>
      <w:r w:rsidR="009C2998" w:rsidRPr="00220A38">
        <w:t>used for</w:t>
      </w:r>
      <w:r w:rsidR="00F552DF" w:rsidRPr="00220A38">
        <w:t xml:space="preserve"> my empirical analysis</w:t>
      </w:r>
      <w:r w:rsidR="009C2998" w:rsidRPr="00220A38">
        <w:t xml:space="preserve"> have been constructed</w:t>
      </w:r>
      <w:r w:rsidR="00F552DF" w:rsidRPr="00220A38">
        <w:t xml:space="preserve">. </w:t>
      </w:r>
      <w:r w:rsidR="00A00006">
        <w:t>Chapter</w:t>
      </w:r>
      <w:r w:rsidR="002E130C" w:rsidRPr="00220A38">
        <w:t xml:space="preserve"> </w:t>
      </w:r>
      <w:r w:rsidR="0078766B" w:rsidRPr="00220A38">
        <w:t>four</w:t>
      </w:r>
      <w:r w:rsidR="002E130C" w:rsidRPr="00220A38">
        <w:t xml:space="preserve"> contains a preliminary analysis of Chile in the period relevant for my analysis (1990-20</w:t>
      </w:r>
      <w:r w:rsidR="00933869">
        <w:t>09</w:t>
      </w:r>
      <w:r w:rsidR="002E130C" w:rsidRPr="00220A38">
        <w:t>), describing its main economic characteristics including economic growth and the income distribution</w:t>
      </w:r>
      <w:r w:rsidR="00A00006">
        <w:t>, also on a regional level</w:t>
      </w:r>
      <w:r w:rsidR="002E130C" w:rsidRPr="00220A38">
        <w:t xml:space="preserve">. </w:t>
      </w:r>
      <w:r w:rsidR="00A00006">
        <w:t>Chapter</w:t>
      </w:r>
      <w:r w:rsidR="0078766B" w:rsidRPr="00220A38">
        <w:t xml:space="preserve"> five</w:t>
      </w:r>
      <w:r w:rsidR="00F552DF" w:rsidRPr="00220A38">
        <w:t xml:space="preserve"> contains the methodology </w:t>
      </w:r>
      <w:r w:rsidR="002E130C" w:rsidRPr="00220A38">
        <w:t xml:space="preserve">used for my empirical study </w:t>
      </w:r>
      <w:r w:rsidR="00CE2D82">
        <w:t>and chapter</w:t>
      </w:r>
      <w:r w:rsidR="0078766B" w:rsidRPr="00220A38">
        <w:t xml:space="preserve"> six</w:t>
      </w:r>
      <w:r w:rsidR="00F552DF" w:rsidRPr="00220A38">
        <w:t xml:space="preserve"> follows with </w:t>
      </w:r>
      <w:r w:rsidR="002E130C" w:rsidRPr="00220A38">
        <w:t>a discussion of the</w:t>
      </w:r>
      <w:r w:rsidR="00F552DF" w:rsidRPr="00220A38">
        <w:t xml:space="preserve"> results</w:t>
      </w:r>
      <w:r w:rsidR="002E130C" w:rsidRPr="00220A38">
        <w:t xml:space="preserve"> obtained</w:t>
      </w:r>
      <w:r w:rsidR="00F552DF" w:rsidRPr="00220A38">
        <w:t xml:space="preserve">. </w:t>
      </w:r>
      <w:r w:rsidR="00A00006">
        <w:t xml:space="preserve">In the last chapter I conclude and </w:t>
      </w:r>
      <w:r w:rsidR="00CE2D82">
        <w:t xml:space="preserve">share possibilities for </w:t>
      </w:r>
      <w:r w:rsidR="00A00006">
        <w:t>future research</w:t>
      </w:r>
      <w:r w:rsidR="00CE2D82">
        <w:t xml:space="preserve"> on the subject</w:t>
      </w:r>
      <w:r w:rsidR="00A00006">
        <w:t>.</w:t>
      </w:r>
      <w:r w:rsidR="005B5A7D" w:rsidRPr="00220A38">
        <w:t xml:space="preserve"> </w:t>
      </w:r>
    </w:p>
    <w:p w:rsidR="00AC3934" w:rsidRPr="004B092C" w:rsidRDefault="00AC3934" w:rsidP="004B092C">
      <w:pPr>
        <w:pStyle w:val="ListParagraph"/>
        <w:spacing w:line="360" w:lineRule="auto"/>
        <w:ind w:left="0"/>
        <w:jc w:val="both"/>
      </w:pPr>
    </w:p>
    <w:p w:rsidR="00E16E8F" w:rsidRPr="00E16E8F" w:rsidRDefault="00E16E8F" w:rsidP="004B092C">
      <w:pPr>
        <w:pStyle w:val="ListParagraph"/>
        <w:numPr>
          <w:ilvl w:val="0"/>
          <w:numId w:val="31"/>
        </w:numPr>
        <w:spacing w:line="360" w:lineRule="auto"/>
        <w:jc w:val="both"/>
        <w:rPr>
          <w:b/>
        </w:rPr>
      </w:pPr>
      <w:r>
        <w:rPr>
          <w:b/>
        </w:rPr>
        <w:t>Literature Review</w:t>
      </w:r>
    </w:p>
    <w:p w:rsidR="00220EAE" w:rsidRPr="00220A38" w:rsidRDefault="00DE024D" w:rsidP="00E16E8F">
      <w:pPr>
        <w:spacing w:line="360" w:lineRule="auto"/>
        <w:jc w:val="both"/>
      </w:pPr>
      <w:r w:rsidRPr="00220A38">
        <w:t xml:space="preserve">The </w:t>
      </w:r>
      <w:r w:rsidR="009C2998" w:rsidRPr="00220A38">
        <w:t>possible relationship between</w:t>
      </w:r>
      <w:r w:rsidRPr="00220A38">
        <w:t xml:space="preserve"> </w:t>
      </w:r>
      <w:r w:rsidR="003D4781" w:rsidRPr="00220A38">
        <w:t xml:space="preserve">income </w:t>
      </w:r>
      <w:r w:rsidRPr="00220A38">
        <w:t xml:space="preserve">inequality </w:t>
      </w:r>
      <w:r w:rsidR="009C2998" w:rsidRPr="00220A38">
        <w:t>and</w:t>
      </w:r>
      <w:r w:rsidRPr="00220A38">
        <w:t xml:space="preserve"> economic growth and vice versa has been a heavily debated subject in </w:t>
      </w:r>
      <w:r w:rsidR="003D4781" w:rsidRPr="00220A38">
        <w:t xml:space="preserve">the fields of </w:t>
      </w:r>
      <w:r w:rsidRPr="00220A38">
        <w:t>economics, sociology and philosophy. Adam Smith argued in his seminal work ‘The Wealth of Nations’ that “No society can surely be flourishing and happy, of which the greater part of the members are poor and miserable. It is but equity, besides, that they who feed, clothe and lodge the whole body of the people, should have such a share of the produce of their own labour as to be themselves tolerab</w:t>
      </w:r>
      <w:r w:rsidR="00BC50CE" w:rsidRPr="00220A38">
        <w:t>ly well fed, clothed and lodged</w:t>
      </w:r>
      <w:r w:rsidRPr="00220A38">
        <w:t>”</w:t>
      </w:r>
      <w:r w:rsidR="00BC50CE" w:rsidRPr="00220A38">
        <w:t xml:space="preserve"> </w:t>
      </w:r>
      <w:r w:rsidR="00A72E86" w:rsidRPr="00220A38">
        <w:t>(Adam Smith, 1776, p. 110-111)</w:t>
      </w:r>
      <w:r w:rsidR="00BC50CE" w:rsidRPr="00220A38">
        <w:t>.</w:t>
      </w:r>
      <w:r w:rsidRPr="00220A38">
        <w:t xml:space="preserve"> David Ricardo (1817) also mentions that the distribution “of the whole produce of the earth” is the principal problem in political economics.</w:t>
      </w:r>
      <w:r w:rsidR="00220EAE" w:rsidRPr="00220A38">
        <w:t xml:space="preserve"> </w:t>
      </w:r>
    </w:p>
    <w:p w:rsidR="00220EAE" w:rsidRPr="00220A38" w:rsidRDefault="00685224" w:rsidP="00142112">
      <w:pPr>
        <w:spacing w:line="360" w:lineRule="auto"/>
        <w:jc w:val="both"/>
      </w:pPr>
      <w:r w:rsidRPr="00220A38">
        <w:t>For economists, t</w:t>
      </w:r>
      <w:r w:rsidR="00DE024D" w:rsidRPr="00220A38">
        <w:t>he question is not what an ethical or moral optimal level of inequality in a society is, but if inequality leads to a more efficient economy, thereby creati</w:t>
      </w:r>
      <w:r w:rsidR="006E0129" w:rsidRPr="00220A38">
        <w:t>ng conditions for higher economic growth</w:t>
      </w:r>
      <w:r w:rsidR="00DE024D" w:rsidRPr="00220A38">
        <w:t>. For most of the last century, Keynes’s view that inequality was beneficial to economic growth has been the dominant view. Keynes argued that because the rich have a higher savings rate than the poor, accumulation of wealth by the rich was necessary for the economy as a whole to grow</w:t>
      </w:r>
      <w:r w:rsidR="00796908" w:rsidRPr="00220A38">
        <w:t xml:space="preserve"> (Keynes, 1920)</w:t>
      </w:r>
      <w:r w:rsidR="00DE024D" w:rsidRPr="00220A38">
        <w:t xml:space="preserve">. Kaldor formalized this argument by mentioning the propensity </w:t>
      </w:r>
      <w:r w:rsidRPr="00220A38">
        <w:t>of the wealthy to save more</w:t>
      </w:r>
      <w:r w:rsidR="00DE024D" w:rsidRPr="00220A38">
        <w:t>, creating higher aggregate savings which lead to higher growth rates</w:t>
      </w:r>
      <w:r w:rsidR="00796908" w:rsidRPr="00220A38">
        <w:t xml:space="preserve"> (Kaldor</w:t>
      </w:r>
      <w:r w:rsidR="00A72E86" w:rsidRPr="00220A38">
        <w:t>,</w:t>
      </w:r>
      <w:r w:rsidR="00D20E71" w:rsidRPr="00220A38">
        <w:t xml:space="preserve"> 1956a</w:t>
      </w:r>
      <w:r w:rsidR="00796908" w:rsidRPr="00220A38">
        <w:t>)</w:t>
      </w:r>
      <w:r w:rsidR="00DE024D" w:rsidRPr="00220A38">
        <w:t xml:space="preserve">. </w:t>
      </w:r>
      <w:r w:rsidR="009D6483" w:rsidRPr="00220A38">
        <w:t>This view is especially relevant for developing countries that are in the early industrializing phase due to their economy’s dependence on physical capital</w:t>
      </w:r>
      <w:r w:rsidR="0005289C" w:rsidRPr="00220A38">
        <w:t xml:space="preserve"> for economic growth</w:t>
      </w:r>
      <w:r w:rsidR="009D6483" w:rsidRPr="00220A38">
        <w:t xml:space="preserve">. </w:t>
      </w:r>
      <w:r w:rsidR="00DE024D" w:rsidRPr="00220A38">
        <w:t xml:space="preserve">In a paper </w:t>
      </w:r>
      <w:r w:rsidR="00796908" w:rsidRPr="00220A38">
        <w:t xml:space="preserve"> </w:t>
      </w:r>
      <w:r w:rsidR="00DE024D" w:rsidRPr="00220A38">
        <w:t xml:space="preserve">he prepared as a consultant for the </w:t>
      </w:r>
      <w:r w:rsidR="009D6483" w:rsidRPr="00220A38">
        <w:t>United Nations regarding Chile’s fiscal policy (Kaldor, 1956b)</w:t>
      </w:r>
      <w:r w:rsidR="00796908" w:rsidRPr="00220A38">
        <w:t>, Kaldor</w:t>
      </w:r>
      <w:r w:rsidR="00DE024D" w:rsidRPr="00220A38">
        <w:t xml:space="preserve"> advised the government of Chile in line with this argument to tax the wealthy more</w:t>
      </w:r>
      <w:r w:rsidR="0005289C" w:rsidRPr="00220A38">
        <w:t>,</w:t>
      </w:r>
      <w:r w:rsidR="00DE024D" w:rsidRPr="00220A38">
        <w:t xml:space="preserve"> because they consume</w:t>
      </w:r>
      <w:r w:rsidR="0057492B" w:rsidRPr="00220A38">
        <w:t xml:space="preserve">d too much </w:t>
      </w:r>
      <w:r w:rsidR="009D6483" w:rsidRPr="00220A38">
        <w:t xml:space="preserve">(foreign produced) </w:t>
      </w:r>
      <w:r w:rsidR="0057492B" w:rsidRPr="00220A38">
        <w:t xml:space="preserve">luxury goods. Therefore, </w:t>
      </w:r>
      <w:r w:rsidR="00CE2D82">
        <w:t xml:space="preserve">he states that </w:t>
      </w:r>
      <w:r w:rsidR="009D6483" w:rsidRPr="00220A38">
        <w:t xml:space="preserve">aggregate </w:t>
      </w:r>
      <w:r w:rsidR="0057492B" w:rsidRPr="00220A38">
        <w:t xml:space="preserve">savings were low </w:t>
      </w:r>
      <w:r w:rsidR="00DE024D" w:rsidRPr="00220A38">
        <w:t xml:space="preserve">and </w:t>
      </w:r>
      <w:r w:rsidR="0057492B" w:rsidRPr="00220A38">
        <w:t xml:space="preserve">the Chilean economy suffered from </w:t>
      </w:r>
      <w:r w:rsidR="00DE024D" w:rsidRPr="00220A38">
        <w:t xml:space="preserve">underinvestment. </w:t>
      </w:r>
    </w:p>
    <w:p w:rsidR="00946560" w:rsidRPr="00220A38" w:rsidRDefault="00932E79" w:rsidP="00142112">
      <w:pPr>
        <w:pStyle w:val="ListParagraph"/>
        <w:numPr>
          <w:ilvl w:val="1"/>
          <w:numId w:val="28"/>
        </w:numPr>
        <w:spacing w:line="360" w:lineRule="auto"/>
        <w:jc w:val="both"/>
        <w:rPr>
          <w:b/>
        </w:rPr>
      </w:pPr>
      <w:r w:rsidRPr="00220A38">
        <w:rPr>
          <w:b/>
        </w:rPr>
        <w:t xml:space="preserve"> </w:t>
      </w:r>
      <w:r w:rsidR="00946560" w:rsidRPr="00220A38">
        <w:rPr>
          <w:b/>
        </w:rPr>
        <w:t>Kuznets</w:t>
      </w:r>
      <w:r w:rsidRPr="00220A38">
        <w:rPr>
          <w:b/>
        </w:rPr>
        <w:t xml:space="preserve"> </w:t>
      </w:r>
      <w:r w:rsidR="000716AC" w:rsidRPr="00220A38">
        <w:rPr>
          <w:b/>
        </w:rPr>
        <w:t>and the Growth-I</w:t>
      </w:r>
      <w:r w:rsidRPr="00220A38">
        <w:rPr>
          <w:b/>
        </w:rPr>
        <w:t xml:space="preserve">nequality </w:t>
      </w:r>
      <w:r w:rsidR="000716AC" w:rsidRPr="00220A38">
        <w:rPr>
          <w:b/>
        </w:rPr>
        <w:t>R</w:t>
      </w:r>
      <w:r w:rsidRPr="00220A38">
        <w:rPr>
          <w:b/>
        </w:rPr>
        <w:t>elationship</w:t>
      </w:r>
    </w:p>
    <w:p w:rsidR="009637D6" w:rsidRDefault="00DE024D" w:rsidP="00142112">
      <w:pPr>
        <w:spacing w:line="360" w:lineRule="auto"/>
        <w:jc w:val="both"/>
        <w:rPr>
          <w:rFonts w:eastAsiaTheme="minorEastAsia"/>
        </w:rPr>
      </w:pPr>
      <w:r w:rsidRPr="00220A38">
        <w:t xml:space="preserve">In the second half of the last century, the subject of </w:t>
      </w:r>
      <w:r w:rsidR="009D6483" w:rsidRPr="00220A38">
        <w:t>inequality and economic growth</w:t>
      </w:r>
      <w:r w:rsidRPr="00220A38">
        <w:t xml:space="preserve"> has been approached from different perspective</w:t>
      </w:r>
      <w:r w:rsidR="009B3299" w:rsidRPr="00220A38">
        <w:t>s</w:t>
      </w:r>
      <w:r w:rsidRPr="00220A38">
        <w:t xml:space="preserve">. </w:t>
      </w:r>
      <w:r w:rsidR="00933869">
        <w:t>A</w:t>
      </w:r>
      <w:r w:rsidR="00CE4A64" w:rsidRPr="00220A38">
        <w:t xml:space="preserve"> reverse causal relationship (</w:t>
      </w:r>
      <w:r w:rsidRPr="00220A38">
        <w:t>between economic growth</w:t>
      </w:r>
      <w:r w:rsidR="00CE4A64" w:rsidRPr="00220A38">
        <w:t xml:space="preserve"> or </w:t>
      </w:r>
      <w:r w:rsidR="00CE4A64" w:rsidRPr="00220A38">
        <w:lastRenderedPageBreak/>
        <w:t>development</w:t>
      </w:r>
      <w:r w:rsidRPr="00220A38">
        <w:t xml:space="preserve"> and </w:t>
      </w:r>
      <w:r w:rsidR="0092721B" w:rsidRPr="00220A38">
        <w:t xml:space="preserve">income </w:t>
      </w:r>
      <w:r w:rsidRPr="00220A38">
        <w:t>inequality</w:t>
      </w:r>
      <w:r w:rsidR="00CE4A64" w:rsidRPr="00220A38">
        <w:t>)</w:t>
      </w:r>
      <w:r w:rsidRPr="00220A38">
        <w:t xml:space="preserve"> was proposed by </w:t>
      </w:r>
      <w:r w:rsidR="00796908" w:rsidRPr="00220A38">
        <w:t xml:space="preserve">Simon </w:t>
      </w:r>
      <w:r w:rsidRPr="00220A38">
        <w:t>Kuzn</w:t>
      </w:r>
      <w:r w:rsidR="00650D4F" w:rsidRPr="00220A38">
        <w:t xml:space="preserve">ets when he presented his </w:t>
      </w:r>
      <w:r w:rsidR="00685224" w:rsidRPr="00220A38">
        <w:t>seminal paper on the subject</w:t>
      </w:r>
      <w:r w:rsidRPr="00220A38">
        <w:t xml:space="preserve"> at the 1954 Presidential Address to the American </w:t>
      </w:r>
      <w:r w:rsidR="00796908" w:rsidRPr="00220A38">
        <w:t xml:space="preserve">Economic Association (Kuznets, 1955). </w:t>
      </w:r>
      <w:r w:rsidR="00C63E3A">
        <w:t xml:space="preserve">Based on time series data from the US, UK and Germany, </w:t>
      </w:r>
      <w:r w:rsidR="00796908" w:rsidRPr="00220A38">
        <w:t xml:space="preserve">Kuznets </w:t>
      </w:r>
      <w:r w:rsidRPr="00220A38">
        <w:t xml:space="preserve">hypothesized that when industrial development in an economy takes off, labor shifts </w:t>
      </w:r>
      <w:r w:rsidR="00946FC0" w:rsidRPr="00220A38">
        <w:t xml:space="preserve">from </w:t>
      </w:r>
      <w:r w:rsidR="00EC489F" w:rsidRPr="00220A38">
        <w:t>the low-productivity</w:t>
      </w:r>
      <w:r w:rsidR="00B77AB9" w:rsidRPr="00220A38">
        <w:t>,</w:t>
      </w:r>
      <w:r w:rsidRPr="00220A38">
        <w:t xml:space="preserve"> </w:t>
      </w:r>
      <w:r w:rsidR="00946FC0" w:rsidRPr="00220A38">
        <w:t xml:space="preserve">egalitarian </w:t>
      </w:r>
      <w:r w:rsidRPr="00220A38">
        <w:t>rural</w:t>
      </w:r>
      <w:r w:rsidR="00B77AB9" w:rsidRPr="00220A38">
        <w:t xml:space="preserve"> </w:t>
      </w:r>
      <w:r w:rsidR="00946FC0" w:rsidRPr="00220A38">
        <w:t>sector</w:t>
      </w:r>
      <w:r w:rsidR="00B77AB9" w:rsidRPr="00220A38">
        <w:t xml:space="preserve"> </w:t>
      </w:r>
      <w:r w:rsidRPr="00220A38">
        <w:t xml:space="preserve">to </w:t>
      </w:r>
      <w:r w:rsidR="00B77AB9" w:rsidRPr="00220A38">
        <w:t xml:space="preserve">the </w:t>
      </w:r>
      <w:r w:rsidR="00946FC0" w:rsidRPr="00220A38">
        <w:t>high productivity, less equal</w:t>
      </w:r>
      <w:r w:rsidRPr="00220A38">
        <w:t xml:space="preserve"> urban areas, and income inequality rises. Eventually income inequality levels and in advanced stages of development</w:t>
      </w:r>
      <w:r w:rsidR="0057492B" w:rsidRPr="00220A38">
        <w:t>,</w:t>
      </w:r>
      <w:r w:rsidRPr="00220A38">
        <w:t xml:space="preserve"> income is distributed more equally, as was the trend in advanced economies </w:t>
      </w:r>
      <w:r w:rsidR="0005289C" w:rsidRPr="00220A38">
        <w:t xml:space="preserve">he observed </w:t>
      </w:r>
      <w:r w:rsidRPr="00220A38">
        <w:t xml:space="preserve">using </w:t>
      </w:r>
      <w:r w:rsidR="0005289C" w:rsidRPr="00220A38">
        <w:t xml:space="preserve">the </w:t>
      </w:r>
      <w:r w:rsidRPr="00220A38">
        <w:t xml:space="preserve">scarcely available data at the time. </w:t>
      </w:r>
      <w:r w:rsidR="00685224" w:rsidRPr="00220A38">
        <w:t>When graphically depicted, t</w:t>
      </w:r>
      <w:r w:rsidRPr="00220A38">
        <w:t xml:space="preserve">he </w:t>
      </w:r>
      <w:r w:rsidR="00A00006">
        <w:t>development</w:t>
      </w:r>
      <w:r w:rsidRPr="00220A38">
        <w:t>-equity r</w:t>
      </w:r>
      <w:r w:rsidR="009D6483" w:rsidRPr="00220A38">
        <w:t xml:space="preserve">elationship in this form is </w:t>
      </w:r>
      <w:r w:rsidRPr="00220A38">
        <w:t>charact</w:t>
      </w:r>
      <w:r w:rsidR="009D6483" w:rsidRPr="00220A38">
        <w:t xml:space="preserve">erized as an inverted U. This </w:t>
      </w:r>
      <w:r w:rsidRPr="00220A38">
        <w:t>ha</w:t>
      </w:r>
      <w:r w:rsidR="00650D4F" w:rsidRPr="00220A38">
        <w:t>s since been known as the invert</w:t>
      </w:r>
      <w:r w:rsidRPr="00220A38">
        <w:t>ed U-hypothesis or Kuznets-curve</w:t>
      </w:r>
      <w:r w:rsidR="00946FC0" w:rsidRPr="00220A38">
        <w:t xml:space="preserve">. </w:t>
      </w:r>
      <w:r w:rsidR="009637D6" w:rsidRPr="00220A38">
        <w:t xml:space="preserve">Note that there are </w:t>
      </w:r>
      <w:r w:rsidR="008F0813" w:rsidRPr="00220A38">
        <w:t>two processes at work that change the ov</w:t>
      </w:r>
      <w:r w:rsidR="009637D6" w:rsidRPr="00220A38">
        <w:t>erall inequality in the economy.</w:t>
      </w:r>
      <w:r w:rsidR="008F0813" w:rsidRPr="00220A38">
        <w:t xml:space="preserve"> </w:t>
      </w:r>
      <w:r w:rsidR="009637D6" w:rsidRPr="00220A38">
        <w:t>One the hand, inequality results</w:t>
      </w:r>
      <w:r w:rsidR="008F0813" w:rsidRPr="00220A38">
        <w:t xml:space="preserve"> from the shift from the low-paid, traditional, rural sector to the higher-paid, modern, urban sector (intersectoral </w:t>
      </w:r>
      <w:r w:rsidR="00896E64" w:rsidRPr="00220A38">
        <w:t>wage inequality</w:t>
      </w:r>
      <w:r w:rsidR="008F0813" w:rsidRPr="00220A38">
        <w:t>)</w:t>
      </w:r>
      <w:r w:rsidR="009637D6" w:rsidRPr="00220A38">
        <w:t xml:space="preserve">. </w:t>
      </w:r>
      <w:r w:rsidR="008F0813" w:rsidRPr="00220A38">
        <w:t xml:space="preserve"> </w:t>
      </w:r>
      <w:r w:rsidR="009637D6" w:rsidRPr="00220A38">
        <w:t>On the other</w:t>
      </w:r>
      <w:r w:rsidR="0005289C" w:rsidRPr="00220A38">
        <w:t xml:space="preserve"> hand</w:t>
      </w:r>
      <w:r w:rsidR="009637D6" w:rsidRPr="00220A38">
        <w:t xml:space="preserve">, </w:t>
      </w:r>
      <w:r w:rsidR="008F0813" w:rsidRPr="00220A38">
        <w:t xml:space="preserve">inequality </w:t>
      </w:r>
      <w:r w:rsidR="0005289C" w:rsidRPr="00220A38">
        <w:t>increases</w:t>
      </w:r>
      <w:r w:rsidR="009637D6" w:rsidRPr="00220A38">
        <w:t xml:space="preserve"> </w:t>
      </w:r>
      <w:r w:rsidR="008F0813" w:rsidRPr="00220A38">
        <w:t>because labor shifts to the mo</w:t>
      </w:r>
      <w:r w:rsidR="004B092C">
        <w:t>re unequal modern sector (intra</w:t>
      </w:r>
      <w:r w:rsidR="008F0813" w:rsidRPr="00220A38">
        <w:t xml:space="preserve">sectoral </w:t>
      </w:r>
      <w:r w:rsidR="00896E64" w:rsidRPr="00220A38">
        <w:t>wage inequality</w:t>
      </w:r>
      <w:r w:rsidR="008F0813" w:rsidRPr="00220A38">
        <w:t xml:space="preserve">). </w:t>
      </w:r>
      <w:r w:rsidR="00896E64" w:rsidRPr="00220A38">
        <w:t xml:space="preserve">To </w:t>
      </w:r>
      <w:r w:rsidR="004B092C">
        <w:t xml:space="preserve">more formally </w:t>
      </w:r>
      <w:r w:rsidR="00896E64" w:rsidRPr="00220A38">
        <w:t xml:space="preserve">show how a Kuznets-curve can be the result from intersectoral wage inequality, assume that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rsidR="00D36FF2" w:rsidRPr="00220A38">
        <w:rPr>
          <w:rFonts w:eastAsiaTheme="minorEastAsia"/>
        </w:rPr>
        <w:t xml:space="preserve"> </w:t>
      </w:r>
      <w:r w:rsidR="00896E64" w:rsidRPr="00220A38">
        <w:t xml:space="preserve">and </w:t>
      </w:r>
      <m:oMath>
        <m:sSub>
          <m:sSubPr>
            <m:ctrlPr>
              <w:rPr>
                <w:rFonts w:ascii="Cambria Math" w:hAnsi="Cambria Math"/>
                <w:i/>
              </w:rPr>
            </m:ctrlPr>
          </m:sSubPr>
          <m:e>
            <m:r>
              <w:rPr>
                <w:rFonts w:ascii="Cambria Math" w:hAnsi="Cambria Math"/>
              </w:rPr>
              <m:t>w</m:t>
            </m:r>
          </m:e>
          <m:sub>
            <m:r>
              <w:rPr>
                <w:rFonts w:ascii="Cambria Math" w:hAnsi="Cambria Math"/>
              </w:rPr>
              <m:t>M</m:t>
            </m:r>
          </m:sub>
        </m:sSub>
      </m:oMath>
      <w:r w:rsidR="00896E64" w:rsidRPr="00220A38">
        <w:t xml:space="preserve"> are the wages in the traditional and modern sector respectively</w:t>
      </w:r>
      <w:r w:rsidR="00D36FF2" w:rsidRPr="00220A38">
        <w:t xml:space="preserve">, and that </w:t>
      </w:r>
      <m:oMath>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hAnsi="Cambria Math"/>
          </w:rPr>
          <m:t>&gt;</m:t>
        </m:r>
        <m:sSub>
          <m:sSubPr>
            <m:ctrlPr>
              <w:rPr>
                <w:rFonts w:ascii="Cambria Math" w:hAnsi="Cambria Math"/>
                <w:i/>
              </w:rPr>
            </m:ctrlPr>
          </m:sSubPr>
          <m:e>
            <m:r>
              <w:rPr>
                <w:rFonts w:ascii="Cambria Math" w:hAnsi="Cambria Math"/>
              </w:rPr>
              <m:t>w</m:t>
            </m:r>
          </m:e>
          <m:sub>
            <m:r>
              <w:rPr>
                <w:rFonts w:ascii="Cambria Math" w:hAnsi="Cambria Math"/>
              </w:rPr>
              <m:t>T</m:t>
            </m:r>
          </m:sub>
        </m:sSub>
      </m:oMath>
      <w:r w:rsidR="00D36FF2" w:rsidRPr="00220A38">
        <w:t xml:space="preserve"> </w:t>
      </w:r>
      <w:r w:rsidR="00896E64" w:rsidRPr="00220A38">
        <w:t xml:space="preserve">. </w:t>
      </w:r>
      <w:r w:rsidR="00A00006">
        <w:t>Income i</w:t>
      </w:r>
      <w:r w:rsidR="00D36FF2" w:rsidRPr="00220A38">
        <w:t xml:space="preserve">nequality </w:t>
      </w:r>
      <w:r w:rsidR="00A00006">
        <w:t>is depicted</w:t>
      </w:r>
      <w:r w:rsidR="00896E64" w:rsidRPr="00220A38">
        <w:t xml:space="preserve"> by the variance of </w:t>
      </w:r>
      <w:proofErr w:type="gramStart"/>
      <w:r w:rsidR="00896E64" w:rsidRPr="00220A38">
        <w:t>income</w:t>
      </w:r>
      <w:r w:rsidR="000F6E59" w:rsidRPr="00220A38">
        <w:t xml:space="preserve"> </w:t>
      </w:r>
      <w:proofErr w:type="gramEnd"/>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=q</m:t>
        </m:r>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w</m:t>
                    </m:r>
                  </m:e>
                </m:acc>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M</m:t>
                    </m:r>
                  </m:sub>
                </m:sSub>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1-q</m:t>
            </m:r>
          </m:e>
        </m:d>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w</m:t>
                    </m:r>
                  </m:e>
                </m:acc>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m:t>
                    </m:r>
                  </m:sub>
                </m:sSub>
              </m:e>
            </m:d>
          </m:e>
          <m:sup>
            <m:r>
              <w:rPr>
                <w:rFonts w:ascii="Cambria Math" w:hAnsi="Cambria Math"/>
              </w:rPr>
              <m:t>2</m:t>
            </m:r>
          </m:sup>
        </m:sSup>
      </m:oMath>
      <w:r w:rsidR="00D36FF2" w:rsidRPr="00220A38">
        <w:rPr>
          <w:rFonts w:eastAsiaTheme="minorEastAsia"/>
        </w:rPr>
        <w:t xml:space="preserve">, with </w:t>
      </w:r>
      <m:oMath>
        <m:r>
          <w:rPr>
            <w:rFonts w:ascii="Cambria Math" w:hAnsi="Cambria Math"/>
          </w:rPr>
          <m:t>q</m:t>
        </m:r>
      </m:oMath>
      <w:r w:rsidR="00D36FF2" w:rsidRPr="00220A38">
        <w:rPr>
          <w:rFonts w:eastAsiaTheme="minorEastAsia"/>
        </w:rPr>
        <w:t xml:space="preserve"> representing the proportion of labor in the modern sector and </w:t>
      </w:r>
      <m:oMath>
        <m:acc>
          <m:accPr>
            <m:chr m:val="̅"/>
            <m:ctrlPr>
              <w:rPr>
                <w:rFonts w:ascii="Cambria Math" w:hAnsi="Cambria Math"/>
                <w:i/>
              </w:rPr>
            </m:ctrlPr>
          </m:accPr>
          <m:e>
            <m:r>
              <w:rPr>
                <w:rFonts w:ascii="Cambria Math" w:hAnsi="Cambria Math"/>
              </w:rPr>
              <m:t>w</m:t>
            </m:r>
          </m:e>
        </m:acc>
        <m:r>
          <w:rPr>
            <w:rFonts w:ascii="Cambria Math" w:hAnsi="Cambria Math"/>
          </w:rPr>
          <m:t>=q</m:t>
        </m:r>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hAnsi="Cambria Math"/>
          </w:rPr>
          <m:t>+</m:t>
        </m:r>
        <m:d>
          <m:dPr>
            <m:ctrlPr>
              <w:rPr>
                <w:rFonts w:ascii="Cambria Math" w:hAnsi="Cambria Math"/>
                <w:i/>
              </w:rPr>
            </m:ctrlPr>
          </m:dPr>
          <m:e>
            <m:r>
              <w:rPr>
                <w:rFonts w:ascii="Cambria Math" w:hAnsi="Cambria Math"/>
              </w:rPr>
              <m:t>1-q</m:t>
            </m:r>
          </m:e>
        </m:d>
        <m:sSub>
          <m:sSubPr>
            <m:ctrlPr>
              <w:rPr>
                <w:rFonts w:ascii="Cambria Math" w:hAnsi="Cambria Math"/>
                <w:i/>
              </w:rPr>
            </m:ctrlPr>
          </m:sSubPr>
          <m:e>
            <m:r>
              <w:rPr>
                <w:rFonts w:ascii="Cambria Math" w:hAnsi="Cambria Math"/>
              </w:rPr>
              <m:t>w</m:t>
            </m:r>
          </m:e>
          <m:sub>
            <m:r>
              <w:rPr>
                <w:rFonts w:ascii="Cambria Math" w:hAnsi="Cambria Math"/>
              </w:rPr>
              <m:t>T</m:t>
            </m:r>
          </m:sub>
        </m:sSub>
      </m:oMath>
      <w:r w:rsidR="00D36FF2" w:rsidRPr="00220A38">
        <w:rPr>
          <w:rFonts w:eastAsiaTheme="minorEastAsia"/>
        </w:rPr>
        <w:t xml:space="preserve"> </w:t>
      </w:r>
      <w:r w:rsidR="0000659F" w:rsidRPr="00220A38">
        <w:rPr>
          <w:rFonts w:eastAsiaTheme="minorEastAsia"/>
        </w:rPr>
        <w:t xml:space="preserve"> </w:t>
      </w:r>
      <w:r w:rsidR="00D36FF2" w:rsidRPr="00220A38">
        <w:rPr>
          <w:rFonts w:eastAsiaTheme="minorEastAsia"/>
        </w:rPr>
        <w:t xml:space="preserve">the average </w:t>
      </w:r>
      <w:r w:rsidR="000C7FFC" w:rsidRPr="00220A38">
        <w:rPr>
          <w:rFonts w:eastAsiaTheme="minorEastAsia"/>
        </w:rPr>
        <w:t xml:space="preserve">income in the economy. </w:t>
      </w:r>
      <w:r w:rsidR="009637D6" w:rsidRPr="00220A38">
        <w:rPr>
          <w:rFonts w:eastAsiaTheme="minorEastAsia"/>
        </w:rPr>
        <w:t>D</w:t>
      </w:r>
      <w:r w:rsidR="000C7FFC" w:rsidRPr="00220A38">
        <w:rPr>
          <w:rFonts w:eastAsiaTheme="minorEastAsia"/>
        </w:rPr>
        <w:t xml:space="preserve">evelopment </w:t>
      </w:r>
      <w:r w:rsidR="009637D6" w:rsidRPr="00220A38">
        <w:rPr>
          <w:rFonts w:eastAsiaTheme="minorEastAsia"/>
        </w:rPr>
        <w:t xml:space="preserve">of the economy </w:t>
      </w:r>
      <w:r w:rsidR="000C7FFC" w:rsidRPr="00220A38">
        <w:rPr>
          <w:rFonts w:eastAsiaTheme="minorEastAsia"/>
        </w:rPr>
        <w:t xml:space="preserve">consists of shifting q from 0 to 1 with inequality maximizing at </w:t>
      </w:r>
      <m:oMath>
        <m:r>
          <w:rPr>
            <w:rFonts w:ascii="Cambria Math" w:eastAsiaTheme="minorEastAsia" w:hAnsi="Cambria Math"/>
          </w:rPr>
          <m:t>q=</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0C7FFC" w:rsidRPr="00220A38">
        <w:rPr>
          <w:rFonts w:eastAsiaTheme="minorEastAsia"/>
        </w:rPr>
        <w:t xml:space="preserve"> (</w:t>
      </w:r>
      <w:r w:rsidR="00A00006">
        <w:rPr>
          <w:rFonts w:eastAsiaTheme="minorEastAsia"/>
        </w:rPr>
        <w:t>Anand and Kanbur, 1993</w:t>
      </w:r>
      <w:r w:rsidR="000C7FFC" w:rsidRPr="00220A38">
        <w:rPr>
          <w:rFonts w:eastAsiaTheme="minorEastAsia"/>
        </w:rPr>
        <w:t xml:space="preserve">). See figure </w:t>
      </w:r>
      <w:r w:rsidR="000F6E59" w:rsidRPr="00220A38">
        <w:rPr>
          <w:rFonts w:eastAsiaTheme="minorEastAsia"/>
        </w:rPr>
        <w:t>2.1</w:t>
      </w:r>
      <w:r w:rsidR="000C7FFC" w:rsidRPr="00220A38">
        <w:rPr>
          <w:rFonts w:eastAsiaTheme="minorEastAsia"/>
        </w:rPr>
        <w:t xml:space="preserve"> for a graphical representation. </w:t>
      </w:r>
    </w:p>
    <w:p w:rsidR="001B12F5" w:rsidRPr="00220A38" w:rsidRDefault="001B12F5" w:rsidP="001B12F5">
      <w:pPr>
        <w:spacing w:line="360" w:lineRule="auto"/>
        <w:jc w:val="both"/>
      </w:pPr>
      <w:proofErr w:type="gramStart"/>
      <w:r w:rsidRPr="00220A38">
        <w:t>Figure 2.1</w:t>
      </w:r>
      <w:r>
        <w:t>.</w:t>
      </w:r>
      <w:proofErr w:type="gramEnd"/>
      <w:r w:rsidRPr="00220A38">
        <w:t xml:space="preserve"> </w:t>
      </w:r>
      <w:r w:rsidRPr="00220A38">
        <w:rPr>
          <w:i/>
        </w:rPr>
        <w:t>Kuznets-curve</w:t>
      </w:r>
    </w:p>
    <w:p w:rsidR="001B12F5" w:rsidRDefault="001B12F5" w:rsidP="001B12F5">
      <w:pPr>
        <w:spacing w:line="360" w:lineRule="auto"/>
        <w:jc w:val="both"/>
      </w:pPr>
      <w:r w:rsidRPr="00220A38">
        <w:rPr>
          <w:rFonts w:eastAsiaTheme="minorEastAsia"/>
          <w:noProof/>
        </w:rPr>
        <w:drawing>
          <wp:inline distT="0" distB="0" distL="0" distR="0" wp14:anchorId="462F3EC3" wp14:editId="1D879995">
            <wp:extent cx="5334000" cy="23907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12F5" w:rsidRPr="00220A38" w:rsidRDefault="001B12F5" w:rsidP="00142112">
      <w:pPr>
        <w:spacing w:line="360" w:lineRule="auto"/>
        <w:jc w:val="both"/>
        <w:rPr>
          <w:rFonts w:eastAsiaTheme="minorEastAsia"/>
        </w:rPr>
      </w:pPr>
    </w:p>
    <w:p w:rsidR="00E856DC" w:rsidRDefault="0005289C" w:rsidP="00142112">
      <w:pPr>
        <w:spacing w:line="360" w:lineRule="auto"/>
        <w:jc w:val="both"/>
        <w:rPr>
          <w:rFonts w:eastAsiaTheme="minorEastAsia"/>
        </w:rPr>
      </w:pPr>
      <w:r w:rsidRPr="00220A38">
        <w:t>Lewis (1954) described</w:t>
      </w:r>
      <w:r w:rsidR="003D4781" w:rsidRPr="00220A38">
        <w:t xml:space="preserve"> a similar mechanism and a more elaborate mathematical background for the theory was later provided by Fei and Ranis (1964). Their model of intersectoral migration has later been further refined by Robinson (1976)</w:t>
      </w:r>
      <w:r w:rsidR="009521B5" w:rsidRPr="00220A38">
        <w:t xml:space="preserve">, who also provided a formal analysis of the intrasectoral </w:t>
      </w:r>
      <w:r w:rsidR="009521B5" w:rsidRPr="00220A38">
        <w:lastRenderedPageBreak/>
        <w:t>income inequality as described above</w:t>
      </w:r>
      <w:r w:rsidRPr="00220A38">
        <w:t xml:space="preserve">. </w:t>
      </w:r>
      <w:r w:rsidR="003D4781" w:rsidRPr="00220A38">
        <w:t>Anand and Kanbur (1993)</w:t>
      </w:r>
      <w:r w:rsidRPr="00220A38">
        <w:t xml:space="preserve"> emphasized</w:t>
      </w:r>
      <w:r w:rsidR="003D4781" w:rsidRPr="00220A38">
        <w:t xml:space="preserve"> the role of surplus labor </w:t>
      </w:r>
      <w:r w:rsidRPr="00220A38">
        <w:t xml:space="preserve">in the </w:t>
      </w:r>
      <w:r w:rsidR="00C63E3A">
        <w:t xml:space="preserve">model </w:t>
      </w:r>
      <w:r w:rsidR="003D4781" w:rsidRPr="00220A38">
        <w:t xml:space="preserve">and </w:t>
      </w:r>
      <w:r w:rsidRPr="00220A38">
        <w:t>showed that the</w:t>
      </w:r>
      <w:r w:rsidR="0065014D" w:rsidRPr="00220A38">
        <w:t xml:space="preserve"> assumption</w:t>
      </w:r>
      <w:r w:rsidR="003D4781" w:rsidRPr="00220A38">
        <w:t xml:space="preserve"> that laborers do not save</w:t>
      </w:r>
      <w:r w:rsidRPr="00220A38">
        <w:t xml:space="preserve"> is critical for the relationship to hold</w:t>
      </w:r>
      <w:r w:rsidR="003D4781" w:rsidRPr="00220A38">
        <w:t xml:space="preserve">. </w:t>
      </w:r>
      <w:r w:rsidR="00347A71" w:rsidRPr="00220A38">
        <w:t xml:space="preserve">This assumption was one of the main thoughts in development economics in the 1960’s and 1970’s, implying a tradeoff between growth and equity. </w:t>
      </w:r>
      <w:r w:rsidR="00B61FED" w:rsidRPr="00220A38">
        <w:t xml:space="preserve">Anand and Kanbur (1993) </w:t>
      </w:r>
      <w:r w:rsidR="006F0C76" w:rsidRPr="00220A38">
        <w:t xml:space="preserve">also </w:t>
      </w:r>
      <w:r w:rsidR="00B61FED" w:rsidRPr="00220A38">
        <w:t xml:space="preserve">found </w:t>
      </w:r>
      <w:r w:rsidR="00347A71" w:rsidRPr="00220A38">
        <w:t>that the existence of a Kuznets-</w:t>
      </w:r>
      <w:r w:rsidR="00B61FED" w:rsidRPr="00220A38">
        <w:t xml:space="preserve">curve depends on the chosen inequality parameter and on the weight of inter- and intrasectoral income inequality in measuring total inequality. </w:t>
      </w:r>
      <w:r w:rsidR="00146AEC" w:rsidRPr="00220A38">
        <w:t>To illustrate the latter result, we follow th</w:t>
      </w:r>
      <w:r w:rsidR="00B61FED" w:rsidRPr="00220A38">
        <w:t>e same d</w:t>
      </w:r>
      <w:r w:rsidR="00146AEC" w:rsidRPr="00220A38">
        <w:t>efinitions as above and assume</w:t>
      </w:r>
      <w:r w:rsidR="00B61FED" w:rsidRPr="00220A38">
        <w:t xml:space="preserve"> that inter- and intrasectoral inequality</w:t>
      </w:r>
      <w:r w:rsidR="00F015BA" w:rsidRPr="00220A38">
        <w:t xml:space="preserve"> are</w:t>
      </w:r>
      <w:r w:rsidR="00B61FED" w:rsidRPr="00220A38">
        <w:t xml:space="preserve"> independent of each other</w:t>
      </w:r>
      <w:r w:rsidR="00146AEC" w:rsidRPr="00220A38">
        <w:t>. Therefore,</w:t>
      </w:r>
      <w:r w:rsidR="00B61FED" w:rsidRPr="00220A38">
        <w:t xml:space="preserve"> total </w:t>
      </w:r>
      <w:r w:rsidR="00E856DC" w:rsidRPr="00220A38">
        <w:t xml:space="preserve">inequality in the economy becomes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B</m:t>
                </m:r>
              </m:sub>
            </m:sSub>
          </m:e>
          <m:sup>
            <m:r>
              <w:rPr>
                <w:rFonts w:ascii="Cambria Math" w:hAnsi="Cambria Math"/>
              </w:rPr>
              <m:t>2</m:t>
            </m:r>
          </m:sup>
        </m:sSup>
        <m:r>
          <w:rPr>
            <w:rFonts w:ascii="Cambria Math" w:hAnsi="Cambria Math"/>
          </w:rPr>
          <m:t>+q</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M</m:t>
                </m:r>
              </m:sub>
            </m:sSub>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1-q</m:t>
            </m:r>
          </m:e>
        </m:d>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T</m:t>
                </m:r>
              </m:sub>
            </m:sSub>
          </m:e>
          <m:sup>
            <m:r>
              <w:rPr>
                <w:rFonts w:ascii="Cambria Math" w:hAnsi="Cambria Math"/>
              </w:rPr>
              <m:t>2</m:t>
            </m:r>
          </m:sup>
        </m:sSup>
      </m:oMath>
      <w:r w:rsidR="00E856DC" w:rsidRPr="00220A38">
        <w:rPr>
          <w:rFonts w:eastAsiaTheme="minorEastAsia"/>
        </w:rPr>
        <w:t xml:space="preserve"> , where intersectoral inequality is   </w:t>
      </w:r>
      <m:oMath>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B</m:t>
                </m:r>
              </m:sub>
            </m:sSub>
          </m:e>
          <m:sup>
            <m:r>
              <w:rPr>
                <w:rFonts w:ascii="Cambria Math" w:hAnsi="Cambria Math"/>
              </w:rPr>
              <m:t>2</m:t>
            </m:r>
          </m:sup>
        </m:sSup>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1-q</m:t>
            </m:r>
          </m:e>
        </m:d>
        <m:sSup>
          <m:sSupPr>
            <m:ctrlPr>
              <w:rPr>
                <w:rFonts w:ascii="Cambria Math" w:hAnsi="Cambria Math"/>
                <w:i/>
              </w:rPr>
            </m:ctrlPr>
          </m:sSupPr>
          <m:e>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T</m:t>
                </m:r>
              </m:sub>
            </m:sSub>
            <m:r>
              <w:rPr>
                <w:rFonts w:ascii="Cambria Math" w:hAnsi="Cambria Math"/>
              </w:rPr>
              <m:t>)</m:t>
            </m:r>
          </m:e>
          <m:sup>
            <m:r>
              <w:rPr>
                <w:rFonts w:ascii="Cambria Math" w:hAnsi="Cambria Math"/>
              </w:rPr>
              <m:t>2</m:t>
            </m:r>
          </m:sup>
        </m:sSup>
      </m:oMath>
      <w:r w:rsidR="00E856DC" w:rsidRPr="00220A38">
        <w:rPr>
          <w:rFonts w:eastAsiaTheme="minorEastAsia"/>
        </w:rPr>
        <w:t xml:space="preserve"> and average income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i</m:t>
            </m:r>
          </m:sub>
        </m:sSub>
      </m:oMath>
      <w:r w:rsidR="00E856DC" w:rsidRPr="00220A38">
        <w:rPr>
          <w:rFonts w:eastAsiaTheme="minorEastAsia"/>
        </w:rPr>
        <w:t xml:space="preserve">  and intrasector inequality </w:t>
      </w:r>
      <m:oMath>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i</m:t>
                </m:r>
              </m:sub>
            </m:sSub>
          </m:e>
          <m:sup>
            <m:r>
              <w:rPr>
                <w:rFonts w:ascii="Cambria Math" w:hAnsi="Cambria Math"/>
              </w:rPr>
              <m:t>2</m:t>
            </m:r>
          </m:sup>
        </m:sSup>
      </m:oMath>
      <w:r w:rsidR="00E856DC" w:rsidRPr="00220A38">
        <w:rPr>
          <w:rFonts w:eastAsiaTheme="minorEastAsia"/>
        </w:rPr>
        <w:t xml:space="preserve"> is measured for each sector </w:t>
      </w:r>
      <m:oMath>
        <m:r>
          <w:rPr>
            <w:rFonts w:ascii="Cambria Math" w:eastAsiaTheme="minorEastAsia" w:hAnsi="Cambria Math"/>
          </w:rPr>
          <m:t>i</m:t>
        </m:r>
      </m:oMath>
      <w:r w:rsidR="00E856DC" w:rsidRPr="00220A38">
        <w:rPr>
          <w:rFonts w:eastAsiaTheme="minorEastAsia"/>
        </w:rPr>
        <w:t xml:space="preserve"> separately (</w:t>
      </w:r>
      <m:oMath>
        <m:r>
          <w:rPr>
            <w:rFonts w:ascii="Cambria Math" w:eastAsiaTheme="minorEastAsia" w:hAnsi="Cambria Math"/>
          </w:rPr>
          <m:t>i=M,T</m:t>
        </m:r>
      </m:oMath>
      <w:r w:rsidR="00E856DC" w:rsidRPr="00220A38">
        <w:rPr>
          <w:rFonts w:eastAsiaTheme="minorEastAsia"/>
        </w:rPr>
        <w:t xml:space="preserve">). The sign of the derivative </w:t>
      </w:r>
      <m:oMath>
        <m:f>
          <m:fPr>
            <m:ctrlPr>
              <w:rPr>
                <w:rFonts w:ascii="Cambria Math" w:hAnsi="Cambria Math"/>
                <w:i/>
              </w:rPr>
            </m:ctrlPr>
          </m:fPr>
          <m:num>
            <m:r>
              <w:rPr>
                <w:rFonts w:ascii="Cambria Math" w:eastAsiaTheme="minorEastAsia" w:hAnsi="Cambria Math"/>
              </w:rPr>
              <m:t>δ</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eastAsiaTheme="minorEastAsia" w:hAnsi="Cambria Math"/>
                <w:i/>
              </w:rPr>
            </m:ctrlPr>
          </m:num>
          <m:den>
            <m:r>
              <w:rPr>
                <w:rFonts w:ascii="Cambria Math" w:eastAsiaTheme="minorEastAsia" w:hAnsi="Cambria Math"/>
              </w:rPr>
              <m:t>δq</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1-2q</m:t>
            </m:r>
          </m:e>
        </m:d>
        <m:sSup>
          <m:sSupPr>
            <m:ctrlPr>
              <w:rPr>
                <w:rFonts w:ascii="Cambria Math" w:hAnsi="Cambria Math"/>
                <w:i/>
              </w:rPr>
            </m:ctrlPr>
          </m:sSupPr>
          <m:e>
            <m:d>
              <m:dPr>
                <m:ctrlPr>
                  <w:rPr>
                    <w:rFonts w:ascii="Cambria Math" w:eastAsiaTheme="minorEastAsia"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T</m:t>
                    </m:r>
                  </m:sub>
                </m:sSub>
                <m:ctrlPr>
                  <w:rPr>
                    <w:rFonts w:ascii="Cambria Math" w:hAnsi="Cambria Math"/>
                    <w:i/>
                  </w:rPr>
                </m:ctrlPr>
              </m:e>
            </m:d>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T</m:t>
                </m:r>
              </m:sub>
            </m:sSub>
          </m:e>
          <m:sup>
            <m:r>
              <w:rPr>
                <w:rFonts w:ascii="Cambria Math" w:hAnsi="Cambria Math"/>
              </w:rPr>
              <m:t>2</m:t>
            </m:r>
          </m:sup>
        </m:sSup>
        <m:r>
          <w:rPr>
            <w:rFonts w:ascii="Cambria Math" w:eastAsiaTheme="minorEastAsia" w:hAnsi="Cambria Math"/>
          </w:rPr>
          <m:t>)</m:t>
        </m:r>
      </m:oMath>
      <w:r w:rsidR="00E856DC" w:rsidRPr="00220A38">
        <w:rPr>
          <w:rFonts w:eastAsiaTheme="minorEastAsia"/>
        </w:rPr>
        <w:t xml:space="preserve">  then depends on  </w:t>
      </w:r>
      <m:oMath>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&gt;0</m:t>
        </m:r>
      </m:oMath>
      <w:r w:rsidR="00E856DC" w:rsidRPr="00220A38">
        <w:rPr>
          <w:rFonts w:eastAsiaTheme="minorEastAsia"/>
        </w:rPr>
        <w:t xml:space="preserve"> and on  </w:t>
      </w:r>
      <m:oMath>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T</m:t>
                </m:r>
              </m:sub>
            </m:sSub>
          </m:e>
          <m:sup>
            <m:r>
              <w:rPr>
                <w:rFonts w:ascii="Cambria Math" w:hAnsi="Cambria Math"/>
              </w:rPr>
              <m:t>2</m:t>
            </m:r>
          </m:sup>
        </m:sSup>
      </m:oMath>
      <w:r w:rsidR="00E856DC" w:rsidRPr="00220A38">
        <w:rPr>
          <w:rFonts w:eastAsiaTheme="minorEastAsia"/>
        </w:rPr>
        <w:t xml:space="preserve"> . The development process then only shows a Kuznets-curve </w:t>
      </w:r>
      <w:proofErr w:type="gramStart"/>
      <w:r w:rsidR="00E856DC" w:rsidRPr="00220A38">
        <w:rPr>
          <w:rFonts w:eastAsiaTheme="minorEastAsia"/>
        </w:rPr>
        <w:t xml:space="preserve">if </w:t>
      </w:r>
      <w:proofErr w:type="gramEnd"/>
      <m:oMath>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T</m:t>
                </m:r>
              </m:sub>
            </m:sSub>
          </m:e>
          <m:sup>
            <m:r>
              <w:rPr>
                <w:rFonts w:ascii="Cambria Math" w:hAnsi="Cambria Math"/>
              </w:rPr>
              <m:t>2</m:t>
            </m:r>
          </m:sup>
        </m:sSup>
        <m:r>
          <w:rPr>
            <w:rFonts w:ascii="Cambria Math" w:hAnsi="Cambria Math"/>
          </w:rPr>
          <m:t>&lt;</m:t>
        </m:r>
        <m:sSup>
          <m:sSupPr>
            <m:ctrlPr>
              <w:rPr>
                <w:rFonts w:ascii="Cambria Math" w:hAnsi="Cambria Math"/>
                <w:i/>
              </w:rPr>
            </m:ctrlPr>
          </m:sSupPr>
          <m:e>
            <m:d>
              <m:dPr>
                <m:ctrlPr>
                  <w:rPr>
                    <w:rFonts w:ascii="Cambria Math" w:eastAsiaTheme="minorEastAsia"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T</m:t>
                    </m:r>
                  </m:sub>
                </m:sSub>
                <m:ctrlPr>
                  <w:rPr>
                    <w:rFonts w:ascii="Cambria Math" w:hAnsi="Cambria Math"/>
                    <w:i/>
                  </w:rPr>
                </m:ctrlPr>
              </m:e>
            </m:d>
          </m:e>
          <m:sup>
            <m:r>
              <w:rPr>
                <w:rFonts w:ascii="Cambria Math" w:hAnsi="Cambria Math"/>
              </w:rPr>
              <m:t>2</m:t>
            </m:r>
          </m:sup>
        </m:sSup>
      </m:oMath>
      <w:r w:rsidR="001B12F5">
        <w:rPr>
          <w:rFonts w:eastAsiaTheme="minorEastAsia"/>
        </w:rPr>
        <w:t xml:space="preserve">. </w:t>
      </w:r>
      <w:proofErr w:type="gramStart"/>
      <w:r w:rsidR="00E856DC" w:rsidRPr="00220A38">
        <w:rPr>
          <w:rFonts w:eastAsiaTheme="minorEastAsia"/>
        </w:rPr>
        <w:t xml:space="preserve">With </w:t>
      </w:r>
      <m:oMath>
        <m:sSup>
          <m:sSupPr>
            <m:ctrlPr>
              <w:rPr>
                <w:rFonts w:ascii="Cambria Math" w:hAnsi="Cambria Math"/>
                <w:i/>
              </w:rPr>
            </m:ctrlPr>
          </m:sSupPr>
          <m:e>
            <w:proofErr w:type="gramEnd"/>
            <m:sSub>
              <m:sSubPr>
                <m:ctrlPr>
                  <w:rPr>
                    <w:rFonts w:ascii="Cambria Math" w:hAnsi="Cambria Math"/>
                    <w:i/>
                  </w:rPr>
                </m:ctrlPr>
              </m:sSubPr>
              <m:e>
                <m:r>
                  <w:rPr>
                    <w:rFonts w:ascii="Cambria Math" w:hAnsi="Cambria Math"/>
                  </w:rPr>
                  <m:t>σ</m:t>
                </m:r>
              </m:e>
              <m:sub>
                <m:r>
                  <w:rPr>
                    <w:rFonts w:ascii="Cambria Math" w:hAnsi="Cambria Math"/>
                  </w:rPr>
                  <m:t>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T</m:t>
                </m:r>
              </m:sub>
            </m:sSub>
          </m:e>
          <m:sup>
            <m:r>
              <w:rPr>
                <w:rFonts w:ascii="Cambria Math" w:hAnsi="Cambria Math"/>
              </w:rPr>
              <m:t>2</m:t>
            </m:r>
          </m:sup>
        </m:sSup>
        <m:r>
          <w:rPr>
            <w:rFonts w:ascii="Cambria Math" w:hAnsi="Cambria Math"/>
          </w:rPr>
          <m:t>&gt;</m:t>
        </m:r>
        <m:sSup>
          <m:sSupPr>
            <m:ctrlPr>
              <w:rPr>
                <w:rFonts w:ascii="Cambria Math" w:hAnsi="Cambria Math"/>
                <w:i/>
              </w:rPr>
            </m:ctrlPr>
          </m:sSupPr>
          <m:e>
            <m:d>
              <m:dPr>
                <m:ctrlPr>
                  <w:rPr>
                    <w:rFonts w:ascii="Cambria Math" w:eastAsiaTheme="minorEastAsia"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T</m:t>
                    </m:r>
                  </m:sub>
                </m:sSub>
                <m:ctrlPr>
                  <w:rPr>
                    <w:rFonts w:ascii="Cambria Math" w:hAnsi="Cambria Math"/>
                    <w:i/>
                  </w:rPr>
                </m:ctrlPr>
              </m:e>
            </m:d>
          </m:e>
          <m:sup>
            <m:r>
              <w:rPr>
                <w:rFonts w:ascii="Cambria Math" w:hAnsi="Cambria Math"/>
              </w:rPr>
              <m:t>2</m:t>
            </m:r>
          </m:sup>
        </m:sSup>
      </m:oMath>
      <w:r w:rsidR="00E856DC" w:rsidRPr="00220A38">
        <w:rPr>
          <w:rFonts w:eastAsiaTheme="minorEastAsia"/>
        </w:rPr>
        <w:t xml:space="preserve"> , income inequality will only be growing during the development process instead of leveling and then falling (Hellier and Lambrecht, 2012).</w:t>
      </w:r>
    </w:p>
    <w:p w:rsidR="00C63E3A" w:rsidRPr="00220A38" w:rsidRDefault="007006D7" w:rsidP="00142112">
      <w:pPr>
        <w:spacing w:line="360" w:lineRule="auto"/>
        <w:jc w:val="both"/>
      </w:pPr>
      <w:r w:rsidRPr="00220A38">
        <w:rPr>
          <w:rFonts w:eastAsiaTheme="minorEastAsia"/>
        </w:rPr>
        <w:t xml:space="preserve">A clear shortcoming of the simple model described above and </w:t>
      </w:r>
      <w:r w:rsidR="005B5A7D" w:rsidRPr="00220A38">
        <w:rPr>
          <w:rFonts w:eastAsiaTheme="minorEastAsia"/>
        </w:rPr>
        <w:t xml:space="preserve">also of </w:t>
      </w:r>
      <w:r w:rsidRPr="00220A38">
        <w:rPr>
          <w:rFonts w:eastAsiaTheme="minorEastAsia"/>
        </w:rPr>
        <w:t>the more elaborate ones by Robinson (1976) and Anand and Kanbur (1993) is that the levels of productivity in the modern and traditional sectors are exogenous</w:t>
      </w:r>
      <w:r w:rsidR="00C63E3A">
        <w:rPr>
          <w:rFonts w:eastAsiaTheme="minorEastAsia"/>
        </w:rPr>
        <w:t xml:space="preserve"> and that the model assumes a closed economy with just two sectors</w:t>
      </w:r>
      <w:r w:rsidRPr="00220A38">
        <w:rPr>
          <w:rFonts w:eastAsiaTheme="minorEastAsia"/>
        </w:rPr>
        <w:t xml:space="preserve">. This </w:t>
      </w:r>
      <w:r w:rsidR="00C63E3A">
        <w:rPr>
          <w:rFonts w:eastAsiaTheme="minorEastAsia"/>
        </w:rPr>
        <w:t xml:space="preserve">setup </w:t>
      </w:r>
      <w:r w:rsidRPr="00220A38">
        <w:rPr>
          <w:rFonts w:eastAsiaTheme="minorEastAsia"/>
        </w:rPr>
        <w:t>also implies that g</w:t>
      </w:r>
      <w:r w:rsidR="008830B9" w:rsidRPr="00220A38">
        <w:rPr>
          <w:rFonts w:eastAsiaTheme="minorEastAsia"/>
        </w:rPr>
        <w:t xml:space="preserve">rowth itself is exogenous. There is also no human capital accumulation to result in rising wages (Deininger and Squire, 1998). </w:t>
      </w:r>
      <w:r w:rsidR="00EE798D" w:rsidRPr="00220A38">
        <w:t xml:space="preserve">Recently, </w:t>
      </w:r>
      <w:r w:rsidR="008830B9" w:rsidRPr="00220A38">
        <w:t>Glomm</w:t>
      </w:r>
      <w:r w:rsidR="00CF1DAF" w:rsidRPr="00220A38">
        <w:t xml:space="preserve"> and Ravikumar (1998</w:t>
      </w:r>
      <w:r w:rsidR="008830B9" w:rsidRPr="00220A38">
        <w:t>) constructed a model capable of generating the Kuznets curve that does include human capital accumulation. Glomm (</w:t>
      </w:r>
      <w:r w:rsidR="00EE798D" w:rsidRPr="00220A38">
        <w:t xml:space="preserve">1997) and Chusseau and Hellier (2012) </w:t>
      </w:r>
      <w:r w:rsidR="005B5A7D" w:rsidRPr="00220A38">
        <w:t xml:space="preserve"> have also </w:t>
      </w:r>
      <w:r w:rsidR="0005289C" w:rsidRPr="00220A38">
        <w:t>constructed</w:t>
      </w:r>
      <w:r w:rsidR="00EE798D" w:rsidRPr="00220A38">
        <w:t xml:space="preserve"> new micro</w:t>
      </w:r>
      <w:r w:rsidR="006F0C76" w:rsidRPr="00220A38">
        <w:t>-</w:t>
      </w:r>
      <w:r w:rsidR="00EE798D" w:rsidRPr="00220A38">
        <w:t xml:space="preserve">founded models </w:t>
      </w:r>
      <w:r w:rsidR="006F0C76" w:rsidRPr="00220A38">
        <w:t>which show</w:t>
      </w:r>
      <w:r w:rsidR="00EE798D" w:rsidRPr="00220A38">
        <w:t xml:space="preserve"> that in a general equilibrium analysis, one can generate </w:t>
      </w:r>
      <w:r w:rsidR="00650C58" w:rsidRPr="00220A38">
        <w:t xml:space="preserve">either </w:t>
      </w:r>
      <w:r w:rsidR="00EE798D" w:rsidRPr="00220A38">
        <w:t>a Kuznets-curve in the development process</w:t>
      </w:r>
      <w:r w:rsidR="00650C58" w:rsidRPr="00220A38">
        <w:t>,</w:t>
      </w:r>
      <w:r w:rsidR="00EE798D" w:rsidRPr="00220A38">
        <w:t xml:space="preserve"> or just an increase or decrease in inequality levels, depending on the model parameters. </w:t>
      </w:r>
    </w:p>
    <w:p w:rsidR="00932E79" w:rsidRPr="00220A38" w:rsidRDefault="00932E79" w:rsidP="00142112">
      <w:pPr>
        <w:pStyle w:val="ListParagraph"/>
        <w:numPr>
          <w:ilvl w:val="1"/>
          <w:numId w:val="28"/>
        </w:numPr>
        <w:spacing w:line="360" w:lineRule="auto"/>
        <w:jc w:val="both"/>
        <w:rPr>
          <w:b/>
        </w:rPr>
      </w:pPr>
      <w:r w:rsidRPr="00220A38">
        <w:rPr>
          <w:b/>
        </w:rPr>
        <w:t xml:space="preserve">Empirical </w:t>
      </w:r>
      <w:r w:rsidR="000716AC" w:rsidRPr="00220A38">
        <w:rPr>
          <w:b/>
        </w:rPr>
        <w:t>R</w:t>
      </w:r>
      <w:r w:rsidR="004705F5">
        <w:rPr>
          <w:b/>
        </w:rPr>
        <w:t>esults</w:t>
      </w:r>
    </w:p>
    <w:p w:rsidR="00F45A8C" w:rsidRPr="00220A38" w:rsidRDefault="007F1C6A" w:rsidP="00142112">
      <w:pPr>
        <w:spacing w:line="360" w:lineRule="auto"/>
        <w:jc w:val="both"/>
      </w:pPr>
      <w:r w:rsidRPr="00220A38">
        <w:t xml:space="preserve">Kuznets’ paper and subsequent theoretical work as described in </w:t>
      </w:r>
      <w:r w:rsidR="00E23768" w:rsidRPr="00220A38">
        <w:t xml:space="preserve">chapter </w:t>
      </w:r>
      <w:r w:rsidRPr="00220A38">
        <w:t xml:space="preserve">2.1 has resulted in a vast empirical literature trying to capture </w:t>
      </w:r>
      <w:r w:rsidR="0005289C" w:rsidRPr="00220A38">
        <w:t>the</w:t>
      </w:r>
      <w:r w:rsidRPr="00220A38">
        <w:t xml:space="preserve"> suggested inverted U in the available data. Most work was motivated by the fear that the poor might not benefit from economic growth (Deininger and Squire, 1998). So far, e</w:t>
      </w:r>
      <w:r w:rsidR="00F45A8C" w:rsidRPr="00220A38">
        <w:t>mpiric</w:t>
      </w:r>
      <w:r w:rsidR="00D640A3" w:rsidRPr="00220A38">
        <w:t>al</w:t>
      </w:r>
      <w:r w:rsidR="00F45A8C" w:rsidRPr="00220A38">
        <w:t xml:space="preserve"> work</w:t>
      </w:r>
      <w:r w:rsidR="00932E79" w:rsidRPr="00220A38">
        <w:t xml:space="preserve"> on the Kuznets</w:t>
      </w:r>
      <w:r w:rsidR="00F45A8C" w:rsidRPr="00220A38">
        <w:t xml:space="preserve"> curve has found mixed results. The most common specification to check for the existence of a Kuznets curve relationship</w:t>
      </w:r>
      <w:r w:rsidR="00CF3E81" w:rsidRPr="00220A38">
        <w:t xml:space="preserve"> in the early years was limited to a cross-section of countries due </w:t>
      </w:r>
      <w:r w:rsidR="000A5E97" w:rsidRPr="00220A38">
        <w:t>to the lack of observations over time</w:t>
      </w:r>
      <w:r w:rsidR="00CF3E81" w:rsidRPr="00220A38">
        <w:t xml:space="preserve">. </w:t>
      </w:r>
      <w:r w:rsidR="00B57EFC" w:rsidRPr="00220A38">
        <w:t xml:space="preserve"> </w:t>
      </w:r>
      <w:r w:rsidR="005B5A7D" w:rsidRPr="00220A38">
        <w:t xml:space="preserve">This entailed estimation of roughly the </w:t>
      </w:r>
      <w:r w:rsidR="00F45A8C" w:rsidRPr="00220A38">
        <w:t>following equation for each country:</w:t>
      </w:r>
    </w:p>
    <w:p w:rsidR="00A31E5B" w:rsidRPr="00220A38" w:rsidRDefault="00C2640C" w:rsidP="00142112">
      <w:pPr>
        <w:spacing w:line="360" w:lineRule="auto"/>
        <w:jc w:val="both"/>
        <w:rPr>
          <w:rFonts w:eastAsiaTheme="minorEastAsia"/>
        </w:rPr>
      </w:pPr>
      <w:r w:rsidRPr="00220A38">
        <w:rPr>
          <w:rFonts w:eastAsiaTheme="minorEastAsia"/>
        </w:rPr>
        <w:t>(2.1)</w:t>
      </w:r>
      <w:r w:rsidRPr="00220A38">
        <w:rPr>
          <w:rFonts w:eastAsiaTheme="minorEastAsia"/>
        </w:rPr>
        <w:tab/>
      </w:r>
      <w:r w:rsidRPr="00220A38">
        <w:rPr>
          <w:rFonts w:eastAsiaTheme="minorEastAsia"/>
        </w:rPr>
        <w:tab/>
      </w:r>
      <w:r w:rsidRPr="00220A38">
        <w:rPr>
          <w:rFonts w:eastAsiaTheme="minorEastAsia"/>
        </w:rPr>
        <w:tab/>
      </w:r>
      <w:r w:rsidRPr="00220A38">
        <w:rPr>
          <w:rFonts w:eastAsiaTheme="minorEastAsia"/>
        </w:rPr>
        <w:tab/>
        <w:t xml:space="preserve"> </w:t>
      </w:r>
      <m:oMath>
        <m:sSub>
          <m:sSubPr>
            <m:ctrlPr>
              <w:rPr>
                <w:rFonts w:ascii="Cambria Math" w:hAnsi="Cambria Math"/>
                <w:i/>
              </w:rPr>
            </m:ctrlPr>
          </m:sSubPr>
          <m:e>
            <m:r>
              <w:rPr>
                <w:rFonts w:ascii="Cambria Math" w:hAnsi="Cambria Math"/>
              </w:rPr>
              <m:t>Ineq</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γ</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Sup>
          <m:sSubSupPr>
            <m:ctrlPr>
              <w:rPr>
                <w:rFonts w:ascii="Cambria Math" w:hAnsi="Cambria Math"/>
                <w:i/>
              </w:rPr>
            </m:ctrlPr>
          </m:sSubSupPr>
          <m:e>
            <m:r>
              <w:rPr>
                <w:rFonts w:ascii="Cambria Math" w:hAnsi="Cambria Math"/>
              </w:rPr>
              <m:t>γ</m:t>
            </m:r>
          </m:e>
          <m:sub>
            <m:r>
              <w:rPr>
                <w:rFonts w:ascii="Cambria Math" w:hAnsi="Cambria Math"/>
              </w:rPr>
              <m:t>c</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c</m:t>
            </m:r>
          </m:sub>
        </m:sSub>
      </m:oMath>
      <w:r w:rsidR="00FA5196" w:rsidRPr="00220A38">
        <w:rPr>
          <w:rFonts w:eastAsiaTheme="minorEastAsia"/>
        </w:rPr>
        <w:t xml:space="preserve"> ,</w:t>
      </w:r>
    </w:p>
    <w:p w:rsidR="00B76670" w:rsidRPr="00220A38" w:rsidRDefault="00A31E5B" w:rsidP="00142112">
      <w:pPr>
        <w:spacing w:line="360" w:lineRule="auto"/>
        <w:jc w:val="both"/>
        <w:rPr>
          <w:rFonts w:eastAsiaTheme="minorEastAsia"/>
        </w:rPr>
      </w:pPr>
      <w:proofErr w:type="gramStart"/>
      <w:r w:rsidRPr="00220A38">
        <w:rPr>
          <w:rFonts w:eastAsiaTheme="minorEastAsia"/>
        </w:rPr>
        <w:lastRenderedPageBreak/>
        <w:t>where</w:t>
      </w:r>
      <w:proofErr w:type="gramEnd"/>
      <w:r w:rsidRPr="00220A38">
        <w:rPr>
          <w:rFonts w:eastAsiaTheme="minorEastAsia"/>
        </w:rPr>
        <w:t xml:space="preserve"> </w:t>
      </w:r>
      <m:oMath>
        <m:sSub>
          <m:sSubPr>
            <m:ctrlPr>
              <w:rPr>
                <w:rFonts w:ascii="Cambria Math" w:hAnsi="Cambria Math"/>
                <w:i/>
              </w:rPr>
            </m:ctrlPr>
          </m:sSubPr>
          <m:e>
            <m:r>
              <w:rPr>
                <w:rFonts w:ascii="Cambria Math" w:hAnsi="Cambria Math"/>
              </w:rPr>
              <m:t>Ineq</m:t>
            </m:r>
          </m:e>
          <m:sub>
            <m:r>
              <w:rPr>
                <w:rFonts w:ascii="Cambria Math" w:hAnsi="Cambria Math"/>
              </w:rPr>
              <m:t>c</m:t>
            </m:r>
          </m:sub>
        </m:sSub>
      </m:oMath>
      <w:r w:rsidRPr="00220A38">
        <w:rPr>
          <w:rFonts w:eastAsiaTheme="minorEastAsia"/>
        </w:rPr>
        <w:t xml:space="preserve"> is an inequality measure</w:t>
      </w:r>
      <w:r w:rsidR="00B76670" w:rsidRPr="00220A38">
        <w:rPr>
          <w:rFonts w:eastAsiaTheme="minorEastAsia"/>
        </w:rPr>
        <w:t xml:space="preserve"> (usually the </w:t>
      </w:r>
      <w:r w:rsidR="0039413B">
        <w:rPr>
          <w:rFonts w:eastAsiaTheme="minorEastAsia"/>
        </w:rPr>
        <w:t>Gini</w:t>
      </w:r>
      <w:r w:rsidR="00B76670" w:rsidRPr="00220A38">
        <w:rPr>
          <w:rFonts w:eastAsiaTheme="minorEastAsia"/>
        </w:rPr>
        <w:t>-coefficient)</w:t>
      </w:r>
      <w:r w:rsidRPr="00220A38">
        <w:rPr>
          <w:rFonts w:eastAsiaTheme="minorEastAsia"/>
        </w:rPr>
        <w:t xml:space="preserve"> and </w:t>
      </w:r>
      <m:oMath>
        <m:sSub>
          <m:sSubPr>
            <m:ctrlPr>
              <w:rPr>
                <w:rFonts w:ascii="Cambria Math" w:hAnsi="Cambria Math"/>
                <w:i/>
              </w:rPr>
            </m:ctrlPr>
          </m:sSubPr>
          <m:e>
            <m:r>
              <w:rPr>
                <w:rFonts w:ascii="Cambria Math" w:hAnsi="Cambria Math"/>
              </w:rPr>
              <m:t>γ</m:t>
            </m:r>
          </m:e>
          <m:sub>
            <m:r>
              <w:rPr>
                <w:rFonts w:ascii="Cambria Math" w:hAnsi="Cambria Math"/>
              </w:rPr>
              <m:t>c</m:t>
            </m:r>
          </m:sub>
        </m:sSub>
      </m:oMath>
      <w:r w:rsidRPr="00220A38">
        <w:rPr>
          <w:rFonts w:eastAsiaTheme="minorEastAsia"/>
        </w:rPr>
        <w:t xml:space="preserve"> is an income measure </w:t>
      </w:r>
      <w:r w:rsidR="00B76670" w:rsidRPr="00220A38">
        <w:rPr>
          <w:rFonts w:eastAsiaTheme="minorEastAsia"/>
        </w:rPr>
        <w:t>(usually GDP per capita</w:t>
      </w:r>
      <w:r w:rsidR="0028436B" w:rsidRPr="00220A38">
        <w:rPr>
          <w:rFonts w:eastAsiaTheme="minorEastAsia"/>
        </w:rPr>
        <w:t xml:space="preserve"> or its natural log</w:t>
      </w:r>
      <w:r w:rsidR="00630344" w:rsidRPr="00220A38">
        <w:rPr>
          <w:rFonts w:eastAsiaTheme="minorEastAsia"/>
        </w:rPr>
        <w:t>).</w:t>
      </w:r>
      <w:r w:rsidR="00CF1DAF" w:rsidRPr="00220A38">
        <w:rPr>
          <w:rFonts w:eastAsiaTheme="minorEastAsia"/>
        </w:rPr>
        <w:t xml:space="preserve"> </w:t>
      </w:r>
      <w:r w:rsidRPr="00220A38">
        <w:rPr>
          <w:rFonts w:eastAsiaTheme="minorEastAsia"/>
          <w:i/>
        </w:rPr>
        <w:t xml:space="preserve"> </w:t>
      </w:r>
      <m:oMath>
        <m:sSub>
          <m:sSubPr>
            <m:ctrlPr>
              <w:rPr>
                <w:rFonts w:ascii="Cambria Math" w:hAnsi="Cambria Math"/>
                <w:i/>
              </w:rPr>
            </m:ctrlPr>
          </m:sSubPr>
          <m:e>
            <m:r>
              <w:rPr>
                <w:rFonts w:ascii="Cambria Math" w:hAnsi="Cambria Math"/>
              </w:rPr>
              <m:t>X</m:t>
            </m:r>
          </m:e>
          <m:sub>
            <m:r>
              <w:rPr>
                <w:rFonts w:ascii="Cambria Math" w:hAnsi="Cambria Math"/>
              </w:rPr>
              <m:t>c</m:t>
            </m:r>
          </m:sub>
        </m:sSub>
      </m:oMath>
      <w:r w:rsidR="000A5E97" w:rsidRPr="00220A38">
        <w:rPr>
          <w:rFonts w:eastAsiaTheme="minorEastAsia"/>
        </w:rPr>
        <w:t xml:space="preserve"> </w:t>
      </w:r>
      <w:r w:rsidRPr="00220A38">
        <w:rPr>
          <w:rFonts w:eastAsiaTheme="minorEastAsia"/>
          <w:i/>
        </w:rPr>
        <w:t xml:space="preserve"> </w:t>
      </w:r>
      <w:proofErr w:type="gramStart"/>
      <w:r w:rsidR="000F551D">
        <w:rPr>
          <w:rFonts w:eastAsiaTheme="minorEastAsia"/>
          <w:i/>
        </w:rPr>
        <w:t>u</w:t>
      </w:r>
      <w:r w:rsidR="000F551D" w:rsidRPr="00220A38">
        <w:rPr>
          <w:rFonts w:eastAsiaTheme="minorEastAsia"/>
        </w:rPr>
        <w:t>sually</w:t>
      </w:r>
      <w:proofErr w:type="gramEnd"/>
      <w:r w:rsidRPr="00220A38">
        <w:rPr>
          <w:rFonts w:eastAsiaTheme="minorEastAsia"/>
        </w:rPr>
        <w:t xml:space="preserve"> stands for a matrix of several control variables that </w:t>
      </w:r>
      <w:r w:rsidR="0050484B" w:rsidRPr="00220A38">
        <w:rPr>
          <w:rFonts w:eastAsiaTheme="minorEastAsia"/>
        </w:rPr>
        <w:t xml:space="preserve">are also assumed </w:t>
      </w:r>
      <w:r w:rsidR="006F0C76" w:rsidRPr="00220A38">
        <w:rPr>
          <w:rFonts w:eastAsiaTheme="minorEastAsia"/>
        </w:rPr>
        <w:t>to be</w:t>
      </w:r>
      <w:r w:rsidR="0050484B" w:rsidRPr="00220A38">
        <w:rPr>
          <w:rFonts w:eastAsiaTheme="minorEastAsia"/>
        </w:rPr>
        <w:t xml:space="preserve"> determinants of</w:t>
      </w:r>
      <w:r w:rsidRPr="00220A38">
        <w:rPr>
          <w:rFonts w:eastAsiaTheme="minorEastAsia"/>
        </w:rPr>
        <w:t xml:space="preserve"> </w:t>
      </w:r>
      <m:oMath>
        <m:sSub>
          <m:sSubPr>
            <m:ctrlPr>
              <w:rPr>
                <w:rFonts w:ascii="Cambria Math" w:hAnsi="Cambria Math"/>
                <w:i/>
              </w:rPr>
            </m:ctrlPr>
          </m:sSubPr>
          <m:e>
            <m:r>
              <w:rPr>
                <w:rFonts w:ascii="Cambria Math" w:hAnsi="Cambria Math"/>
              </w:rPr>
              <m:t>Ineq</m:t>
            </m:r>
          </m:e>
          <m:sub>
            <m:r>
              <w:rPr>
                <w:rFonts w:ascii="Cambria Math" w:hAnsi="Cambria Math"/>
              </w:rPr>
              <m:t>c</m:t>
            </m:r>
          </m:sub>
        </m:sSub>
      </m:oMath>
      <w:r w:rsidR="00B76670" w:rsidRPr="00220A38">
        <w:rPr>
          <w:rFonts w:eastAsiaTheme="minorEastAsia"/>
        </w:rPr>
        <w:t xml:space="preserve"> </w:t>
      </w:r>
      <w:r w:rsidR="0028436B" w:rsidRPr="00220A38">
        <w:rPr>
          <w:rFonts w:eastAsiaTheme="minorEastAsia"/>
        </w:rPr>
        <w:t>, such as educational attainment and population growth</w:t>
      </w:r>
      <w:r w:rsidR="00B76670" w:rsidRPr="00220A38">
        <w:rPr>
          <w:rFonts w:eastAsiaTheme="minorEastAsia"/>
        </w:rPr>
        <w:t xml:space="preserve">. </w:t>
      </w:r>
      <w:r w:rsidR="00630344" w:rsidRPr="00220A38">
        <w:rPr>
          <w:rFonts w:eastAsiaTheme="minorEastAsia"/>
        </w:rPr>
        <w:t>Recently, new datasets have become available</w:t>
      </w:r>
      <w:r w:rsidR="006F0C76" w:rsidRPr="00220A38">
        <w:rPr>
          <w:rFonts w:eastAsiaTheme="minorEastAsia"/>
        </w:rPr>
        <w:t>,</w:t>
      </w:r>
      <w:r w:rsidR="00630344" w:rsidRPr="00220A38">
        <w:rPr>
          <w:rFonts w:eastAsiaTheme="minorEastAsia"/>
        </w:rPr>
        <w:t xml:space="preserve"> allowing </w:t>
      </w:r>
      <w:r w:rsidR="006F0C76" w:rsidRPr="00220A38">
        <w:rPr>
          <w:rFonts w:eastAsiaTheme="minorEastAsia"/>
        </w:rPr>
        <w:t>the combination of</w:t>
      </w:r>
      <w:r w:rsidR="000A5E97" w:rsidRPr="00220A38">
        <w:rPr>
          <w:rFonts w:eastAsiaTheme="minorEastAsia"/>
        </w:rPr>
        <w:t xml:space="preserve"> the cross-section of count</w:t>
      </w:r>
      <w:r w:rsidR="00630344" w:rsidRPr="00220A38">
        <w:rPr>
          <w:rFonts w:eastAsiaTheme="minorEastAsia"/>
        </w:rPr>
        <w:t>ries with multiple observation</w:t>
      </w:r>
      <w:r w:rsidR="006F0C76" w:rsidRPr="00220A38">
        <w:rPr>
          <w:rFonts w:eastAsiaTheme="minorEastAsia"/>
        </w:rPr>
        <w:t>s</w:t>
      </w:r>
      <w:r w:rsidR="00630344" w:rsidRPr="00220A38">
        <w:rPr>
          <w:rFonts w:eastAsiaTheme="minorEastAsia"/>
        </w:rPr>
        <w:t xml:space="preserve"> over time</w:t>
      </w:r>
      <w:r w:rsidR="006F0C76" w:rsidRPr="00220A38">
        <w:rPr>
          <w:rFonts w:eastAsiaTheme="minorEastAsia"/>
        </w:rPr>
        <w:t xml:space="preserve"> (panel data)</w:t>
      </w:r>
      <w:r w:rsidR="00630344" w:rsidRPr="00220A38">
        <w:rPr>
          <w:rFonts w:eastAsiaTheme="minorEastAsia"/>
        </w:rPr>
        <w:t xml:space="preserve">. </w:t>
      </w:r>
      <w:r w:rsidRPr="00220A38">
        <w:rPr>
          <w:rFonts w:eastAsiaTheme="minorEastAsia"/>
        </w:rPr>
        <w:t xml:space="preserve">For a panel of countries </w:t>
      </w:r>
      <w:r w:rsidRPr="00220A38">
        <w:rPr>
          <w:rFonts w:eastAsiaTheme="minorEastAsia"/>
          <w:i/>
        </w:rPr>
        <w:t>c</w:t>
      </w:r>
      <w:r w:rsidRPr="00220A38">
        <w:rPr>
          <w:rFonts w:eastAsiaTheme="minorEastAsia"/>
        </w:rPr>
        <w:t xml:space="preserve"> </w:t>
      </w:r>
      <w:r w:rsidR="00CF3E81" w:rsidRPr="00220A38">
        <w:rPr>
          <w:rFonts w:eastAsiaTheme="minorEastAsia"/>
        </w:rPr>
        <w:t xml:space="preserve">at time </w:t>
      </w:r>
      <w:proofErr w:type="gramStart"/>
      <w:r w:rsidR="00CF3E81" w:rsidRPr="00220A38">
        <w:rPr>
          <w:rFonts w:eastAsiaTheme="minorEastAsia"/>
          <w:i/>
        </w:rPr>
        <w:t>t</w:t>
      </w:r>
      <w:r w:rsidR="00CF3E81" w:rsidRPr="00220A38">
        <w:rPr>
          <w:rFonts w:eastAsiaTheme="minorEastAsia"/>
        </w:rPr>
        <w:t xml:space="preserve"> </w:t>
      </w:r>
      <w:r w:rsidR="00630344" w:rsidRPr="00220A38">
        <w:rPr>
          <w:rFonts w:eastAsiaTheme="minorEastAsia"/>
        </w:rPr>
        <w:t>,</w:t>
      </w:r>
      <w:proofErr w:type="gramEnd"/>
      <w:r w:rsidR="00630344" w:rsidRPr="00220A38">
        <w:rPr>
          <w:rFonts w:eastAsiaTheme="minorEastAsia"/>
        </w:rPr>
        <w:t xml:space="preserve"> equation 2.1</w:t>
      </w:r>
      <w:r w:rsidRPr="00220A38">
        <w:rPr>
          <w:rFonts w:eastAsiaTheme="minorEastAsia"/>
        </w:rPr>
        <w:t xml:space="preserve"> </w:t>
      </w:r>
      <w:r w:rsidR="006F0C76" w:rsidRPr="00220A38">
        <w:rPr>
          <w:rFonts w:eastAsiaTheme="minorEastAsia"/>
        </w:rPr>
        <w:t xml:space="preserve">then </w:t>
      </w:r>
      <w:r w:rsidRPr="00220A38">
        <w:rPr>
          <w:rFonts w:eastAsiaTheme="minorEastAsia"/>
        </w:rPr>
        <w:t>becomes</w:t>
      </w:r>
      <w:r w:rsidR="006F0C76" w:rsidRPr="00220A38">
        <w:rPr>
          <w:rFonts w:eastAsiaTheme="minorEastAsia"/>
        </w:rPr>
        <w:t>:</w:t>
      </w:r>
    </w:p>
    <w:p w:rsidR="00B76670" w:rsidRPr="00220A38" w:rsidRDefault="00C2640C" w:rsidP="00142112">
      <w:pPr>
        <w:spacing w:line="360" w:lineRule="auto"/>
        <w:jc w:val="both"/>
        <w:rPr>
          <w:rFonts w:eastAsiaTheme="minorEastAsia"/>
        </w:rPr>
      </w:pPr>
      <w:r w:rsidRPr="00220A38">
        <w:rPr>
          <w:rFonts w:eastAsiaTheme="minorEastAsia"/>
        </w:rPr>
        <w:t>(2.2)</w:t>
      </w:r>
      <w:r w:rsidRPr="00220A38">
        <w:rPr>
          <w:rFonts w:eastAsiaTheme="minorEastAsia"/>
        </w:rPr>
        <w:tab/>
      </w:r>
      <w:r w:rsidRPr="00220A38">
        <w:rPr>
          <w:rFonts w:eastAsiaTheme="minorEastAsia"/>
        </w:rPr>
        <w:tab/>
      </w:r>
      <w:r w:rsidRPr="00220A38">
        <w:rPr>
          <w:rFonts w:eastAsiaTheme="minorEastAsia"/>
        </w:rPr>
        <w:tab/>
      </w:r>
      <w:r w:rsidRPr="00220A38">
        <w:rPr>
          <w:rFonts w:eastAsiaTheme="minorEastAsia"/>
        </w:rPr>
        <w:tab/>
      </w:r>
      <m:oMath>
        <m:sSub>
          <m:sSubPr>
            <m:ctrlPr>
              <w:rPr>
                <w:rFonts w:ascii="Cambria Math" w:hAnsi="Cambria Math"/>
                <w:i/>
              </w:rPr>
            </m:ctrlPr>
          </m:sSubPr>
          <m:e>
            <m:r>
              <w:rPr>
                <w:rFonts w:ascii="Cambria Math" w:hAnsi="Cambria Math"/>
              </w:rPr>
              <m:t>Ineq</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0,c</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γ</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Sup>
          <m:sSubSupPr>
            <m:ctrlPr>
              <w:rPr>
                <w:rFonts w:ascii="Cambria Math" w:hAnsi="Cambria Math"/>
                <w:i/>
              </w:rPr>
            </m:ctrlPr>
          </m:sSubSupPr>
          <m:e>
            <m:r>
              <w:rPr>
                <w:rFonts w:ascii="Cambria Math" w:hAnsi="Cambria Math"/>
              </w:rPr>
              <m:t>γ</m:t>
            </m:r>
          </m:e>
          <m:sub>
            <m:r>
              <w:rPr>
                <w:rFonts w:ascii="Cambria Math" w:hAnsi="Cambria Math"/>
              </w:rPr>
              <m:t>c,t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c,t</m:t>
            </m:r>
          </m:sub>
        </m:sSub>
        <m:r>
          <w:rPr>
            <w:rFonts w:ascii="Cambria Math" w:eastAsiaTheme="minorEastAsia" w:hAnsi="Cambria Math"/>
          </w:rPr>
          <m:t xml:space="preserve"> </m:t>
        </m:r>
      </m:oMath>
      <w:r w:rsidR="00A31E5B" w:rsidRPr="00220A38">
        <w:rPr>
          <w:rFonts w:eastAsiaTheme="minorEastAsia"/>
        </w:rPr>
        <w:t>.</w:t>
      </w:r>
    </w:p>
    <w:p w:rsidR="005A6D62" w:rsidRPr="00220A38" w:rsidRDefault="00B76670" w:rsidP="00142112">
      <w:pPr>
        <w:spacing w:line="360" w:lineRule="auto"/>
        <w:jc w:val="both"/>
        <w:rPr>
          <w:rFonts w:eastAsiaTheme="minorEastAsia"/>
        </w:rPr>
      </w:pPr>
      <w:r w:rsidRPr="00220A38">
        <w:rPr>
          <w:rFonts w:eastAsiaTheme="minorEastAsia"/>
        </w:rPr>
        <w:t>The</w:t>
      </w:r>
      <w:r w:rsidR="00E16E8F">
        <w:rPr>
          <w:rFonts w:eastAsiaTheme="minorEastAsia"/>
        </w:rPr>
        <w:t xml:space="preserve"> pattern in the data</w:t>
      </w:r>
      <w:r w:rsidR="006F0C76" w:rsidRPr="00220A38">
        <w:rPr>
          <w:rFonts w:eastAsiaTheme="minorEastAsia"/>
        </w:rPr>
        <w:t xml:space="preserve"> of an invert</w:t>
      </w:r>
      <w:r w:rsidR="000A5E97" w:rsidRPr="00220A38">
        <w:rPr>
          <w:rFonts w:eastAsiaTheme="minorEastAsia"/>
        </w:rPr>
        <w:t>ed-U shaped relationship in both equations is then</w:t>
      </w:r>
      <w:r w:rsidRPr="00220A38">
        <w:rPr>
          <w:rFonts w:eastAsiaTheme="minorEastAsia"/>
        </w:rPr>
        <w:t xml:space="preserve"> confirmed if both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&gt;0</m:t>
        </m:r>
      </m:oMath>
      <w:r w:rsidRPr="00220A38">
        <w:rPr>
          <w:rFonts w:eastAsiaTheme="minorEastAsia"/>
        </w:rPr>
        <w:t xml:space="preserve"> </w:t>
      </w:r>
      <w:proofErr w:type="gramStart"/>
      <w:r w:rsidRPr="00220A38">
        <w:rPr>
          <w:rFonts w:eastAsiaTheme="minorEastAsia"/>
        </w:rPr>
        <w:t xml:space="preserve">and </w:t>
      </w:r>
      <w:proofErr w:type="gramEnd"/>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&lt;0</m:t>
        </m:r>
      </m:oMath>
      <w:r w:rsidRPr="00220A38">
        <w:rPr>
          <w:rFonts w:eastAsiaTheme="minorEastAsia"/>
        </w:rPr>
        <w:t xml:space="preserve">.  The quadratic specification also makes it possible to calculate the turning point of the imposed inverted-U shape. If at </w:t>
      </w:r>
      <m:oMath>
        <m:r>
          <w:rPr>
            <w:rFonts w:ascii="Cambria Math" w:eastAsiaTheme="minorEastAsia" w:hAnsi="Cambria Math"/>
          </w:rPr>
          <m:t>t=0</m:t>
        </m:r>
      </m:oMath>
      <w:r w:rsidRPr="00220A38">
        <w:rPr>
          <w:rFonts w:eastAsiaTheme="minorEastAsia"/>
        </w:rPr>
        <w:t xml:space="preserve"> </w:t>
      </w:r>
      <w:r w:rsidR="005A6D62" w:rsidRPr="00220A38">
        <w:rPr>
          <w:rFonts w:eastAsiaTheme="minorEastAsia"/>
        </w:rPr>
        <w:t>the income measure equals</w:t>
      </w:r>
      <m:oMath>
        <m:sSub>
          <m:sSubPr>
            <m:ctrlPr>
              <w:rPr>
                <w:rFonts w:ascii="Cambria Math" w:hAnsi="Cambria Math"/>
                <w:i/>
              </w:rPr>
            </m:ctrlPr>
          </m:sSubPr>
          <m:e>
            <m:r>
              <w:rPr>
                <w:rFonts w:ascii="Cambria Math" w:hAnsi="Cambria Math"/>
              </w:rPr>
              <m:t xml:space="preserve"> γ</m:t>
            </m:r>
          </m:e>
          <m:sub>
            <m:r>
              <w:rPr>
                <w:rFonts w:ascii="Cambria Math" w:hAnsi="Cambria Math"/>
              </w:rPr>
              <m:t>0</m:t>
            </m:r>
          </m:sub>
        </m:sSub>
      </m:oMath>
      <w:r w:rsidR="00AC0B1C" w:rsidRPr="00220A38">
        <w:rPr>
          <w:rFonts w:eastAsiaTheme="minorEastAsia"/>
        </w:rPr>
        <w:t xml:space="preserve"> </w:t>
      </w:r>
      <w:r w:rsidR="005A6D62" w:rsidRPr="00220A38">
        <w:rPr>
          <w:rFonts w:eastAsiaTheme="minorEastAsia"/>
        </w:rPr>
        <w:t xml:space="preserve">, </w:t>
      </w:r>
      <w:r w:rsidR="006F0C76" w:rsidRPr="00220A38">
        <w:rPr>
          <w:rFonts w:eastAsiaTheme="minorEastAsia"/>
        </w:rPr>
        <w:t>it can be shown that</w:t>
      </w:r>
      <w:r w:rsidR="005A6D62" w:rsidRPr="00220A38">
        <w:rPr>
          <w:rFonts w:eastAsiaTheme="minorEastAsia"/>
        </w:rPr>
        <w:t xml:space="preserve"> the turning point occurs at time </w:t>
      </w:r>
      <m:oMath>
        <m:r>
          <w:rPr>
            <w:rFonts w:ascii="Cambria Math" w:eastAsiaTheme="minorEastAsia" w:hAnsi="Cambria Math"/>
          </w:rPr>
          <m:t>θ</m:t>
        </m:r>
      </m:oMath>
      <w:r w:rsidR="005A6D62" w:rsidRPr="00220A38">
        <w:rPr>
          <w:rFonts w:eastAsiaTheme="minorEastAsia"/>
        </w:rPr>
        <w:t xml:space="preserve"> such </w:t>
      </w:r>
      <w:proofErr w:type="gramStart"/>
      <w:r w:rsidR="005A6D62" w:rsidRPr="00220A38">
        <w:rPr>
          <w:rFonts w:eastAsiaTheme="minorEastAsia"/>
        </w:rPr>
        <w:t xml:space="preserve">that </w:t>
      </w:r>
      <w:proofErr w:type="gramEnd"/>
      <m:oMath>
        <m:sSub>
          <m:sSubPr>
            <m:ctrlPr>
              <w:rPr>
                <w:rFonts w:ascii="Cambria Math" w:hAnsi="Cambria Math"/>
                <w:i/>
              </w:rPr>
            </m:ctrlPr>
          </m:sSubPr>
          <m:e>
            <m:r>
              <w:rPr>
                <w:rFonts w:ascii="Cambria Math" w:hAnsi="Cambria Math"/>
              </w:rPr>
              <m:t>γ</m:t>
            </m:r>
          </m:e>
          <m:sub>
            <m:r>
              <w:rPr>
                <w:rFonts w:ascii="Cambria Math" w:eastAsiaTheme="minorEastAsia" w:hAnsi="Cambria Math"/>
              </w:rPr>
              <m:t>θ</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1</m:t>
                </m:r>
              </m:sub>
            </m:sSub>
          </m:num>
          <m:den>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2</m:t>
                </m:r>
              </m:sub>
            </m:sSub>
          </m:den>
        </m:f>
      </m:oMath>
      <w:r w:rsidR="005A6D62" w:rsidRPr="00220A38">
        <w:rPr>
          <w:rFonts w:eastAsiaTheme="minorEastAsia"/>
        </w:rPr>
        <w:t xml:space="preserve">. </w:t>
      </w:r>
      <w:r w:rsidR="00FE120E" w:rsidRPr="00220A38">
        <w:rPr>
          <w:rFonts w:eastAsiaTheme="minorEastAsia"/>
        </w:rPr>
        <w:t xml:space="preserve">Anand and Kanbur (1993) argued, as mentioned in the previous section, that the choice of inequality measure </w:t>
      </w:r>
      <w:r w:rsidR="00E16E8F">
        <w:rPr>
          <w:rFonts w:eastAsiaTheme="minorEastAsia"/>
        </w:rPr>
        <w:t xml:space="preserve">should </w:t>
      </w:r>
      <w:r w:rsidR="00FE120E" w:rsidRPr="00220A38">
        <w:rPr>
          <w:rFonts w:eastAsiaTheme="minorEastAsia"/>
        </w:rPr>
        <w:t xml:space="preserve">influence the specific functional form to be estimated. For the </w:t>
      </w:r>
      <w:r w:rsidR="0039413B">
        <w:rPr>
          <w:rFonts w:eastAsiaTheme="minorEastAsia"/>
        </w:rPr>
        <w:t>Gini</w:t>
      </w:r>
      <w:r w:rsidR="00FE120E" w:rsidRPr="00220A38">
        <w:rPr>
          <w:rFonts w:eastAsiaTheme="minorEastAsia"/>
        </w:rPr>
        <w:t>-coefficient, they found</w:t>
      </w:r>
      <w:r w:rsidR="00FE120E" w:rsidRPr="00220A38">
        <w:rPr>
          <w:rStyle w:val="FootnoteReference"/>
          <w:rFonts w:eastAsiaTheme="minorEastAsia"/>
        </w:rPr>
        <w:footnoteReference w:id="3"/>
      </w:r>
      <w:r w:rsidR="00FE120E" w:rsidRPr="00220A38">
        <w:rPr>
          <w:rFonts w:eastAsiaTheme="minorEastAsia"/>
        </w:rPr>
        <w:t xml:space="preserve"> that the quadratic term </w:t>
      </w:r>
      <w:r w:rsidR="006F0C76" w:rsidRPr="00220A38">
        <w:rPr>
          <w:rFonts w:eastAsiaTheme="minorEastAsia"/>
        </w:rPr>
        <w:t>should</w:t>
      </w:r>
      <w:r w:rsidR="00FE120E" w:rsidRPr="00220A38">
        <w:rPr>
          <w:rFonts w:eastAsiaTheme="minorEastAsia"/>
        </w:rPr>
        <w:t xml:space="preserve"> be replaced by the inverse of income, such that</w:t>
      </w:r>
    </w:p>
    <w:p w:rsidR="00FE120E" w:rsidRPr="00220A38" w:rsidRDefault="00635D92" w:rsidP="00142112">
      <w:pPr>
        <w:spacing w:line="360" w:lineRule="auto"/>
        <w:jc w:val="both"/>
        <w:rPr>
          <w:rFonts w:eastAsiaTheme="minorEastAsia"/>
        </w:rPr>
      </w:pPr>
      <w:r w:rsidRPr="00220A38">
        <w:rPr>
          <w:rFonts w:eastAsiaTheme="minorEastAsia"/>
        </w:rPr>
        <w:t>(2.3</w:t>
      </w:r>
      <w:r w:rsidR="00FE120E" w:rsidRPr="00220A38">
        <w:rPr>
          <w:rFonts w:eastAsiaTheme="minorEastAsia"/>
        </w:rPr>
        <w:t>)</w:t>
      </w:r>
      <w:r w:rsidR="00FE120E" w:rsidRPr="00220A38">
        <w:rPr>
          <w:rFonts w:eastAsiaTheme="minorEastAsia"/>
        </w:rPr>
        <w:tab/>
      </w:r>
      <w:r w:rsidR="00FE120E" w:rsidRPr="00220A38">
        <w:rPr>
          <w:rFonts w:eastAsiaTheme="minorEastAsia"/>
        </w:rPr>
        <w:tab/>
      </w:r>
      <w:r w:rsidR="00FE120E" w:rsidRPr="00220A38">
        <w:rPr>
          <w:rFonts w:eastAsiaTheme="minorEastAsia"/>
        </w:rPr>
        <w:tab/>
      </w:r>
      <w:r w:rsidR="00FE120E" w:rsidRPr="00220A38">
        <w:rPr>
          <w:rFonts w:eastAsiaTheme="minorEastAsia"/>
        </w:rPr>
        <w:tab/>
        <w:t xml:space="preserve"> </w:t>
      </w:r>
      <m:oMath>
        <m:sSub>
          <m:sSubPr>
            <m:ctrlPr>
              <w:rPr>
                <w:rFonts w:ascii="Cambria Math" w:hAnsi="Cambria Math"/>
                <w:i/>
              </w:rPr>
            </m:ctrlPr>
          </m:sSubPr>
          <m:e>
            <m:r>
              <w:rPr>
                <w:rFonts w:ascii="Cambria Math" w:hAnsi="Cambria Math"/>
              </w:rPr>
              <m:t>Ineq</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γ</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γ</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c</m:t>
            </m:r>
          </m:sub>
        </m:sSub>
      </m:oMath>
    </w:p>
    <w:p w:rsidR="00E16E8F" w:rsidRDefault="00635D92" w:rsidP="00142112">
      <w:pPr>
        <w:spacing w:line="360" w:lineRule="auto"/>
        <w:jc w:val="both"/>
        <w:rPr>
          <w:rFonts w:eastAsiaTheme="minorEastAsia"/>
        </w:rPr>
      </w:pPr>
      <w:r w:rsidRPr="00220A38">
        <w:rPr>
          <w:rFonts w:eastAsiaTheme="minorEastAsia"/>
        </w:rPr>
        <w:t xml:space="preserve">Using </w:t>
      </w:r>
      <w:r w:rsidR="00E16E8F">
        <w:rPr>
          <w:rFonts w:eastAsiaTheme="minorEastAsia"/>
        </w:rPr>
        <w:t xml:space="preserve">a similar specification </w:t>
      </w:r>
      <w:r w:rsidR="004B092C">
        <w:rPr>
          <w:rFonts w:eastAsiaTheme="minorEastAsia"/>
        </w:rPr>
        <w:t>as</w:t>
      </w:r>
      <w:r w:rsidR="00E16E8F">
        <w:rPr>
          <w:rFonts w:eastAsiaTheme="minorEastAsia"/>
        </w:rPr>
        <w:t xml:space="preserve"> </w:t>
      </w:r>
      <w:r w:rsidRPr="00220A38">
        <w:rPr>
          <w:rFonts w:eastAsiaTheme="minorEastAsia"/>
        </w:rPr>
        <w:t>equat</w:t>
      </w:r>
      <w:r w:rsidR="000F551D">
        <w:rPr>
          <w:rFonts w:eastAsiaTheme="minorEastAsia"/>
        </w:rPr>
        <w:t xml:space="preserve">ion 2.1, </w:t>
      </w:r>
      <w:r w:rsidRPr="00220A38">
        <w:rPr>
          <w:rFonts w:eastAsiaTheme="minorEastAsia"/>
        </w:rPr>
        <w:t>multiple studies in the 1970’s and 1980’s confirmed the presence of a Kuznets curve in the development process. T</w:t>
      </w:r>
      <w:r w:rsidR="005A6D62" w:rsidRPr="00220A38">
        <w:rPr>
          <w:rFonts w:eastAsiaTheme="minorEastAsia"/>
        </w:rPr>
        <w:t xml:space="preserve">hese </w:t>
      </w:r>
      <w:r w:rsidR="006F0C76" w:rsidRPr="00220A38">
        <w:rPr>
          <w:rFonts w:eastAsiaTheme="minorEastAsia"/>
        </w:rPr>
        <w:t>studies</w:t>
      </w:r>
      <w:r w:rsidR="005A6D62" w:rsidRPr="00220A38">
        <w:rPr>
          <w:rFonts w:eastAsiaTheme="minorEastAsia"/>
        </w:rPr>
        <w:t xml:space="preserve"> </w:t>
      </w:r>
      <w:r w:rsidR="00CF3E81" w:rsidRPr="00220A38">
        <w:rPr>
          <w:rFonts w:eastAsiaTheme="minorEastAsia"/>
        </w:rPr>
        <w:t>were l</w:t>
      </w:r>
      <w:r w:rsidR="0001406D" w:rsidRPr="00220A38">
        <w:rPr>
          <w:rFonts w:eastAsiaTheme="minorEastAsia"/>
        </w:rPr>
        <w:t xml:space="preserve">ater criticized because they </w:t>
      </w:r>
      <w:r w:rsidR="005A6D62" w:rsidRPr="00220A38">
        <w:rPr>
          <w:rFonts w:eastAsiaTheme="minorEastAsia"/>
        </w:rPr>
        <w:t>suffered from poor data quality</w:t>
      </w:r>
      <w:r w:rsidR="0050484B" w:rsidRPr="00220A38">
        <w:rPr>
          <w:rFonts w:eastAsiaTheme="minorEastAsia"/>
        </w:rPr>
        <w:t xml:space="preserve">, as they often had only one observation per country and </w:t>
      </w:r>
      <w:r w:rsidR="006F0C76" w:rsidRPr="00220A38">
        <w:rPr>
          <w:rFonts w:eastAsiaTheme="minorEastAsia"/>
        </w:rPr>
        <w:t>inequality indicators</w:t>
      </w:r>
      <w:r w:rsidR="0050484B" w:rsidRPr="00220A38">
        <w:rPr>
          <w:rFonts w:eastAsiaTheme="minorEastAsia"/>
        </w:rPr>
        <w:t xml:space="preserve"> were based on differing income measures</w:t>
      </w:r>
      <w:r w:rsidR="000F551D">
        <w:rPr>
          <w:rFonts w:eastAsiaTheme="minorEastAsia"/>
        </w:rPr>
        <w:t xml:space="preserve">, with some being derived from household surveys based on individual income or household income or some being derived from mere quantile income data, resulting in substantially lower inequality measures which are not likely to represent the true income </w:t>
      </w:r>
      <w:proofErr w:type="gramStart"/>
      <w:r w:rsidR="000F551D">
        <w:rPr>
          <w:rFonts w:eastAsiaTheme="minorEastAsia"/>
        </w:rPr>
        <w:t xml:space="preserve">distribution </w:t>
      </w:r>
      <w:r w:rsidR="005A6D62" w:rsidRPr="00220A38">
        <w:rPr>
          <w:rFonts w:eastAsiaTheme="minorEastAsia"/>
        </w:rPr>
        <w:t xml:space="preserve"> (</w:t>
      </w:r>
      <w:proofErr w:type="gramEnd"/>
      <w:r w:rsidR="005A6D62" w:rsidRPr="00220A38">
        <w:rPr>
          <w:rFonts w:eastAsiaTheme="minorEastAsia"/>
        </w:rPr>
        <w:t xml:space="preserve">Deininger and Squire, 1998).  </w:t>
      </w:r>
      <w:r w:rsidR="002E1D55" w:rsidRPr="00220A38">
        <w:rPr>
          <w:rFonts w:eastAsiaTheme="minorEastAsia"/>
        </w:rPr>
        <w:t xml:space="preserve">Also, the development process as described in section 2.1 </w:t>
      </w:r>
      <w:r w:rsidR="009A62E8" w:rsidRPr="00220A38">
        <w:rPr>
          <w:rFonts w:eastAsiaTheme="minorEastAsia"/>
        </w:rPr>
        <w:t xml:space="preserve">by Kuznets </w:t>
      </w:r>
      <w:r w:rsidR="002E1D55" w:rsidRPr="00220A38">
        <w:rPr>
          <w:rFonts w:eastAsiaTheme="minorEastAsia"/>
        </w:rPr>
        <w:t xml:space="preserve">describes the development of a single country and its effect on income inequality over time, not </w:t>
      </w:r>
      <w:r w:rsidR="009A62E8" w:rsidRPr="00220A38">
        <w:rPr>
          <w:rFonts w:eastAsiaTheme="minorEastAsia"/>
        </w:rPr>
        <w:t xml:space="preserve">on a </w:t>
      </w:r>
      <w:r w:rsidR="000F551D">
        <w:rPr>
          <w:rFonts w:eastAsiaTheme="minorEastAsia"/>
        </w:rPr>
        <w:t>multi-country setup</w:t>
      </w:r>
      <w:r w:rsidR="009A62E8" w:rsidRPr="00220A38">
        <w:rPr>
          <w:rFonts w:eastAsiaTheme="minorEastAsia"/>
        </w:rPr>
        <w:t xml:space="preserve"> at one point in time</w:t>
      </w:r>
      <w:r w:rsidRPr="00220A38">
        <w:rPr>
          <w:rFonts w:eastAsiaTheme="minorEastAsia"/>
        </w:rPr>
        <w:t xml:space="preserve">. </w:t>
      </w:r>
      <w:r w:rsidR="0050484B" w:rsidRPr="00220A38">
        <w:rPr>
          <w:rFonts w:eastAsiaTheme="minorEastAsia"/>
        </w:rPr>
        <w:t xml:space="preserve">A common cited example of this literature is the paper by Ahluwalia (1976). </w:t>
      </w:r>
      <w:r w:rsidR="00CF3E81" w:rsidRPr="00220A38">
        <w:rPr>
          <w:rFonts w:eastAsiaTheme="minorEastAsia"/>
        </w:rPr>
        <w:t xml:space="preserve"> </w:t>
      </w:r>
      <w:r w:rsidR="0037027C" w:rsidRPr="00220A38">
        <w:rPr>
          <w:rFonts w:eastAsiaTheme="minorEastAsia"/>
        </w:rPr>
        <w:t>Ahluwalia</w:t>
      </w:r>
      <w:r w:rsidR="0028436B" w:rsidRPr="00220A38">
        <w:rPr>
          <w:rFonts w:eastAsiaTheme="minorEastAsia"/>
        </w:rPr>
        <w:t xml:space="preserve"> included </w:t>
      </w:r>
      <w:r w:rsidR="0037027C" w:rsidRPr="00220A38">
        <w:rPr>
          <w:rFonts w:eastAsiaTheme="minorEastAsia"/>
        </w:rPr>
        <w:t>different</w:t>
      </w:r>
      <w:r w:rsidR="0028436B" w:rsidRPr="00220A38">
        <w:rPr>
          <w:rFonts w:eastAsiaTheme="minorEastAsia"/>
        </w:rPr>
        <w:t xml:space="preserve"> percentile shares of income as indicators of inequality </w:t>
      </w:r>
      <w:r w:rsidR="0037027C" w:rsidRPr="00220A38">
        <w:rPr>
          <w:rFonts w:eastAsiaTheme="minorEastAsia"/>
        </w:rPr>
        <w:t>in regressions similar to equation 2.</w:t>
      </w:r>
      <w:r w:rsidRPr="00220A38">
        <w:rPr>
          <w:rFonts w:eastAsiaTheme="minorEastAsia"/>
        </w:rPr>
        <w:t xml:space="preserve">1 as well as a </w:t>
      </w:r>
      <w:r w:rsidR="0028436B" w:rsidRPr="00220A38">
        <w:rPr>
          <w:rFonts w:eastAsiaTheme="minorEastAsia"/>
        </w:rPr>
        <w:t xml:space="preserve">ratio of agricultural output to total GDP </w:t>
      </w:r>
      <w:r w:rsidRPr="00220A38">
        <w:rPr>
          <w:rFonts w:eastAsiaTheme="minorEastAsia"/>
        </w:rPr>
        <w:t xml:space="preserve">and </w:t>
      </w:r>
      <w:r w:rsidR="0028436B" w:rsidRPr="00220A38">
        <w:rPr>
          <w:rFonts w:eastAsiaTheme="minorEastAsia"/>
        </w:rPr>
        <w:t>a measure of urbanization to account for the processes Kuznets described as being importan</w:t>
      </w:r>
      <w:r w:rsidR="0037027C" w:rsidRPr="00220A38">
        <w:rPr>
          <w:rFonts w:eastAsiaTheme="minorEastAsia"/>
        </w:rPr>
        <w:t xml:space="preserve">t for the implied relationship. </w:t>
      </w:r>
      <w:r w:rsidRPr="00220A38">
        <w:rPr>
          <w:rFonts w:eastAsiaTheme="minorEastAsia"/>
        </w:rPr>
        <w:t xml:space="preserve">He confirmed the presence of a Kuznets-type relationship based on one </w:t>
      </w:r>
      <w:r w:rsidR="009A62E8" w:rsidRPr="00220A38">
        <w:rPr>
          <w:rFonts w:eastAsiaTheme="minorEastAsia"/>
        </w:rPr>
        <w:t xml:space="preserve">or two observations per country as </w:t>
      </w:r>
      <w:r w:rsidR="000F551D">
        <w:rPr>
          <w:rFonts w:eastAsiaTheme="minorEastAsia"/>
        </w:rPr>
        <w:t>did many studies in that period (Kanbur, 2000)</w:t>
      </w:r>
      <w:r w:rsidR="00E16E8F">
        <w:rPr>
          <w:rFonts w:eastAsiaTheme="minorEastAsia"/>
        </w:rPr>
        <w:t xml:space="preserve">. </w:t>
      </w:r>
    </w:p>
    <w:p w:rsidR="00E72D6A" w:rsidRPr="00E16E8F" w:rsidRDefault="00CF3E81" w:rsidP="00142112">
      <w:pPr>
        <w:spacing w:line="360" w:lineRule="auto"/>
        <w:jc w:val="both"/>
        <w:rPr>
          <w:rFonts w:eastAsiaTheme="minorEastAsia"/>
        </w:rPr>
      </w:pPr>
      <w:r w:rsidRPr="00220A38">
        <w:rPr>
          <w:rFonts w:eastAsiaTheme="minorEastAsia"/>
        </w:rPr>
        <w:lastRenderedPageBreak/>
        <w:t xml:space="preserve">From the 1980’s onward, both </w:t>
      </w:r>
      <w:r w:rsidR="00E16E8F">
        <w:rPr>
          <w:rFonts w:eastAsiaTheme="minorEastAsia"/>
        </w:rPr>
        <w:t xml:space="preserve">new </w:t>
      </w:r>
      <w:r w:rsidRPr="00220A38">
        <w:rPr>
          <w:rFonts w:eastAsiaTheme="minorEastAsia"/>
        </w:rPr>
        <w:t>theoretical</w:t>
      </w:r>
      <w:r w:rsidR="00E16E8F">
        <w:rPr>
          <w:rFonts w:eastAsiaTheme="minorEastAsia"/>
        </w:rPr>
        <w:t xml:space="preserve"> work and supporting</w:t>
      </w:r>
      <w:r w:rsidRPr="00220A38">
        <w:rPr>
          <w:rFonts w:eastAsiaTheme="minorEastAsia"/>
        </w:rPr>
        <w:t xml:space="preserve"> empirical evidence suggested that the Kuznets curve is not a necessary part of development. </w:t>
      </w:r>
      <w:r w:rsidR="00635D92" w:rsidRPr="00220A38">
        <w:t>Although</w:t>
      </w:r>
      <w:r w:rsidR="003D4781" w:rsidRPr="00220A38">
        <w:t xml:space="preserve"> Ahluwalia (1976) concluded that there was strong empirical evidence for a Kuznets curve relationship between economic growth and inequality and </w:t>
      </w:r>
      <w:r w:rsidR="00C54E68" w:rsidRPr="00220A38">
        <w:t xml:space="preserve">Adelman and </w:t>
      </w:r>
      <w:r w:rsidR="003D4781" w:rsidRPr="00220A38">
        <w:t xml:space="preserve">Robinson (1989) even regarded it a ‘stylized fact’, the East-Asian growth miracle suggested otherwise. Fei </w:t>
      </w:r>
      <w:r w:rsidR="003D4781" w:rsidRPr="00220A38">
        <w:rPr>
          <w:i/>
        </w:rPr>
        <w:t>et al</w:t>
      </w:r>
      <w:r w:rsidR="003D4781" w:rsidRPr="00220A38">
        <w:t>. (1979) conducted a study where they showed that</w:t>
      </w:r>
      <w:r w:rsidR="0001406D" w:rsidRPr="00220A38">
        <w:t xml:space="preserve"> increasing</w:t>
      </w:r>
      <w:r w:rsidR="003D4781" w:rsidRPr="00220A38">
        <w:t xml:space="preserve"> inequality is not necessary for economic growth. Their </w:t>
      </w:r>
      <w:r w:rsidR="00D60CF9" w:rsidRPr="00220A38">
        <w:t xml:space="preserve">case-study of Taiwan </w:t>
      </w:r>
      <w:r w:rsidR="003D4781" w:rsidRPr="00220A38">
        <w:t xml:space="preserve">indicated that agricultural wages also benefitted from </w:t>
      </w:r>
      <w:r w:rsidR="0075434D" w:rsidRPr="00220A38">
        <w:t xml:space="preserve">the </w:t>
      </w:r>
      <w:r w:rsidR="004B092C">
        <w:t>industrial urban rise. Furthermore, m</w:t>
      </w:r>
      <w:r w:rsidR="0075434D" w:rsidRPr="00220A38">
        <w:t xml:space="preserve">ost industrialized countries </w:t>
      </w:r>
      <w:r w:rsidR="00C07406" w:rsidRPr="00220A38">
        <w:t xml:space="preserve">such as the US and UK </w:t>
      </w:r>
      <w:r w:rsidR="0075434D" w:rsidRPr="00220A38">
        <w:t>also suffer from an increase in inequality in the last t</w:t>
      </w:r>
      <w:r w:rsidR="000F551D">
        <w:t>hree</w:t>
      </w:r>
      <w:r w:rsidR="0075434D" w:rsidRPr="00220A38">
        <w:t xml:space="preserve"> decades</w:t>
      </w:r>
      <w:r w:rsidR="00D640A3" w:rsidRPr="00220A38">
        <w:t xml:space="preserve"> which also contradict</w:t>
      </w:r>
      <w:r w:rsidR="004B092C">
        <w:t>s</w:t>
      </w:r>
      <w:r w:rsidR="00D640A3" w:rsidRPr="00220A38">
        <w:t xml:space="preserve"> the existence </w:t>
      </w:r>
      <w:r w:rsidR="00D23CF7">
        <w:t>of a Kuznets curve in recent years.</w:t>
      </w:r>
      <w:r w:rsidR="0075434D" w:rsidRPr="00220A38">
        <w:t xml:space="preserve"> </w:t>
      </w:r>
    </w:p>
    <w:p w:rsidR="00DC6C6A" w:rsidRPr="00220A38" w:rsidRDefault="00C07406" w:rsidP="00142112">
      <w:pPr>
        <w:spacing w:line="360" w:lineRule="auto"/>
        <w:jc w:val="both"/>
        <w:rPr>
          <w:rFonts w:eastAsia="AdvTimes"/>
        </w:rPr>
      </w:pPr>
      <w:r w:rsidRPr="00220A38">
        <w:t xml:space="preserve">More </w:t>
      </w:r>
      <w:r w:rsidR="003D4781" w:rsidRPr="00220A38">
        <w:t xml:space="preserve">recent empirical </w:t>
      </w:r>
      <w:r w:rsidR="00D640A3" w:rsidRPr="00220A38">
        <w:t>studies,</w:t>
      </w:r>
      <w:r w:rsidR="000A684E" w:rsidRPr="00220A38">
        <w:t xml:space="preserve"> using di</w:t>
      </w:r>
      <w:r w:rsidR="003D4781" w:rsidRPr="00220A38">
        <w:t xml:space="preserve">fferent </w:t>
      </w:r>
      <w:r w:rsidR="00D640A3" w:rsidRPr="00220A38">
        <w:t>datasets and econometric setups</w:t>
      </w:r>
      <w:r w:rsidR="0037027C" w:rsidRPr="00220A38">
        <w:t xml:space="preserve"> similar to equation </w:t>
      </w:r>
      <w:r w:rsidR="000F551D">
        <w:t xml:space="preserve">2.1, </w:t>
      </w:r>
      <w:r w:rsidR="0037027C" w:rsidRPr="00220A38">
        <w:t>2.2</w:t>
      </w:r>
      <w:r w:rsidR="000F551D">
        <w:t xml:space="preserve"> and 2.3</w:t>
      </w:r>
      <w:r w:rsidR="009A62E8" w:rsidRPr="00220A38">
        <w:t>, have</w:t>
      </w:r>
      <w:r w:rsidR="0037027C" w:rsidRPr="00220A38">
        <w:t xml:space="preserve"> </w:t>
      </w:r>
      <w:r w:rsidR="00DC6C6A" w:rsidRPr="00220A38">
        <w:t xml:space="preserve">found contradicting results. </w:t>
      </w:r>
      <w:r w:rsidR="00EB6AF3" w:rsidRPr="00220A38">
        <w:t xml:space="preserve">Ravallion (1995) used two observations per country to test for the first-difference estimation </w:t>
      </w:r>
      <w:r w:rsidR="003D7BF8">
        <w:t xml:space="preserve">of </w:t>
      </w:r>
      <w:r w:rsidR="00EB6AF3" w:rsidRPr="00220A38">
        <w:t xml:space="preserve">equation 2.1 He found no evidence for an inverted-U in the process of development. </w:t>
      </w:r>
      <w:r w:rsidR="003D4781" w:rsidRPr="00220A38">
        <w:t xml:space="preserve">Deininger and Squire </w:t>
      </w:r>
      <w:r w:rsidR="00635D92" w:rsidRPr="00220A38">
        <w:t xml:space="preserve">compiled a new </w:t>
      </w:r>
      <w:r w:rsidR="00E16E8F">
        <w:t xml:space="preserve">inequality </w:t>
      </w:r>
      <w:r w:rsidR="00635D92" w:rsidRPr="00220A38">
        <w:t xml:space="preserve">dataset with multiple observations over time for a large set of countries </w:t>
      </w:r>
      <w:r w:rsidR="000A684E" w:rsidRPr="00220A38">
        <w:t>(Deininger and Squire 1996)</w:t>
      </w:r>
      <w:r w:rsidR="00635D92" w:rsidRPr="00220A38">
        <w:t xml:space="preserve">, enabling the use of panel data techniques. They used </w:t>
      </w:r>
      <w:r w:rsidR="00FE120E" w:rsidRPr="00220A38">
        <w:t xml:space="preserve">the functional form </w:t>
      </w:r>
      <w:r w:rsidR="008A64C9" w:rsidRPr="00220A38">
        <w:t>of equation 2.3 and found</w:t>
      </w:r>
      <w:r w:rsidR="00E72D6A" w:rsidRPr="00220A38">
        <w:t xml:space="preserve"> a cross-country Kuznets curve when using decadal averages </w:t>
      </w:r>
      <w:r w:rsidR="000A684E" w:rsidRPr="00220A38">
        <w:t>but these findings were not robust after controlling for country-specific effects</w:t>
      </w:r>
      <w:r w:rsidR="00EB6AF3" w:rsidRPr="00220A38">
        <w:t xml:space="preserve"> (Deininger and Squire, 1998)</w:t>
      </w:r>
      <w:r w:rsidR="000A684E" w:rsidRPr="00220A38">
        <w:t xml:space="preserve">. They also tested for country-individual Kuznets curves but could only confirm this for 10% of their sample. </w:t>
      </w:r>
      <w:r w:rsidR="00441565" w:rsidRPr="00220A38">
        <w:t>Barro (2000)</w:t>
      </w:r>
      <w:r w:rsidR="003D4781" w:rsidRPr="00220A38">
        <w:t xml:space="preserve"> </w:t>
      </w:r>
      <w:r w:rsidR="00E15CA2" w:rsidRPr="00220A38">
        <w:t>detected</w:t>
      </w:r>
      <w:r w:rsidR="003D4781" w:rsidRPr="00220A38">
        <w:t xml:space="preserve"> a </w:t>
      </w:r>
      <w:r w:rsidR="0075434D" w:rsidRPr="00220A38">
        <w:t>stable</w:t>
      </w:r>
      <w:r w:rsidR="00F538B2" w:rsidRPr="00220A38">
        <w:t xml:space="preserve"> </w:t>
      </w:r>
      <w:r w:rsidR="003D4781" w:rsidRPr="00220A38">
        <w:t>Kuznets type relationship between economic growth and inequality</w:t>
      </w:r>
      <w:r w:rsidR="00E15CA2" w:rsidRPr="00220A38">
        <w:t xml:space="preserve"> based on a modified version of the same dataset (Deiniger and Squire, 1996), but found that much of the variation in time and acros</w:t>
      </w:r>
      <w:r w:rsidR="00E16E8F">
        <w:t>s countries remains unexplained</w:t>
      </w:r>
      <w:r w:rsidR="003D4781" w:rsidRPr="00220A38">
        <w:rPr>
          <w:rStyle w:val="FootnoteReference"/>
        </w:rPr>
        <w:footnoteReference w:id="4"/>
      </w:r>
      <w:r w:rsidR="00E16E8F">
        <w:t xml:space="preserve">. </w:t>
      </w:r>
      <w:r w:rsidR="00E15CA2" w:rsidRPr="00220A38">
        <w:t>Barro</w:t>
      </w:r>
      <w:r w:rsidR="00896E64" w:rsidRPr="00220A38">
        <w:t xml:space="preserve"> (2008</w:t>
      </w:r>
      <w:r w:rsidR="00F538B2" w:rsidRPr="00220A38">
        <w:t xml:space="preserve">) does </w:t>
      </w:r>
      <w:r w:rsidR="001D0765" w:rsidRPr="00220A38">
        <w:t>find partial confirmation of</w:t>
      </w:r>
      <w:r w:rsidR="00F538B2" w:rsidRPr="00220A38">
        <w:t xml:space="preserve"> a Kuznets curve</w:t>
      </w:r>
      <w:r w:rsidR="001D0765" w:rsidRPr="00220A38">
        <w:t xml:space="preserve"> </w:t>
      </w:r>
      <w:r w:rsidR="00F538B2" w:rsidRPr="00220A38">
        <w:t>with a newer dataset</w:t>
      </w:r>
      <w:r w:rsidR="00DC6C6A" w:rsidRPr="00220A38">
        <w:t>, as does Chamb</w:t>
      </w:r>
      <w:r w:rsidR="00CE2D82">
        <w:t>ers (2007) for long-run growth. Since the research mentioned is just a summary of the main results obtained</w:t>
      </w:r>
      <w:r w:rsidR="003D4781" w:rsidRPr="00220A38">
        <w:t xml:space="preserve">, </w:t>
      </w:r>
      <w:r w:rsidR="00CE2D82">
        <w:t xml:space="preserve">it is clear that </w:t>
      </w:r>
      <w:r w:rsidR="003D4781" w:rsidRPr="00220A38">
        <w:t xml:space="preserve">the Kuznets curve remains an ambiguously tested theory, but is has not </w:t>
      </w:r>
      <w:r w:rsidR="001D0765" w:rsidRPr="00220A38">
        <w:t xml:space="preserve">yet </w:t>
      </w:r>
      <w:r w:rsidR="003D4781" w:rsidRPr="00220A38">
        <w:t>completely lost its appeal</w:t>
      </w:r>
      <w:r w:rsidR="00441565" w:rsidRPr="00220A38">
        <w:t>.</w:t>
      </w:r>
      <w:r w:rsidR="007F1C6A" w:rsidRPr="00220A38">
        <w:rPr>
          <w:rFonts w:eastAsia="AdvTimes"/>
        </w:rPr>
        <w:t xml:space="preserve"> </w:t>
      </w:r>
    </w:p>
    <w:p w:rsidR="00946560" w:rsidRPr="00220A38" w:rsidRDefault="00DC6C6A" w:rsidP="00142112">
      <w:pPr>
        <w:pStyle w:val="ListParagraph"/>
        <w:numPr>
          <w:ilvl w:val="1"/>
          <w:numId w:val="28"/>
        </w:numPr>
        <w:spacing w:line="360" w:lineRule="auto"/>
        <w:jc w:val="both"/>
        <w:rPr>
          <w:b/>
        </w:rPr>
      </w:pPr>
      <w:r w:rsidRPr="00220A38">
        <w:rPr>
          <w:b/>
        </w:rPr>
        <w:t xml:space="preserve"> </w:t>
      </w:r>
      <w:r w:rsidR="000716AC" w:rsidRPr="00220A38">
        <w:rPr>
          <w:b/>
        </w:rPr>
        <w:t xml:space="preserve">Inequality and </w:t>
      </w:r>
      <w:r w:rsidR="00946560" w:rsidRPr="00220A38">
        <w:rPr>
          <w:b/>
        </w:rPr>
        <w:t>Growth</w:t>
      </w:r>
    </w:p>
    <w:p w:rsidR="000716AC" w:rsidRPr="00220A38" w:rsidRDefault="00DC6C6A" w:rsidP="00142112">
      <w:pPr>
        <w:spacing w:line="360" w:lineRule="auto"/>
        <w:jc w:val="both"/>
      </w:pPr>
      <w:r w:rsidRPr="00220A38">
        <w:t xml:space="preserve">Besides the relationship between economic </w:t>
      </w:r>
      <w:r w:rsidR="000958E9" w:rsidRPr="00220A38">
        <w:t xml:space="preserve">development or </w:t>
      </w:r>
      <w:r w:rsidRPr="00220A38">
        <w:t xml:space="preserve">growth and income inequality, more recent work has dominantly focused on </w:t>
      </w:r>
      <w:r w:rsidR="00F24E63" w:rsidRPr="00220A38">
        <w:t>a reversed causality, that</w:t>
      </w:r>
      <w:r w:rsidRPr="00220A38">
        <w:t xml:space="preserve"> of income inequality on economic growth. In the 1970’s and ‘80s, t</w:t>
      </w:r>
      <w:r w:rsidR="00441565" w:rsidRPr="00220A38">
        <w:t>he representative agent paradigm dominated the field of macroeconomics, rejecting the relevance of heterogeneity on determining economic growth. This also implicitly implied that the (</w:t>
      </w:r>
      <w:r w:rsidR="00B5794A" w:rsidRPr="00220A38">
        <w:t>heterogeneous</w:t>
      </w:r>
      <w:r w:rsidR="00441565" w:rsidRPr="00220A38">
        <w:t>) distribution of income was not relevant for mac</w:t>
      </w:r>
      <w:r w:rsidR="009A643F" w:rsidRPr="00220A38">
        <w:t>roeconomic analysis (Galor, 2011</w:t>
      </w:r>
      <w:r w:rsidR="00441565" w:rsidRPr="00220A38">
        <w:t xml:space="preserve">). </w:t>
      </w:r>
      <w:r w:rsidR="00E362AE" w:rsidRPr="00220A38">
        <w:t>With the rise of</w:t>
      </w:r>
      <w:r w:rsidR="009A643F" w:rsidRPr="00220A38">
        <w:t xml:space="preserve"> the</w:t>
      </w:r>
      <w:r w:rsidR="00E362AE" w:rsidRPr="00220A38">
        <w:t xml:space="preserve"> endogenous growth models of Romer (1986) and Lucas (1988), a re-assessment of the variables affecting growth started, recognizing income and wealth </w:t>
      </w:r>
      <w:r w:rsidR="00E362AE" w:rsidRPr="00220A38">
        <w:lastRenderedPageBreak/>
        <w:t xml:space="preserve">distribution as significant variables </w:t>
      </w:r>
      <w:r w:rsidR="00B86842" w:rsidRPr="00220A38">
        <w:t xml:space="preserve">through physical and human capital accumulation </w:t>
      </w:r>
      <w:r w:rsidR="00E362AE" w:rsidRPr="00220A38">
        <w:t xml:space="preserve">(Leoni and Pollan, 2003). The 1990’s and the last decade </w:t>
      </w:r>
      <w:r w:rsidR="00EE6150" w:rsidRPr="00220A38">
        <w:t>have brought various new views on the possible relationship between</w:t>
      </w:r>
      <w:r w:rsidR="00E362AE" w:rsidRPr="00220A38">
        <w:t xml:space="preserve"> income inequality and economic growth by </w:t>
      </w:r>
      <w:r w:rsidR="00EE6150" w:rsidRPr="00220A38">
        <w:t xml:space="preserve">proposed </w:t>
      </w:r>
      <w:r w:rsidR="00E362AE" w:rsidRPr="00220A38">
        <w:t>new theories</w:t>
      </w:r>
      <w:r w:rsidR="00D640A3" w:rsidRPr="00220A38">
        <w:t xml:space="preserve"> and empirical work. </w:t>
      </w:r>
      <w:proofErr w:type="gramStart"/>
      <w:r w:rsidR="00D640A3" w:rsidRPr="00220A38">
        <w:t>These point</w:t>
      </w:r>
      <w:proofErr w:type="gramEnd"/>
      <w:r w:rsidR="00D640A3" w:rsidRPr="00220A38">
        <w:t xml:space="preserve"> to either a positive, </w:t>
      </w:r>
      <w:r w:rsidR="00E362AE" w:rsidRPr="00220A38">
        <w:t>negative</w:t>
      </w:r>
      <w:r w:rsidR="00D640A3" w:rsidRPr="00220A38">
        <w:t xml:space="preserve"> or ambiguous</w:t>
      </w:r>
      <w:r w:rsidR="00E362AE" w:rsidRPr="00220A38">
        <w:t xml:space="preserve"> relationship.</w:t>
      </w:r>
      <w:r w:rsidR="0071396D" w:rsidRPr="00220A38">
        <w:t xml:space="preserve"> </w:t>
      </w:r>
      <w:r w:rsidR="00606B2B" w:rsidRPr="00220A38">
        <w:t>Without attempting to be exhaustive</w:t>
      </w:r>
      <w:r w:rsidR="0071396D" w:rsidRPr="00220A38">
        <w:t xml:space="preserve">, I will provide a summary of the </w:t>
      </w:r>
      <w:r w:rsidR="00606B2B" w:rsidRPr="00220A38">
        <w:t>main</w:t>
      </w:r>
      <w:r w:rsidR="0071396D" w:rsidRPr="00220A38">
        <w:t xml:space="preserve"> </w:t>
      </w:r>
      <w:r w:rsidR="00D23CF7">
        <w:t xml:space="preserve">transmission </w:t>
      </w:r>
      <w:r w:rsidR="0071396D" w:rsidRPr="00220A38">
        <w:t xml:space="preserve">channels through which income inequality </w:t>
      </w:r>
      <w:r w:rsidR="00E856DC">
        <w:t xml:space="preserve">could </w:t>
      </w:r>
      <w:r w:rsidR="0071396D" w:rsidRPr="00220A38">
        <w:t>affect economic growth</w:t>
      </w:r>
      <w:r w:rsidR="00606B2B" w:rsidRPr="00220A38">
        <w:rPr>
          <w:rStyle w:val="FootnoteReference"/>
        </w:rPr>
        <w:footnoteReference w:id="5"/>
      </w:r>
      <w:r w:rsidR="004A12A6" w:rsidRPr="00220A38">
        <w:t xml:space="preserve">. </w:t>
      </w:r>
      <w:r w:rsidR="00CD2C6A" w:rsidRPr="00220A38">
        <w:t>First I will discuss the</w:t>
      </w:r>
      <w:r w:rsidR="009D345E" w:rsidRPr="00220A38">
        <w:t xml:space="preserve"> more ‘traditional’ </w:t>
      </w:r>
      <w:r w:rsidR="00CD2C6A" w:rsidRPr="00220A38">
        <w:t>theories that predict a positive relationship between inequality and economic growth</w:t>
      </w:r>
      <w:r w:rsidR="009D345E" w:rsidRPr="00220A38">
        <w:t xml:space="preserve"> based on saving rates, investment indivisibilities and incentives. Next I will discuss the more recent </w:t>
      </w:r>
      <w:r w:rsidR="003D7BF8">
        <w:t>theories</w:t>
      </w:r>
      <w:r w:rsidR="009D345E" w:rsidRPr="00220A38">
        <w:t xml:space="preserve"> </w:t>
      </w:r>
      <w:r w:rsidR="003D7BF8">
        <w:t xml:space="preserve">mainly </w:t>
      </w:r>
      <w:r w:rsidR="009D345E" w:rsidRPr="00220A38">
        <w:t>predicting a negative relationship</w:t>
      </w:r>
      <w:r w:rsidR="000E439A" w:rsidRPr="00220A38">
        <w:t xml:space="preserve">, ending with a brief </w:t>
      </w:r>
      <w:r w:rsidR="00E16E8F">
        <w:t>review of the empirical results based on these theories.</w:t>
      </w:r>
      <w:r w:rsidR="00CD2C6A" w:rsidRPr="00220A38">
        <w:t xml:space="preserve"> </w:t>
      </w:r>
    </w:p>
    <w:p w:rsidR="00CD2C6A" w:rsidRPr="00220A38" w:rsidRDefault="00C2640C" w:rsidP="00142112">
      <w:pPr>
        <w:pStyle w:val="ListParagraph"/>
        <w:numPr>
          <w:ilvl w:val="2"/>
          <w:numId w:val="28"/>
        </w:numPr>
        <w:spacing w:line="360" w:lineRule="auto"/>
        <w:jc w:val="both"/>
        <w:rPr>
          <w:b/>
        </w:rPr>
      </w:pPr>
      <w:r w:rsidRPr="00220A38">
        <w:rPr>
          <w:b/>
        </w:rPr>
        <w:t xml:space="preserve">Positive </w:t>
      </w:r>
      <w:r w:rsidR="004705F5">
        <w:rPr>
          <w:b/>
        </w:rPr>
        <w:t>Relationship</w:t>
      </w:r>
    </w:p>
    <w:p w:rsidR="000A2FF0" w:rsidRPr="00220A38" w:rsidRDefault="005428A3" w:rsidP="00142112">
      <w:pPr>
        <w:spacing w:line="360" w:lineRule="auto"/>
        <w:jc w:val="both"/>
      </w:pPr>
      <w:r w:rsidRPr="00220A38">
        <w:t xml:space="preserve">The first </w:t>
      </w:r>
      <w:r w:rsidR="00E856DC">
        <w:t>theory</w:t>
      </w:r>
      <w:r w:rsidR="00394C7C" w:rsidRPr="00220A38">
        <w:t xml:space="preserve"> </w:t>
      </w:r>
      <w:r w:rsidRPr="00220A38">
        <w:t xml:space="preserve">that </w:t>
      </w:r>
      <w:r w:rsidR="00B86842" w:rsidRPr="00220A38">
        <w:t xml:space="preserve">I’ll discuss is the one based on </w:t>
      </w:r>
      <w:r w:rsidR="000958E9" w:rsidRPr="00220A38">
        <w:t xml:space="preserve">the arguments of </w:t>
      </w:r>
      <w:r w:rsidR="00B86842" w:rsidRPr="00220A38">
        <w:t xml:space="preserve">Keynes (1920) and Kaldor (1956a). </w:t>
      </w:r>
      <w:r w:rsidR="000A2FF0" w:rsidRPr="00220A38">
        <w:t>A</w:t>
      </w:r>
      <w:r w:rsidR="00FB0AE4" w:rsidRPr="00220A38">
        <w:t xml:space="preserve">s mentioned </w:t>
      </w:r>
      <w:r w:rsidR="00B86842" w:rsidRPr="00220A38">
        <w:t xml:space="preserve">in </w:t>
      </w:r>
      <w:r w:rsidR="00D94097" w:rsidRPr="00220A38">
        <w:t>the</w:t>
      </w:r>
      <w:r w:rsidR="00B86842" w:rsidRPr="00220A38">
        <w:t xml:space="preserve"> introduction</w:t>
      </w:r>
      <w:r w:rsidR="00D94097" w:rsidRPr="00220A38">
        <w:t xml:space="preserve"> to this chapter</w:t>
      </w:r>
      <w:r w:rsidR="000A2FF0" w:rsidRPr="00220A38">
        <w:t>,</w:t>
      </w:r>
      <w:r w:rsidR="00394C7C" w:rsidRPr="00220A38">
        <w:t xml:space="preserve"> the wealthy </w:t>
      </w:r>
      <w:r w:rsidR="003D7BF8">
        <w:t>are assumed to have</w:t>
      </w:r>
      <w:r w:rsidR="004569CA" w:rsidRPr="00220A38">
        <w:t xml:space="preserve"> a higher propensity to save</w:t>
      </w:r>
      <w:r w:rsidR="00337585" w:rsidRPr="00220A38">
        <w:t xml:space="preserve"> relative to the poor</w:t>
      </w:r>
      <w:r w:rsidR="004569CA" w:rsidRPr="00220A38">
        <w:t xml:space="preserve">, </w:t>
      </w:r>
      <w:r w:rsidR="00FB0AE4" w:rsidRPr="00220A38">
        <w:t>leading to larger capital accumulation if there is more ine</w:t>
      </w:r>
      <w:r w:rsidRPr="00220A38">
        <w:t>quality present in the economy. Since</w:t>
      </w:r>
      <w:r w:rsidR="003D7BF8">
        <w:t>,</w:t>
      </w:r>
      <w:r w:rsidRPr="00220A38">
        <w:t xml:space="preserve"> in Kaldor’s model</w:t>
      </w:r>
      <w:r w:rsidR="003D7BF8">
        <w:t>,</w:t>
      </w:r>
      <w:r w:rsidRPr="00220A38">
        <w:t xml:space="preserve"> economic growth is driven by capital accumulation which in turn depends on the savings rate, </w:t>
      </w:r>
      <w:r w:rsidR="00337585" w:rsidRPr="00220A38">
        <w:t xml:space="preserve">inequality is </w:t>
      </w:r>
      <w:r w:rsidR="000A2FF0" w:rsidRPr="00220A38">
        <w:t>growth enhancing</w:t>
      </w:r>
      <w:r w:rsidR="00337585" w:rsidRPr="00220A38">
        <w:t>. Stiglitz (1969) reached similar conclusio</w:t>
      </w:r>
      <w:r w:rsidR="00D94097" w:rsidRPr="00220A38">
        <w:t>ns, and Bourguignon (1981) showed</w:t>
      </w:r>
      <w:r w:rsidR="00337585" w:rsidRPr="00220A38">
        <w:t xml:space="preserve"> in a dynamic model</w:t>
      </w:r>
      <w:r w:rsidR="00B86842" w:rsidRPr="00220A38">
        <w:t>,</w:t>
      </w:r>
      <w:r w:rsidR="00337585" w:rsidRPr="00220A38">
        <w:t xml:space="preserve"> based on Stiglitz (1969)</w:t>
      </w:r>
      <w:r w:rsidR="00B86842" w:rsidRPr="00220A38">
        <w:t>,</w:t>
      </w:r>
      <w:r w:rsidR="00337585" w:rsidRPr="00220A38">
        <w:t xml:space="preserve"> that equilibria based on unequal distributions of wealth among individuals are Pareto superior to the equilibrium based on an equal distribution. </w:t>
      </w:r>
      <w:r w:rsidR="008A76BF" w:rsidRPr="00220A38">
        <w:t xml:space="preserve">Key assumption </w:t>
      </w:r>
      <w:r w:rsidR="00B86842" w:rsidRPr="00220A38">
        <w:t xml:space="preserve">in these frameworks </w:t>
      </w:r>
      <w:r w:rsidR="008A76BF" w:rsidRPr="00220A38">
        <w:t>is th</w:t>
      </w:r>
      <w:r w:rsidR="00B86842" w:rsidRPr="00220A38">
        <w:t>at savings increase with income. This has also been assumed in many influential articles,</w:t>
      </w:r>
      <w:r w:rsidR="008A76BF" w:rsidRPr="00220A38">
        <w:t xml:space="preserve"> such as the permanent income hypothesis of Friedman (1957) and the life-cycle hypothesis of Ando and Modigliani (1963</w:t>
      </w:r>
      <w:r w:rsidR="00B86842" w:rsidRPr="00220A38">
        <w:t>)</w:t>
      </w:r>
      <w:r w:rsidR="008A76BF" w:rsidRPr="00220A38">
        <w:t xml:space="preserve">. Also, more general, raising an economy to </w:t>
      </w:r>
      <w:r w:rsidR="00B86842" w:rsidRPr="00220A38">
        <w:t xml:space="preserve">a </w:t>
      </w:r>
      <w:r w:rsidR="008A76BF" w:rsidRPr="00220A38">
        <w:t>higher growth path requires substa</w:t>
      </w:r>
      <w:r w:rsidR="000A2FF0" w:rsidRPr="00220A38">
        <w:t>ntial inve</w:t>
      </w:r>
      <w:r w:rsidR="00B86842" w:rsidRPr="00220A38">
        <w:t xml:space="preserve">stment (Sachs, 2004), which is </w:t>
      </w:r>
      <w:r w:rsidR="000A2FF0" w:rsidRPr="00220A38">
        <w:t>influenced by the income distribution.</w:t>
      </w:r>
      <w:r w:rsidR="00D94097" w:rsidRPr="00220A38">
        <w:t xml:space="preserve"> </w:t>
      </w:r>
    </w:p>
    <w:p w:rsidR="005428A3" w:rsidRPr="00220A38" w:rsidRDefault="008C23C9" w:rsidP="00142112">
      <w:pPr>
        <w:spacing w:line="360" w:lineRule="auto"/>
        <w:jc w:val="both"/>
      </w:pPr>
      <w:r w:rsidRPr="00220A38">
        <w:t>A</w:t>
      </w:r>
      <w:r w:rsidR="00E16E8F">
        <w:t xml:space="preserve"> second theory supporting </w:t>
      </w:r>
      <w:r w:rsidR="000A2FF0" w:rsidRPr="00220A38">
        <w:t xml:space="preserve">a positive relationship between inequality and growth comes from investment indivisibilities and sunk costs. Large investment projects in </w:t>
      </w:r>
      <w:r w:rsidR="00B86842" w:rsidRPr="00220A38">
        <w:t>new economic activities,</w:t>
      </w:r>
      <w:r w:rsidR="000A2FF0" w:rsidRPr="00220A38">
        <w:t xml:space="preserve"> like the setting up of new industries or the </w:t>
      </w:r>
      <w:r w:rsidR="00B86842" w:rsidRPr="00220A38">
        <w:t>use</w:t>
      </w:r>
      <w:r w:rsidR="000A2FF0" w:rsidRPr="00220A38">
        <w:t xml:space="preserve"> of technological innovations</w:t>
      </w:r>
      <w:r w:rsidR="00B86842" w:rsidRPr="00220A38">
        <w:t>,</w:t>
      </w:r>
      <w:r w:rsidR="000A2FF0" w:rsidRPr="00220A38">
        <w:t xml:space="preserve"> often involve large sunk costs. If capital markets are not functioning well, wealth needs to be concentrated if these investments are ever to take place (Aghion </w:t>
      </w:r>
      <w:r w:rsidR="000A2FF0" w:rsidRPr="00220A38">
        <w:rPr>
          <w:i/>
        </w:rPr>
        <w:t>et al</w:t>
      </w:r>
      <w:r w:rsidR="000A2FF0" w:rsidRPr="00220A38">
        <w:t xml:space="preserve">., 1999). </w:t>
      </w:r>
    </w:p>
    <w:p w:rsidR="00CD2C6A" w:rsidRPr="00220A38" w:rsidRDefault="00CC6A0E" w:rsidP="00142112">
      <w:pPr>
        <w:spacing w:line="360" w:lineRule="auto"/>
        <w:jc w:val="both"/>
      </w:pPr>
      <w:r w:rsidRPr="00220A38">
        <w:t>A t</w:t>
      </w:r>
      <w:r w:rsidR="00CD2C6A" w:rsidRPr="00220A38">
        <w:t xml:space="preserve">hird argument </w:t>
      </w:r>
      <w:r w:rsidR="00FF298A" w:rsidRPr="00220A38">
        <w:t>is</w:t>
      </w:r>
      <w:r w:rsidR="000A2FF0" w:rsidRPr="00220A38">
        <w:t xml:space="preserve"> based on incentives and </w:t>
      </w:r>
      <w:r w:rsidR="00CD2C6A" w:rsidRPr="00220A38">
        <w:t>the possible trade-off between equity and efficiency.</w:t>
      </w:r>
      <w:r w:rsidR="00553FE1" w:rsidRPr="00220A38">
        <w:t xml:space="preserve"> A more unequal society can generate incentives for workers to make an additional effort. Since output depends on the effort of workers, less effort results in a less efficient economy, lowering growth rates</w:t>
      </w:r>
      <w:r w:rsidR="00B5794A" w:rsidRPr="00220A38">
        <w:t xml:space="preserve"> </w:t>
      </w:r>
      <w:r w:rsidR="00553FE1" w:rsidRPr="00220A38">
        <w:t>(Mirrlees</w:t>
      </w:r>
      <w:r w:rsidR="000A2FF0" w:rsidRPr="00220A38">
        <w:t>,</w:t>
      </w:r>
      <w:r w:rsidR="00553FE1" w:rsidRPr="00220A38">
        <w:t xml:space="preserve"> 1971). </w:t>
      </w:r>
      <w:r w:rsidRPr="00220A38">
        <w:t xml:space="preserve">Voitchovsky </w:t>
      </w:r>
      <w:r w:rsidR="003D7BF8">
        <w:t xml:space="preserve">similarly </w:t>
      </w:r>
      <w:r w:rsidRPr="00220A38">
        <w:t>states that:’ In an economic structure where ability is rewarded, effort, productivity and risk</w:t>
      </w:r>
      <w:r w:rsidR="00B5794A" w:rsidRPr="00220A38">
        <w:t xml:space="preserve"> </w:t>
      </w:r>
      <w:r w:rsidRPr="00220A38">
        <w:t xml:space="preserve">taking will also be encouraged, generating higher growth rates </w:t>
      </w:r>
      <w:r w:rsidRPr="00220A38">
        <w:lastRenderedPageBreak/>
        <w:t>as well</w:t>
      </w:r>
      <w:r w:rsidR="001D0765" w:rsidRPr="00220A38">
        <w:t xml:space="preserve"> as income inequality as </w:t>
      </w:r>
      <w:r w:rsidR="00B86842" w:rsidRPr="00220A38">
        <w:t xml:space="preserve">a </w:t>
      </w:r>
      <w:r w:rsidR="001D0765" w:rsidRPr="00220A38">
        <w:t>result</w:t>
      </w:r>
      <w:r w:rsidRPr="00220A38">
        <w:t>’</w:t>
      </w:r>
      <w:r w:rsidR="00A72E86" w:rsidRPr="00220A38">
        <w:t xml:space="preserve"> </w:t>
      </w:r>
      <w:r w:rsidR="001D0765" w:rsidRPr="00220A38">
        <w:t>(</w:t>
      </w:r>
      <w:r w:rsidR="00A72E86" w:rsidRPr="00220A38">
        <w:t>Voitchovsky, 2005, p. 276</w:t>
      </w:r>
      <w:r w:rsidR="001D0765" w:rsidRPr="00220A38">
        <w:t>)</w:t>
      </w:r>
      <w:r w:rsidR="00A72E86" w:rsidRPr="00220A38">
        <w:t>.</w:t>
      </w:r>
      <w:r w:rsidRPr="00220A38">
        <w:t xml:space="preserve"> </w:t>
      </w:r>
      <w:r w:rsidR="00E16E8F">
        <w:t>Not only has this line of argument</w:t>
      </w:r>
      <w:r w:rsidR="003D7BF8">
        <w:t xml:space="preserve"> been applied on a macro-economic level, but also on a micro-economic level. For exmaple</w:t>
      </w:r>
      <w:r w:rsidR="00B86842" w:rsidRPr="00220A38">
        <w:t xml:space="preserve"> </w:t>
      </w:r>
      <w:r w:rsidR="00F538B2" w:rsidRPr="00220A38">
        <w:t>Mahy</w:t>
      </w:r>
      <w:r w:rsidR="00A72E86" w:rsidRPr="00220A38">
        <w:t xml:space="preserve"> </w:t>
      </w:r>
      <w:r w:rsidR="00A72E86" w:rsidRPr="00220A38">
        <w:rPr>
          <w:i/>
        </w:rPr>
        <w:t>et al</w:t>
      </w:r>
      <w:r w:rsidR="00A72E86" w:rsidRPr="00220A38">
        <w:t>.</w:t>
      </w:r>
      <w:r w:rsidR="00F538B2" w:rsidRPr="00220A38">
        <w:t xml:space="preserve"> (2011) have found that within firms, productivity is enhanced by </w:t>
      </w:r>
      <w:r w:rsidR="00D23CF7">
        <w:t>wider</w:t>
      </w:r>
      <w:r w:rsidR="00F538B2" w:rsidRPr="00220A38">
        <w:t xml:space="preserve"> wage dispersion. </w:t>
      </w:r>
    </w:p>
    <w:p w:rsidR="00392477" w:rsidRPr="00220A38" w:rsidRDefault="00606B2B" w:rsidP="00142112">
      <w:pPr>
        <w:pStyle w:val="ListParagraph"/>
        <w:numPr>
          <w:ilvl w:val="2"/>
          <w:numId w:val="28"/>
        </w:numPr>
        <w:spacing w:line="360" w:lineRule="auto"/>
        <w:jc w:val="both"/>
        <w:rPr>
          <w:b/>
        </w:rPr>
      </w:pPr>
      <w:r w:rsidRPr="00220A38">
        <w:rPr>
          <w:b/>
        </w:rPr>
        <w:t>Credit Market Imperfections</w:t>
      </w:r>
      <w:r w:rsidR="00F26FDF" w:rsidRPr="00220A38">
        <w:rPr>
          <w:b/>
        </w:rPr>
        <w:t xml:space="preserve"> </w:t>
      </w:r>
    </w:p>
    <w:p w:rsidR="00C47454" w:rsidRPr="00220A38" w:rsidRDefault="00FF298A" w:rsidP="00142112">
      <w:pPr>
        <w:spacing w:line="360" w:lineRule="auto"/>
        <w:jc w:val="both"/>
      </w:pPr>
      <w:r w:rsidRPr="00220A38">
        <w:t xml:space="preserve">As </w:t>
      </w:r>
      <w:r w:rsidR="00E52970" w:rsidRPr="00220A38">
        <w:t>stated before, endogenous growth models brought new determinants of economic growth as for example human capital and its externalities (</w:t>
      </w:r>
      <w:r w:rsidR="00E16E8F">
        <w:t xml:space="preserve">e.g. </w:t>
      </w:r>
      <w:r w:rsidR="00E52970" w:rsidRPr="00220A38">
        <w:t>Lucas</w:t>
      </w:r>
      <w:r w:rsidR="00A72E86" w:rsidRPr="00220A38">
        <w:t>,</w:t>
      </w:r>
      <w:r w:rsidR="00E52970" w:rsidRPr="00220A38">
        <w:t xml:space="preserve"> 1988). </w:t>
      </w:r>
      <w:r w:rsidR="001E2F9E" w:rsidRPr="00220A38">
        <w:t xml:space="preserve">Galor and Zeira (1993) were the first to posit a relationship between income inequality, </w:t>
      </w:r>
      <w:r w:rsidR="007F7B20" w:rsidRPr="00220A38">
        <w:t xml:space="preserve">subsequent unequal investment </w:t>
      </w:r>
      <w:r w:rsidR="00AF229B" w:rsidRPr="00220A38">
        <w:t xml:space="preserve">in </w:t>
      </w:r>
      <w:r w:rsidR="001E2F9E" w:rsidRPr="00220A38">
        <w:t>human capital a</w:t>
      </w:r>
      <w:r w:rsidR="003F374C" w:rsidRPr="00220A38">
        <w:t>nd its effect on economic growth</w:t>
      </w:r>
      <w:r w:rsidR="00717993" w:rsidRPr="00220A38">
        <w:t xml:space="preserve"> by assuming imperfect credit markets and indivisibilities in investments in human capital. </w:t>
      </w:r>
      <w:r w:rsidR="001F791D" w:rsidRPr="00220A38">
        <w:t xml:space="preserve">Imperfect credit markets result in a higher interest </w:t>
      </w:r>
      <w:r w:rsidR="00564F86" w:rsidRPr="00220A38">
        <w:t xml:space="preserve">rate </w:t>
      </w:r>
      <w:r w:rsidR="001F791D" w:rsidRPr="00220A38">
        <w:t xml:space="preserve">for borrowers than for lenders. In </w:t>
      </w:r>
      <w:r w:rsidRPr="00220A38">
        <w:t>an</w:t>
      </w:r>
      <w:r w:rsidR="001F791D" w:rsidRPr="00220A38">
        <w:t xml:space="preserve"> overlapping-generations model they show</w:t>
      </w:r>
      <w:r w:rsidR="008A4313" w:rsidRPr="00220A38">
        <w:t>ed</w:t>
      </w:r>
      <w:r w:rsidR="001F791D" w:rsidRPr="00220A38">
        <w:t xml:space="preserve"> that imperfect credit markets and indivisibilities in investment in human capital lead to an underinvestment in human </w:t>
      </w:r>
      <w:r w:rsidR="00564F86" w:rsidRPr="00220A38">
        <w:t>capital. This</w:t>
      </w:r>
      <w:r w:rsidR="001F791D" w:rsidRPr="00220A38">
        <w:t xml:space="preserve"> not only harm</w:t>
      </w:r>
      <w:r w:rsidR="00564F86" w:rsidRPr="00220A38">
        <w:t>s</w:t>
      </w:r>
      <w:r w:rsidR="001F791D" w:rsidRPr="00220A38">
        <w:t xml:space="preserve"> economic growth in the short run but also in the long run because of bequests or intergenerational transfers. Investment in human capital is only possible for individuals who inherit sufficient capital</w:t>
      </w:r>
      <w:r w:rsidR="00C744F4" w:rsidRPr="00220A38">
        <w:t xml:space="preserve">. </w:t>
      </w:r>
      <w:r w:rsidR="000958E9" w:rsidRPr="00220A38">
        <w:t xml:space="preserve">In their paper, </w:t>
      </w:r>
      <w:r w:rsidR="00C744F4" w:rsidRPr="00220A38">
        <w:t xml:space="preserve">Galor and Zeira emphasize the importance of a large middle-income class to ensure high economic growth. </w:t>
      </w:r>
    </w:p>
    <w:p w:rsidR="00F72B42" w:rsidRPr="00220A38" w:rsidRDefault="007F7B20" w:rsidP="00142112">
      <w:pPr>
        <w:spacing w:line="360" w:lineRule="auto"/>
        <w:jc w:val="both"/>
      </w:pPr>
      <w:r w:rsidRPr="00220A38">
        <w:t xml:space="preserve">Banerjee and Newman (1993) use similar assumptions </w:t>
      </w:r>
      <w:r w:rsidR="00E856DC">
        <w:t>b</w:t>
      </w:r>
      <w:r w:rsidR="003D7BF8">
        <w:t>ut relate them</w:t>
      </w:r>
      <w:r w:rsidRPr="00220A38">
        <w:t xml:space="preserve"> to </w:t>
      </w:r>
      <w:r w:rsidR="00AF229B" w:rsidRPr="00220A38">
        <w:t>sub-</w:t>
      </w:r>
      <w:r w:rsidRPr="00220A38">
        <w:t xml:space="preserve">optimal investment in entrepreneurial activity, also resulting in lower economic growth. </w:t>
      </w:r>
      <w:r w:rsidR="00C744F4" w:rsidRPr="00220A38">
        <w:t>In their model, instead of choosing to be a skilled or unskilled worker as in the Galor and Zeira setup, individuals choose between becoming a worker or an entrepreneur. Similarly, because of fixed costs involved with entrepreneurship and imperfect credit markets, there will be underinvestment in entrepreneurial activity and hence lower economic growth.</w:t>
      </w:r>
    </w:p>
    <w:p w:rsidR="00C744F4" w:rsidRPr="00220A38" w:rsidRDefault="00C744F4" w:rsidP="00142112">
      <w:pPr>
        <w:spacing w:line="360" w:lineRule="auto"/>
        <w:jc w:val="both"/>
      </w:pPr>
      <w:r w:rsidRPr="00220A38">
        <w:t xml:space="preserve">Aghion and Bolton (1997) </w:t>
      </w:r>
      <w:r w:rsidR="00DD581B" w:rsidRPr="00220A38">
        <w:t xml:space="preserve">developed a ‘trickle-down’ model where capital accumulation of wealthier individuals can trickle down </w:t>
      </w:r>
      <w:r w:rsidR="000958E9" w:rsidRPr="00220A38">
        <w:t>to</w:t>
      </w:r>
      <w:r w:rsidR="00DD581B" w:rsidRPr="00220A38">
        <w:t xml:space="preserve"> the poor via the capital market. They endogenize</w:t>
      </w:r>
      <w:r w:rsidR="008C23C9" w:rsidRPr="00220A38">
        <w:t>d</w:t>
      </w:r>
      <w:r w:rsidR="00DD581B" w:rsidRPr="00220A38">
        <w:t xml:space="preserve"> the interest rate so that when capital accumulates through savings by the wealthier, interest rates drop so the less</w:t>
      </w:r>
      <w:r w:rsidR="00AB7AD1" w:rsidRPr="00220A38">
        <w:t xml:space="preserve"> </w:t>
      </w:r>
      <w:r w:rsidR="00564F86" w:rsidRPr="00220A38">
        <w:t>wealthy</w:t>
      </w:r>
      <w:r w:rsidR="00AB7AD1" w:rsidRPr="00220A38">
        <w:t xml:space="preserve"> individuals are also able to benefit from credit. The outcome </w:t>
      </w:r>
      <w:r w:rsidR="008C23C9" w:rsidRPr="00220A38">
        <w:t xml:space="preserve">of their model </w:t>
      </w:r>
      <w:r w:rsidR="00AB7AD1" w:rsidRPr="00220A38">
        <w:t xml:space="preserve">is </w:t>
      </w:r>
      <w:r w:rsidR="008C23C9" w:rsidRPr="00220A38">
        <w:t>ambiguous</w:t>
      </w:r>
      <w:r w:rsidR="00AB7AD1" w:rsidRPr="00220A38">
        <w:t xml:space="preserve"> as it depends on which effect dominates: accumulation of savings by the rich (more inequality) or the trickle-down process.</w:t>
      </w:r>
      <w:r w:rsidR="009D345E" w:rsidRPr="00220A38">
        <w:t xml:space="preserve"> </w:t>
      </w:r>
    </w:p>
    <w:p w:rsidR="003D7BF8" w:rsidRDefault="00AB7AD1" w:rsidP="00142112">
      <w:pPr>
        <w:spacing w:line="360" w:lineRule="auto"/>
        <w:jc w:val="both"/>
      </w:pPr>
      <w:r w:rsidRPr="00220A38">
        <w:t>A recent model by Foellmi and Oechslin (2008) show</w:t>
      </w:r>
      <w:r w:rsidR="008C23C9" w:rsidRPr="00220A38">
        <w:t>ed</w:t>
      </w:r>
      <w:r w:rsidRPr="00220A38">
        <w:t xml:space="preserve"> an adverse result. That is, if inequality is decreased by redistribution from the wealthier to the middle-class</w:t>
      </w:r>
      <w:r w:rsidR="002C76BB" w:rsidRPr="00220A38">
        <w:t xml:space="preserve">, the demand for capital will increase as will the </w:t>
      </w:r>
      <w:r w:rsidR="008C23C9" w:rsidRPr="00220A38">
        <w:t xml:space="preserve">interest rate. Poor individuals, confronted with higher interest rates, </w:t>
      </w:r>
      <w:r w:rsidR="002C76BB" w:rsidRPr="00220A38">
        <w:t xml:space="preserve">will not be able to invest as much as would be optimal given their higher marginal return, which will have a negative effect on economic growth. Assumptions in this model include an increasing but concave investment function in the initial endowment, causing the raised demand for capital. </w:t>
      </w:r>
    </w:p>
    <w:p w:rsidR="00CE2D82" w:rsidRPr="00220A38" w:rsidRDefault="00CE2D82" w:rsidP="00142112">
      <w:pPr>
        <w:spacing w:line="360" w:lineRule="auto"/>
        <w:jc w:val="both"/>
      </w:pPr>
    </w:p>
    <w:p w:rsidR="00951D4E" w:rsidRPr="00220A38" w:rsidRDefault="00951D4E" w:rsidP="00142112">
      <w:pPr>
        <w:pStyle w:val="ListParagraph"/>
        <w:numPr>
          <w:ilvl w:val="2"/>
          <w:numId w:val="28"/>
        </w:numPr>
        <w:spacing w:line="360" w:lineRule="auto"/>
        <w:jc w:val="both"/>
        <w:rPr>
          <w:b/>
        </w:rPr>
      </w:pPr>
      <w:r w:rsidRPr="00220A38">
        <w:rPr>
          <w:b/>
        </w:rPr>
        <w:lastRenderedPageBreak/>
        <w:t>Political Instability</w:t>
      </w:r>
    </w:p>
    <w:p w:rsidR="0027588E" w:rsidRPr="00220A38" w:rsidRDefault="00951D4E" w:rsidP="00142112">
      <w:pPr>
        <w:spacing w:line="360" w:lineRule="auto"/>
        <w:jc w:val="both"/>
      </w:pPr>
      <w:r w:rsidRPr="00220A38">
        <w:t xml:space="preserve">Alesina and Perotti (1996) </w:t>
      </w:r>
      <w:r w:rsidR="008A4313" w:rsidRPr="00220A38">
        <w:t>have linked</w:t>
      </w:r>
      <w:r w:rsidRPr="00220A38">
        <w:t xml:space="preserve"> inequality to economic growth via political instability. They use</w:t>
      </w:r>
      <w:r w:rsidR="008A4313" w:rsidRPr="00220A38">
        <w:t>d</w:t>
      </w:r>
      <w:r w:rsidRPr="00220A38">
        <w:t xml:space="preserve"> a neo-classical growth </w:t>
      </w:r>
      <w:r w:rsidR="00FF298A" w:rsidRPr="00220A38">
        <w:t>model</w:t>
      </w:r>
      <w:r w:rsidRPr="00220A38">
        <w:t xml:space="preserve"> in which investment is a determinant of economic growth. In their model, inequality increases political instability, thereby decreasing the investment rate of the economy and hampering economic growth</w:t>
      </w:r>
      <w:r w:rsidR="003B2E40" w:rsidRPr="00220A38">
        <w:t>.</w:t>
      </w:r>
      <w:r w:rsidRPr="00220A38">
        <w:t xml:space="preserve"> Political instability then refers to their argument that with public discontent regarding the unequal society, the probability of social unrest through coups, mass violence etc. will increase policy uncertainty and will threaten property rights, which will have a negative effect on the investment rate. In their </w:t>
      </w:r>
      <w:r w:rsidR="00B11FD9" w:rsidRPr="00220A38">
        <w:t>paper</w:t>
      </w:r>
      <w:r w:rsidRPr="00220A38">
        <w:t xml:space="preserve"> they acknowledged that political instability will be a variable that is “hard to define in a way which can be used for empirical work”</w:t>
      </w:r>
      <w:r w:rsidR="00A82F70" w:rsidRPr="00220A38">
        <w:t xml:space="preserve"> </w:t>
      </w:r>
      <w:r w:rsidR="00A72E86" w:rsidRPr="00220A38">
        <w:t>(Alesina and Perotti, 1996, p. 1205)</w:t>
      </w:r>
      <w:r w:rsidRPr="00220A38">
        <w:t>. The political instability approach looks more relevant for Latin-American and African countries than for more advanced economies</w:t>
      </w:r>
      <w:r w:rsidR="00880CCB" w:rsidRPr="00220A38">
        <w:t xml:space="preserve"> (</w:t>
      </w:r>
      <w:r w:rsidR="00F538B2" w:rsidRPr="00220A38">
        <w:t>Barro, 2008</w:t>
      </w:r>
      <w:r w:rsidR="00880CCB" w:rsidRPr="00220A38">
        <w:t>)</w:t>
      </w:r>
      <w:r w:rsidRPr="00220A38">
        <w:t>, alt</w:t>
      </w:r>
      <w:r w:rsidR="008A4313" w:rsidRPr="00220A38">
        <w:t>hough e.g. Rodriquez (2000) used</w:t>
      </w:r>
      <w:r w:rsidRPr="00220A38">
        <w:t xml:space="preserve"> US </w:t>
      </w:r>
      <w:r w:rsidR="003D7BF8">
        <w:t>state-</w:t>
      </w:r>
      <w:r w:rsidRPr="00220A38">
        <w:t xml:space="preserve">data </w:t>
      </w:r>
      <w:r w:rsidR="008A4313" w:rsidRPr="00220A38">
        <w:t xml:space="preserve">in a two-stage analysis </w:t>
      </w:r>
      <w:r w:rsidRPr="00220A38">
        <w:t>to show that there is a strong relationship between inequality and violent</w:t>
      </w:r>
      <w:r w:rsidR="00B11FD9" w:rsidRPr="00220A38">
        <w:t xml:space="preserve"> crimes</w:t>
      </w:r>
      <w:r w:rsidRPr="00220A38">
        <w:t xml:space="preserve"> and </w:t>
      </w:r>
      <w:r w:rsidR="00880CCB" w:rsidRPr="00220A38">
        <w:t xml:space="preserve">subsequently between </w:t>
      </w:r>
      <w:r w:rsidRPr="00220A38">
        <w:t xml:space="preserve">this proxy </w:t>
      </w:r>
      <w:r w:rsidR="00880CCB" w:rsidRPr="00220A38">
        <w:t xml:space="preserve">for instability </w:t>
      </w:r>
      <w:r w:rsidRPr="00220A38">
        <w:t>and economic growth.</w:t>
      </w:r>
      <w:r w:rsidR="008A4313" w:rsidRPr="00220A38">
        <w:t xml:space="preserve"> Easterly (2001) related</w:t>
      </w:r>
      <w:r w:rsidR="00880CCB" w:rsidRPr="00220A38">
        <w:t xml:space="preserve"> </w:t>
      </w:r>
      <w:r w:rsidR="008A4313" w:rsidRPr="00220A38">
        <w:t>a larger middle class (a more equal society)</w:t>
      </w:r>
      <w:r w:rsidR="00880CCB" w:rsidRPr="00220A38">
        <w:t xml:space="preserve"> to less political instability. Furthermore, Collier and Hoeffler (2002) argue</w:t>
      </w:r>
      <w:r w:rsidR="008A4313" w:rsidRPr="00220A38">
        <w:t>d</w:t>
      </w:r>
      <w:r w:rsidR="00880CCB" w:rsidRPr="00220A38">
        <w:t xml:space="preserve"> that if </w:t>
      </w:r>
      <w:r w:rsidR="002E2297" w:rsidRPr="00220A38">
        <w:t>there is a minimum wage, the full cost of instability will be borne</w:t>
      </w:r>
      <w:r w:rsidR="00FF298A" w:rsidRPr="00220A38">
        <w:t xml:space="preserve"> </w:t>
      </w:r>
      <w:r w:rsidR="002E2297" w:rsidRPr="00220A38">
        <w:t>by capital with a negative impact on capital accumulation and economic growth.</w:t>
      </w:r>
      <w:r w:rsidR="00946560" w:rsidRPr="00220A38">
        <w:t xml:space="preserve"> </w:t>
      </w:r>
    </w:p>
    <w:p w:rsidR="00951D4E" w:rsidRPr="00220A38" w:rsidRDefault="00951D4E" w:rsidP="00142112">
      <w:pPr>
        <w:pStyle w:val="ListParagraph"/>
        <w:numPr>
          <w:ilvl w:val="2"/>
          <w:numId w:val="28"/>
        </w:numPr>
        <w:spacing w:line="360" w:lineRule="auto"/>
        <w:jc w:val="both"/>
        <w:rPr>
          <w:b/>
        </w:rPr>
      </w:pPr>
      <w:r w:rsidRPr="00220A38">
        <w:rPr>
          <w:b/>
        </w:rPr>
        <w:t>Median Voter Theorem</w:t>
      </w:r>
    </w:p>
    <w:p w:rsidR="00F26FDF" w:rsidRPr="00220A38" w:rsidRDefault="008A4313" w:rsidP="00142112">
      <w:pPr>
        <w:spacing w:line="360" w:lineRule="auto"/>
        <w:jc w:val="both"/>
      </w:pPr>
      <w:r w:rsidRPr="00220A38">
        <w:t>Using the median voter theorem,</w:t>
      </w:r>
      <w:r w:rsidR="00951D4E" w:rsidRPr="00220A38">
        <w:t xml:space="preserve"> Persson and Tabellini (1994) hypothesize</w:t>
      </w:r>
      <w:r w:rsidRPr="00220A38">
        <w:t>d</w:t>
      </w:r>
      <w:r w:rsidR="00951D4E" w:rsidRPr="00220A38">
        <w:t xml:space="preserve"> that inequality, measured as the difference between the median and mean income, will cause people in democratic countries to vote for more redistributi</w:t>
      </w:r>
      <w:r w:rsidR="00FF298A" w:rsidRPr="00220A38">
        <w:t>ve</w:t>
      </w:r>
      <w:r w:rsidRPr="00220A38">
        <w:t xml:space="preserve"> policies. This results</w:t>
      </w:r>
      <w:r w:rsidR="00951D4E" w:rsidRPr="00220A38">
        <w:t xml:space="preserve"> in progressive tax-regimes which cause distortions in production and investment. </w:t>
      </w:r>
      <w:r w:rsidR="00B11FD9" w:rsidRPr="00220A38">
        <w:t>R</w:t>
      </w:r>
      <w:r w:rsidR="00951D4E" w:rsidRPr="00220A38">
        <w:t>edistribution therefore causes lower entrepreneurial acti</w:t>
      </w:r>
      <w:r w:rsidR="00983506" w:rsidRPr="00220A38">
        <w:t xml:space="preserve">vity. </w:t>
      </w:r>
      <w:r w:rsidR="00F256CD" w:rsidRPr="00220A38">
        <w:t xml:space="preserve">Their model considers infinitely lived agents. </w:t>
      </w:r>
      <w:r w:rsidR="00983506" w:rsidRPr="00220A38">
        <w:t>Alesina and Rodrik (</w:t>
      </w:r>
      <w:r w:rsidR="00951D4E" w:rsidRPr="00220A38">
        <w:t>1994) use</w:t>
      </w:r>
      <w:r w:rsidRPr="00220A38">
        <w:t>d</w:t>
      </w:r>
      <w:r w:rsidR="00951D4E" w:rsidRPr="00220A38">
        <w:t xml:space="preserve"> s</w:t>
      </w:r>
      <w:r w:rsidRPr="00220A38">
        <w:t xml:space="preserve">imilar reasoning </w:t>
      </w:r>
      <w:r w:rsidR="00F256CD" w:rsidRPr="00220A38">
        <w:t>but in an overlapping (two-period) generations model</w:t>
      </w:r>
      <w:r w:rsidR="00951D4E" w:rsidRPr="00220A38">
        <w:t xml:space="preserve">: the median voter has a relatively small </w:t>
      </w:r>
      <w:r w:rsidR="00F43319" w:rsidRPr="00220A38">
        <w:t>endowment</w:t>
      </w:r>
      <w:r w:rsidR="00951D4E" w:rsidRPr="00220A38">
        <w:t xml:space="preserve"> of capital in an unequal society, therefore he will vote for higher taxes on capital which constrain the economy’s ability to invest </w:t>
      </w:r>
      <w:r w:rsidR="00F256CD" w:rsidRPr="00220A38">
        <w:t>and innovate</w:t>
      </w:r>
      <w:r w:rsidR="005E45B0" w:rsidRPr="00220A38">
        <w:t>.</w:t>
      </w:r>
      <w:r w:rsidR="0027588E">
        <w:t xml:space="preserve"> </w:t>
      </w:r>
    </w:p>
    <w:p w:rsidR="000D29DF" w:rsidRPr="00220A38" w:rsidRDefault="00851EC6" w:rsidP="00142112">
      <w:pPr>
        <w:pStyle w:val="ListParagraph"/>
        <w:numPr>
          <w:ilvl w:val="2"/>
          <w:numId w:val="28"/>
        </w:numPr>
        <w:spacing w:line="360" w:lineRule="auto"/>
        <w:jc w:val="both"/>
        <w:rPr>
          <w:b/>
        </w:rPr>
      </w:pPr>
      <w:r w:rsidRPr="00220A38">
        <w:rPr>
          <w:b/>
        </w:rPr>
        <w:t xml:space="preserve">Recent </w:t>
      </w:r>
      <w:r w:rsidR="00C2640C" w:rsidRPr="00220A38">
        <w:rPr>
          <w:b/>
        </w:rPr>
        <w:t>T</w:t>
      </w:r>
      <w:r w:rsidRPr="00220A38">
        <w:rPr>
          <w:b/>
        </w:rPr>
        <w:t>heories</w:t>
      </w:r>
    </w:p>
    <w:p w:rsidR="00553FE1" w:rsidRPr="00220A38" w:rsidRDefault="005E45B0" w:rsidP="00142112">
      <w:pPr>
        <w:spacing w:line="360" w:lineRule="auto"/>
        <w:jc w:val="both"/>
      </w:pPr>
      <w:r w:rsidRPr="00220A38">
        <w:t xml:space="preserve">Besides the main arguments as described in 2.3.1-2.3.4, other theories have also been published on the relationship between inequality and growth. </w:t>
      </w:r>
      <w:r w:rsidR="00553FE1" w:rsidRPr="00220A38">
        <w:t xml:space="preserve">As mentioned earlier, investments in education can benefit economic growth. High fertility rates are often associated with lower economic growth rates (De Dominicis </w:t>
      </w:r>
      <w:r w:rsidR="004154A9" w:rsidRPr="00220A38">
        <w:rPr>
          <w:i/>
        </w:rPr>
        <w:t xml:space="preserve">et al., </w:t>
      </w:r>
      <w:r w:rsidR="00553FE1" w:rsidRPr="00220A38">
        <w:t>2008). Galor and Zang (1997) were the first</w:t>
      </w:r>
      <w:r w:rsidR="007D4AEE" w:rsidRPr="00220A38">
        <w:t xml:space="preserve"> to relate these two with income inequality. When the income distribution in a society is given, higher fertility rates cause a family to invest less per child in education. This</w:t>
      </w:r>
      <w:r w:rsidR="004154A9" w:rsidRPr="00220A38">
        <w:t xml:space="preserve"> can cause growth to contract. </w:t>
      </w:r>
      <w:r w:rsidR="007D4AEE" w:rsidRPr="00220A38">
        <w:t>Therefore, less equal societies have higher fer</w:t>
      </w:r>
      <w:r w:rsidR="00650C58" w:rsidRPr="00220A38">
        <w:t xml:space="preserve">tility differentials and </w:t>
      </w:r>
      <w:r w:rsidR="007D4AEE" w:rsidRPr="00220A38">
        <w:t>lower investment in human capital which consequently weaken</w:t>
      </w:r>
      <w:r w:rsidR="004154A9" w:rsidRPr="00220A38">
        <w:t>s</w:t>
      </w:r>
      <w:r w:rsidR="007D4AEE" w:rsidRPr="00220A38">
        <w:t xml:space="preserve"> their economic growth</w:t>
      </w:r>
      <w:r w:rsidR="004154A9" w:rsidRPr="00220A38">
        <w:t xml:space="preserve"> (de la Croix and Doepke, 2003; </w:t>
      </w:r>
      <w:r w:rsidR="007D4AEE" w:rsidRPr="00220A38">
        <w:t>Moav</w:t>
      </w:r>
      <w:r w:rsidR="004154A9" w:rsidRPr="00220A38">
        <w:t>,</w:t>
      </w:r>
      <w:r w:rsidR="007D4AEE" w:rsidRPr="00220A38">
        <w:t xml:space="preserve"> 2005).</w:t>
      </w:r>
    </w:p>
    <w:p w:rsidR="007D4AEE" w:rsidRPr="00220A38" w:rsidRDefault="007D4AEE" w:rsidP="00142112">
      <w:pPr>
        <w:spacing w:line="360" w:lineRule="auto"/>
        <w:jc w:val="both"/>
      </w:pPr>
      <w:r w:rsidRPr="00220A38">
        <w:lastRenderedPageBreak/>
        <w:t>Cas</w:t>
      </w:r>
      <w:r w:rsidR="00937303" w:rsidRPr="00220A38">
        <w:t>tello-Climent and Domenech (2008</w:t>
      </w:r>
      <w:r w:rsidRPr="00220A38">
        <w:t>) develop</w:t>
      </w:r>
      <w:r w:rsidR="000D192E" w:rsidRPr="00220A38">
        <w:t>ed</w:t>
      </w:r>
      <w:r w:rsidRPr="00220A38">
        <w:t xml:space="preserve"> a model where a similar trade off occurs. In their model, it is not the differences in fertility that cause underinvestment in human capital, but the differences in life expectancy</w:t>
      </w:r>
      <w:r w:rsidR="005E45B0" w:rsidRPr="00220A38">
        <w:t>. As in their earlier article (Castello-Climent and Domenech, 2002)</w:t>
      </w:r>
      <w:r w:rsidR="000D192E" w:rsidRPr="00220A38">
        <w:t xml:space="preserve">, they posited that human capital inequality could be a better proxy for wealth inequality than the typically used income inequality measures. In their model, inequality affects economic growth (per capita income) through their investment in human capital accumulation. This investment partially depends on their life expectancy, which in turn depends on the human capital of their parents. </w:t>
      </w:r>
    </w:p>
    <w:p w:rsidR="00BA6C36" w:rsidRPr="00220A38" w:rsidRDefault="000D192E" w:rsidP="00142112">
      <w:pPr>
        <w:spacing w:line="360" w:lineRule="auto"/>
        <w:jc w:val="both"/>
      </w:pPr>
      <w:r w:rsidRPr="00220A38">
        <w:t xml:space="preserve">In an attempt to capture multiple theories on the subject in one framework, </w:t>
      </w:r>
      <w:r w:rsidR="00BA6C36" w:rsidRPr="00220A38">
        <w:t xml:space="preserve">Galor and Moav (2004) and Galor (2011) provided a so-called unified theory. They </w:t>
      </w:r>
      <w:r w:rsidRPr="00220A38">
        <w:t>contended</w:t>
      </w:r>
      <w:r w:rsidR="00BA6C36" w:rsidRPr="00220A38">
        <w:t xml:space="preserve"> that the effect of the income distribution on economic growth depends on the development level of a country. In the earlier stages, economic growth is mostly based on physical capital accumulation whereas in later stages of development, human capital accumulation is the main driver of economic growth. Since inequality fosters physical capital accumulation for reasons </w:t>
      </w:r>
      <w:r w:rsidRPr="00220A38">
        <w:t>discussed earlier</w:t>
      </w:r>
      <w:r w:rsidR="00BA6C36" w:rsidRPr="00220A38">
        <w:t>, inequality is beneficial to economic growth in the early stages of development</w:t>
      </w:r>
      <w:r w:rsidR="00851EC6" w:rsidRPr="00220A38">
        <w:t xml:space="preserve">. Subsequently, when growth is driven relatively more by human capital accumulation, equality is beneficial to economic growth because of the credit market imperfections </w:t>
      </w:r>
      <w:r w:rsidRPr="00220A38">
        <w:t>argument</w:t>
      </w:r>
      <w:r w:rsidR="00851EC6" w:rsidRPr="00220A38">
        <w:t xml:space="preserve">. Note that this theory is based on the evolution of long-term growth. For LDC’s, the import of skill-biased technologies increases the return of human capital. Therefore, in this framework it could be that current LDC’s benefit more from equal societies than currently developed countries did in their early stages of development, when growth was mainly driven by physical capital accumulation.  </w:t>
      </w:r>
    </w:p>
    <w:p w:rsidR="00AE785C" w:rsidRPr="00220A38" w:rsidRDefault="000716AC" w:rsidP="00142112">
      <w:pPr>
        <w:pStyle w:val="ListParagraph"/>
        <w:numPr>
          <w:ilvl w:val="2"/>
          <w:numId w:val="28"/>
        </w:numPr>
        <w:spacing w:line="360" w:lineRule="auto"/>
        <w:jc w:val="both"/>
        <w:rPr>
          <w:b/>
        </w:rPr>
      </w:pPr>
      <w:r w:rsidRPr="00220A38">
        <w:rPr>
          <w:b/>
        </w:rPr>
        <w:t>Empirical R</w:t>
      </w:r>
      <w:r w:rsidR="00AE785C" w:rsidRPr="00220A38">
        <w:rPr>
          <w:b/>
        </w:rPr>
        <w:t>esults</w:t>
      </w:r>
    </w:p>
    <w:p w:rsidR="00781859" w:rsidRDefault="00E16E8F" w:rsidP="00142112">
      <w:pPr>
        <w:spacing w:line="360" w:lineRule="auto"/>
        <w:jc w:val="both"/>
      </w:pPr>
      <w:r>
        <w:rPr>
          <w:color w:val="231F20"/>
        </w:rPr>
        <w:t>As is clear from the previous</w:t>
      </w:r>
      <w:r w:rsidR="0027588E">
        <w:rPr>
          <w:color w:val="231F20"/>
        </w:rPr>
        <w:t xml:space="preserve"> discussion </w:t>
      </w:r>
      <w:r>
        <w:rPr>
          <w:color w:val="231F20"/>
        </w:rPr>
        <w:t>of</w:t>
      </w:r>
      <w:r w:rsidR="00E856DC">
        <w:rPr>
          <w:color w:val="231F20"/>
        </w:rPr>
        <w:t xml:space="preserve"> just a sample</w:t>
      </w:r>
      <w:r w:rsidR="00F44221">
        <w:rPr>
          <w:color w:val="231F20"/>
        </w:rPr>
        <w:t xml:space="preserve"> of the relevant mechanisms working together</w:t>
      </w:r>
      <w:r w:rsidR="000E2D68" w:rsidRPr="00220A38">
        <w:rPr>
          <w:color w:val="231F20"/>
        </w:rPr>
        <w:t>, often in opposite directions</w:t>
      </w:r>
      <w:r w:rsidR="00D45554" w:rsidRPr="00220A38">
        <w:rPr>
          <w:color w:val="231F20"/>
        </w:rPr>
        <w:t xml:space="preserve">, no clear-cut </w:t>
      </w:r>
      <w:r>
        <w:rPr>
          <w:color w:val="231F20"/>
        </w:rPr>
        <w:t xml:space="preserve">overall </w:t>
      </w:r>
      <w:r w:rsidR="000E2D68" w:rsidRPr="00220A38">
        <w:rPr>
          <w:color w:val="231F20"/>
        </w:rPr>
        <w:t xml:space="preserve">sign of the relationship between inequality and growth has emerged from these theories (Barro, 2000). Therefore, much empirical work has been done the last decades </w:t>
      </w:r>
      <w:r w:rsidR="00F44221">
        <w:rPr>
          <w:color w:val="231F20"/>
        </w:rPr>
        <w:t>to test for</w:t>
      </w:r>
      <w:r w:rsidR="00E248CA" w:rsidRPr="00220A38">
        <w:rPr>
          <w:color w:val="231F20"/>
        </w:rPr>
        <w:t xml:space="preserve"> these theories</w:t>
      </w:r>
      <w:r w:rsidR="000E2D68" w:rsidRPr="00220A38">
        <w:rPr>
          <w:color w:val="231F20"/>
        </w:rPr>
        <w:t xml:space="preserve">. </w:t>
      </w:r>
      <w:r w:rsidR="00650C58" w:rsidRPr="00220A38">
        <w:t xml:space="preserve">Early studies on the relationship between inequality and growth in the 1990’s usually used some form of </w:t>
      </w:r>
      <w:r w:rsidR="002728E9">
        <w:t xml:space="preserve">reduced form </w:t>
      </w:r>
      <w:r w:rsidR="00650C58" w:rsidRPr="00220A38">
        <w:t>growth regression and included an inequality</w:t>
      </w:r>
      <w:r w:rsidR="00E248CA" w:rsidRPr="00220A38">
        <w:t xml:space="preserve"> measure to see if it impacts</w:t>
      </w:r>
      <w:r w:rsidR="00650C58" w:rsidRPr="00220A38">
        <w:t xml:space="preserve"> economic growth</w:t>
      </w:r>
      <w:r w:rsidR="002728E9">
        <w:rPr>
          <w:rStyle w:val="FootnoteReference"/>
        </w:rPr>
        <w:footnoteReference w:id="6"/>
      </w:r>
      <w:r w:rsidR="00650C58" w:rsidRPr="00220A38">
        <w:t>. Most of these studies, similar to those estimating a Kuznets curve in the early years, used a cross-section of countries because of a lack of data covering timespans. Using cross-sectional OLS-estimation, most authors until the late 1990’s found a negative relationship between inequality and growth</w:t>
      </w:r>
      <w:r w:rsidR="00650C58" w:rsidRPr="00220A38">
        <w:rPr>
          <w:rStyle w:val="FootnoteReference"/>
        </w:rPr>
        <w:footnoteReference w:id="7"/>
      </w:r>
      <w:r w:rsidR="00650C58" w:rsidRPr="00220A38">
        <w:t>. Examples of these early works include Persson and Tabellini (1994), Alesina and Rodrik (1994)</w:t>
      </w:r>
      <w:r w:rsidR="00C63318" w:rsidRPr="00220A38">
        <w:t>, Clarke (1995) and Deininger and Squire</w:t>
      </w:r>
      <w:r w:rsidR="00BB3EDA" w:rsidRPr="00220A38">
        <w:t xml:space="preserve"> (1998)</w:t>
      </w:r>
      <w:r w:rsidR="00C63318" w:rsidRPr="00220A38">
        <w:t>. T</w:t>
      </w:r>
      <w:r w:rsidR="00BB3EDA" w:rsidRPr="00220A38">
        <w:t>hese studies usually used a</w:t>
      </w:r>
      <w:r w:rsidR="00C63318" w:rsidRPr="00220A38">
        <w:t xml:space="preserve"> growth regression </w:t>
      </w:r>
      <w:r w:rsidR="00781859">
        <w:t>of</w:t>
      </w:r>
      <w:r w:rsidR="00650D4F" w:rsidRPr="00220A38">
        <w:t xml:space="preserve"> the </w:t>
      </w:r>
      <w:r w:rsidR="00781859">
        <w:t xml:space="preserve">following </w:t>
      </w:r>
      <w:r w:rsidR="00650D4F" w:rsidRPr="00220A38">
        <w:t>form</w:t>
      </w:r>
      <w:r w:rsidR="00781859">
        <w:t>:</w:t>
      </w:r>
    </w:p>
    <w:p w:rsidR="00C63318" w:rsidRPr="00220A38" w:rsidRDefault="003B2E40" w:rsidP="00142112">
      <w:pPr>
        <w:spacing w:line="360" w:lineRule="auto"/>
        <w:jc w:val="both"/>
      </w:pPr>
      <w:r w:rsidRPr="00220A38">
        <w:rPr>
          <w:rFonts w:eastAsiaTheme="minorEastAsia"/>
        </w:rPr>
        <w:lastRenderedPageBreak/>
        <w:t>(2.3)</w:t>
      </w:r>
      <w:r w:rsidRPr="00220A38">
        <w:rPr>
          <w:rFonts w:eastAsiaTheme="minorEastAsia"/>
        </w:rPr>
        <w:tab/>
      </w:r>
      <w:r w:rsidRPr="00220A38">
        <w:rPr>
          <w:rFonts w:eastAsiaTheme="minorEastAsia"/>
        </w:rPr>
        <w:tab/>
      </w:r>
      <w:r w:rsidRPr="00220A38">
        <w:rPr>
          <w:rFonts w:eastAsiaTheme="minorEastAsia"/>
        </w:rPr>
        <w:tab/>
        <w:t>(</w:t>
      </w:r>
      <m:oMath>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i,t</m:t>
                </m:r>
              </m:sub>
            </m:sSub>
            <m:r>
              <w:rPr>
                <w:rFonts w:ascii="Cambria Math" w:hAnsi="Cambria Math"/>
              </w:rPr>
              <m:t>-</m:t>
            </m:r>
          </m:e>
        </m:func>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i,t-τ</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τ</m:t>
                </m:r>
              </m:den>
            </m:f>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i,t-τ</m:t>
                    </m:r>
                  </m:sub>
                </m:sSub>
              </m:e>
            </m:func>
            <m:r>
              <w:rPr>
                <w:rFonts w:ascii="Cambria Math" w:hAnsi="Cambria Math"/>
              </w:rPr>
              <m:t>+</m:t>
            </m:r>
          </m:e>
        </m:func>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Ineq</m:t>
            </m:r>
          </m:e>
          <m:sub>
            <m:r>
              <w:rPr>
                <w:rFonts w:ascii="Cambria Math" w:hAnsi="Cambria Math"/>
              </w:rPr>
              <m:t>i,t-τ</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i,t-τ</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FA5196" w:rsidRPr="00220A38">
        <w:rPr>
          <w:rFonts w:eastAsiaTheme="minorEastAsia"/>
        </w:rPr>
        <w:t xml:space="preserve"> .</w:t>
      </w:r>
    </w:p>
    <w:p w:rsidR="00650C58" w:rsidRPr="00220A38" w:rsidRDefault="00BB3EDA" w:rsidP="00142112">
      <w:pPr>
        <w:spacing w:line="360" w:lineRule="auto"/>
        <w:jc w:val="both"/>
      </w:pPr>
      <w:r w:rsidRPr="00220A38">
        <w:t xml:space="preserve">Similar to the estimation of the Kuznets curve, </w:t>
      </w:r>
      <m:oMath>
        <m:r>
          <w:rPr>
            <w:rFonts w:ascii="Cambria Math" w:hAnsi="Cambria Math"/>
          </w:rPr>
          <m:t>γ</m:t>
        </m:r>
      </m:oMath>
      <w:r w:rsidRPr="00220A38">
        <w:rPr>
          <w:rFonts w:eastAsiaTheme="minorEastAsia"/>
        </w:rPr>
        <w:t xml:space="preserve"> stands for some measure of economic growth, usually GDP per capita</w:t>
      </w:r>
      <w:r w:rsidR="004E16A5" w:rsidRPr="00220A38">
        <w:rPr>
          <w:rFonts w:eastAsiaTheme="minorEastAsia"/>
        </w:rPr>
        <w:t xml:space="preserve"> which is also used as a dependent variable to account for convergence</w:t>
      </w:r>
      <w:r w:rsidR="004E16A5" w:rsidRPr="00220A38">
        <w:rPr>
          <w:rStyle w:val="FootnoteReference"/>
          <w:rFonts w:eastAsiaTheme="minorEastAsia"/>
        </w:rPr>
        <w:footnoteReference w:id="8"/>
      </w:r>
      <w:r w:rsidRPr="00220A38">
        <w:rPr>
          <w:rFonts w:eastAsiaTheme="minorEastAsia"/>
        </w:rPr>
        <w:t xml:space="preserve">, </w:t>
      </w:r>
      <m:oMath>
        <m:r>
          <w:rPr>
            <w:rFonts w:ascii="Cambria Math" w:hAnsi="Cambria Math"/>
          </w:rPr>
          <m:t>Ineq</m:t>
        </m:r>
      </m:oMath>
      <w:r w:rsidR="000D167F" w:rsidRPr="00220A38">
        <w:rPr>
          <w:rFonts w:eastAsiaTheme="minorEastAsia"/>
        </w:rPr>
        <w:t xml:space="preserve"> for a measure of inequality,</w:t>
      </w:r>
      <w:r w:rsidRPr="00220A38">
        <w:rPr>
          <w:rFonts w:eastAsiaTheme="minorEastAsia"/>
        </w:rPr>
        <w:t xml:space="preserve"> </w:t>
      </w:r>
      <m:oMath>
        <m:r>
          <w:rPr>
            <w:rFonts w:ascii="Cambria Math" w:hAnsi="Cambria Math"/>
          </w:rPr>
          <m:t>X</m:t>
        </m:r>
      </m:oMath>
      <w:r w:rsidRPr="00220A38">
        <w:rPr>
          <w:rFonts w:eastAsiaTheme="minorEastAsia"/>
        </w:rPr>
        <w:t xml:space="preserve"> for a se</w:t>
      </w:r>
      <w:r w:rsidR="000D167F" w:rsidRPr="00220A38">
        <w:rPr>
          <w:rFonts w:eastAsiaTheme="minorEastAsia"/>
        </w:rPr>
        <w:t xml:space="preserve">t of control variables and </w:t>
      </w:r>
      <m:oMath>
        <m:r>
          <w:rPr>
            <w:rFonts w:ascii="Cambria Math" w:hAnsi="Cambria Math"/>
          </w:rPr>
          <m:t>ε</m:t>
        </m:r>
      </m:oMath>
      <w:r w:rsidR="000D167F" w:rsidRPr="00220A38">
        <w:rPr>
          <w:rFonts w:eastAsiaTheme="minorEastAsia"/>
        </w:rPr>
        <w:t xml:space="preserve"> for a white noise error term, </w:t>
      </w:r>
      <w:r w:rsidRPr="00220A38">
        <w:rPr>
          <w:rFonts w:eastAsiaTheme="minorEastAsia"/>
        </w:rPr>
        <w:t>all in country</w:t>
      </w:r>
      <w:r w:rsidRPr="00220A38">
        <w:rPr>
          <w:rFonts w:eastAsiaTheme="minorEastAsia"/>
          <w:i/>
        </w:rPr>
        <w:t xml:space="preserve"> i</w:t>
      </w:r>
      <w:r w:rsidRPr="00220A38">
        <w:rPr>
          <w:rFonts w:eastAsiaTheme="minorEastAsia"/>
        </w:rPr>
        <w:t xml:space="preserve"> at time </w:t>
      </w:r>
      <w:r w:rsidRPr="00220A38">
        <w:rPr>
          <w:rFonts w:eastAsiaTheme="minorEastAsia"/>
          <w:i/>
        </w:rPr>
        <w:t>t</w:t>
      </w:r>
      <w:r w:rsidRPr="00220A38">
        <w:rPr>
          <w:rFonts w:eastAsiaTheme="minorEastAsia"/>
        </w:rPr>
        <w:t xml:space="preserve">. </w:t>
      </w:r>
      <w:r w:rsidR="001F0257" w:rsidRPr="00220A38">
        <w:rPr>
          <w:rFonts w:eastAsiaTheme="minorEastAsia"/>
        </w:rPr>
        <w:t xml:space="preserve">The relationship is </w:t>
      </w:r>
      <w:r w:rsidR="00F44221">
        <w:rPr>
          <w:rFonts w:eastAsiaTheme="minorEastAsia"/>
        </w:rPr>
        <w:t xml:space="preserve">commonly estimated using a 3, 5, 10 or even 20 </w:t>
      </w:r>
      <w:r w:rsidR="001F0257" w:rsidRPr="00220A38">
        <w:rPr>
          <w:rFonts w:eastAsiaTheme="minorEastAsia"/>
        </w:rPr>
        <w:t>year lag</w:t>
      </w:r>
      <w:r w:rsidR="003B2E40" w:rsidRPr="00220A38">
        <w:rPr>
          <w:rFonts w:eastAsiaTheme="minorEastAsia"/>
        </w:rPr>
        <w:t xml:space="preserve"> (defined as </w:t>
      </w:r>
      <w:r w:rsidR="003B2E40" w:rsidRPr="00220A38">
        <w:rPr>
          <w:rFonts w:eastAsiaTheme="minorEastAsia"/>
          <w:i/>
        </w:rPr>
        <w:t xml:space="preserve">τ </w:t>
      </w:r>
      <w:r w:rsidR="003B2E40" w:rsidRPr="00220A38">
        <w:rPr>
          <w:rFonts w:eastAsiaTheme="minorEastAsia"/>
        </w:rPr>
        <w:t>in</w:t>
      </w:r>
      <w:r w:rsidR="003B2E40" w:rsidRPr="00220A38">
        <w:rPr>
          <w:rFonts w:eastAsiaTheme="minorEastAsia"/>
          <w:i/>
        </w:rPr>
        <w:t xml:space="preserve"> </w:t>
      </w:r>
      <w:r w:rsidR="003B2E40" w:rsidRPr="00220A38">
        <w:rPr>
          <w:rFonts w:eastAsiaTheme="minorEastAsia"/>
        </w:rPr>
        <w:t>(2.3))</w:t>
      </w:r>
      <w:r w:rsidR="001F0257" w:rsidRPr="00220A38">
        <w:rPr>
          <w:rFonts w:eastAsiaTheme="minorEastAsia"/>
        </w:rPr>
        <w:t>.</w:t>
      </w:r>
      <w:r w:rsidR="002728E9">
        <w:rPr>
          <w:rFonts w:eastAsiaTheme="minorEastAsia"/>
        </w:rPr>
        <w:t xml:space="preserve"> The explanatory variables are usually levels at the beginning of the period as in equation 2.3 or average values of the time span considered.</w:t>
      </w:r>
      <w:r w:rsidR="001F0257" w:rsidRPr="00220A38">
        <w:rPr>
          <w:rFonts w:eastAsiaTheme="minorEastAsia"/>
        </w:rPr>
        <w:t xml:space="preserve"> </w:t>
      </w:r>
      <w:r w:rsidRPr="00220A38">
        <w:rPr>
          <w:rFonts w:eastAsiaTheme="minorEastAsia"/>
        </w:rPr>
        <w:t>Most of these studies found evidence of a trade-off between the two variables</w:t>
      </w:r>
      <w:r w:rsidR="002728E9">
        <w:rPr>
          <w:rFonts w:eastAsiaTheme="minorEastAsia"/>
        </w:rPr>
        <w:t>, where inequality has a negative effect on economic growth</w:t>
      </w:r>
      <w:r w:rsidRPr="00220A38">
        <w:rPr>
          <w:rFonts w:eastAsiaTheme="minorEastAsia"/>
        </w:rPr>
        <w:t xml:space="preserve">. Main critique on this kind of estimation is the problem of bias due to </w:t>
      </w:r>
      <w:r w:rsidR="000D192E" w:rsidRPr="00220A38">
        <w:rPr>
          <w:rFonts w:eastAsiaTheme="minorEastAsia"/>
        </w:rPr>
        <w:t xml:space="preserve">possible </w:t>
      </w:r>
      <w:r w:rsidRPr="00220A38">
        <w:rPr>
          <w:rFonts w:eastAsiaTheme="minorEastAsia"/>
        </w:rPr>
        <w:t xml:space="preserve">omitted variables </w:t>
      </w:r>
      <w:r w:rsidR="002728E9">
        <w:rPr>
          <w:rFonts w:eastAsiaTheme="minorEastAsia"/>
        </w:rPr>
        <w:t xml:space="preserve">(a problem </w:t>
      </w:r>
      <w:r w:rsidR="00E856DC">
        <w:rPr>
          <w:rFonts w:eastAsiaTheme="minorEastAsia"/>
        </w:rPr>
        <w:t>facing</w:t>
      </w:r>
      <w:r w:rsidR="002728E9">
        <w:rPr>
          <w:rFonts w:eastAsiaTheme="minorEastAsia"/>
        </w:rPr>
        <w:t xml:space="preserve"> most growth regressions, see e.g. Caselli (1996)) </w:t>
      </w:r>
      <w:r w:rsidRPr="00220A38">
        <w:rPr>
          <w:rFonts w:eastAsiaTheme="minorEastAsia"/>
        </w:rPr>
        <w:t>and the quality of the dataset</w:t>
      </w:r>
      <w:r w:rsidR="00E248CA" w:rsidRPr="00220A38">
        <w:rPr>
          <w:rFonts w:eastAsiaTheme="minorEastAsia"/>
        </w:rPr>
        <w:t>s employed</w:t>
      </w:r>
      <w:r w:rsidR="00FA5196" w:rsidRPr="00220A38">
        <w:rPr>
          <w:rFonts w:eastAsiaTheme="minorEastAsia"/>
        </w:rPr>
        <w:t xml:space="preserve"> (de Dominicis </w:t>
      </w:r>
      <w:r w:rsidR="00FA5196" w:rsidRPr="00220A38">
        <w:rPr>
          <w:rFonts w:eastAsiaTheme="minorEastAsia"/>
          <w:i/>
        </w:rPr>
        <w:t>et al</w:t>
      </w:r>
      <w:r w:rsidR="00FA5196" w:rsidRPr="00220A38">
        <w:rPr>
          <w:rFonts w:eastAsiaTheme="minorEastAsia"/>
        </w:rPr>
        <w:t>., 2008)</w:t>
      </w:r>
      <w:r w:rsidR="000D192E" w:rsidRPr="00220A38">
        <w:rPr>
          <w:rFonts w:eastAsiaTheme="minorEastAsia"/>
        </w:rPr>
        <w:t>.</w:t>
      </w:r>
      <w:r w:rsidR="00FA5196" w:rsidRPr="00220A38">
        <w:rPr>
          <w:rFonts w:eastAsiaTheme="minorEastAsia"/>
        </w:rPr>
        <w:t xml:space="preserve"> </w:t>
      </w:r>
      <w:r w:rsidR="00F573F4" w:rsidRPr="00220A38">
        <w:rPr>
          <w:rFonts w:eastAsiaTheme="minorEastAsia"/>
        </w:rPr>
        <w:t>Technology, institutions</w:t>
      </w:r>
      <w:r w:rsidR="00D6015C" w:rsidRPr="00220A38">
        <w:rPr>
          <w:rFonts w:eastAsiaTheme="minorEastAsia"/>
        </w:rPr>
        <w:t>, redistribution policies</w:t>
      </w:r>
      <w:r w:rsidR="00F573F4" w:rsidRPr="00220A38">
        <w:rPr>
          <w:rFonts w:eastAsiaTheme="minorEastAsia"/>
        </w:rPr>
        <w:t xml:space="preserve"> and other country-specific variables that are difficult to quantify are likely to have an influence on growth rates and could be correlated with the explanatory variables.  </w:t>
      </w:r>
      <w:r w:rsidR="00D6015C" w:rsidRPr="00220A38">
        <w:rPr>
          <w:rFonts w:eastAsiaTheme="minorEastAsia"/>
        </w:rPr>
        <w:t xml:space="preserve">To alleviate the data quality and quantity problem suffered by early studies, </w:t>
      </w:r>
      <w:r w:rsidR="00650C58" w:rsidRPr="00220A38">
        <w:t xml:space="preserve">Deininger and Squire (1996) released an improved </w:t>
      </w:r>
      <w:r w:rsidRPr="00220A38">
        <w:t xml:space="preserve">inequality </w:t>
      </w:r>
      <w:r w:rsidR="00650C58" w:rsidRPr="00220A38">
        <w:t>dataset</w:t>
      </w:r>
      <w:r w:rsidR="00E248CA" w:rsidRPr="00220A38">
        <w:t xml:space="preserve"> (henceforth D&amp;S dataset)</w:t>
      </w:r>
      <w:r w:rsidR="00650C58" w:rsidRPr="00220A38">
        <w:t xml:space="preserve">, allowing for panel data estimations. </w:t>
      </w:r>
      <w:r w:rsidR="002728E9">
        <w:t xml:space="preserve">This allowed for estimating with </w:t>
      </w:r>
      <w:proofErr w:type="gramStart"/>
      <w:r w:rsidR="00D23CF7">
        <w:t>Fixed</w:t>
      </w:r>
      <w:proofErr w:type="gramEnd"/>
      <w:r w:rsidR="00D23CF7">
        <w:t xml:space="preserve"> effects</w:t>
      </w:r>
      <w:r w:rsidR="002728E9">
        <w:t xml:space="preserve"> to capture the time-invariant country specific effects such as institutions etc. The resulting</w:t>
      </w:r>
      <w:r w:rsidR="00650C58" w:rsidRPr="00220A38">
        <w:t xml:space="preserve"> </w:t>
      </w:r>
      <w:r w:rsidR="002728E9">
        <w:t xml:space="preserve">empirical </w:t>
      </w:r>
      <w:r w:rsidR="00650C58" w:rsidRPr="00220A38">
        <w:t xml:space="preserve">literature using </w:t>
      </w:r>
      <w:r w:rsidR="00E248CA" w:rsidRPr="00220A38">
        <w:t>the D&amp;S</w:t>
      </w:r>
      <w:r w:rsidR="00650C58" w:rsidRPr="00220A38">
        <w:t xml:space="preserve"> dataset usually found a positive relationship (Banerjee and Duflo, 2003). Examples of this literature are Forbes (2000) and Deininger and Squire (1998). </w:t>
      </w:r>
      <w:r w:rsidR="00E248CA" w:rsidRPr="00220A38">
        <w:t xml:space="preserve">The D&amp;S dataset </w:t>
      </w:r>
      <w:r w:rsidR="000D167F" w:rsidRPr="00220A38">
        <w:t>allow</w:t>
      </w:r>
      <w:r w:rsidR="002728E9">
        <w:t>ed for panel data</w:t>
      </w:r>
      <w:r w:rsidR="00E248CA" w:rsidRPr="00220A38">
        <w:t xml:space="preserve"> estimation of</w:t>
      </w:r>
      <w:r w:rsidR="000D167F" w:rsidRPr="00220A38">
        <w:t xml:space="preserve"> the relationship and controlling for the omitted variable bia</w:t>
      </w:r>
      <w:r w:rsidR="00F573F4" w:rsidRPr="00220A38">
        <w:t>s with fixed or random effects, therefore alleviating most of the critique on cross-sectional OLS-estimation. Most of</w:t>
      </w:r>
      <w:r w:rsidR="00FA5196" w:rsidRPr="00220A38">
        <w:t xml:space="preserve"> </w:t>
      </w:r>
      <w:r w:rsidR="0063147E" w:rsidRPr="00220A38">
        <w:t>these</w:t>
      </w:r>
      <w:r w:rsidR="000D167F" w:rsidRPr="00220A38">
        <w:t xml:space="preserve"> </w:t>
      </w:r>
      <w:r w:rsidR="00FA5196" w:rsidRPr="00220A38">
        <w:t>estimations of the relationship</w:t>
      </w:r>
      <w:r w:rsidR="000D167F" w:rsidRPr="00220A38">
        <w:t xml:space="preserve"> were of the form</w:t>
      </w:r>
    </w:p>
    <w:p w:rsidR="000D167F" w:rsidRPr="00220A38" w:rsidRDefault="003B2E40" w:rsidP="00142112">
      <w:pPr>
        <w:spacing w:line="360" w:lineRule="auto"/>
        <w:jc w:val="both"/>
      </w:pPr>
      <w:r w:rsidRPr="00220A38">
        <w:rPr>
          <w:rFonts w:eastAsiaTheme="minorEastAsia"/>
        </w:rPr>
        <w:t>(2.</w:t>
      </w:r>
      <w:r w:rsidR="008C2E4A" w:rsidRPr="00220A38">
        <w:rPr>
          <w:rFonts w:eastAsiaTheme="minorEastAsia"/>
        </w:rPr>
        <w:t>4</w:t>
      </w:r>
      <w:r w:rsidRPr="00220A38">
        <w:rPr>
          <w:rFonts w:eastAsiaTheme="minorEastAsia"/>
        </w:rPr>
        <w:t>)</w:t>
      </w:r>
      <w:r w:rsidRPr="00220A38">
        <w:rPr>
          <w:rFonts w:eastAsiaTheme="minorEastAsia"/>
        </w:rPr>
        <w:tab/>
      </w:r>
      <w:r w:rsidRPr="00220A38">
        <w:rPr>
          <w:rFonts w:eastAsiaTheme="minorEastAsia"/>
        </w:rPr>
        <w:tab/>
      </w:r>
      <w:r w:rsidRPr="00220A38">
        <w:rPr>
          <w:rFonts w:eastAsiaTheme="minorEastAsia"/>
        </w:rPr>
        <w:tab/>
      </w:r>
      <m:oMath>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i,t</m:t>
                </m:r>
              </m:sub>
            </m:sSub>
            <m:r>
              <w:rPr>
                <w:rFonts w:ascii="Cambria Math" w:hAnsi="Cambria Math"/>
              </w:rPr>
              <m:t xml:space="preserve">= </m:t>
            </m:r>
          </m:e>
        </m:func>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0</m:t>
            </m:r>
          </m:sub>
        </m:sSub>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i,t-τ</m:t>
                </m:r>
              </m:sub>
            </m:sSub>
          </m:e>
        </m:fun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1</m:t>
            </m:r>
          </m:sub>
        </m:sSub>
        <m:sSub>
          <m:sSubPr>
            <m:ctrlPr>
              <w:rPr>
                <w:rFonts w:ascii="Cambria Math" w:hAnsi="Cambria Math"/>
                <w:i/>
              </w:rPr>
            </m:ctrlPr>
          </m:sSubPr>
          <m:e>
            <m:r>
              <w:rPr>
                <w:rFonts w:ascii="Cambria Math" w:hAnsi="Cambria Math"/>
              </w:rPr>
              <m:t>Ineq</m:t>
            </m:r>
          </m:e>
          <m:sub>
            <m:r>
              <w:rPr>
                <w:rFonts w:ascii="Cambria Math" w:hAnsi="Cambria Math"/>
              </w:rPr>
              <m:t>i,t-τ</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i,t-τ</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ε</m:t>
                </m:r>
              </m:e>
            </m:acc>
          </m:e>
          <m:sub>
            <m:r>
              <w:rPr>
                <w:rFonts w:ascii="Cambria Math" w:hAnsi="Cambria Math"/>
              </w:rPr>
              <m:t>i,t</m:t>
            </m:r>
          </m:sub>
        </m:sSub>
      </m:oMath>
      <w:r w:rsidR="00FA5196" w:rsidRPr="00220A38">
        <w:rPr>
          <w:rFonts w:eastAsiaTheme="minorEastAsia"/>
        </w:rPr>
        <w:t xml:space="preserve"> ,</w:t>
      </w:r>
    </w:p>
    <w:p w:rsidR="00D4134F" w:rsidRPr="00220A38" w:rsidRDefault="00650D4F" w:rsidP="00142112">
      <w:pPr>
        <w:spacing w:line="360" w:lineRule="auto"/>
        <w:jc w:val="both"/>
        <w:rPr>
          <w:rFonts w:eastAsiaTheme="minorEastAsia"/>
        </w:rPr>
      </w:pPr>
      <w:proofErr w:type="gramStart"/>
      <w:r w:rsidRPr="00220A38">
        <w:t>w</w:t>
      </w:r>
      <w:r w:rsidR="00FA5196" w:rsidRPr="00220A38">
        <w:t>here</w:t>
      </w:r>
      <w:proofErr w:type="gramEnd"/>
      <w:r w:rsidR="00FA5196" w:rsidRPr="00220A38">
        <w:t xml:space="preserve"> </w:t>
      </w:r>
      <m:oMath>
        <m:sSub>
          <m:sSubPr>
            <m:ctrlPr>
              <w:rPr>
                <w:rFonts w:ascii="Cambria Math" w:hAnsi="Cambria Math"/>
                <w:i/>
              </w:rPr>
            </m:ctrlPr>
          </m:sSubPr>
          <m:e>
            <m:r>
              <w:rPr>
                <w:rFonts w:ascii="Cambria Math" w:hAnsi="Cambria Math"/>
              </w:rPr>
              <m:t>ζ</m:t>
            </m:r>
          </m:e>
          <m:sub>
            <m:r>
              <w:rPr>
                <w:rFonts w:ascii="Cambria Math" w:hAnsi="Cambria Math"/>
              </w:rPr>
              <m:t>t</m:t>
            </m:r>
          </m:sub>
        </m:sSub>
      </m:oMath>
      <w:r w:rsidR="00FA5196" w:rsidRPr="00220A38">
        <w:rPr>
          <w:rFonts w:eastAsiaTheme="minorEastAsia"/>
        </w:rPr>
        <w:t xml:space="preserve"> is a fixed effect for time, </w:t>
      </w:r>
      <m:oMath>
        <m:sSub>
          <m:sSubPr>
            <m:ctrlPr>
              <w:rPr>
                <w:rFonts w:ascii="Cambria Math" w:hAnsi="Cambria Math"/>
                <w:i/>
              </w:rPr>
            </m:ctrlPr>
          </m:sSubPr>
          <m:e>
            <m:r>
              <w:rPr>
                <w:rFonts w:ascii="Cambria Math" w:hAnsi="Cambria Math"/>
              </w:rPr>
              <m:t>υ</m:t>
            </m:r>
          </m:e>
          <m:sub>
            <m:r>
              <w:rPr>
                <w:rFonts w:ascii="Cambria Math" w:hAnsi="Cambria Math"/>
              </w:rPr>
              <m:t>i</m:t>
            </m:r>
          </m:sub>
        </m:sSub>
      </m:oMath>
      <w:r w:rsidR="00FA5196" w:rsidRPr="00220A38">
        <w:rPr>
          <w:rFonts w:eastAsiaTheme="minorEastAsia"/>
        </w:rPr>
        <w:t xml:space="preserve"> is a constant</w:t>
      </w:r>
      <w:r w:rsidR="00F573F4" w:rsidRPr="00220A38">
        <w:rPr>
          <w:rFonts w:eastAsiaTheme="minorEastAsia"/>
        </w:rPr>
        <w:t>-assumed</w:t>
      </w:r>
      <w:r w:rsidR="00FA5196" w:rsidRPr="00220A38">
        <w:rPr>
          <w:rFonts w:eastAsiaTheme="minorEastAsia"/>
        </w:rPr>
        <w:t xml:space="preserve"> country characteristic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ε</m:t>
                </m:r>
              </m:e>
            </m:acc>
          </m:e>
          <m:sub>
            <m:r>
              <w:rPr>
                <w:rFonts w:ascii="Cambria Math" w:hAnsi="Cambria Math"/>
              </w:rPr>
              <m:t>i,t</m:t>
            </m:r>
          </m:sub>
        </m:sSub>
      </m:oMath>
      <w:r w:rsidR="00FA5196" w:rsidRPr="00220A38">
        <w:rPr>
          <w:rFonts w:eastAsiaTheme="minorEastAsia"/>
        </w:rPr>
        <w:t xml:space="preserve"> catches the remaining error in the model. </w:t>
      </w:r>
      <w:r w:rsidR="001F0257" w:rsidRPr="00220A38">
        <w:rPr>
          <w:rFonts w:eastAsiaTheme="minorEastAsia"/>
        </w:rPr>
        <w:t>Problem of this type of estimation is the inclusion of lagged dependent variabl</w:t>
      </w:r>
      <w:r w:rsidR="004E16A5" w:rsidRPr="00220A38">
        <w:rPr>
          <w:rFonts w:eastAsiaTheme="minorEastAsia"/>
        </w:rPr>
        <w:t>es</w:t>
      </w:r>
      <w:r w:rsidR="001F0257" w:rsidRPr="00220A38">
        <w:rPr>
          <w:rFonts w:eastAsiaTheme="minorEastAsia"/>
        </w:rPr>
        <w:t xml:space="preserve"> and the </w:t>
      </w:r>
      <w:r w:rsidR="00F44221">
        <w:rPr>
          <w:rFonts w:eastAsiaTheme="minorEastAsia"/>
        </w:rPr>
        <w:t xml:space="preserve">possibly </w:t>
      </w:r>
      <w:r w:rsidR="001F0257" w:rsidRPr="00220A38">
        <w:rPr>
          <w:rFonts w:eastAsiaTheme="minorEastAsia"/>
        </w:rPr>
        <w:t xml:space="preserve">still present omitted variable bias (de Dominicis </w:t>
      </w:r>
      <w:r w:rsidR="001F0257" w:rsidRPr="00220A38">
        <w:rPr>
          <w:rFonts w:eastAsiaTheme="minorEastAsia"/>
          <w:i/>
        </w:rPr>
        <w:t>et al</w:t>
      </w:r>
      <w:r w:rsidR="001F0257" w:rsidRPr="00220A38">
        <w:rPr>
          <w:rFonts w:eastAsiaTheme="minorEastAsia"/>
        </w:rPr>
        <w:t>., 2008; Voitchovsky, 2005). The usual econometric solution for this problem is the use of a System GMM estimator</w:t>
      </w:r>
      <w:r w:rsidR="00F44221">
        <w:rPr>
          <w:rFonts w:eastAsiaTheme="minorEastAsia"/>
        </w:rPr>
        <w:t xml:space="preserve"> where first-differencing the model removes the unobserved time-invariant effects as specified above </w:t>
      </w:r>
      <w:r w:rsidR="009F76B7">
        <w:rPr>
          <w:rFonts w:eastAsiaTheme="minorEastAsia"/>
        </w:rPr>
        <w:t>(</w:t>
      </w:r>
      <m:oMath>
        <m:sSub>
          <m:sSubPr>
            <m:ctrlPr>
              <w:rPr>
                <w:rFonts w:ascii="Cambria Math" w:hAnsi="Cambria Math"/>
                <w:i/>
              </w:rPr>
            </m:ctrlPr>
          </m:sSubPr>
          <m:e>
            <m:r>
              <w:rPr>
                <w:rFonts w:ascii="Cambria Math" w:hAnsi="Cambria Math"/>
              </w:rPr>
              <m:t>υ</m:t>
            </m:r>
          </m:e>
          <m:sub>
            <m:r>
              <w:rPr>
                <w:rFonts w:ascii="Cambria Math" w:hAnsi="Cambria Math"/>
              </w:rPr>
              <m:t>i</m:t>
            </m:r>
          </m:sub>
        </m:sSub>
      </m:oMath>
      <w:r w:rsidR="009F76B7">
        <w:rPr>
          <w:rFonts w:eastAsiaTheme="minorEastAsia"/>
        </w:rPr>
        <w:t>) and where the use of approp</w:t>
      </w:r>
      <w:r w:rsidR="001625EA">
        <w:rPr>
          <w:rFonts w:eastAsiaTheme="minorEastAsia"/>
        </w:rPr>
        <w:t>r</w:t>
      </w:r>
      <w:r w:rsidR="009F76B7">
        <w:rPr>
          <w:rFonts w:eastAsiaTheme="minorEastAsia"/>
        </w:rPr>
        <w:t>i</w:t>
      </w:r>
      <w:r w:rsidR="001625EA">
        <w:rPr>
          <w:rFonts w:eastAsiaTheme="minorEastAsia"/>
        </w:rPr>
        <w:t>a</w:t>
      </w:r>
      <w:r w:rsidR="009F76B7">
        <w:rPr>
          <w:rFonts w:eastAsiaTheme="minorEastAsia"/>
        </w:rPr>
        <w:t xml:space="preserve">te instruments can control for endogeneity and measurement error </w:t>
      </w:r>
      <w:r w:rsidR="001F0257" w:rsidRPr="00220A38">
        <w:rPr>
          <w:rFonts w:eastAsiaTheme="minorEastAsia"/>
        </w:rPr>
        <w:t xml:space="preserve">(Voitchovsky, 2005; Castello-Climent, 2004). </w:t>
      </w:r>
    </w:p>
    <w:p w:rsidR="00AE785C" w:rsidRPr="00220A38" w:rsidRDefault="0063147E" w:rsidP="00142112">
      <w:pPr>
        <w:spacing w:line="360" w:lineRule="auto"/>
        <w:jc w:val="both"/>
      </w:pPr>
      <w:r w:rsidRPr="00220A38">
        <w:t xml:space="preserve">Most studies </w:t>
      </w:r>
      <w:r w:rsidR="00A157BF" w:rsidRPr="00220A38">
        <w:t>utilizing cross-country regressions in the 1990’s find</w:t>
      </w:r>
      <w:r w:rsidRPr="00220A38">
        <w:t xml:space="preserve"> evidence for a negative relationship between initial income inequality and e</w:t>
      </w:r>
      <w:r w:rsidR="00A157BF" w:rsidRPr="00220A38">
        <w:t xml:space="preserve">conomic growth, while those using panel data find a positive </w:t>
      </w:r>
      <w:r w:rsidR="00A157BF" w:rsidRPr="00220A38">
        <w:lastRenderedPageBreak/>
        <w:t xml:space="preserve">relationship. </w:t>
      </w:r>
      <w:r w:rsidR="00AE785C" w:rsidRPr="00220A38">
        <w:t>Mo</w:t>
      </w:r>
      <w:r w:rsidR="00AB7A39">
        <w:t>st authors explain the differing</w:t>
      </w:r>
      <w:r w:rsidR="00AE785C" w:rsidRPr="00220A38">
        <w:t xml:space="preserve"> results</w:t>
      </w:r>
      <w:r w:rsidR="00CC399C" w:rsidRPr="00220A38">
        <w:rPr>
          <w:rStyle w:val="FootnoteReference"/>
        </w:rPr>
        <w:footnoteReference w:id="9"/>
      </w:r>
      <w:r w:rsidR="00AE785C" w:rsidRPr="00220A38">
        <w:t xml:space="preserve"> on the topic by stating that most research setups suffer from </w:t>
      </w:r>
      <w:r w:rsidR="00A64BB6" w:rsidRPr="00220A38">
        <w:t>issues regarding the</w:t>
      </w:r>
      <w:r w:rsidR="00AE785C" w:rsidRPr="00220A38">
        <w:t xml:space="preserve"> estimation technique, the quality and comparability of inequality </w:t>
      </w:r>
      <w:r w:rsidR="00A64BB6" w:rsidRPr="00220A38">
        <w:t>measures</w:t>
      </w:r>
      <w:r w:rsidR="00AE785C" w:rsidRPr="00220A38">
        <w:t xml:space="preserve"> between countries</w:t>
      </w:r>
      <w:r w:rsidR="00963226" w:rsidRPr="00220A38">
        <w:t xml:space="preserve"> and the samples used in the regressions (De Dominicis </w:t>
      </w:r>
      <w:r w:rsidR="00963226" w:rsidRPr="00220A38">
        <w:rPr>
          <w:i/>
        </w:rPr>
        <w:t>et al</w:t>
      </w:r>
      <w:r w:rsidR="00A157BF" w:rsidRPr="00220A38">
        <w:t>, 2008)</w:t>
      </w:r>
      <w:r w:rsidR="0046023F">
        <w:t>.</w:t>
      </w:r>
      <w:r w:rsidR="00963226" w:rsidRPr="00220A38">
        <w:t xml:space="preserve"> </w:t>
      </w:r>
      <w:r w:rsidR="00AE785C" w:rsidRPr="00220A38">
        <w:t xml:space="preserve"> </w:t>
      </w:r>
    </w:p>
    <w:p w:rsidR="00963226" w:rsidRPr="00220A38" w:rsidRDefault="00A64BB6" w:rsidP="00142112">
      <w:pPr>
        <w:spacing w:line="360" w:lineRule="auto"/>
        <w:jc w:val="both"/>
      </w:pPr>
      <w:r w:rsidRPr="00220A38">
        <w:t>Voitchovsky (2009) argued</w:t>
      </w:r>
      <w:r w:rsidR="00963226" w:rsidRPr="00220A38">
        <w:t xml:space="preserve"> that the different results obtained between cross-sectional and panel data work could be caused by a problem of omitted-variables, by the impact of measurement error due to the persistent nature of income inequality, by a misspecification of the assumed linear relationship (Banerjee and Duflo</w:t>
      </w:r>
      <w:r w:rsidR="004154A9" w:rsidRPr="00220A38">
        <w:t>,</w:t>
      </w:r>
      <w:r w:rsidR="0090147E">
        <w:t xml:space="preserve"> 2003)</w:t>
      </w:r>
      <w:r w:rsidR="00963226" w:rsidRPr="00220A38">
        <w:t xml:space="preserve"> and by the different time span consider</w:t>
      </w:r>
      <w:r w:rsidR="004154A9" w:rsidRPr="00220A38">
        <w:t xml:space="preserve">ed between the studies (Knowles, 2005; </w:t>
      </w:r>
      <w:r w:rsidR="00963226" w:rsidRPr="00220A38">
        <w:t>Forbes</w:t>
      </w:r>
      <w:r w:rsidR="004154A9" w:rsidRPr="00220A38">
        <w:t>,</w:t>
      </w:r>
      <w:r w:rsidR="00963226" w:rsidRPr="00220A38">
        <w:t xml:space="preserve"> 2000). </w:t>
      </w:r>
    </w:p>
    <w:p w:rsidR="00963226" w:rsidRPr="00220A38" w:rsidRDefault="00963226" w:rsidP="00142112">
      <w:pPr>
        <w:spacing w:line="360" w:lineRule="auto"/>
        <w:jc w:val="both"/>
      </w:pPr>
      <w:r w:rsidRPr="00220A38">
        <w:t xml:space="preserve">Sample selection is also seen as a reason for the different results obtained. Barro (2000) for example finds a positive effect of inequality in rich countries and a negative effect in poor countries. </w:t>
      </w:r>
      <w:r w:rsidR="00774FAC" w:rsidRPr="00220A38">
        <w:t>It could also be the case that measurement error could be higher in poor states overall due to corrupt data, or a systematic under/over estimation of inequ</w:t>
      </w:r>
      <w:r w:rsidR="004154A9" w:rsidRPr="00220A38">
        <w:t>ality indices (Voitchovsky, 2009;</w:t>
      </w:r>
      <w:r w:rsidR="00774FAC" w:rsidRPr="00220A38">
        <w:t xml:space="preserve"> Durlauf </w:t>
      </w:r>
      <w:r w:rsidR="00774FAC" w:rsidRPr="00220A38">
        <w:rPr>
          <w:i/>
        </w:rPr>
        <w:t>et al</w:t>
      </w:r>
      <w:r w:rsidR="004154A9" w:rsidRPr="00220A38">
        <w:t>.,</w:t>
      </w:r>
      <w:r w:rsidR="00774FAC" w:rsidRPr="00220A38">
        <w:t xml:space="preserve"> 2005).</w:t>
      </w:r>
    </w:p>
    <w:p w:rsidR="00774FAC" w:rsidRPr="00220A38" w:rsidRDefault="00A64BB6" w:rsidP="00142112">
      <w:pPr>
        <w:spacing w:line="360" w:lineRule="auto"/>
        <w:jc w:val="both"/>
      </w:pPr>
      <w:r w:rsidRPr="00220A38">
        <w:t xml:space="preserve">Voitchovsky (2005) </w:t>
      </w:r>
      <w:r w:rsidR="00781859">
        <w:t xml:space="preserve">has </w:t>
      </w:r>
      <w:r w:rsidRPr="00220A38">
        <w:t>argued</w:t>
      </w:r>
      <w:r w:rsidR="00774FAC" w:rsidRPr="00220A38">
        <w:t xml:space="preserve"> that the </w:t>
      </w:r>
      <w:r w:rsidR="00781859">
        <w:t xml:space="preserve">chosen </w:t>
      </w:r>
      <w:r w:rsidR="00774FAC" w:rsidRPr="00220A38">
        <w:t xml:space="preserve">measure of inequality greatly influences the results. </w:t>
      </w:r>
      <w:r w:rsidRPr="00220A38">
        <w:t>She claimed that t</w:t>
      </w:r>
      <w:r w:rsidR="00774FAC" w:rsidRPr="00220A38">
        <w:t>heories predict different effect</w:t>
      </w:r>
      <w:r w:rsidRPr="00220A38">
        <w:t>s</w:t>
      </w:r>
      <w:r w:rsidR="00774FAC" w:rsidRPr="00220A38">
        <w:t xml:space="preserve"> for different parts of the income distribution. That is, a single in</w:t>
      </w:r>
      <w:r w:rsidR="004154A9" w:rsidRPr="00220A38">
        <w:t xml:space="preserve">equality index such as the </w:t>
      </w:r>
      <w:r w:rsidR="0039413B">
        <w:t>Gini</w:t>
      </w:r>
      <w:r w:rsidR="004154A9" w:rsidRPr="00220A38">
        <w:t>-</w:t>
      </w:r>
      <w:r w:rsidR="00774FAC" w:rsidRPr="00220A38">
        <w:t xml:space="preserve">coefficient will not </w:t>
      </w:r>
      <w:r w:rsidR="00781859">
        <w:t>yield reliable</w:t>
      </w:r>
      <w:r w:rsidR="00774FAC" w:rsidRPr="00220A38">
        <w:t xml:space="preserve"> results because some theories predict that top-end inequality or a large middle class are </w:t>
      </w:r>
      <w:r w:rsidRPr="00220A38">
        <w:t>at the root of the inequality-growth relationship. She therefore argued</w:t>
      </w:r>
      <w:r w:rsidR="00774FAC" w:rsidRPr="00220A38">
        <w:t xml:space="preserve"> to </w:t>
      </w:r>
      <w:r w:rsidRPr="00220A38">
        <w:t>also consider the</w:t>
      </w:r>
      <w:r w:rsidR="00774FAC" w:rsidRPr="00220A38">
        <w:t xml:space="preserve"> </w:t>
      </w:r>
      <w:r w:rsidR="009F76B7">
        <w:t xml:space="preserve">ratios of </w:t>
      </w:r>
      <w:r w:rsidR="00781859">
        <w:t xml:space="preserve">the </w:t>
      </w:r>
      <w:r w:rsidR="00774FAC" w:rsidRPr="00220A38">
        <w:t xml:space="preserve">90/75 and 50/10 percentiles </w:t>
      </w:r>
      <w:r w:rsidR="00781859">
        <w:t xml:space="preserve">of the income distribution </w:t>
      </w:r>
      <w:r w:rsidR="00774FAC" w:rsidRPr="00220A38">
        <w:t>to capture these effect</w:t>
      </w:r>
      <w:r w:rsidR="004154A9" w:rsidRPr="00220A38">
        <w:t>s</w:t>
      </w:r>
      <w:r w:rsidR="00774FAC" w:rsidRPr="00220A38">
        <w:t xml:space="preserve"> separat</w:t>
      </w:r>
      <w:r w:rsidRPr="00220A38">
        <w:t xml:space="preserve">ely. </w:t>
      </w:r>
      <w:r w:rsidR="00DF25F3">
        <w:t>She argues that top-end inequality, as measured by the 90/75 ratio enhances growth while lower-end inequality, measured by the 50/10 ratio, is harmful for growth. Empirical support was provided for both hypotheses. Also, d</w:t>
      </w:r>
      <w:r w:rsidRPr="00220A38">
        <w:t>ue to the use of secondary datasets, most studies</w:t>
      </w:r>
      <w:r w:rsidR="00774FAC" w:rsidRPr="00220A38">
        <w:t xml:space="preserve"> </w:t>
      </w:r>
      <w:r w:rsidRPr="00220A38">
        <w:t>only use</w:t>
      </w:r>
      <w:r w:rsidR="004154A9" w:rsidRPr="00220A38">
        <w:t xml:space="preserve"> a pre-calculated </w:t>
      </w:r>
      <w:r w:rsidR="0039413B">
        <w:t>Gini</w:t>
      </w:r>
      <w:r w:rsidR="004154A9" w:rsidRPr="00220A38">
        <w:t>-</w:t>
      </w:r>
      <w:r w:rsidR="00774FAC" w:rsidRPr="00220A38">
        <w:t>coefficient instead of compiling their own inequality index</w:t>
      </w:r>
      <w:r w:rsidR="00A36E64" w:rsidRPr="00220A38">
        <w:t>, with all possible compatibility problems across countries (Atkinson and Brandolini, 2001)</w:t>
      </w:r>
      <w:r w:rsidR="00774FAC" w:rsidRPr="00220A38">
        <w:t xml:space="preserve">. </w:t>
      </w:r>
    </w:p>
    <w:p w:rsidR="00CE2D82" w:rsidRPr="00CE2D82" w:rsidRDefault="00001B78" w:rsidP="00142112">
      <w:pPr>
        <w:spacing w:line="360" w:lineRule="auto"/>
        <w:jc w:val="both"/>
      </w:pPr>
      <w:r w:rsidRPr="00220A38">
        <w:t>Castello-Climent</w:t>
      </w:r>
      <w:r w:rsidR="00A64BB6" w:rsidRPr="00220A38">
        <w:t xml:space="preserve"> (2010) empirically investigated</w:t>
      </w:r>
      <w:r w:rsidRPr="00220A38">
        <w:t xml:space="preserve"> whether human capital inequality could lower growth and investment. He </w:t>
      </w:r>
      <w:r w:rsidR="00A64BB6" w:rsidRPr="00220A38">
        <w:t>found</w:t>
      </w:r>
      <w:r w:rsidRPr="00220A38">
        <w:t xml:space="preserve"> that greater human capital inequality increases fertility rates and lowers life expectancy which then hampers economic growth through the accumulation of human capital. </w:t>
      </w:r>
      <w:r w:rsidR="00A64BB6" w:rsidRPr="00220A38">
        <w:t>He proposed</w:t>
      </w:r>
      <w:r w:rsidR="00CC399C" w:rsidRPr="00220A38">
        <w:t xml:space="preserve"> the use of human capital inequality instead of income inequality as it be</w:t>
      </w:r>
      <w:r w:rsidR="00A64BB6" w:rsidRPr="00220A38">
        <w:t>tter reflects wealth inequality, which is the type of inequality most theories in the fie</w:t>
      </w:r>
      <w:r w:rsidR="00AB7A39">
        <w:t>l</w:t>
      </w:r>
      <w:r w:rsidR="00A64BB6" w:rsidRPr="00220A38">
        <w:t>d describe.</w:t>
      </w:r>
      <w:r w:rsidR="00CE2D82">
        <w:t xml:space="preserve"> His results show that using human capital inequality yields more robust results than only focusing on income inequality measures.</w:t>
      </w:r>
    </w:p>
    <w:p w:rsidR="00CE2D82" w:rsidRDefault="00392477" w:rsidP="00142112">
      <w:pPr>
        <w:pStyle w:val="ListParagraph"/>
        <w:numPr>
          <w:ilvl w:val="1"/>
          <w:numId w:val="28"/>
        </w:numPr>
        <w:spacing w:line="360" w:lineRule="auto"/>
        <w:jc w:val="both"/>
        <w:rPr>
          <w:b/>
        </w:rPr>
      </w:pPr>
      <w:r w:rsidRPr="00220A38">
        <w:rPr>
          <w:b/>
        </w:rPr>
        <w:lastRenderedPageBreak/>
        <w:t xml:space="preserve"> </w:t>
      </w:r>
      <w:r w:rsidR="00C2640C" w:rsidRPr="00220A38">
        <w:rPr>
          <w:b/>
        </w:rPr>
        <w:t>Regional</w:t>
      </w:r>
      <w:r w:rsidR="006A3974">
        <w:rPr>
          <w:rStyle w:val="FootnoteReference"/>
          <w:b/>
        </w:rPr>
        <w:footnoteReference w:id="10"/>
      </w:r>
      <w:r w:rsidR="00C2640C" w:rsidRPr="00220A38">
        <w:rPr>
          <w:b/>
        </w:rPr>
        <w:t xml:space="preserve"> </w:t>
      </w:r>
      <w:r w:rsidR="006A3974">
        <w:rPr>
          <w:b/>
        </w:rPr>
        <w:t>Analysis</w:t>
      </w:r>
    </w:p>
    <w:p w:rsidR="00ED62FF" w:rsidRPr="00CE2D82" w:rsidRDefault="00CC399C" w:rsidP="00CE2D82">
      <w:pPr>
        <w:spacing w:line="360" w:lineRule="auto"/>
        <w:jc w:val="both"/>
        <w:rPr>
          <w:b/>
        </w:rPr>
      </w:pPr>
      <w:r w:rsidRPr="00220A38">
        <w:t xml:space="preserve">Analysis of the relationship between inequality and economic </w:t>
      </w:r>
      <w:r w:rsidR="00ED62FF" w:rsidRPr="00220A38">
        <w:t>growth on a subnational level</w:t>
      </w:r>
      <w:r w:rsidRPr="00220A38">
        <w:t xml:space="preserve"> has not attracted much attention yet. </w:t>
      </w:r>
      <w:r w:rsidR="005746D2" w:rsidRPr="00220A38">
        <w:t>Partridge (1997</w:t>
      </w:r>
      <w:r w:rsidR="002F578E" w:rsidRPr="00220A38">
        <w:t>, 2005</w:t>
      </w:r>
      <w:r w:rsidR="005746D2" w:rsidRPr="00220A38">
        <w:t xml:space="preserve">) and Panizza </w:t>
      </w:r>
      <w:r w:rsidR="00ED62FF" w:rsidRPr="00220A38">
        <w:t>(2002) argue</w:t>
      </w:r>
      <w:r w:rsidR="008C4A19" w:rsidRPr="00220A38">
        <w:t>d</w:t>
      </w:r>
      <w:r w:rsidR="00ED62FF" w:rsidRPr="00220A38">
        <w:t xml:space="preserve"> that most theories relating inequality to economic growth should also be present on a lower aggregate level than countries, as they are small open economies with individual histories and institutions. </w:t>
      </w:r>
      <w:r w:rsidR="00D4134F" w:rsidRPr="00220A38">
        <w:t xml:space="preserve">Kanbur (2000) summarized research on the relationship between economic growth and inequality and vice versa. He suggested that more country-specific empirical work or case studies should be done to clarify the relationship. De Dominicis </w:t>
      </w:r>
      <w:r w:rsidR="00D4134F" w:rsidRPr="00CE2D82">
        <w:rPr>
          <w:i/>
        </w:rPr>
        <w:t>et al</w:t>
      </w:r>
      <w:r w:rsidR="00D4134F" w:rsidRPr="00220A38">
        <w:t>. (2008)</w:t>
      </w:r>
      <w:r w:rsidR="006A3974">
        <w:t>, describing a meta-analysis of the available empirical work on the relationship,</w:t>
      </w:r>
      <w:r w:rsidR="00D4134F" w:rsidRPr="00220A38">
        <w:t xml:space="preserve"> reached similar conclusions. </w:t>
      </w:r>
      <w:r w:rsidR="008C4A19" w:rsidRPr="00220A38">
        <w:t>Fallah and Partridge (2007)</w:t>
      </w:r>
      <w:r w:rsidR="00ED62FF" w:rsidRPr="00220A38">
        <w:t xml:space="preserve"> </w:t>
      </w:r>
      <w:r w:rsidR="008C4A19" w:rsidRPr="00220A38">
        <w:t>conclude</w:t>
      </w:r>
      <w:r w:rsidR="00D6015C" w:rsidRPr="00220A38">
        <w:t>d</w:t>
      </w:r>
      <w:r w:rsidR="00ED62FF" w:rsidRPr="00220A38">
        <w:t xml:space="preserve"> that factor flows should be higher within countries than between</w:t>
      </w:r>
      <w:r w:rsidR="008C4A19" w:rsidRPr="00220A38">
        <w:t xml:space="preserve"> because there are relatively few barriers to capital and labor mobility. </w:t>
      </w:r>
      <w:r w:rsidR="009F76B7">
        <w:t xml:space="preserve">Another argument to use data on a sub-national level is that comparability problems between inequality indicators are much less severe than in cross-country datasets. This is due to the fact that most of these variables stem from the same source and the definition of variables or </w:t>
      </w:r>
      <w:r w:rsidR="00781859">
        <w:t xml:space="preserve">for example </w:t>
      </w:r>
      <w:r w:rsidR="009F76B7">
        <w:t>the phrasing of survey questions used is generally more uniform in a sub-national dataset.</w:t>
      </w:r>
    </w:p>
    <w:p w:rsidR="00D4134F" w:rsidRPr="00220A38" w:rsidRDefault="00D45554" w:rsidP="00142112">
      <w:pPr>
        <w:spacing w:line="360" w:lineRule="auto"/>
        <w:jc w:val="both"/>
      </w:pPr>
      <w:r w:rsidRPr="00220A38">
        <w:t>E</w:t>
      </w:r>
      <w:r w:rsidR="00ED62FF" w:rsidRPr="00220A38">
        <w:t>mpirical studies of the relationship between economic growth and inequality</w:t>
      </w:r>
      <w:r w:rsidR="00AE0B7B" w:rsidRPr="00220A38">
        <w:t xml:space="preserve"> at the regional, within-country </w:t>
      </w:r>
      <w:r w:rsidR="00BC10F0" w:rsidRPr="00220A38">
        <w:t>level has to my knowledge</w:t>
      </w:r>
      <w:r w:rsidRPr="00220A38">
        <w:t xml:space="preserve"> been limited to the US and European countries</w:t>
      </w:r>
      <w:r w:rsidR="00ED62FF" w:rsidRPr="00220A38">
        <w:t xml:space="preserve">. </w:t>
      </w:r>
      <w:r w:rsidR="008A0AA2" w:rsidRPr="00220A38">
        <w:t xml:space="preserve">For the United States, </w:t>
      </w:r>
      <w:r w:rsidR="00AE0B7B" w:rsidRPr="00220A38">
        <w:t>Partridge</w:t>
      </w:r>
      <w:r w:rsidR="008A0AA2" w:rsidRPr="00220A38">
        <w:t xml:space="preserve"> (1997, 2005) analyzed data on a </w:t>
      </w:r>
      <w:r w:rsidR="00AE0B7B" w:rsidRPr="00220A38">
        <w:t>state</w:t>
      </w:r>
      <w:r w:rsidR="008A0AA2" w:rsidRPr="00220A38">
        <w:t xml:space="preserve"> level</w:t>
      </w:r>
      <w:r w:rsidR="00AE0B7B" w:rsidRPr="00220A38">
        <w:t xml:space="preserve"> from the US</w:t>
      </w:r>
      <w:r w:rsidR="0081762D" w:rsidRPr="00220A38">
        <w:t xml:space="preserve"> Census bureau between 1960-1990</w:t>
      </w:r>
      <w:r w:rsidR="00AE0B7B" w:rsidRPr="00220A38">
        <w:t xml:space="preserve"> and 1960-200</w:t>
      </w:r>
      <w:r w:rsidR="002C5E29" w:rsidRPr="00220A38">
        <w:t>0</w:t>
      </w:r>
      <w:r w:rsidR="00AE0B7B" w:rsidRPr="00220A38">
        <w:t xml:space="preserve"> respectively. He found a positive impact on economic growth</w:t>
      </w:r>
      <w:r w:rsidR="00C23AB3" w:rsidRPr="00220A38">
        <w:t xml:space="preserve"> using spatial econometric techniques</w:t>
      </w:r>
      <w:r w:rsidR="00AE0B7B" w:rsidRPr="00220A38">
        <w:t xml:space="preserve"> from both the </w:t>
      </w:r>
      <w:r w:rsidR="0039413B">
        <w:t>Gini</w:t>
      </w:r>
      <w:r w:rsidR="00AE0B7B" w:rsidRPr="00220A38">
        <w:t xml:space="preserve">-coeffient and the income from the third quintile (Q3) of state population. The alternative inequality measure had been chosen to reflect </w:t>
      </w:r>
      <w:r w:rsidR="002F578E" w:rsidRPr="00220A38">
        <w:t xml:space="preserve">either </w:t>
      </w:r>
      <w:r w:rsidR="00AE0B7B" w:rsidRPr="00220A38">
        <w:t xml:space="preserve">the impact of the median </w:t>
      </w:r>
      <w:r w:rsidR="002F578E" w:rsidRPr="00220A38">
        <w:t>voter,</w:t>
      </w:r>
      <w:r w:rsidR="00AE0B7B" w:rsidRPr="00220A38">
        <w:t xml:space="preserve"> a large middle class</w:t>
      </w:r>
      <w:r w:rsidR="002F578E" w:rsidRPr="00220A38">
        <w:t xml:space="preserve"> or both</w:t>
      </w:r>
      <w:r w:rsidR="00AE0B7B" w:rsidRPr="00220A38">
        <w:t xml:space="preserve">. </w:t>
      </w:r>
      <w:r w:rsidR="00C62CE1" w:rsidRPr="00220A38">
        <w:t>Another paper using US state dat</w:t>
      </w:r>
      <w:r w:rsidR="00BC10F0" w:rsidRPr="00220A38">
        <w:t>a</w:t>
      </w:r>
      <w:r w:rsidR="00C62CE1" w:rsidRPr="00220A38">
        <w:t xml:space="preserve"> finds some evidence supporting a negative relationship on the US state level (Panizza, 2002). Panizza uses </w:t>
      </w:r>
      <w:r w:rsidR="00D23CF7">
        <w:t>fixed effects</w:t>
      </w:r>
      <w:r w:rsidR="00C62CE1" w:rsidRPr="00220A38">
        <w:t xml:space="preserve"> OLS and GMM estimations</w:t>
      </w:r>
      <w:r w:rsidR="0081762D" w:rsidRPr="00220A38">
        <w:t xml:space="preserve"> and postulates that the differences in the results between Partridge (1997) and Panizza (2002) come from the use of different estimations techniques, a larger dataset (1940-1980), a different source (IRS data vs census data) and the use of the level of initial income per capita instead of the log. Contrary to Panizza’s results,</w:t>
      </w:r>
      <w:r w:rsidR="00C62CE1" w:rsidRPr="00220A38">
        <w:t xml:space="preserve"> </w:t>
      </w:r>
      <w:r w:rsidR="005B7257" w:rsidRPr="00220A38">
        <w:t>Frank (2009)</w:t>
      </w:r>
      <w:r w:rsidR="0081762D" w:rsidRPr="00220A38">
        <w:t xml:space="preserve"> found a positive relationship. He</w:t>
      </w:r>
      <w:r w:rsidR="005B7257" w:rsidRPr="00220A38">
        <w:t xml:space="preserve"> conducted research on a large state-level sample from 1945-2004</w:t>
      </w:r>
      <w:r w:rsidR="007E24ED" w:rsidRPr="00220A38">
        <w:t xml:space="preserve"> </w:t>
      </w:r>
      <w:r w:rsidR="0081762D" w:rsidRPr="00220A38">
        <w:t xml:space="preserve">also </w:t>
      </w:r>
      <w:r w:rsidR="007E24ED" w:rsidRPr="00220A38">
        <w:t>based on IRS income data</w:t>
      </w:r>
      <w:r w:rsidR="005B7257" w:rsidRPr="00220A38">
        <w:t xml:space="preserve">. </w:t>
      </w:r>
      <w:r w:rsidR="0081762D" w:rsidRPr="00220A38">
        <w:t>It was</w:t>
      </w:r>
      <w:r w:rsidR="005B7257" w:rsidRPr="00220A38">
        <w:t xml:space="preserve"> found that the long run relationship between inequality and economic growth had a positive sign and that it was driven by the concentration of income in the upper end of the distribution. </w:t>
      </w:r>
      <w:r w:rsidR="00774FAC" w:rsidRPr="00220A38">
        <w:t>Fallah and Partridge (2007</w:t>
      </w:r>
      <w:r w:rsidR="00ED62FF" w:rsidRPr="00220A38">
        <w:t xml:space="preserve">) analyzed the relationship </w:t>
      </w:r>
      <w:r w:rsidR="002F578E" w:rsidRPr="00220A38">
        <w:t xml:space="preserve">on an even lower aggregate level. </w:t>
      </w:r>
      <w:r w:rsidR="00A6354B" w:rsidRPr="00220A38">
        <w:t xml:space="preserve">They argue that there are not only regional differences on a state level between the effects of inequality on economic growth, but also between urban and rural areas. They </w:t>
      </w:r>
      <w:r w:rsidR="008C4A19" w:rsidRPr="00220A38">
        <w:t>used a sample of 3028 counties and found a positive link in metropolitan areas and a negative link in non-metropolitan areas</w:t>
      </w:r>
      <w:r w:rsidR="001569D3">
        <w:t>, suggesting urbanization is also a relevant determinant of the relationship</w:t>
      </w:r>
      <w:r w:rsidR="008C4A19" w:rsidRPr="00220A38">
        <w:t>.</w:t>
      </w:r>
      <w:r w:rsidR="005B7257" w:rsidRPr="00220A38">
        <w:t xml:space="preserve"> </w:t>
      </w:r>
    </w:p>
    <w:p w:rsidR="000958E9" w:rsidRDefault="008A0AA2" w:rsidP="0081428D">
      <w:pPr>
        <w:spacing w:line="360" w:lineRule="auto"/>
        <w:jc w:val="both"/>
      </w:pPr>
      <w:r w:rsidRPr="00220A38">
        <w:lastRenderedPageBreak/>
        <w:t>For European countries,</w:t>
      </w:r>
      <w:r w:rsidR="007E24ED" w:rsidRPr="00220A38">
        <w:t xml:space="preserve"> Ezcurra (2007)</w:t>
      </w:r>
      <w:r w:rsidR="009650B2" w:rsidRPr="00220A38">
        <w:t xml:space="preserve"> </w:t>
      </w:r>
      <w:r w:rsidR="00E06D02" w:rsidRPr="00220A38">
        <w:t xml:space="preserve">studied the inequality-growth relationship based on a sample of 63 regions in 8 European countries during the period 1993-2002. He </w:t>
      </w:r>
      <w:r w:rsidR="002C5E29" w:rsidRPr="00220A38">
        <w:t>found</w:t>
      </w:r>
      <w:r w:rsidR="00E06D02" w:rsidRPr="00220A38">
        <w:t xml:space="preserve"> a negative correlation between the two using spatial econometric methods. Rodriguez-Pose and Tselios (2010)</w:t>
      </w:r>
      <w:r w:rsidR="00F248CE" w:rsidRPr="00220A38">
        <w:t xml:space="preserve"> explored data on 102 regions in 13 European countries from the European Community Household Panel. </w:t>
      </w:r>
      <w:r w:rsidR="00D45554" w:rsidRPr="00220A38">
        <w:t>Based on cross-section and panel data analysis, t</w:t>
      </w:r>
      <w:r w:rsidR="00F248CE" w:rsidRPr="00220A38">
        <w:t>hey report</w:t>
      </w:r>
      <w:r w:rsidR="00D45554" w:rsidRPr="00220A38">
        <w:t>ed</w:t>
      </w:r>
      <w:r w:rsidR="00F248CE" w:rsidRPr="00220A38">
        <w:t xml:space="preserve"> that existing levels of both income and educational inequality are gro</w:t>
      </w:r>
      <w:r w:rsidR="00D45554" w:rsidRPr="00220A38">
        <w:t>wth-enhancing. R</w:t>
      </w:r>
      <w:r w:rsidR="00A64BB6" w:rsidRPr="00220A38">
        <w:t xml:space="preserve">ooth and Stenberg (2012), </w:t>
      </w:r>
      <w:r w:rsidR="00774FAC" w:rsidRPr="00220A38">
        <w:t>in their study of Swedish regions</w:t>
      </w:r>
      <w:r w:rsidR="00A64BB6" w:rsidRPr="00220A38">
        <w:t xml:space="preserve">, </w:t>
      </w:r>
      <w:r w:rsidR="00C23AB3" w:rsidRPr="00220A38">
        <w:t>contended</w:t>
      </w:r>
      <w:r w:rsidR="00774FAC" w:rsidRPr="00220A38">
        <w:t xml:space="preserve"> that the regional setup allows for diminishing the omitted variables probl</w:t>
      </w:r>
      <w:r w:rsidR="00001B78" w:rsidRPr="00220A38">
        <w:t>em which has plagued other studies</w:t>
      </w:r>
      <w:r w:rsidR="00774FAC" w:rsidRPr="00220A38">
        <w:t xml:space="preserve"> because regions in Sweden share similar redistribution policies and institutions. </w:t>
      </w:r>
      <w:r w:rsidR="00C23AB3" w:rsidRPr="00220A38">
        <w:t>They fou</w:t>
      </w:r>
      <w:r w:rsidR="00BB75D4" w:rsidRPr="00220A38">
        <w:t>nd</w:t>
      </w:r>
      <w:r w:rsidR="001569D3">
        <w:t>, using OLS, Fixed-effects panel estimation and System GMM-estimation</w:t>
      </w:r>
      <w:r w:rsidR="00BB75D4" w:rsidRPr="00220A38">
        <w:t xml:space="preserve"> that income inequality in Swedish regions increased economic growth by stimulating commuting patterns. </w:t>
      </w:r>
    </w:p>
    <w:p w:rsidR="00AC3934" w:rsidRPr="00220A38" w:rsidRDefault="00AC3934" w:rsidP="0081428D">
      <w:pPr>
        <w:spacing w:line="360" w:lineRule="auto"/>
        <w:jc w:val="both"/>
      </w:pPr>
    </w:p>
    <w:p w:rsidR="007E6907" w:rsidRPr="00220A38" w:rsidRDefault="007E6907" w:rsidP="00142112">
      <w:pPr>
        <w:pStyle w:val="ListParagraph"/>
        <w:numPr>
          <w:ilvl w:val="0"/>
          <w:numId w:val="28"/>
        </w:numPr>
        <w:spacing w:line="360" w:lineRule="auto"/>
        <w:jc w:val="both"/>
        <w:rPr>
          <w:b/>
        </w:rPr>
      </w:pPr>
      <w:r w:rsidRPr="00220A38">
        <w:rPr>
          <w:b/>
        </w:rPr>
        <w:t>Data</w:t>
      </w:r>
    </w:p>
    <w:p w:rsidR="001803F1" w:rsidRPr="00220A38" w:rsidRDefault="009D4B65" w:rsidP="00142112">
      <w:pPr>
        <w:spacing w:line="360" w:lineRule="auto"/>
        <w:jc w:val="both"/>
      </w:pPr>
      <w:r w:rsidRPr="00220A38">
        <w:t xml:space="preserve">For my thesis </w:t>
      </w:r>
      <w:r w:rsidR="000958E9" w:rsidRPr="00220A38">
        <w:t>I</w:t>
      </w:r>
      <w:r w:rsidRPr="00220A38">
        <w:t xml:space="preserve"> use</w:t>
      </w:r>
      <w:r w:rsidR="001803F1" w:rsidRPr="00220A38">
        <w:t xml:space="preserve"> various sources to</w:t>
      </w:r>
      <w:r w:rsidRPr="00220A38">
        <w:t xml:space="preserve"> compile variables measuring inequality and economic growth</w:t>
      </w:r>
      <w:r w:rsidR="00BC10F0" w:rsidRPr="00220A38">
        <w:t xml:space="preserve">. I’ll first discuss my main data </w:t>
      </w:r>
      <w:r w:rsidR="00B8330E" w:rsidRPr="00220A38">
        <w:t xml:space="preserve">source </w:t>
      </w:r>
      <w:r w:rsidR="00BC10F0" w:rsidRPr="00220A38">
        <w:t>from which the inequality and educational variables are compiled</w:t>
      </w:r>
      <w:r w:rsidR="00B8330E" w:rsidRPr="00220A38">
        <w:t xml:space="preserve">, the </w:t>
      </w:r>
      <w:r w:rsidR="00CF2E4F">
        <w:t>CASEN</w:t>
      </w:r>
      <w:r w:rsidR="00B8330E" w:rsidRPr="00220A38">
        <w:t xml:space="preserve"> household survey, in section</w:t>
      </w:r>
      <w:r w:rsidR="00D334FB">
        <w:t xml:space="preserve"> 3.1. Then I’ll explain how the income inequality indicators</w:t>
      </w:r>
      <w:r w:rsidR="001803F1" w:rsidRPr="00220A38">
        <w:t xml:space="preserve"> for my analysis </w:t>
      </w:r>
      <w:r w:rsidR="00317AC4" w:rsidRPr="00220A38">
        <w:t xml:space="preserve">are constructed </w:t>
      </w:r>
      <w:r w:rsidR="001803F1" w:rsidRPr="00220A38">
        <w:t xml:space="preserve">from the household survey in section 3.2 and in section 3.3 I will briefly cover the sources and construction of other variables used. </w:t>
      </w:r>
    </w:p>
    <w:p w:rsidR="001803F1" w:rsidRPr="00220A38" w:rsidRDefault="00CF2E4F" w:rsidP="00142112">
      <w:pPr>
        <w:pStyle w:val="ListParagraph"/>
        <w:numPr>
          <w:ilvl w:val="1"/>
          <w:numId w:val="28"/>
        </w:numPr>
        <w:spacing w:line="360" w:lineRule="auto"/>
        <w:jc w:val="both"/>
        <w:rPr>
          <w:b/>
        </w:rPr>
      </w:pPr>
      <w:r>
        <w:rPr>
          <w:b/>
        </w:rPr>
        <w:t>CASEN</w:t>
      </w:r>
      <w:r w:rsidR="001803F1" w:rsidRPr="00220A38">
        <w:rPr>
          <w:b/>
        </w:rPr>
        <w:t xml:space="preserve"> Household Survey</w:t>
      </w:r>
    </w:p>
    <w:p w:rsidR="00610EF1" w:rsidRPr="00220A38" w:rsidRDefault="007E6907" w:rsidP="00142112">
      <w:pPr>
        <w:autoSpaceDE w:val="0"/>
        <w:autoSpaceDN w:val="0"/>
        <w:adjustRightInd w:val="0"/>
        <w:spacing w:after="0" w:line="360" w:lineRule="auto"/>
        <w:jc w:val="both"/>
      </w:pPr>
      <w:r w:rsidRPr="00220A38">
        <w:t>The data</w:t>
      </w:r>
      <w:r w:rsidR="00E844EE" w:rsidRPr="00220A38">
        <w:t>set employed in</w:t>
      </w:r>
      <w:r w:rsidRPr="00220A38">
        <w:t xml:space="preserve"> my </w:t>
      </w:r>
      <w:r w:rsidR="003437CB" w:rsidRPr="00220A38">
        <w:t>thesis</w:t>
      </w:r>
      <w:r w:rsidR="009B428E" w:rsidRPr="00220A38">
        <w:t xml:space="preserve"> </w:t>
      </w:r>
      <w:r w:rsidR="001803F1" w:rsidRPr="00220A38">
        <w:t>for the construction of income and educational variables</w:t>
      </w:r>
      <w:r w:rsidR="0090487E" w:rsidRPr="00220A38">
        <w:t xml:space="preserve"> </w:t>
      </w:r>
      <w:r w:rsidR="0024301F" w:rsidRPr="00220A38">
        <w:t>is</w:t>
      </w:r>
      <w:r w:rsidR="0090487E" w:rsidRPr="00220A38">
        <w:t xml:space="preserve"> </w:t>
      </w:r>
      <w:r w:rsidR="009B428E" w:rsidRPr="00220A38">
        <w:t xml:space="preserve">the </w:t>
      </w:r>
      <w:r w:rsidR="0090487E" w:rsidRPr="00220A38">
        <w:t>Chilean</w:t>
      </w:r>
      <w:r w:rsidRPr="00220A38">
        <w:t xml:space="preserve"> National </w:t>
      </w:r>
      <w:r w:rsidR="0090487E" w:rsidRPr="00220A38">
        <w:t xml:space="preserve">Socio-Economic </w:t>
      </w:r>
      <w:r w:rsidRPr="00220A38">
        <w:t>Characterization Survey (</w:t>
      </w:r>
      <w:r w:rsidR="00CF2E4F">
        <w:t>CASEN</w:t>
      </w:r>
      <w:r w:rsidRPr="00220A38">
        <w:t>), a household survey</w:t>
      </w:r>
      <w:r w:rsidR="00FD5148" w:rsidRPr="00220A38">
        <w:t>. It is</w:t>
      </w:r>
      <w:r w:rsidRPr="00220A38">
        <w:t xml:space="preserve"> conducted by the </w:t>
      </w:r>
      <w:r w:rsidR="00E844EE" w:rsidRPr="00220A38">
        <w:t xml:space="preserve">Chilean </w:t>
      </w:r>
      <w:r w:rsidRPr="00220A38">
        <w:t>Ministry of Planning (</w:t>
      </w:r>
      <w:r w:rsidR="00323A02" w:rsidRPr="00220A38">
        <w:t>Mide</w:t>
      </w:r>
      <w:r w:rsidRPr="00220A38">
        <w:t>plan) with cooperation of the Micro-Data Institute of</w:t>
      </w:r>
      <w:r w:rsidR="0090487E" w:rsidRPr="00220A38">
        <w:t xml:space="preserve"> the Department of Economics at</w:t>
      </w:r>
      <w:r w:rsidRPr="00220A38">
        <w:t xml:space="preserve"> the Universidad de Chile</w:t>
      </w:r>
      <w:r w:rsidR="00E844EE" w:rsidRPr="00220A38">
        <w:t>, located in Santiago</w:t>
      </w:r>
      <w:r w:rsidRPr="00220A38">
        <w:t xml:space="preserve">. The surveys used were held in </w:t>
      </w:r>
      <w:r w:rsidR="00A217F0" w:rsidRPr="00220A38">
        <w:t xml:space="preserve">November or December of </w:t>
      </w:r>
      <w:r w:rsidRPr="00220A38">
        <w:t>1990, 1992, 1994, 1</w:t>
      </w:r>
      <w:r w:rsidR="006A3C14" w:rsidRPr="00220A38">
        <w:t xml:space="preserve">996, 1998, 2000, 2003, 2006, </w:t>
      </w:r>
      <w:r w:rsidR="000743A2" w:rsidRPr="00220A38">
        <w:t>and 2009</w:t>
      </w:r>
      <w:r w:rsidR="00CA7EC6" w:rsidRPr="00220A38">
        <w:rPr>
          <w:rStyle w:val="FootnoteReference"/>
        </w:rPr>
        <w:footnoteReference w:id="11"/>
      </w:r>
      <w:r w:rsidRPr="00220A38">
        <w:t xml:space="preserve">. The survey’s goal is to monitor the socio-economic impact of policies implemented by the government to alleviate poverty. This entails the collection of economic, demographic, educational and health data. </w:t>
      </w:r>
      <w:r w:rsidR="00FB62FD" w:rsidRPr="00220A38">
        <w:t>Collection of data is done by fieldwork with questionnaires handed out in November and December of the respective years. The household survey is constructed to be both</w:t>
      </w:r>
      <w:r w:rsidR="003437CB" w:rsidRPr="00220A38">
        <w:t xml:space="preserve"> </w:t>
      </w:r>
      <w:r w:rsidRPr="00220A38">
        <w:t>nationally as well as regionally representative</w:t>
      </w:r>
      <w:r w:rsidR="00FB62FD" w:rsidRPr="00220A38">
        <w:t xml:space="preserve"> by the use of expansion factors</w:t>
      </w:r>
      <w:r w:rsidRPr="00220A38">
        <w:t xml:space="preserve">. </w:t>
      </w:r>
      <w:r w:rsidR="0090487E" w:rsidRPr="00220A38">
        <w:t>Sampling can be described as multi-stage random sampling with geographical stratification and clustering</w:t>
      </w:r>
      <w:r w:rsidR="00F01F7A" w:rsidRPr="00220A38">
        <w:t xml:space="preserve">.  </w:t>
      </w:r>
      <w:r w:rsidR="00B1540D" w:rsidRPr="00220A38">
        <w:t xml:space="preserve">The country is divided in rural and urban sectors for each of Chile’s 13 regions. </w:t>
      </w:r>
      <w:r w:rsidR="006714C7" w:rsidRPr="00220A38">
        <w:t xml:space="preserve">Rural sectors were final level strata and urban sectors were again split in three categories according to population size. From these three, </w:t>
      </w:r>
      <w:r w:rsidR="006714C7" w:rsidRPr="00220A38">
        <w:lastRenderedPageBreak/>
        <w:t xml:space="preserve">the largest </w:t>
      </w:r>
      <w:r w:rsidR="00C20EB6" w:rsidRPr="00220A38">
        <w:t xml:space="preserve">urban sectors were again final level strata, while medium and small towns were clustered. First stage sampling occurred with probabilities proportional to population on primary units. A second stage sampling involved households within these primary units (World </w:t>
      </w:r>
      <w:proofErr w:type="gramStart"/>
      <w:r w:rsidR="00C20EB6" w:rsidRPr="00220A38">
        <w:t>Bank ,2002</w:t>
      </w:r>
      <w:proofErr w:type="gramEnd"/>
      <w:r w:rsidR="00C20EB6" w:rsidRPr="00220A38">
        <w:t xml:space="preserve">). Table 3.1 shows the </w:t>
      </w:r>
      <w:r w:rsidR="006A3974">
        <w:t xml:space="preserve">resulting </w:t>
      </w:r>
      <w:r w:rsidR="00C20EB6" w:rsidRPr="00220A38">
        <w:t>sample size</w:t>
      </w:r>
      <w:r w:rsidR="006A3974">
        <w:t>s</w:t>
      </w:r>
      <w:r w:rsidR="00C20EB6" w:rsidRPr="00220A38">
        <w:t xml:space="preserve"> and population</w:t>
      </w:r>
      <w:r w:rsidR="006A3974">
        <w:t>s</w:t>
      </w:r>
      <w:r w:rsidR="00C20EB6" w:rsidRPr="00220A38">
        <w:t xml:space="preserve"> of </w:t>
      </w:r>
      <w:r w:rsidR="0051502D" w:rsidRPr="00220A38">
        <w:t xml:space="preserve">the </w:t>
      </w:r>
      <w:r w:rsidR="00C20EB6" w:rsidRPr="00220A38">
        <w:t>survey</w:t>
      </w:r>
      <w:r w:rsidR="0051502D" w:rsidRPr="00220A38">
        <w:t>s</w:t>
      </w:r>
      <w:r w:rsidR="00C20EB6" w:rsidRPr="00220A38">
        <w:t xml:space="preserve">. </w:t>
      </w:r>
    </w:p>
    <w:p w:rsidR="00A25DE0" w:rsidRPr="00220A38" w:rsidRDefault="00EA63BD" w:rsidP="00142112">
      <w:pPr>
        <w:autoSpaceDE w:val="0"/>
        <w:autoSpaceDN w:val="0"/>
        <w:adjustRightInd w:val="0"/>
        <w:spacing w:after="0" w:line="360" w:lineRule="auto"/>
        <w:jc w:val="both"/>
      </w:pPr>
      <w:r w:rsidRPr="00220A38">
        <w:t>Once a survey is completed, the data is sent to ECLAC, the United Nation’s Economic Commission for Latin America and the Caribbean, which adjusts the data in two ways. They correct the data for non-response and errors (for example, people declaring themselves formally employed but report no income) and  adjust it for under- and over reporting of different income levels, by using national account data provided by the Central Bank of Chile</w:t>
      </w:r>
      <w:r w:rsidRPr="00220A38">
        <w:rPr>
          <w:rStyle w:val="FootnoteReference"/>
        </w:rPr>
        <w:footnoteReference w:id="12"/>
      </w:r>
      <w:r w:rsidRPr="00220A38">
        <w:t>.</w:t>
      </w:r>
    </w:p>
    <w:p w:rsidR="009D4B65" w:rsidRPr="00220A38" w:rsidRDefault="009D4B65" w:rsidP="00142112">
      <w:pPr>
        <w:autoSpaceDE w:val="0"/>
        <w:autoSpaceDN w:val="0"/>
        <w:adjustRightInd w:val="0"/>
        <w:spacing w:after="0" w:line="360" w:lineRule="auto"/>
        <w:jc w:val="both"/>
      </w:pPr>
    </w:p>
    <w:p w:rsidR="00116A38" w:rsidRPr="00220A38" w:rsidRDefault="00404A5F" w:rsidP="00B22442">
      <w:pPr>
        <w:spacing w:line="240" w:lineRule="auto"/>
        <w:jc w:val="both"/>
      </w:pPr>
      <w:proofErr w:type="gramStart"/>
      <w:r w:rsidRPr="00490FD4">
        <w:rPr>
          <w:i/>
        </w:rPr>
        <w:t>Table 3.1</w:t>
      </w:r>
      <w:r w:rsidR="004705F5">
        <w:rPr>
          <w:i/>
        </w:rPr>
        <w:t>.</w:t>
      </w:r>
      <w:proofErr w:type="gramEnd"/>
      <w:r w:rsidRPr="00220A38">
        <w:t xml:space="preserve"> </w:t>
      </w:r>
      <w:r w:rsidRPr="00220A38">
        <w:rPr>
          <w:i/>
        </w:rPr>
        <w:t>Observations</w:t>
      </w:r>
      <w:r w:rsidR="008C2E4A" w:rsidRPr="00220A38">
        <w:rPr>
          <w:i/>
        </w:rPr>
        <w:t xml:space="preserve"> and actual population size</w:t>
      </w:r>
      <w:r w:rsidR="00116A38" w:rsidRPr="00220A38">
        <w:fldChar w:fldCharType="begin"/>
      </w:r>
      <w:r w:rsidR="00116A38" w:rsidRPr="00220A38">
        <w:instrText xml:space="preserve"> LINK </w:instrText>
      </w:r>
      <w:r w:rsidR="000B2FC3">
        <w:instrText xml:space="preserve">Excel.Sheet.12 Book1 Sheet1!R2C1:R8C10 </w:instrText>
      </w:r>
      <w:r w:rsidR="00116A38" w:rsidRPr="00220A38">
        <w:instrText xml:space="preserve">\a \f 4 \h </w:instrText>
      </w:r>
      <w:r w:rsidR="006714C7" w:rsidRPr="00220A38">
        <w:instrText xml:space="preserve"> \* MERGEFORMAT </w:instrText>
      </w:r>
      <w:r w:rsidR="00116A38" w:rsidRPr="00220A38">
        <w:fldChar w:fldCharType="separate"/>
      </w:r>
    </w:p>
    <w:tbl>
      <w:tblPr>
        <w:tblW w:w="9300" w:type="dxa"/>
        <w:tblLook w:val="04A0" w:firstRow="1" w:lastRow="0" w:firstColumn="1" w:lastColumn="0" w:noHBand="0" w:noVBand="1"/>
      </w:tblPr>
      <w:tblGrid>
        <w:gridCol w:w="1020"/>
        <w:gridCol w:w="936"/>
        <w:gridCol w:w="936"/>
        <w:gridCol w:w="936"/>
        <w:gridCol w:w="936"/>
        <w:gridCol w:w="936"/>
        <w:gridCol w:w="936"/>
        <w:gridCol w:w="936"/>
        <w:gridCol w:w="936"/>
        <w:gridCol w:w="936"/>
      </w:tblGrid>
      <w:tr w:rsidR="00116A38" w:rsidRPr="00220A38" w:rsidTr="0046023F">
        <w:trPr>
          <w:trHeight w:val="300"/>
        </w:trPr>
        <w:tc>
          <w:tcPr>
            <w:tcW w:w="10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1990</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1992</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1994</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1996</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1998</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2000</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2003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2006</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2009</w:t>
            </w:r>
          </w:p>
        </w:tc>
      </w:tr>
      <w:tr w:rsidR="00116A38" w:rsidRPr="00220A38" w:rsidTr="0046023F">
        <w:trPr>
          <w:trHeight w:val="300"/>
        </w:trPr>
        <w:tc>
          <w:tcPr>
            <w:tcW w:w="10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Individuals</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r>
      <w:tr w:rsidR="00116A38" w:rsidRPr="00220A38" w:rsidTr="0046023F">
        <w:trPr>
          <w:trHeight w:val="300"/>
        </w:trPr>
        <w:tc>
          <w:tcPr>
            <w:tcW w:w="10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Sample</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105.189</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143.459</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178.057</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134.262</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188.360</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252.748</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257.077</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268.873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246.924</w:t>
            </w:r>
          </w:p>
        </w:tc>
      </w:tr>
      <w:tr w:rsidR="00116A38" w:rsidRPr="00220A38" w:rsidTr="0046023F">
        <w:trPr>
          <w:trHeight w:val="300"/>
        </w:trPr>
        <w:tc>
          <w:tcPr>
            <w:tcW w:w="10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Population</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12.957.503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13.458.623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13.894.631</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14.386.031</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14.765.419</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15.003.753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15.639.785</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16.152.353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16.607.007</w:t>
            </w:r>
          </w:p>
        </w:tc>
      </w:tr>
      <w:tr w:rsidR="00116A38" w:rsidRPr="00220A38" w:rsidTr="0046023F">
        <w:trPr>
          <w:trHeight w:val="300"/>
        </w:trPr>
        <w:tc>
          <w:tcPr>
            <w:tcW w:w="10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b/>
                <w:bCs/>
                <w:color w:val="000000"/>
                <w:sz w:val="16"/>
                <w:szCs w:val="16"/>
              </w:rPr>
            </w:pPr>
            <w:r w:rsidRPr="00220A38">
              <w:rPr>
                <w:rFonts w:eastAsia="Times New Roman"/>
                <w:b/>
                <w:bCs/>
                <w:color w:val="000000"/>
                <w:sz w:val="16"/>
                <w:szCs w:val="16"/>
              </w:rPr>
              <w:t>Households</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 </w:t>
            </w:r>
          </w:p>
        </w:tc>
      </w:tr>
      <w:tr w:rsidR="00116A38" w:rsidRPr="00220A38" w:rsidTr="0046023F">
        <w:trPr>
          <w:trHeight w:val="300"/>
        </w:trPr>
        <w:tc>
          <w:tcPr>
            <w:tcW w:w="10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Sample</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25.793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35.948</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45.379</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33.636</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48.107</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65.036</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68.153</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73.720</w:t>
            </w:r>
          </w:p>
        </w:tc>
        <w:tc>
          <w:tcPr>
            <w:tcW w:w="920" w:type="dxa"/>
            <w:tcBorders>
              <w:top w:val="nil"/>
              <w:left w:val="nil"/>
              <w:bottom w:val="nil"/>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71.460</w:t>
            </w:r>
          </w:p>
        </w:tc>
      </w:tr>
      <w:tr w:rsidR="00116A38" w:rsidRPr="00220A38" w:rsidTr="0046023F">
        <w:trPr>
          <w:trHeight w:val="300"/>
        </w:trPr>
        <w:tc>
          <w:tcPr>
            <w:tcW w:w="10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Population</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3.180.536</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3.387.757</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3.556.009</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3.623.448</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3.777.023</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3.871.863</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4.130.404</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4.337.066</w:t>
            </w:r>
          </w:p>
        </w:tc>
        <w:tc>
          <w:tcPr>
            <w:tcW w:w="920" w:type="dxa"/>
            <w:tcBorders>
              <w:top w:val="nil"/>
              <w:left w:val="nil"/>
              <w:bottom w:val="single" w:sz="4" w:space="0" w:color="auto"/>
              <w:right w:val="nil"/>
            </w:tcBorders>
            <w:shd w:val="clear" w:color="auto" w:fill="auto"/>
            <w:noWrap/>
            <w:vAlign w:val="bottom"/>
            <w:hideMark/>
          </w:tcPr>
          <w:p w:rsidR="00116A38" w:rsidRPr="00220A38" w:rsidRDefault="00116A38" w:rsidP="00B22442">
            <w:pPr>
              <w:spacing w:after="0" w:line="240" w:lineRule="auto"/>
              <w:jc w:val="both"/>
              <w:rPr>
                <w:rFonts w:eastAsia="Times New Roman"/>
                <w:color w:val="000000"/>
                <w:sz w:val="16"/>
                <w:szCs w:val="16"/>
              </w:rPr>
            </w:pPr>
            <w:r w:rsidRPr="00220A38">
              <w:rPr>
                <w:rFonts w:eastAsia="Times New Roman"/>
                <w:color w:val="000000"/>
                <w:sz w:val="16"/>
                <w:szCs w:val="16"/>
              </w:rPr>
              <w:t>4.685.490</w:t>
            </w:r>
          </w:p>
        </w:tc>
      </w:tr>
    </w:tbl>
    <w:p w:rsidR="00FB62FD" w:rsidRPr="00220A38" w:rsidRDefault="00116A38" w:rsidP="00B22442">
      <w:pPr>
        <w:spacing w:line="240" w:lineRule="auto"/>
        <w:jc w:val="both"/>
        <w:rPr>
          <w:sz w:val="18"/>
          <w:szCs w:val="18"/>
        </w:rPr>
      </w:pPr>
      <w:r w:rsidRPr="00220A38">
        <w:fldChar w:fldCharType="end"/>
      </w:r>
      <w:r w:rsidR="007B371C" w:rsidRPr="00220A38">
        <w:t>S</w:t>
      </w:r>
      <w:r w:rsidR="00DE029B" w:rsidRPr="00220A38">
        <w:rPr>
          <w:sz w:val="18"/>
          <w:szCs w:val="18"/>
        </w:rPr>
        <w:t xml:space="preserve">ource: </w:t>
      </w:r>
      <w:r w:rsidR="00CF2E4F">
        <w:rPr>
          <w:sz w:val="18"/>
          <w:szCs w:val="18"/>
        </w:rPr>
        <w:t>CASEN</w:t>
      </w:r>
      <w:r w:rsidR="00DE029B" w:rsidRPr="00220A38">
        <w:rPr>
          <w:sz w:val="18"/>
          <w:szCs w:val="18"/>
        </w:rPr>
        <w:t xml:space="preserve"> survey for respective years</w:t>
      </w:r>
    </w:p>
    <w:p w:rsidR="00FB62FD" w:rsidRPr="00220A38" w:rsidRDefault="00CD091B" w:rsidP="00142112">
      <w:pPr>
        <w:pStyle w:val="ListParagraph"/>
        <w:spacing w:line="360" w:lineRule="auto"/>
        <w:jc w:val="both"/>
        <w:rPr>
          <w:b/>
        </w:rPr>
      </w:pPr>
      <w:r w:rsidRPr="00220A38">
        <w:rPr>
          <w:b/>
        </w:rPr>
        <w:t>3.2</w:t>
      </w:r>
      <w:r w:rsidR="00FB62FD" w:rsidRPr="00220A38">
        <w:rPr>
          <w:b/>
        </w:rPr>
        <w:t xml:space="preserve"> </w:t>
      </w:r>
      <w:r w:rsidR="00D30464" w:rsidRPr="00220A38">
        <w:rPr>
          <w:b/>
        </w:rPr>
        <w:t>Income</w:t>
      </w:r>
      <w:r w:rsidR="0011042F" w:rsidRPr="00220A38">
        <w:rPr>
          <w:b/>
        </w:rPr>
        <w:t xml:space="preserve"> and Income Inequality</w:t>
      </w:r>
    </w:p>
    <w:p w:rsidR="00AF604D" w:rsidRPr="00220A38" w:rsidRDefault="00343406" w:rsidP="00142112">
      <w:pPr>
        <w:spacing w:line="360" w:lineRule="auto"/>
        <w:jc w:val="both"/>
      </w:pPr>
      <w:r w:rsidRPr="00220A38">
        <w:t xml:space="preserve">To be able to accurately </w:t>
      </w:r>
      <w:r w:rsidR="00BC10F0" w:rsidRPr="00220A38">
        <w:t>quantify</w:t>
      </w:r>
      <w:r w:rsidRPr="00220A38">
        <w:t xml:space="preserve"> the income distribution in a region, all income sources should be taken into account. </w:t>
      </w:r>
      <w:r w:rsidR="00746E73" w:rsidRPr="00220A38">
        <w:t xml:space="preserve">I use the total household income variable labeled </w:t>
      </w:r>
      <w:r w:rsidR="00643755" w:rsidRPr="00220A38">
        <w:t>‘</w:t>
      </w:r>
      <w:r w:rsidR="00746E73" w:rsidRPr="00220A38">
        <w:t>YTOTHAJ</w:t>
      </w:r>
      <w:r w:rsidR="00643755" w:rsidRPr="00220A38">
        <w:t>’</w:t>
      </w:r>
      <w:r w:rsidR="00746E73" w:rsidRPr="00220A38">
        <w:t xml:space="preserve"> in the </w:t>
      </w:r>
      <w:r w:rsidR="00CF2E4F">
        <w:t>CASEN</w:t>
      </w:r>
      <w:r w:rsidR="00746E73" w:rsidRPr="00220A38">
        <w:t xml:space="preserve"> dataset. </w:t>
      </w:r>
      <w:r w:rsidR="0081461F" w:rsidRPr="00220A38">
        <w:t xml:space="preserve">Income at the household level is </w:t>
      </w:r>
      <w:r w:rsidR="00BE5F72" w:rsidRPr="00220A38">
        <w:t>preferred over individual income</w:t>
      </w:r>
      <w:r w:rsidR="0081461F" w:rsidRPr="00220A38">
        <w:t xml:space="preserve"> because this </w:t>
      </w:r>
      <w:r w:rsidR="00BE5F72" w:rsidRPr="00220A38">
        <w:t>better reflects the welfare level of individuals within the household</w:t>
      </w:r>
      <w:r w:rsidR="0081461F" w:rsidRPr="00220A38">
        <w:t xml:space="preserve"> compared to individual income measures</w:t>
      </w:r>
      <w:r w:rsidR="00BE5F72" w:rsidRPr="00220A38">
        <w:t xml:space="preserve"> (</w:t>
      </w:r>
      <w:r w:rsidR="00B14645" w:rsidRPr="00220A38">
        <w:t>Deaton, 1997</w:t>
      </w:r>
      <w:r w:rsidR="00BE5F72" w:rsidRPr="00220A38">
        <w:t>)</w:t>
      </w:r>
      <w:r w:rsidR="0081461F" w:rsidRPr="00220A38">
        <w:t xml:space="preserve">. For example, </w:t>
      </w:r>
      <w:r w:rsidR="00BE5F72" w:rsidRPr="00220A38">
        <w:t xml:space="preserve">in </w:t>
      </w:r>
      <w:r w:rsidR="0081461F" w:rsidRPr="00220A38">
        <w:t xml:space="preserve">a </w:t>
      </w:r>
      <w:r w:rsidR="00BE5F72" w:rsidRPr="00220A38">
        <w:t xml:space="preserve">household consisting of two adults with only one adult receiving income, individual income would yield zero income for the non-income receiving adult, while </w:t>
      </w:r>
      <w:r w:rsidR="00B14645" w:rsidRPr="00220A38">
        <w:t>this individual</w:t>
      </w:r>
      <w:r w:rsidR="00BE5F72" w:rsidRPr="00220A38">
        <w:t xml:space="preserve"> most likely does not have the same welfare level as an individual in a zero-income household. </w:t>
      </w:r>
      <w:r w:rsidR="007B371C" w:rsidRPr="00220A38">
        <w:t xml:space="preserve">Total household income </w:t>
      </w:r>
      <w:r w:rsidR="00746E73" w:rsidRPr="00220A38">
        <w:t xml:space="preserve">consists of all income accrued by all household members in the </w:t>
      </w:r>
      <w:r w:rsidR="00C74C91" w:rsidRPr="00220A38">
        <w:t>preceding month</w:t>
      </w:r>
      <w:r w:rsidR="00746E73" w:rsidRPr="00220A38">
        <w:t xml:space="preserve"> including wages, self-employment, government subsidies of all kind, pensions and </w:t>
      </w:r>
      <w:r w:rsidR="00C74C91" w:rsidRPr="00220A38">
        <w:t xml:space="preserve">imputed rent, after adjustment by ECLAC. </w:t>
      </w:r>
      <w:r w:rsidR="0024301F" w:rsidRPr="00220A38">
        <w:t>This reveals o</w:t>
      </w:r>
      <w:r w:rsidR="00FB62FD" w:rsidRPr="00220A38">
        <w:t xml:space="preserve">ne important limitation of </w:t>
      </w:r>
      <w:r w:rsidRPr="00220A38">
        <w:t xml:space="preserve">the </w:t>
      </w:r>
      <w:r w:rsidR="00CF2E4F">
        <w:t>CASEN</w:t>
      </w:r>
      <w:r w:rsidR="00FB62FD" w:rsidRPr="00220A38">
        <w:t xml:space="preserve"> household survey</w:t>
      </w:r>
      <w:r w:rsidR="0024301F" w:rsidRPr="00220A38">
        <w:t xml:space="preserve">: </w:t>
      </w:r>
      <w:r w:rsidR="00906E8F" w:rsidRPr="00220A38">
        <w:t xml:space="preserve">rent from capital (bonds, shares or other investments with possible future benefits) is not included. </w:t>
      </w:r>
      <w:r w:rsidR="00920961" w:rsidRPr="00220A38">
        <w:t>Comparing income as registered in the household surveys with</w:t>
      </w:r>
      <w:r w:rsidR="00C53152" w:rsidRPr="00220A38">
        <w:t xml:space="preserve"> national </w:t>
      </w:r>
      <w:r w:rsidR="00920961" w:rsidRPr="00220A38">
        <w:t>accounts also reveals that the household surveys do not capture all income</w:t>
      </w:r>
      <w:r w:rsidR="00781859">
        <w:t xml:space="preserve"> (Contreras and Ffrench-Davis, 2012</w:t>
      </w:r>
      <w:r w:rsidR="009D4B65" w:rsidRPr="00220A38">
        <w:t>)</w:t>
      </w:r>
      <w:r w:rsidR="00C53152" w:rsidRPr="00220A38">
        <w:t xml:space="preserve">. </w:t>
      </w:r>
      <w:r w:rsidR="00920961" w:rsidRPr="00220A38">
        <w:t>This</w:t>
      </w:r>
      <w:r w:rsidR="00C53152" w:rsidRPr="00220A38">
        <w:t xml:space="preserve"> </w:t>
      </w:r>
      <w:r w:rsidR="00AF604D" w:rsidRPr="00220A38">
        <w:t xml:space="preserve">potentially </w:t>
      </w:r>
      <w:r w:rsidR="00C53152" w:rsidRPr="00220A38">
        <w:t>influence</w:t>
      </w:r>
      <w:r w:rsidR="00920961" w:rsidRPr="00220A38">
        <w:t>s</w:t>
      </w:r>
      <w:r w:rsidR="00C53152" w:rsidRPr="00220A38">
        <w:t xml:space="preserve"> my estimation</w:t>
      </w:r>
      <w:r w:rsidR="00AF604D" w:rsidRPr="00220A38">
        <w:t xml:space="preserve"> of</w:t>
      </w:r>
      <w:r w:rsidR="00017F5A" w:rsidRPr="00220A38">
        <w:t xml:space="preserve"> </w:t>
      </w:r>
      <w:r w:rsidR="00C53152" w:rsidRPr="00220A38">
        <w:t xml:space="preserve">inequality of </w:t>
      </w:r>
      <w:r w:rsidR="00017F5A" w:rsidRPr="00220A38">
        <w:t>the income distribution as th</w:t>
      </w:r>
      <w:r w:rsidR="006A3C14" w:rsidRPr="00220A38">
        <w:t>is</w:t>
      </w:r>
      <w:r w:rsidR="00017F5A" w:rsidRPr="00220A38">
        <w:t xml:space="preserve"> </w:t>
      </w:r>
      <w:r w:rsidR="006A3C14" w:rsidRPr="00220A38">
        <w:t>is</w:t>
      </w:r>
      <w:r w:rsidR="00AF604D" w:rsidRPr="00220A38">
        <w:t xml:space="preserve"> most likely </w:t>
      </w:r>
      <w:r w:rsidR="00017F5A" w:rsidRPr="00220A38">
        <w:lastRenderedPageBreak/>
        <w:t xml:space="preserve">to be </w:t>
      </w:r>
      <w:r w:rsidR="00AF604D" w:rsidRPr="00220A38">
        <w:t xml:space="preserve">underestimated. Assuming this underreporting occurs in every </w:t>
      </w:r>
      <w:r w:rsidR="0081461F" w:rsidRPr="00220A38">
        <w:t xml:space="preserve">year </w:t>
      </w:r>
      <w:r w:rsidR="00AF604D" w:rsidRPr="00220A38">
        <w:t>at approximately the same level and knowing that every adj</w:t>
      </w:r>
      <w:r w:rsidR="00C53152" w:rsidRPr="00220A38">
        <w:t xml:space="preserve">ustment made after the ECLAC adjustments would be arbitrary, </w:t>
      </w:r>
      <w:r w:rsidR="00AF604D" w:rsidRPr="00220A38">
        <w:t xml:space="preserve">I do not adjust the dataset </w:t>
      </w:r>
      <w:r w:rsidR="00C53152" w:rsidRPr="00220A38">
        <w:t>in any way.</w:t>
      </w:r>
    </w:p>
    <w:p w:rsidR="001569D3" w:rsidRPr="00220A38" w:rsidRDefault="00C74C91" w:rsidP="00142112">
      <w:pPr>
        <w:spacing w:line="360" w:lineRule="auto"/>
        <w:jc w:val="both"/>
      </w:pPr>
      <w:r w:rsidRPr="00220A38">
        <w:t xml:space="preserve">I </w:t>
      </w:r>
      <w:r w:rsidR="00FE7642" w:rsidRPr="00220A38">
        <w:t xml:space="preserve">subsequently </w:t>
      </w:r>
      <w:r w:rsidR="00B14645" w:rsidRPr="00220A38">
        <w:t xml:space="preserve">do </w:t>
      </w:r>
      <w:r w:rsidR="00920961" w:rsidRPr="00220A38">
        <w:t xml:space="preserve">adjust the household income </w:t>
      </w:r>
      <w:r w:rsidR="00A217F0" w:rsidRPr="00220A38">
        <w:t>in various ways</w:t>
      </w:r>
      <w:r w:rsidR="00AF604D" w:rsidRPr="00220A38">
        <w:t xml:space="preserve"> to account for price levels and economies of scale within the household</w:t>
      </w:r>
      <w:r w:rsidR="00A217F0" w:rsidRPr="00220A38">
        <w:t>. First, for the sake of comparability between different survey</w:t>
      </w:r>
      <w:r w:rsidR="00C53152" w:rsidRPr="00220A38">
        <w:t xml:space="preserve"> years</w:t>
      </w:r>
      <w:r w:rsidR="002265F3" w:rsidRPr="00220A38">
        <w:t xml:space="preserve">, I de- or inflate all income data to </w:t>
      </w:r>
      <w:r w:rsidR="007E26AE" w:rsidRPr="00220A38">
        <w:t xml:space="preserve">November </w:t>
      </w:r>
      <w:r w:rsidR="002265F3" w:rsidRPr="00220A38">
        <w:t xml:space="preserve">2003 </w:t>
      </w:r>
      <w:r w:rsidR="003C52B3" w:rsidRPr="00220A38">
        <w:t>prices</w:t>
      </w:r>
      <w:r w:rsidR="002265F3" w:rsidRPr="00220A38">
        <w:t xml:space="preserve"> by using the headline consumer price index (CPI) </w:t>
      </w:r>
      <w:r w:rsidR="0081461F" w:rsidRPr="00220A38">
        <w:t>provided by</w:t>
      </w:r>
      <w:r w:rsidR="002265F3" w:rsidRPr="00220A38">
        <w:t xml:space="preserve"> Chile’s Central Bank</w:t>
      </w:r>
      <w:r w:rsidR="007E26AE" w:rsidRPr="00220A38">
        <w:t xml:space="preserve"> (Banco Central, 2012)</w:t>
      </w:r>
      <w:r w:rsidR="00E15E4C" w:rsidRPr="00220A38">
        <w:rPr>
          <w:rStyle w:val="FootnoteReference"/>
        </w:rPr>
        <w:footnoteReference w:id="13"/>
      </w:r>
      <w:r w:rsidR="002265F3" w:rsidRPr="00220A38">
        <w:t xml:space="preserve">. Second, since Chile extends 4270 km from north to south, </w:t>
      </w:r>
      <w:r w:rsidR="00C53152" w:rsidRPr="00220A38">
        <w:t xml:space="preserve">transporting costs can be assumed to influence prices </w:t>
      </w:r>
      <w:r w:rsidR="00BC10F0" w:rsidRPr="00220A38">
        <w:t>within the country</w:t>
      </w:r>
      <w:r w:rsidR="00B14645" w:rsidRPr="00220A38">
        <w:t xml:space="preserve">. Therefore, </w:t>
      </w:r>
      <w:r w:rsidR="0086364E" w:rsidRPr="00220A38">
        <w:t xml:space="preserve">only correcting for </w:t>
      </w:r>
      <w:r w:rsidR="0024301F" w:rsidRPr="00220A38">
        <w:t xml:space="preserve">a </w:t>
      </w:r>
      <w:r w:rsidR="0086364E" w:rsidRPr="00220A38">
        <w:t xml:space="preserve">national </w:t>
      </w:r>
      <w:r w:rsidR="0024301F" w:rsidRPr="00220A38">
        <w:t>price index</w:t>
      </w:r>
      <w:r w:rsidR="0086364E" w:rsidRPr="00220A38">
        <w:t xml:space="preserve"> is not sufficient, especially since I consider regional </w:t>
      </w:r>
      <w:r w:rsidRPr="00220A38">
        <w:t xml:space="preserve">income </w:t>
      </w:r>
      <w:r w:rsidR="0086364E" w:rsidRPr="00220A38">
        <w:t>differences</w:t>
      </w:r>
      <w:r w:rsidR="0086364E" w:rsidRPr="00220A38">
        <w:rPr>
          <w:rStyle w:val="FootnoteReference"/>
        </w:rPr>
        <w:footnoteReference w:id="14"/>
      </w:r>
      <w:r w:rsidR="0086364E" w:rsidRPr="00220A38">
        <w:t xml:space="preserve">. Unfortunately, there are no pricing levels </w:t>
      </w:r>
      <w:r w:rsidR="003C52B3" w:rsidRPr="00220A38">
        <w:t xml:space="preserve">available </w:t>
      </w:r>
      <w:r w:rsidR="0086364E" w:rsidRPr="00220A38">
        <w:t>for each region</w:t>
      </w:r>
      <w:r w:rsidR="007E26AE" w:rsidRPr="00220A38">
        <w:t xml:space="preserve"> (and also no data for rural pricing), </w:t>
      </w:r>
      <w:r w:rsidR="0086364E" w:rsidRPr="00220A38">
        <w:t xml:space="preserve">only for each region’s capital relative to </w:t>
      </w:r>
      <w:r w:rsidR="007E26AE" w:rsidRPr="00220A38">
        <w:t xml:space="preserve">the price level of </w:t>
      </w:r>
      <w:r w:rsidR="0086364E" w:rsidRPr="00220A38">
        <w:t>Santiago. Since this price index is very volatile in the relevant period</w:t>
      </w:r>
      <w:r w:rsidR="007E26AE" w:rsidRPr="00220A38">
        <w:t xml:space="preserve"> and because the </w:t>
      </w:r>
      <w:r w:rsidR="00BC10F0" w:rsidRPr="00220A38">
        <w:t xml:space="preserve">scarcely </w:t>
      </w:r>
      <w:r w:rsidR="00746E73" w:rsidRPr="00220A38">
        <w:t xml:space="preserve">available </w:t>
      </w:r>
      <w:r w:rsidR="00BC10F0" w:rsidRPr="00220A38">
        <w:t xml:space="preserve">regional pricing levels </w:t>
      </w:r>
      <w:r w:rsidR="007E26AE" w:rsidRPr="00220A38">
        <w:t xml:space="preserve">do not cover all </w:t>
      </w:r>
      <w:r w:rsidR="00B14645" w:rsidRPr="00220A38">
        <w:t xml:space="preserve">survey </w:t>
      </w:r>
      <w:r w:rsidR="007E26AE" w:rsidRPr="00220A38">
        <w:t>years</w:t>
      </w:r>
      <w:r w:rsidR="0086364E" w:rsidRPr="00220A38">
        <w:t xml:space="preserve">, I </w:t>
      </w:r>
      <w:r w:rsidR="007E26AE" w:rsidRPr="00220A38">
        <w:t>use</w:t>
      </w:r>
      <w:r w:rsidR="0086364E" w:rsidRPr="00220A38">
        <w:t xml:space="preserve"> an average </w:t>
      </w:r>
      <w:r w:rsidR="004B0DB4" w:rsidRPr="00220A38">
        <w:t xml:space="preserve">regional </w:t>
      </w:r>
      <w:r w:rsidR="0086364E" w:rsidRPr="00220A38">
        <w:t xml:space="preserve">price </w:t>
      </w:r>
      <w:r w:rsidR="007E26AE" w:rsidRPr="00220A38">
        <w:t xml:space="preserve">index based on a World Bank review of the Chilean economy </w:t>
      </w:r>
      <w:r w:rsidR="0086364E" w:rsidRPr="00220A38">
        <w:t xml:space="preserve">and impose that on all </w:t>
      </w:r>
      <w:r w:rsidR="007E26AE" w:rsidRPr="00220A38">
        <w:t xml:space="preserve">income data (World Bank, 2002). </w:t>
      </w:r>
      <w:r w:rsidR="004B0DB4" w:rsidRPr="00220A38">
        <w:t xml:space="preserve">The regional price index </w:t>
      </w:r>
      <w:r w:rsidR="001E77F2" w:rsidRPr="00220A38">
        <w:t xml:space="preserve">and the CPI </w:t>
      </w:r>
      <w:r w:rsidR="004B0DB4" w:rsidRPr="00220A38">
        <w:t>are given in respectively table 3.2 and table 3.3.</w:t>
      </w:r>
    </w:p>
    <w:p w:rsidR="00B14645" w:rsidRPr="00490FD4" w:rsidRDefault="008E0384" w:rsidP="0046023F">
      <w:pPr>
        <w:spacing w:line="240" w:lineRule="auto"/>
        <w:jc w:val="both"/>
        <w:rPr>
          <w:i/>
          <w:vertAlign w:val="superscript"/>
        </w:rPr>
      </w:pPr>
      <w:proofErr w:type="gramStart"/>
      <w:r>
        <w:rPr>
          <w:i/>
        </w:rPr>
        <w:t>Table 3.2.</w:t>
      </w:r>
      <w:proofErr w:type="gramEnd"/>
      <w:r>
        <w:rPr>
          <w:i/>
        </w:rPr>
        <w:t xml:space="preserve"> Regional price i</w:t>
      </w:r>
      <w:r w:rsidR="00B14645" w:rsidRPr="00490FD4">
        <w:rPr>
          <w:i/>
        </w:rPr>
        <w:t>ndex</w:t>
      </w:r>
      <w:r w:rsidR="00B14645" w:rsidRPr="00490FD4">
        <w:rPr>
          <w:i/>
          <w:vertAlign w:val="superscript"/>
        </w:rPr>
        <w:t>1</w:t>
      </w:r>
    </w:p>
    <w:tbl>
      <w:tblPr>
        <w:tblW w:w="9509" w:type="dxa"/>
        <w:tblInd w:w="93" w:type="dxa"/>
        <w:tblLook w:val="04A0" w:firstRow="1" w:lastRow="0" w:firstColumn="1" w:lastColumn="0" w:noHBand="0" w:noVBand="1"/>
      </w:tblPr>
      <w:tblGrid>
        <w:gridCol w:w="1526"/>
        <w:gridCol w:w="609"/>
        <w:gridCol w:w="609"/>
        <w:gridCol w:w="609"/>
        <w:gridCol w:w="609"/>
        <w:gridCol w:w="609"/>
        <w:gridCol w:w="609"/>
        <w:gridCol w:w="609"/>
        <w:gridCol w:w="609"/>
        <w:gridCol w:w="609"/>
        <w:gridCol w:w="609"/>
        <w:gridCol w:w="609"/>
        <w:gridCol w:w="609"/>
        <w:gridCol w:w="675"/>
      </w:tblGrid>
      <w:tr w:rsidR="00B14645" w:rsidRPr="00220A38" w:rsidTr="001E1F7B">
        <w:trPr>
          <w:trHeight w:val="273"/>
        </w:trPr>
        <w:tc>
          <w:tcPr>
            <w:tcW w:w="1526" w:type="dxa"/>
            <w:tcBorders>
              <w:top w:val="single" w:sz="4" w:space="0" w:color="auto"/>
              <w:left w:val="nil"/>
              <w:bottom w:val="nil"/>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Region</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II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III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IV</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V</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VI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VII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VIII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IX</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X</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XI</w:t>
            </w:r>
          </w:p>
        </w:tc>
        <w:tc>
          <w:tcPr>
            <w:tcW w:w="609"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XII</w:t>
            </w:r>
          </w:p>
        </w:tc>
        <w:tc>
          <w:tcPr>
            <w:tcW w:w="675"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R.M.</w:t>
            </w:r>
          </w:p>
        </w:tc>
      </w:tr>
      <w:tr w:rsidR="00B14645" w:rsidRPr="00220A38" w:rsidTr="001E1F7B">
        <w:trPr>
          <w:trHeight w:val="273"/>
        </w:trPr>
        <w:tc>
          <w:tcPr>
            <w:tcW w:w="1526"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Price Index</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1.27</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1.17</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1.11</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1.09</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1.03</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1.04</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1.01</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1.04</w:t>
            </w:r>
          </w:p>
        </w:tc>
        <w:tc>
          <w:tcPr>
            <w:tcW w:w="609" w:type="dxa"/>
            <w:tcBorders>
              <w:top w:val="nil"/>
              <w:left w:val="nil"/>
              <w:bottom w:val="single" w:sz="4" w:space="0" w:color="auto"/>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1.05</w:t>
            </w:r>
          </w:p>
        </w:tc>
        <w:tc>
          <w:tcPr>
            <w:tcW w:w="609"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1.04</w:t>
            </w:r>
          </w:p>
        </w:tc>
        <w:tc>
          <w:tcPr>
            <w:tcW w:w="609"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1.09</w:t>
            </w:r>
          </w:p>
        </w:tc>
        <w:tc>
          <w:tcPr>
            <w:tcW w:w="609"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1.22</w:t>
            </w:r>
          </w:p>
        </w:tc>
        <w:tc>
          <w:tcPr>
            <w:tcW w:w="675"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1.00</w:t>
            </w:r>
          </w:p>
        </w:tc>
      </w:tr>
    </w:tbl>
    <w:p w:rsidR="00B14645" w:rsidRPr="00220A38" w:rsidRDefault="00B14645" w:rsidP="0046023F">
      <w:pPr>
        <w:jc w:val="both"/>
        <w:rPr>
          <w:sz w:val="18"/>
          <w:szCs w:val="18"/>
        </w:rPr>
      </w:pPr>
      <w:r w:rsidRPr="00220A38">
        <w:rPr>
          <w:sz w:val="18"/>
          <w:szCs w:val="18"/>
        </w:rPr>
        <w:t>Source: World Bank 2002. Note: (1) Regional price index is composed of the price levels of the regions’ capitals relative to the national capital Santiago (R.M.). Regions are characterized by Latin numbers, except for Santiago which is denoted by an abbreviati</w:t>
      </w:r>
      <w:r w:rsidR="006A3974">
        <w:rPr>
          <w:sz w:val="18"/>
          <w:szCs w:val="18"/>
        </w:rPr>
        <w:t>on for Region Metropolitana.</w:t>
      </w:r>
    </w:p>
    <w:p w:rsidR="00B14645" w:rsidRPr="00490FD4" w:rsidRDefault="008E0384" w:rsidP="0046023F">
      <w:pPr>
        <w:spacing w:line="240" w:lineRule="auto"/>
        <w:jc w:val="both"/>
        <w:rPr>
          <w:i/>
          <w:vertAlign w:val="superscript"/>
        </w:rPr>
      </w:pPr>
      <w:proofErr w:type="gramStart"/>
      <w:r>
        <w:rPr>
          <w:i/>
        </w:rPr>
        <w:t>Table 3.3.</w:t>
      </w:r>
      <w:proofErr w:type="gramEnd"/>
      <w:r>
        <w:rPr>
          <w:i/>
        </w:rPr>
        <w:t xml:space="preserve"> </w:t>
      </w:r>
      <w:r w:rsidR="00B14645" w:rsidRPr="00490FD4">
        <w:rPr>
          <w:i/>
        </w:rPr>
        <w:t xml:space="preserve"> CPI</w:t>
      </w:r>
      <w:r>
        <w:rPr>
          <w:i/>
        </w:rPr>
        <w:t xml:space="preserve"> </w:t>
      </w:r>
      <w:r w:rsidR="00B14645" w:rsidRPr="00490FD4">
        <w:rPr>
          <w:i/>
        </w:rPr>
        <w:t xml:space="preserve"> </w:t>
      </w:r>
    </w:p>
    <w:tbl>
      <w:tblPr>
        <w:tblW w:w="9456" w:type="dxa"/>
        <w:tblInd w:w="93" w:type="dxa"/>
        <w:tblLook w:val="04A0" w:firstRow="1" w:lastRow="0" w:firstColumn="1" w:lastColumn="0" w:noHBand="0" w:noVBand="1"/>
      </w:tblPr>
      <w:tblGrid>
        <w:gridCol w:w="1468"/>
        <w:gridCol w:w="873"/>
        <w:gridCol w:w="873"/>
        <w:gridCol w:w="873"/>
        <w:gridCol w:w="873"/>
        <w:gridCol w:w="873"/>
        <w:gridCol w:w="873"/>
        <w:gridCol w:w="873"/>
        <w:gridCol w:w="873"/>
        <w:gridCol w:w="1004"/>
      </w:tblGrid>
      <w:tr w:rsidR="00B14645" w:rsidRPr="00220A38" w:rsidTr="001E1F7B">
        <w:trPr>
          <w:trHeight w:val="255"/>
        </w:trPr>
        <w:tc>
          <w:tcPr>
            <w:tcW w:w="1468" w:type="dxa"/>
            <w:tcBorders>
              <w:top w:val="single" w:sz="4" w:space="0" w:color="auto"/>
              <w:left w:val="nil"/>
              <w:bottom w:val="nil"/>
              <w:right w:val="nil"/>
            </w:tcBorders>
            <w:shd w:val="clear" w:color="auto" w:fill="auto"/>
            <w:noWrap/>
            <w:vAlign w:val="bottom"/>
            <w:hideMark/>
          </w:tcPr>
          <w:p w:rsidR="00B14645" w:rsidRPr="00220A38" w:rsidRDefault="00CB5F30" w:rsidP="0046023F">
            <w:pPr>
              <w:spacing w:after="0" w:line="240" w:lineRule="auto"/>
              <w:jc w:val="both"/>
              <w:rPr>
                <w:rFonts w:eastAsia="Times New Roman"/>
                <w:color w:val="000000"/>
                <w:sz w:val="20"/>
                <w:szCs w:val="20"/>
              </w:rPr>
            </w:pPr>
            <w:r w:rsidRPr="00220A38">
              <w:rPr>
                <w:rFonts w:eastAsia="Times New Roman"/>
                <w:color w:val="000000"/>
                <w:sz w:val="20"/>
                <w:szCs w:val="20"/>
              </w:rPr>
              <w:t>Year</w:t>
            </w:r>
            <w:r w:rsidR="006A3C14" w:rsidRPr="00220A38">
              <w:rPr>
                <w:rFonts w:eastAsia="Times New Roman"/>
                <w:color w:val="000000"/>
                <w:sz w:val="20"/>
                <w:szCs w:val="20"/>
              </w:rPr>
              <w:t>¹</w:t>
            </w:r>
            <w:r w:rsidR="00B14645" w:rsidRPr="00220A38">
              <w:rPr>
                <w:rFonts w:eastAsia="Times New Roman"/>
                <w:color w:val="000000"/>
                <w:sz w:val="20"/>
                <w:szCs w:val="20"/>
              </w:rPr>
              <w:t xml:space="preserve"> </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1990</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1992</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1994</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1996</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1998</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2000</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2003</w:t>
            </w:r>
          </w:p>
        </w:tc>
        <w:tc>
          <w:tcPr>
            <w:tcW w:w="873"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2006</w:t>
            </w:r>
          </w:p>
        </w:tc>
        <w:tc>
          <w:tcPr>
            <w:tcW w:w="1004" w:type="dxa"/>
            <w:tcBorders>
              <w:top w:val="single" w:sz="4" w:space="0" w:color="auto"/>
              <w:left w:val="nil"/>
              <w:bottom w:val="nil"/>
              <w:right w:val="nil"/>
            </w:tcBorders>
            <w:shd w:val="clear" w:color="auto" w:fill="auto"/>
            <w:vAlign w:val="bottom"/>
            <w:hideMark/>
          </w:tcPr>
          <w:p w:rsidR="00B14645" w:rsidRPr="00220A38" w:rsidRDefault="00B14645" w:rsidP="0046023F">
            <w:pPr>
              <w:spacing w:after="0" w:line="240" w:lineRule="auto"/>
              <w:jc w:val="both"/>
              <w:rPr>
                <w:rFonts w:eastAsia="Times New Roman"/>
                <w:sz w:val="20"/>
                <w:szCs w:val="20"/>
              </w:rPr>
            </w:pPr>
            <w:r w:rsidRPr="00220A38">
              <w:rPr>
                <w:rFonts w:eastAsia="Times New Roman"/>
                <w:sz w:val="20"/>
                <w:szCs w:val="20"/>
              </w:rPr>
              <w:t>2009</w:t>
            </w:r>
          </w:p>
        </w:tc>
      </w:tr>
      <w:tr w:rsidR="00B14645" w:rsidRPr="00220A38" w:rsidTr="001E1F7B">
        <w:trPr>
          <w:trHeight w:val="118"/>
        </w:trPr>
        <w:tc>
          <w:tcPr>
            <w:tcW w:w="1468" w:type="dxa"/>
            <w:tcBorders>
              <w:top w:val="nil"/>
              <w:left w:val="nil"/>
              <w:bottom w:val="single" w:sz="4" w:space="0" w:color="auto"/>
              <w:right w:val="nil"/>
            </w:tcBorders>
            <w:shd w:val="clear" w:color="auto" w:fill="auto"/>
            <w:noWrap/>
            <w:vAlign w:val="bottom"/>
            <w:hideMark/>
          </w:tcPr>
          <w:p w:rsidR="00B14645" w:rsidRPr="00220A38" w:rsidRDefault="00B14645" w:rsidP="0046023F">
            <w:pPr>
              <w:spacing w:after="0" w:line="240" w:lineRule="auto"/>
              <w:jc w:val="both"/>
              <w:rPr>
                <w:rFonts w:eastAsia="Times New Roman"/>
                <w:color w:val="000000"/>
                <w:sz w:val="20"/>
                <w:szCs w:val="20"/>
              </w:rPr>
            </w:pPr>
            <w:r w:rsidRPr="00220A38">
              <w:rPr>
                <w:rFonts w:eastAsia="Times New Roman"/>
                <w:color w:val="000000"/>
                <w:sz w:val="20"/>
                <w:szCs w:val="20"/>
              </w:rPr>
              <w:t>CPI</w:t>
            </w:r>
            <w:r w:rsidR="006A3C14" w:rsidRPr="00220A38">
              <w:rPr>
                <w:rFonts w:eastAsia="Times New Roman"/>
                <w:color w:val="000000"/>
                <w:sz w:val="20"/>
                <w:szCs w:val="20"/>
              </w:rPr>
              <w:t>²</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41,52</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55,77</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68,05</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78,44</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86,94</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93,34</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100,00</w:t>
            </w:r>
          </w:p>
        </w:tc>
        <w:tc>
          <w:tcPr>
            <w:tcW w:w="873"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108,45</w:t>
            </w:r>
          </w:p>
        </w:tc>
        <w:tc>
          <w:tcPr>
            <w:tcW w:w="1004" w:type="dxa"/>
            <w:tcBorders>
              <w:top w:val="nil"/>
              <w:left w:val="nil"/>
              <w:bottom w:val="single" w:sz="4" w:space="0" w:color="auto"/>
              <w:right w:val="nil"/>
            </w:tcBorders>
            <w:shd w:val="clear" w:color="auto" w:fill="auto"/>
            <w:noWrap/>
            <w:vAlign w:val="bottom"/>
            <w:hideMark/>
          </w:tcPr>
          <w:p w:rsidR="00B14645" w:rsidRPr="00220A38" w:rsidRDefault="00B14645" w:rsidP="0046023F">
            <w:pPr>
              <w:pStyle w:val="NoSpacing"/>
              <w:jc w:val="both"/>
              <w:rPr>
                <w:sz w:val="20"/>
                <w:szCs w:val="20"/>
              </w:rPr>
            </w:pPr>
            <w:r w:rsidRPr="00220A38">
              <w:rPr>
                <w:sz w:val="20"/>
                <w:szCs w:val="20"/>
              </w:rPr>
              <w:t>124,00</w:t>
            </w:r>
          </w:p>
        </w:tc>
      </w:tr>
    </w:tbl>
    <w:p w:rsidR="006A3C14" w:rsidRPr="00220A38" w:rsidRDefault="00B14645" w:rsidP="0046023F">
      <w:pPr>
        <w:pStyle w:val="NoSpacing"/>
        <w:jc w:val="both"/>
        <w:rPr>
          <w:sz w:val="18"/>
          <w:szCs w:val="18"/>
        </w:rPr>
      </w:pPr>
      <w:r w:rsidRPr="00220A38">
        <w:rPr>
          <w:sz w:val="18"/>
          <w:szCs w:val="18"/>
        </w:rPr>
        <w:t>Source: Banco Central de Chile</w:t>
      </w:r>
      <w:r w:rsidR="006A3C14" w:rsidRPr="00220A38">
        <w:rPr>
          <w:sz w:val="18"/>
          <w:szCs w:val="18"/>
        </w:rPr>
        <w:t>. Notes: (1) Values of November of the respective years are used to match the survey dates, with November 2003 as a base year; (2</w:t>
      </w:r>
      <w:r w:rsidRPr="00220A38">
        <w:rPr>
          <w:sz w:val="18"/>
          <w:szCs w:val="18"/>
        </w:rPr>
        <w:t>) Headline Consumer Price Index consisting of a basket of 483 consumer goods, as defined by the Chilean Central Bank</w:t>
      </w:r>
    </w:p>
    <w:p w:rsidR="006A3C14" w:rsidRPr="00220A38" w:rsidRDefault="00B14645" w:rsidP="00142112">
      <w:pPr>
        <w:pStyle w:val="NoSpacing"/>
        <w:jc w:val="both"/>
        <w:rPr>
          <w:rFonts w:eastAsiaTheme="minorEastAsia"/>
          <w:sz w:val="18"/>
          <w:szCs w:val="18"/>
        </w:rPr>
      </w:pPr>
      <w:r w:rsidRPr="00220A38">
        <w:rPr>
          <w:sz w:val="18"/>
          <w:szCs w:val="18"/>
        </w:rPr>
        <w:t xml:space="preserve">. </w:t>
      </w:r>
    </w:p>
    <w:p w:rsidR="00973528" w:rsidRDefault="00DC1631" w:rsidP="00142112">
      <w:pPr>
        <w:spacing w:line="360" w:lineRule="auto"/>
        <w:jc w:val="both"/>
        <w:rPr>
          <w:rFonts w:eastAsiaTheme="minorEastAsia"/>
        </w:rPr>
      </w:pPr>
      <w:r w:rsidRPr="00220A38">
        <w:t>After adjusting the income variables for pricing le</w:t>
      </w:r>
      <w:r w:rsidR="00643755" w:rsidRPr="00220A38">
        <w:t>vels, I use an equiva</w:t>
      </w:r>
      <w:r w:rsidRPr="00220A38">
        <w:t xml:space="preserve">lization scale to create an income variable per equivalized </w:t>
      </w:r>
      <w:r w:rsidR="006C3C8E" w:rsidRPr="00220A38">
        <w:t xml:space="preserve">adult. </w:t>
      </w:r>
      <w:r w:rsidRPr="00220A38">
        <w:t xml:space="preserve">Equivalization </w:t>
      </w:r>
      <w:r w:rsidR="00643755" w:rsidRPr="00220A38">
        <w:t>of</w:t>
      </w:r>
      <w:r w:rsidR="00CA735C" w:rsidRPr="00220A38">
        <w:t xml:space="preserve"> income variables is </w:t>
      </w:r>
      <w:r w:rsidR="00643755" w:rsidRPr="00220A38">
        <w:t>preferable if income is measur</w:t>
      </w:r>
      <w:r w:rsidR="0081461F" w:rsidRPr="00220A38">
        <w:t>ed</w:t>
      </w:r>
      <w:r w:rsidR="00643755" w:rsidRPr="00220A38">
        <w:t xml:space="preserve"> at </w:t>
      </w:r>
      <w:r w:rsidR="00575DF0" w:rsidRPr="00220A38">
        <w:t>the</w:t>
      </w:r>
      <w:r w:rsidR="00643755" w:rsidRPr="00220A38">
        <w:t xml:space="preserve"> household level</w:t>
      </w:r>
      <w:r w:rsidR="00CA735C" w:rsidRPr="00220A38">
        <w:t xml:space="preserve"> to account for economies of scale</w:t>
      </w:r>
      <w:r w:rsidR="00B14645" w:rsidRPr="00220A38">
        <w:t xml:space="preserve"> within a household. </w:t>
      </w:r>
      <w:r w:rsidR="00CA735C" w:rsidRPr="00220A38">
        <w:t xml:space="preserve">It </w:t>
      </w:r>
      <w:r w:rsidRPr="00220A38">
        <w:t xml:space="preserve">can be done in many ways and the choice of equivalization scale is always an arbitrary process (Atkinson and Brandolini, 2001). Although one can argue that equivalization scales </w:t>
      </w:r>
      <w:r w:rsidR="006C3C8E" w:rsidRPr="00220A38">
        <w:t>which</w:t>
      </w:r>
      <w:r w:rsidRPr="00220A38">
        <w:t xml:space="preserve"> give different weights to adults and children and that are based on the average household size in a population are preferable, the form</w:t>
      </w:r>
      <w:r w:rsidR="00CA735C" w:rsidRPr="00220A38">
        <w:t>at</w:t>
      </w:r>
      <w:r w:rsidRPr="00220A38">
        <w:t xml:space="preserve"> and size of the dataset make this </w:t>
      </w:r>
      <w:r w:rsidR="00575DF0" w:rsidRPr="00220A38">
        <w:t>an</w:t>
      </w:r>
      <w:r w:rsidRPr="00220A38">
        <w:t xml:space="preserve"> </w:t>
      </w:r>
      <w:r w:rsidR="00575DF0" w:rsidRPr="00220A38">
        <w:t>un</w:t>
      </w:r>
      <w:r w:rsidRPr="00220A38">
        <w:t xml:space="preserve">feasible operation. I have chosen to use the root of the </w:t>
      </w:r>
      <w:r w:rsidRPr="00220A38">
        <w:lastRenderedPageBreak/>
        <w:t xml:space="preserve">household members as equivalence scale. </w:t>
      </w:r>
      <w:r w:rsidR="00CA735C" w:rsidRPr="00220A38">
        <w:t xml:space="preserve">That is, if a household consists of </w:t>
      </w:r>
      <w:r w:rsidR="00CA735C" w:rsidRPr="00220A38">
        <w:rPr>
          <w:i/>
        </w:rPr>
        <w:t>h</w:t>
      </w:r>
      <w:r w:rsidR="00CA735C" w:rsidRPr="00220A38">
        <w:t xml:space="preserve"> members and total household income is </w:t>
      </w:r>
      <w:r w:rsidR="00CA735C" w:rsidRPr="00220A38">
        <w:rPr>
          <w:i/>
        </w:rPr>
        <w:t>y</w:t>
      </w:r>
      <w:r w:rsidR="00CA735C" w:rsidRPr="00220A38">
        <w:t xml:space="preserve">, the equivalized adult income </w:t>
      </w:r>
      <w:r w:rsidR="00575DF0" w:rsidRPr="00220A38">
        <w:t>attributed to all</w:t>
      </w:r>
      <w:r w:rsidR="00CA735C" w:rsidRPr="00220A38">
        <w:t xml:space="preserve"> </w:t>
      </w:r>
      <w:r w:rsidR="00FE7642" w:rsidRPr="00220A38">
        <w:rPr>
          <w:i/>
        </w:rPr>
        <w:t>h</w:t>
      </w:r>
      <w:r w:rsidR="00CA735C" w:rsidRPr="00220A38">
        <w:t xml:space="preserve"> members </w:t>
      </w:r>
      <w:proofErr w:type="gramStart"/>
      <w:r w:rsidR="00CA735C" w:rsidRPr="00220A38">
        <w:t xml:space="preserve">is </w:t>
      </w:r>
      <w:proofErr w:type="gramEnd"/>
      <m:oMath>
        <m:f>
          <m:fPr>
            <m:ctrlPr>
              <w:rPr>
                <w:rFonts w:ascii="Cambria Math" w:hAnsi="Cambria Math"/>
                <w:i/>
              </w:rPr>
            </m:ctrlPr>
          </m:fPr>
          <m:num>
            <m:r>
              <w:rPr>
                <w:rFonts w:ascii="Cambria Math" w:hAnsi="Cambria Math"/>
              </w:rPr>
              <m:t>y</m:t>
            </m:r>
          </m:num>
          <m:den>
            <m:rad>
              <m:radPr>
                <m:degHide m:val="1"/>
                <m:ctrlPr>
                  <w:rPr>
                    <w:rFonts w:ascii="Cambria Math" w:hAnsi="Cambria Math"/>
                    <w:i/>
                  </w:rPr>
                </m:ctrlPr>
              </m:radPr>
              <m:deg/>
              <m:e>
                <m:r>
                  <w:rPr>
                    <w:rFonts w:ascii="Cambria Math" w:hAnsi="Cambria Math"/>
                  </w:rPr>
                  <m:t>h</m:t>
                </m:r>
              </m:e>
            </m:rad>
          </m:den>
        </m:f>
      </m:oMath>
      <w:r w:rsidR="00CA735C" w:rsidRPr="00220A38">
        <w:rPr>
          <w:rFonts w:eastAsiaTheme="minorEastAsia"/>
        </w:rPr>
        <w:t xml:space="preserve">. </w:t>
      </w:r>
    </w:p>
    <w:p w:rsidR="001569D3" w:rsidRDefault="001569D3" w:rsidP="00142112">
      <w:pPr>
        <w:spacing w:line="360" w:lineRule="auto"/>
        <w:jc w:val="both"/>
        <w:rPr>
          <w:rFonts w:eastAsiaTheme="minorEastAsia"/>
        </w:rPr>
      </w:pPr>
      <w:r>
        <w:rPr>
          <w:rFonts w:eastAsiaTheme="minorEastAsia"/>
        </w:rPr>
        <w:t xml:space="preserve">As the Kuznets hypothesis assumes that both inequality and income are lower in rural areas than in urban areas, I </w:t>
      </w:r>
      <w:r w:rsidR="00781859">
        <w:rPr>
          <w:rFonts w:eastAsiaTheme="minorEastAsia"/>
        </w:rPr>
        <w:t xml:space="preserve">have also </w:t>
      </w:r>
      <w:r>
        <w:rPr>
          <w:rFonts w:eastAsiaTheme="minorEastAsia"/>
        </w:rPr>
        <w:t xml:space="preserve">aggregated the data accordingly. That is, variables are aggregated and used on a regional level, but I also distinguish between rural income and urban income within the regions with their subsequent income distribution. The </w:t>
      </w:r>
      <w:r w:rsidR="00CF2E4F">
        <w:rPr>
          <w:rFonts w:eastAsiaTheme="minorEastAsia"/>
        </w:rPr>
        <w:t>CASEN</w:t>
      </w:r>
      <w:r>
        <w:rPr>
          <w:rFonts w:eastAsiaTheme="minorEastAsia"/>
        </w:rPr>
        <w:t xml:space="preserve"> survey marks an observation as urban when the household interviewed lives in a dwelling of more than 2000 inhabitants and rural if it resides in a smaller dwelling. Although clearly an arbitrarily set border between urban and rural, it could provide some indication of differences between the country-side and urban environments. </w:t>
      </w:r>
    </w:p>
    <w:p w:rsidR="00E44C1F" w:rsidRPr="00220A38" w:rsidRDefault="006C3C8E" w:rsidP="00142112">
      <w:pPr>
        <w:spacing w:line="360" w:lineRule="auto"/>
        <w:jc w:val="both"/>
        <w:rPr>
          <w:rFonts w:eastAsiaTheme="minorEastAsia"/>
        </w:rPr>
      </w:pPr>
      <w:r w:rsidRPr="00220A38">
        <w:rPr>
          <w:rFonts w:eastAsiaTheme="minorEastAsia"/>
        </w:rPr>
        <w:t xml:space="preserve">With the income variable defined, the income distribution can be </w:t>
      </w:r>
      <w:r w:rsidR="00E6026C" w:rsidRPr="00220A38">
        <w:rPr>
          <w:rFonts w:eastAsiaTheme="minorEastAsia"/>
        </w:rPr>
        <w:t>analyzed</w:t>
      </w:r>
      <w:r w:rsidRPr="00220A38">
        <w:rPr>
          <w:rFonts w:eastAsiaTheme="minorEastAsia"/>
        </w:rPr>
        <w:t xml:space="preserve">. </w:t>
      </w:r>
      <w:r w:rsidR="00BE1648" w:rsidRPr="00220A38">
        <w:rPr>
          <w:rFonts w:eastAsiaTheme="minorEastAsia"/>
        </w:rPr>
        <w:t>The simplest way to depict the income distribution graphically is to use a frequency distribution</w:t>
      </w:r>
      <w:r w:rsidR="00944DF3" w:rsidRPr="00220A38">
        <w:rPr>
          <w:rFonts w:eastAsiaTheme="minorEastAsia"/>
        </w:rPr>
        <w:t xml:space="preserve"> or histogram</w:t>
      </w:r>
      <w:r w:rsidR="00BE1648" w:rsidRPr="00220A38">
        <w:rPr>
          <w:rFonts w:eastAsiaTheme="minorEastAsia"/>
        </w:rPr>
        <w:t xml:space="preserve">. Figure 3.1 shows the income distribution for the </w:t>
      </w:r>
      <w:r w:rsidR="00D91AAA" w:rsidRPr="00220A38">
        <w:rPr>
          <w:rFonts w:eastAsiaTheme="minorEastAsia"/>
        </w:rPr>
        <w:t xml:space="preserve">scarcely populated </w:t>
      </w:r>
      <w:r w:rsidR="004F70A1" w:rsidRPr="00220A38">
        <w:rPr>
          <w:rFonts w:eastAsiaTheme="minorEastAsia"/>
        </w:rPr>
        <w:t>Aysén</w:t>
      </w:r>
      <w:r w:rsidR="00BE1648" w:rsidRPr="00220A38">
        <w:rPr>
          <w:rFonts w:eastAsiaTheme="minorEastAsia"/>
        </w:rPr>
        <w:t xml:space="preserve"> region </w:t>
      </w:r>
      <w:r w:rsidR="00783758" w:rsidRPr="00220A38">
        <w:rPr>
          <w:rFonts w:eastAsiaTheme="minorEastAsia"/>
        </w:rPr>
        <w:t xml:space="preserve">(Region XI) </w:t>
      </w:r>
      <w:r w:rsidR="00BE1648" w:rsidRPr="00220A38">
        <w:rPr>
          <w:rFonts w:eastAsiaTheme="minorEastAsia"/>
        </w:rPr>
        <w:t>of Chile in 1990 and 20</w:t>
      </w:r>
      <w:r w:rsidR="006A3974">
        <w:rPr>
          <w:rFonts w:eastAsiaTheme="minorEastAsia"/>
        </w:rPr>
        <w:t>09</w:t>
      </w:r>
      <w:r w:rsidR="00BE1648" w:rsidRPr="00220A38">
        <w:rPr>
          <w:rFonts w:eastAsiaTheme="minorEastAsia"/>
        </w:rPr>
        <w:t xml:space="preserve"> as </w:t>
      </w:r>
      <w:r w:rsidR="00944DF3" w:rsidRPr="00220A38">
        <w:rPr>
          <w:rFonts w:eastAsiaTheme="minorEastAsia"/>
        </w:rPr>
        <w:t>a histogram</w:t>
      </w:r>
      <w:r w:rsidR="00BE1648" w:rsidRPr="00220A38">
        <w:rPr>
          <w:rFonts w:eastAsiaTheme="minorEastAsia"/>
        </w:rPr>
        <w:t xml:space="preserve">. The horizontal axis represents income </w:t>
      </w:r>
      <w:r w:rsidR="004F70A1" w:rsidRPr="00220A38">
        <w:rPr>
          <w:rFonts w:eastAsiaTheme="minorEastAsia"/>
        </w:rPr>
        <w:t xml:space="preserve">p/month </w:t>
      </w:r>
      <w:r w:rsidR="00BE1648" w:rsidRPr="00220A38">
        <w:rPr>
          <w:rFonts w:eastAsiaTheme="minorEastAsia"/>
        </w:rPr>
        <w:t>and the vertical axis shows the percentage of the population with this income.</w:t>
      </w:r>
      <w:r w:rsidR="00920961" w:rsidRPr="00220A38">
        <w:rPr>
          <w:rFonts w:eastAsiaTheme="minorEastAsia"/>
        </w:rPr>
        <w:t xml:space="preserve"> At first sight, </w:t>
      </w:r>
      <w:r w:rsidR="004F70A1" w:rsidRPr="00220A38">
        <w:rPr>
          <w:rFonts w:eastAsiaTheme="minorEastAsia"/>
        </w:rPr>
        <w:t xml:space="preserve">the graph indicates that the income distribution as a whole shifted to the right and has flattened, indicating that the average income has increased and </w:t>
      </w:r>
      <w:r w:rsidR="00783758" w:rsidRPr="00220A38">
        <w:rPr>
          <w:rFonts w:eastAsiaTheme="minorEastAsia"/>
        </w:rPr>
        <w:t>that income has been more evenly distributed</w:t>
      </w:r>
      <w:r w:rsidR="00343A4D" w:rsidRPr="00220A38">
        <w:rPr>
          <w:rFonts w:eastAsiaTheme="minorEastAsia"/>
        </w:rPr>
        <w:t>. But since the maximum income has also shifted from CLP$3.407.184,- to CLP$12.168.404,-</w:t>
      </w:r>
      <w:r w:rsidR="00831F98" w:rsidRPr="00220A38">
        <w:rPr>
          <w:rFonts w:eastAsiaTheme="minorEastAsia"/>
        </w:rPr>
        <w:t xml:space="preserve"> and the mean and median have of course also shifted, </w:t>
      </w:r>
      <w:r w:rsidR="00CB5F30" w:rsidRPr="00220A38">
        <w:rPr>
          <w:rFonts w:eastAsiaTheme="minorEastAsia"/>
        </w:rPr>
        <w:t>no definitive conclusions</w:t>
      </w:r>
      <w:r w:rsidR="00831F98" w:rsidRPr="00220A38">
        <w:rPr>
          <w:rFonts w:eastAsiaTheme="minorEastAsia"/>
        </w:rPr>
        <w:t xml:space="preserve"> regarding improvements or deteriorations of the income distribution as a whole</w:t>
      </w:r>
      <w:r w:rsidR="00CB5F30" w:rsidRPr="00220A38">
        <w:rPr>
          <w:rFonts w:eastAsiaTheme="minorEastAsia"/>
        </w:rPr>
        <w:t xml:space="preserve"> are to be concluded from this graph</w:t>
      </w:r>
      <w:r w:rsidR="00831F98" w:rsidRPr="00220A38">
        <w:rPr>
          <w:rFonts w:eastAsiaTheme="minorEastAsia"/>
        </w:rPr>
        <w:t xml:space="preserve">. </w:t>
      </w:r>
      <w:r w:rsidR="00E83128" w:rsidRPr="00220A38">
        <w:rPr>
          <w:rFonts w:eastAsiaTheme="minorEastAsia"/>
        </w:rPr>
        <w:t>The fact that the maximum income is capped at CLP$500.000</w:t>
      </w:r>
      <w:proofErr w:type="gramStart"/>
      <w:r w:rsidR="00E83128" w:rsidRPr="00220A38">
        <w:rPr>
          <w:rFonts w:eastAsiaTheme="minorEastAsia"/>
        </w:rPr>
        <w:t>,-</w:t>
      </w:r>
      <w:proofErr w:type="gramEnd"/>
      <w:r w:rsidR="00E83128" w:rsidRPr="00220A38">
        <w:rPr>
          <w:rFonts w:eastAsiaTheme="minorEastAsia"/>
        </w:rPr>
        <w:t xml:space="preserve"> hides the highest incomes. </w:t>
      </w:r>
    </w:p>
    <w:p w:rsidR="00E44C1F" w:rsidRPr="00490FD4" w:rsidRDefault="008E0384" w:rsidP="00515E65">
      <w:pPr>
        <w:spacing w:line="240" w:lineRule="auto"/>
        <w:jc w:val="both"/>
        <w:rPr>
          <w:rFonts w:eastAsiaTheme="minorEastAsia"/>
          <w:i/>
        </w:rPr>
      </w:pPr>
      <w:proofErr w:type="gramStart"/>
      <w:r>
        <w:rPr>
          <w:rFonts w:eastAsiaTheme="minorEastAsia"/>
          <w:i/>
        </w:rPr>
        <w:t>Figure 3.1.</w:t>
      </w:r>
      <w:proofErr w:type="gramEnd"/>
      <w:r>
        <w:rPr>
          <w:rFonts w:eastAsiaTheme="minorEastAsia"/>
          <w:i/>
        </w:rPr>
        <w:t xml:space="preserve"> </w:t>
      </w:r>
      <w:r w:rsidR="00E930EE" w:rsidRPr="00490FD4">
        <w:rPr>
          <w:rFonts w:eastAsiaTheme="minorEastAsia"/>
          <w:i/>
        </w:rPr>
        <w:t xml:space="preserve"> </w:t>
      </w:r>
      <w:r w:rsidR="006A3974" w:rsidRPr="006A3974">
        <w:rPr>
          <w:i/>
        </w:rPr>
        <w:t xml:space="preserve">Frequency </w:t>
      </w:r>
      <w:r>
        <w:rPr>
          <w:i/>
        </w:rPr>
        <w:t>d</w:t>
      </w:r>
      <w:r w:rsidR="006A3974">
        <w:rPr>
          <w:i/>
        </w:rPr>
        <w:t xml:space="preserve">istribution </w:t>
      </w:r>
      <w:r w:rsidR="00515E65">
        <w:rPr>
          <w:i/>
        </w:rPr>
        <w:t xml:space="preserve">of </w:t>
      </w:r>
      <w:r w:rsidR="00CE2D82">
        <w:rPr>
          <w:i/>
        </w:rPr>
        <w:t xml:space="preserve">the </w:t>
      </w:r>
      <w:r w:rsidR="006A3974">
        <w:rPr>
          <w:i/>
        </w:rPr>
        <w:t xml:space="preserve">Aysén </w:t>
      </w:r>
      <w:r w:rsidR="00CE2D82">
        <w:rPr>
          <w:i/>
        </w:rPr>
        <w:t xml:space="preserve">region </w:t>
      </w:r>
      <w:r w:rsidR="00515E65">
        <w:rPr>
          <w:i/>
        </w:rPr>
        <w:t>for 1990 and</w:t>
      </w:r>
      <w:r w:rsidR="006A3974">
        <w:rPr>
          <w:i/>
        </w:rPr>
        <w:t xml:space="preserve"> 2009</w:t>
      </w:r>
    </w:p>
    <w:p w:rsidR="00E029A8" w:rsidRPr="00220A38" w:rsidRDefault="00E44C1F" w:rsidP="00515E65">
      <w:pPr>
        <w:pStyle w:val="NoSpacing"/>
        <w:jc w:val="both"/>
        <w:rPr>
          <w:rFonts w:eastAsiaTheme="minorEastAsia"/>
        </w:rPr>
      </w:pPr>
      <w:r w:rsidRPr="00220A38">
        <w:rPr>
          <w:noProof/>
        </w:rPr>
        <w:drawing>
          <wp:inline distT="0" distB="0" distL="0" distR="0" wp14:anchorId="754B8125" wp14:editId="6CA66BF0">
            <wp:extent cx="5972810" cy="2421255"/>
            <wp:effectExtent l="0" t="0" r="2794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20A38">
        <w:rPr>
          <w:sz w:val="18"/>
          <w:szCs w:val="18"/>
        </w:rPr>
        <w:t xml:space="preserve">Source: Own Calculations based on </w:t>
      </w:r>
      <w:r w:rsidR="00CF2E4F">
        <w:rPr>
          <w:sz w:val="18"/>
          <w:szCs w:val="18"/>
        </w:rPr>
        <w:t>CASEN</w:t>
      </w:r>
      <w:r w:rsidRPr="00220A38">
        <w:rPr>
          <w:sz w:val="18"/>
          <w:szCs w:val="18"/>
        </w:rPr>
        <w:t xml:space="preserve"> 1990 and 20</w:t>
      </w:r>
      <w:r w:rsidR="000743A2" w:rsidRPr="00220A38">
        <w:rPr>
          <w:sz w:val="18"/>
          <w:szCs w:val="18"/>
        </w:rPr>
        <w:t>09</w:t>
      </w:r>
      <w:r w:rsidR="006A3974">
        <w:rPr>
          <w:sz w:val="18"/>
          <w:szCs w:val="18"/>
        </w:rPr>
        <w:t xml:space="preserve">. Note: </w:t>
      </w:r>
      <w:r w:rsidR="00E029A8" w:rsidRPr="00220A38">
        <w:rPr>
          <w:sz w:val="18"/>
          <w:szCs w:val="18"/>
        </w:rPr>
        <w:t>Income range used is CLP$10.000</w:t>
      </w:r>
      <w:proofErr w:type="gramStart"/>
      <w:r w:rsidR="00E029A8" w:rsidRPr="00220A38">
        <w:rPr>
          <w:sz w:val="18"/>
          <w:szCs w:val="18"/>
        </w:rPr>
        <w:t>,-</w:t>
      </w:r>
      <w:proofErr w:type="gramEnd"/>
      <w:r w:rsidR="00FD5148" w:rsidRPr="00220A38">
        <w:rPr>
          <w:sz w:val="18"/>
          <w:szCs w:val="18"/>
        </w:rPr>
        <w:t xml:space="preserve"> and is capped at </w:t>
      </w:r>
      <w:r w:rsidR="00FD5148" w:rsidRPr="00220A38">
        <w:rPr>
          <w:color w:val="000000"/>
          <w:sz w:val="18"/>
          <w:szCs w:val="18"/>
        </w:rPr>
        <w:t>CLP$</w:t>
      </w:r>
      <w:r w:rsidR="00FD5148" w:rsidRPr="00220A38">
        <w:rPr>
          <w:sz w:val="18"/>
          <w:szCs w:val="18"/>
        </w:rPr>
        <w:t>500000,-</w:t>
      </w:r>
      <w:r w:rsidR="00E029A8" w:rsidRPr="00220A38">
        <w:rPr>
          <w:sz w:val="18"/>
          <w:szCs w:val="18"/>
        </w:rPr>
        <w:t>. Mean Income rose from</w:t>
      </w:r>
      <w:r w:rsidR="00E029A8" w:rsidRPr="00220A38">
        <w:rPr>
          <w:color w:val="000000"/>
          <w:sz w:val="18"/>
          <w:szCs w:val="18"/>
        </w:rPr>
        <w:t xml:space="preserve"> CLP$</w:t>
      </w:r>
      <w:r w:rsidR="00E029A8" w:rsidRPr="00220A38">
        <w:rPr>
          <w:rFonts w:eastAsia="Times New Roman"/>
          <w:color w:val="000000"/>
          <w:sz w:val="18"/>
          <w:szCs w:val="18"/>
        </w:rPr>
        <w:t>168721</w:t>
      </w:r>
      <w:proofErr w:type="gramStart"/>
      <w:r w:rsidR="00E029A8" w:rsidRPr="00220A38">
        <w:rPr>
          <w:rFonts w:eastAsia="Times New Roman"/>
          <w:color w:val="000000"/>
          <w:sz w:val="18"/>
          <w:szCs w:val="18"/>
        </w:rPr>
        <w:t>,-</w:t>
      </w:r>
      <w:proofErr w:type="gramEnd"/>
      <w:r w:rsidR="00E029A8" w:rsidRPr="00220A38">
        <w:rPr>
          <w:rFonts w:eastAsia="Times New Roman"/>
          <w:color w:val="000000"/>
          <w:sz w:val="18"/>
          <w:szCs w:val="18"/>
        </w:rPr>
        <w:t xml:space="preserve"> in 1990 to CLP$377279,- in 20</w:t>
      </w:r>
      <w:r w:rsidR="000743A2" w:rsidRPr="00220A38">
        <w:rPr>
          <w:rFonts w:eastAsia="Times New Roman"/>
          <w:color w:val="000000"/>
          <w:sz w:val="18"/>
          <w:szCs w:val="18"/>
        </w:rPr>
        <w:t>09</w:t>
      </w:r>
      <w:r w:rsidR="00E029A8" w:rsidRPr="00220A38">
        <w:rPr>
          <w:rFonts w:eastAsia="Times New Roman"/>
          <w:color w:val="000000"/>
          <w:sz w:val="18"/>
          <w:szCs w:val="18"/>
        </w:rPr>
        <w:t>.</w:t>
      </w:r>
      <w:r w:rsidR="00E029A8" w:rsidRPr="00220A38">
        <w:rPr>
          <w:rFonts w:eastAsia="Times New Roman"/>
          <w:color w:val="000000"/>
        </w:rPr>
        <w:t xml:space="preserve"> </w:t>
      </w:r>
    </w:p>
    <w:p w:rsidR="00831F98" w:rsidRPr="00220A38" w:rsidRDefault="00831F98" w:rsidP="00831F98">
      <w:pPr>
        <w:spacing w:line="360" w:lineRule="auto"/>
        <w:jc w:val="both"/>
        <w:rPr>
          <w:rFonts w:eastAsiaTheme="minorEastAsia"/>
        </w:rPr>
      </w:pPr>
    </w:p>
    <w:p w:rsidR="00831F98" w:rsidRPr="00220A38" w:rsidRDefault="008036FF" w:rsidP="00831F98">
      <w:pPr>
        <w:spacing w:line="360" w:lineRule="auto"/>
        <w:jc w:val="both"/>
        <w:rPr>
          <w:rFonts w:eastAsiaTheme="minorEastAsia"/>
        </w:rPr>
      </w:pPr>
      <w:r w:rsidRPr="00220A38">
        <w:rPr>
          <w:rFonts w:eastAsiaTheme="minorEastAsia"/>
        </w:rPr>
        <w:lastRenderedPageBreak/>
        <w:t xml:space="preserve">Figure 3.2 shows a histogram based on logarithmic income, which gives a better picture of how income is distributed in Aisén.  </w:t>
      </w:r>
      <w:r w:rsidR="00343A4D" w:rsidRPr="00220A38">
        <w:rPr>
          <w:rFonts w:eastAsiaTheme="minorEastAsia"/>
        </w:rPr>
        <w:t xml:space="preserve">Again, </w:t>
      </w:r>
      <w:r w:rsidRPr="00220A38">
        <w:rPr>
          <w:rFonts w:eastAsiaTheme="minorEastAsia"/>
        </w:rPr>
        <w:t xml:space="preserve">the distribution </w:t>
      </w:r>
      <w:r w:rsidR="00831F98" w:rsidRPr="00220A38">
        <w:rPr>
          <w:rFonts w:eastAsiaTheme="minorEastAsia"/>
        </w:rPr>
        <w:t xml:space="preserve">apparently </w:t>
      </w:r>
      <w:r w:rsidR="00781859">
        <w:rPr>
          <w:rFonts w:eastAsiaTheme="minorEastAsia"/>
        </w:rPr>
        <w:t>shifted in the 19</w:t>
      </w:r>
      <w:r w:rsidRPr="00220A38">
        <w:rPr>
          <w:rFonts w:eastAsiaTheme="minorEastAsia"/>
        </w:rPr>
        <w:t xml:space="preserve"> year period, </w:t>
      </w:r>
      <w:r w:rsidR="00831F98" w:rsidRPr="00220A38">
        <w:rPr>
          <w:rFonts w:eastAsiaTheme="minorEastAsia"/>
        </w:rPr>
        <w:t xml:space="preserve">but </w:t>
      </w:r>
      <w:r w:rsidRPr="00220A38">
        <w:rPr>
          <w:rFonts w:eastAsiaTheme="minorEastAsia"/>
        </w:rPr>
        <w:t>comparing the two distributions is difficult, because it is not possible to get a good picture of the differences between all the individuals. Also, the income ranges on which the percentages are based are chosen arbitrarily</w:t>
      </w:r>
      <w:r w:rsidR="00E83128" w:rsidRPr="00220A38">
        <w:rPr>
          <w:rFonts w:eastAsiaTheme="minorEastAsia"/>
        </w:rPr>
        <w:t>, just as in figure 3.1, and the maximum is still capped at CLP$500.000,-, which does not permit to draw conclusions on the income distribution as a whole.</w:t>
      </w:r>
    </w:p>
    <w:p w:rsidR="000F1E57" w:rsidRDefault="00CB5F30" w:rsidP="00CB5F30">
      <w:pPr>
        <w:spacing w:line="360" w:lineRule="auto"/>
        <w:jc w:val="both"/>
        <w:rPr>
          <w:rFonts w:eastAsiaTheme="minorEastAsia"/>
        </w:rPr>
      </w:pPr>
      <w:r w:rsidRPr="00220A38">
        <w:rPr>
          <w:rFonts w:eastAsiaTheme="minorEastAsia"/>
        </w:rPr>
        <w:t xml:space="preserve">A more appropriate way to </w:t>
      </w:r>
      <w:r w:rsidR="00775047" w:rsidRPr="00220A38">
        <w:rPr>
          <w:rFonts w:eastAsiaTheme="minorEastAsia"/>
        </w:rPr>
        <w:t>analyze the equality of</w:t>
      </w:r>
      <w:r w:rsidR="00783758" w:rsidRPr="00220A38">
        <w:rPr>
          <w:rFonts w:eastAsiaTheme="minorEastAsia"/>
        </w:rPr>
        <w:t xml:space="preserve"> an</w:t>
      </w:r>
      <w:r w:rsidR="00272842">
        <w:rPr>
          <w:rFonts w:eastAsiaTheme="minorEastAsia"/>
        </w:rPr>
        <w:t xml:space="preserve"> income </w:t>
      </w:r>
      <w:r w:rsidR="00781859" w:rsidRPr="00220A38">
        <w:rPr>
          <w:rFonts w:eastAsiaTheme="minorEastAsia"/>
        </w:rPr>
        <w:t>distribution</w:t>
      </w:r>
      <w:r w:rsidR="00783758" w:rsidRPr="00220A38">
        <w:rPr>
          <w:rFonts w:eastAsiaTheme="minorEastAsia"/>
        </w:rPr>
        <w:t xml:space="preserve"> is to use</w:t>
      </w:r>
      <w:r w:rsidRPr="00220A38">
        <w:rPr>
          <w:rFonts w:eastAsiaTheme="minorEastAsia"/>
        </w:rPr>
        <w:t xml:space="preserve"> cumulative frequencies of both income and population, as in </w:t>
      </w:r>
      <w:r w:rsidR="00775047" w:rsidRPr="00220A38">
        <w:rPr>
          <w:rFonts w:eastAsiaTheme="minorEastAsia"/>
        </w:rPr>
        <w:t xml:space="preserve">the Lorenz curve. </w:t>
      </w:r>
      <w:r w:rsidRPr="00220A38">
        <w:rPr>
          <w:rFonts w:eastAsiaTheme="minorEastAsia"/>
        </w:rPr>
        <w:t>I</w:t>
      </w:r>
      <w:r w:rsidR="000743A2" w:rsidRPr="00220A38">
        <w:rPr>
          <w:rFonts w:eastAsiaTheme="minorEastAsia"/>
        </w:rPr>
        <w:t>n the Lorenz curve of figure 3.3</w:t>
      </w:r>
      <w:r w:rsidRPr="00220A38">
        <w:rPr>
          <w:rFonts w:eastAsiaTheme="minorEastAsia"/>
        </w:rPr>
        <w:t xml:space="preserve">, the cumulative percentage of population ranked according to their income is on the horizontal axis and the cumulative percentage of the corresponding income on the horizontal axis. For an income distribution to be perfectly equal, it must equal the </w:t>
      </w:r>
      <w:r w:rsidR="00781859">
        <w:rPr>
          <w:rFonts w:eastAsiaTheme="minorEastAsia"/>
        </w:rPr>
        <w:t xml:space="preserve">dotted </w:t>
      </w:r>
      <w:r w:rsidRPr="00220A38">
        <w:rPr>
          <w:rFonts w:eastAsiaTheme="minorEastAsia"/>
        </w:rPr>
        <w:t xml:space="preserve">diagonal line. The larger the area is between the Lorenz curve and the diagonal line, the more unequal the income distribution is. </w:t>
      </w:r>
    </w:p>
    <w:p w:rsidR="000F1E57" w:rsidRPr="00490FD4" w:rsidRDefault="008E0384" w:rsidP="00B22442">
      <w:pPr>
        <w:spacing w:line="240" w:lineRule="auto"/>
        <w:jc w:val="both"/>
        <w:rPr>
          <w:rFonts w:eastAsiaTheme="minorEastAsia"/>
          <w:i/>
        </w:rPr>
      </w:pPr>
      <w:proofErr w:type="gramStart"/>
      <w:r>
        <w:rPr>
          <w:i/>
        </w:rPr>
        <w:t>Figure 3.2.</w:t>
      </w:r>
      <w:proofErr w:type="gramEnd"/>
      <w:r>
        <w:rPr>
          <w:i/>
        </w:rPr>
        <w:t xml:space="preserve"> </w:t>
      </w:r>
      <w:r w:rsidR="00CE2D82">
        <w:rPr>
          <w:i/>
        </w:rPr>
        <w:t>Histogram with l</w:t>
      </w:r>
      <w:r w:rsidR="000F1E57" w:rsidRPr="00490FD4">
        <w:rPr>
          <w:i/>
        </w:rPr>
        <w:t xml:space="preserve">ogarithmic </w:t>
      </w:r>
      <w:r w:rsidR="00CE2D82">
        <w:rPr>
          <w:i/>
        </w:rPr>
        <w:t>i</w:t>
      </w:r>
      <w:r w:rsidR="000F1E57" w:rsidRPr="00490FD4">
        <w:rPr>
          <w:i/>
        </w:rPr>
        <w:t>ncome, Aysén Region</w:t>
      </w:r>
      <w:r w:rsidR="00515E65">
        <w:rPr>
          <w:i/>
        </w:rPr>
        <w:t xml:space="preserve"> 1990 and 2009</w:t>
      </w:r>
    </w:p>
    <w:p w:rsidR="000F1E57" w:rsidRPr="00220A38" w:rsidRDefault="000F1E57" w:rsidP="00B22442">
      <w:pPr>
        <w:spacing w:line="240" w:lineRule="auto"/>
        <w:jc w:val="both"/>
        <w:rPr>
          <w:rFonts w:eastAsiaTheme="minorEastAsia"/>
        </w:rPr>
      </w:pPr>
      <w:r w:rsidRPr="00220A38">
        <w:rPr>
          <w:noProof/>
        </w:rPr>
        <w:drawing>
          <wp:inline distT="0" distB="0" distL="0" distR="0" wp14:anchorId="4787CDFF" wp14:editId="3FF69A8F">
            <wp:extent cx="2667000" cy="22669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546FC" w:rsidRPr="00220A38">
        <w:rPr>
          <w:noProof/>
        </w:rPr>
        <w:drawing>
          <wp:inline distT="0" distB="0" distL="0" distR="0" wp14:anchorId="72944181" wp14:editId="3CA1DEBC">
            <wp:extent cx="2733675" cy="22764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1E57" w:rsidRPr="00220A38" w:rsidRDefault="000F1E57" w:rsidP="00B22442">
      <w:pPr>
        <w:spacing w:line="240" w:lineRule="auto"/>
        <w:jc w:val="both"/>
        <w:rPr>
          <w:rFonts w:eastAsiaTheme="minorEastAsia"/>
        </w:rPr>
      </w:pPr>
      <w:r w:rsidRPr="00220A38">
        <w:rPr>
          <w:sz w:val="18"/>
          <w:szCs w:val="18"/>
        </w:rPr>
        <w:t xml:space="preserve">Source: Own Calculations based on </w:t>
      </w:r>
      <w:r w:rsidR="00CF2E4F">
        <w:rPr>
          <w:sz w:val="18"/>
          <w:szCs w:val="18"/>
        </w:rPr>
        <w:t>CASEN</w:t>
      </w:r>
      <w:r w:rsidRPr="00220A38">
        <w:rPr>
          <w:sz w:val="18"/>
          <w:szCs w:val="18"/>
        </w:rPr>
        <w:t xml:space="preserve"> 1990 and 2009. </w:t>
      </w:r>
    </w:p>
    <w:p w:rsidR="00CE2D82" w:rsidRDefault="000F1E57" w:rsidP="00CE2D82">
      <w:pPr>
        <w:spacing w:line="360" w:lineRule="auto"/>
        <w:jc w:val="both"/>
        <w:rPr>
          <w:rFonts w:eastAsiaTheme="minorEastAsia"/>
        </w:rPr>
      </w:pPr>
      <w:r w:rsidRPr="00220A38">
        <w:rPr>
          <w:rFonts w:eastAsiaTheme="minorEastAsia"/>
        </w:rPr>
        <w:t xml:space="preserve">In figure 3.3, the Lorenz curves of both the 1990 and 2009 income distribution of the </w:t>
      </w:r>
      <w:r w:rsidRPr="00220A38">
        <w:t>Aysén</w:t>
      </w:r>
      <w:r w:rsidRPr="00220A38">
        <w:rPr>
          <w:rFonts w:eastAsiaTheme="minorEastAsia"/>
        </w:rPr>
        <w:t xml:space="preserve"> Region are depicted. In contrast with figures 3.1 and 3.2, the Lorenz curves show that the equality of the income distribution has hardly changed over the years, that is, both lines are almost as close to the diagonal line, suggesting that although the distribution has shifted to the right and has flattened out during the years, the</w:t>
      </w:r>
      <w:r w:rsidR="00272842">
        <w:rPr>
          <w:rFonts w:eastAsiaTheme="minorEastAsia"/>
        </w:rPr>
        <w:t xml:space="preserve"> </w:t>
      </w:r>
      <w:r w:rsidR="00272842" w:rsidRPr="00220A38">
        <w:rPr>
          <w:rFonts w:eastAsiaTheme="minorEastAsia"/>
        </w:rPr>
        <w:t xml:space="preserve">income of the higher class has also increased substantially, almost evening out </w:t>
      </w:r>
      <w:r w:rsidR="00CE2D82" w:rsidRPr="00220A38">
        <w:rPr>
          <w:rFonts w:eastAsiaTheme="minorEastAsia"/>
        </w:rPr>
        <w:t>the effect of the flattening of the income distribution.</w:t>
      </w:r>
    </w:p>
    <w:p w:rsidR="000F1E57" w:rsidRPr="00220A38" w:rsidRDefault="00CE2D82" w:rsidP="00CB5F30">
      <w:pPr>
        <w:spacing w:line="360" w:lineRule="auto"/>
        <w:jc w:val="both"/>
        <w:rPr>
          <w:rFonts w:eastAsiaTheme="minorEastAsia"/>
        </w:rPr>
      </w:pPr>
      <w:proofErr w:type="gramStart"/>
      <w:r w:rsidRPr="00220A38">
        <w:rPr>
          <w:rFonts w:eastAsiaTheme="minorEastAsia"/>
        </w:rPr>
        <w:t>So how to quantify</w:t>
      </w:r>
      <w:r>
        <w:rPr>
          <w:rFonts w:eastAsiaTheme="minorEastAsia"/>
        </w:rPr>
        <w:t xml:space="preserve"> these differences for quantitative</w:t>
      </w:r>
      <w:r w:rsidRPr="00220A38">
        <w:rPr>
          <w:rFonts w:eastAsiaTheme="minorEastAsia"/>
        </w:rPr>
        <w:t xml:space="preserve"> analysis?</w:t>
      </w:r>
      <w:proofErr w:type="gramEnd"/>
      <w:r w:rsidRPr="00220A38">
        <w:rPr>
          <w:rFonts w:eastAsiaTheme="minorEastAsia"/>
        </w:rPr>
        <w:t xml:space="preserve"> The most widely used inequality measure is the </w:t>
      </w:r>
      <w:r>
        <w:rPr>
          <w:rFonts w:eastAsiaTheme="minorEastAsia"/>
        </w:rPr>
        <w:t>Gini</w:t>
      </w:r>
      <w:r w:rsidRPr="00220A38">
        <w:rPr>
          <w:rFonts w:eastAsiaTheme="minorEastAsia"/>
        </w:rPr>
        <w:t xml:space="preserve">-coefficient. </w:t>
      </w:r>
      <w:r>
        <w:rPr>
          <w:rFonts w:eastAsiaTheme="minorEastAsia"/>
        </w:rPr>
        <w:t xml:space="preserve">Since this is also the predominant measure used in most relevant empirical work, this measure will also </w:t>
      </w:r>
      <w:proofErr w:type="gramStart"/>
      <w:r>
        <w:rPr>
          <w:rFonts w:eastAsiaTheme="minorEastAsia"/>
        </w:rPr>
        <w:t>be</w:t>
      </w:r>
      <w:proofErr w:type="gramEnd"/>
      <w:r>
        <w:rPr>
          <w:rFonts w:eastAsiaTheme="minorEastAsia"/>
        </w:rPr>
        <w:t xml:space="preserve"> used in my research for comparability reasons. </w:t>
      </w:r>
      <w:r w:rsidRPr="00220A38">
        <w:rPr>
          <w:rFonts w:eastAsiaTheme="minorEastAsia"/>
        </w:rPr>
        <w:t>It is the ratio</w:t>
      </w:r>
      <w:r>
        <w:rPr>
          <w:rFonts w:eastAsiaTheme="minorEastAsia"/>
        </w:rPr>
        <w:br/>
      </w:r>
    </w:p>
    <w:p w:rsidR="00495094" w:rsidRPr="00490FD4" w:rsidRDefault="008E0384" w:rsidP="00B22442">
      <w:pPr>
        <w:spacing w:line="240" w:lineRule="auto"/>
        <w:jc w:val="both"/>
        <w:rPr>
          <w:rFonts w:eastAsiaTheme="minorEastAsia"/>
          <w:i/>
        </w:rPr>
      </w:pPr>
      <w:proofErr w:type="gramStart"/>
      <w:r>
        <w:rPr>
          <w:rFonts w:eastAsiaTheme="minorEastAsia"/>
          <w:i/>
        </w:rPr>
        <w:lastRenderedPageBreak/>
        <w:t>Figure 3.3.</w:t>
      </w:r>
      <w:proofErr w:type="gramEnd"/>
      <w:r>
        <w:rPr>
          <w:rFonts w:eastAsiaTheme="minorEastAsia"/>
          <w:i/>
        </w:rPr>
        <w:t xml:space="preserve"> Lorenz c</w:t>
      </w:r>
      <w:r w:rsidR="00515E65">
        <w:rPr>
          <w:rFonts w:eastAsiaTheme="minorEastAsia"/>
          <w:i/>
        </w:rPr>
        <w:t xml:space="preserve">urve, Aysen </w:t>
      </w:r>
      <w:r>
        <w:rPr>
          <w:rFonts w:eastAsiaTheme="minorEastAsia"/>
          <w:i/>
        </w:rPr>
        <w:t>r</w:t>
      </w:r>
      <w:r w:rsidR="00515E65">
        <w:rPr>
          <w:rFonts w:eastAsiaTheme="minorEastAsia"/>
          <w:i/>
        </w:rPr>
        <w:t>egion in 1990 and 2009</w:t>
      </w:r>
    </w:p>
    <w:p w:rsidR="00495094" w:rsidRPr="00220A38" w:rsidRDefault="00220A38" w:rsidP="00B22442">
      <w:pPr>
        <w:spacing w:line="240" w:lineRule="auto"/>
        <w:jc w:val="center"/>
        <w:rPr>
          <w:rFonts w:eastAsiaTheme="minorEastAsia"/>
        </w:rPr>
      </w:pPr>
      <w:r>
        <w:rPr>
          <w:noProof/>
        </w:rPr>
        <w:drawing>
          <wp:inline distT="0" distB="0" distL="0" distR="0" wp14:anchorId="28EAA94A" wp14:editId="4D6D514D">
            <wp:extent cx="5505450" cy="28289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20A38">
        <w:rPr>
          <w:noProof/>
        </w:rPr>
        <w:t xml:space="preserve"> </w:t>
      </w:r>
    </w:p>
    <w:p w:rsidR="00242BD0" w:rsidRPr="00220A38" w:rsidRDefault="00973528" w:rsidP="00B22442">
      <w:pPr>
        <w:spacing w:line="240" w:lineRule="auto"/>
        <w:jc w:val="both"/>
        <w:rPr>
          <w:rFonts w:eastAsiaTheme="minorEastAsia"/>
        </w:rPr>
      </w:pPr>
      <w:r>
        <w:rPr>
          <w:sz w:val="18"/>
          <w:szCs w:val="18"/>
        </w:rPr>
        <w:t>Source: Own c</w:t>
      </w:r>
      <w:r w:rsidR="00242BD0" w:rsidRPr="00220A38">
        <w:rPr>
          <w:sz w:val="18"/>
          <w:szCs w:val="18"/>
        </w:rPr>
        <w:t xml:space="preserve">alculations based on </w:t>
      </w:r>
      <w:r w:rsidR="00CF2E4F">
        <w:rPr>
          <w:sz w:val="18"/>
          <w:szCs w:val="18"/>
        </w:rPr>
        <w:t>CASEN</w:t>
      </w:r>
      <w:r w:rsidR="00242BD0" w:rsidRPr="00220A38">
        <w:rPr>
          <w:sz w:val="18"/>
          <w:szCs w:val="18"/>
        </w:rPr>
        <w:t xml:space="preserve"> 1990 and 2009.</w:t>
      </w:r>
    </w:p>
    <w:p w:rsidR="003F2042" w:rsidRPr="00220A38" w:rsidRDefault="00DE0127" w:rsidP="00142112">
      <w:pPr>
        <w:spacing w:line="360" w:lineRule="auto"/>
        <w:jc w:val="both"/>
        <w:rPr>
          <w:rFonts w:eastAsiaTheme="minorEastAsia"/>
        </w:rPr>
      </w:pPr>
      <w:proofErr w:type="gramStart"/>
      <w:r w:rsidRPr="00220A38">
        <w:rPr>
          <w:rFonts w:eastAsiaTheme="minorEastAsia"/>
        </w:rPr>
        <w:t>to</w:t>
      </w:r>
      <w:proofErr w:type="gramEnd"/>
      <w:r w:rsidRPr="00220A38">
        <w:rPr>
          <w:rFonts w:eastAsiaTheme="minorEastAsia"/>
        </w:rPr>
        <w:t xml:space="preserve"> the mean of half the average</w:t>
      </w:r>
      <w:r w:rsidR="007F7BEF" w:rsidRPr="00220A38">
        <w:rPr>
          <w:rFonts w:eastAsiaTheme="minorEastAsia"/>
        </w:rPr>
        <w:t xml:space="preserve"> income </w:t>
      </w:r>
      <w:r w:rsidRPr="00220A38">
        <w:rPr>
          <w:rFonts w:eastAsiaTheme="minorEastAsia"/>
        </w:rPr>
        <w:t>over all the pairs</w:t>
      </w:r>
      <w:r w:rsidR="007F7BEF" w:rsidRPr="00220A38">
        <w:rPr>
          <w:rFonts w:eastAsiaTheme="minorEastAsia"/>
        </w:rPr>
        <w:t xml:space="preserve"> </w:t>
      </w:r>
      <w:r w:rsidRPr="00220A38">
        <w:rPr>
          <w:rFonts w:eastAsiaTheme="minorEastAsia"/>
        </w:rPr>
        <w:t xml:space="preserve">of absolute deviations between </w:t>
      </w:r>
      <w:r w:rsidR="007F7BEF" w:rsidRPr="00220A38">
        <w:rPr>
          <w:rFonts w:eastAsiaTheme="minorEastAsia"/>
        </w:rPr>
        <w:t>the income of the population</w:t>
      </w:r>
      <w:r w:rsidRPr="00220A38">
        <w:rPr>
          <w:rFonts w:eastAsiaTheme="minorEastAsia"/>
        </w:rPr>
        <w:t xml:space="preserve"> </w:t>
      </w:r>
      <w:r w:rsidR="00781859">
        <w:rPr>
          <w:rFonts w:eastAsiaTheme="minorEastAsia"/>
        </w:rPr>
        <w:t xml:space="preserve">and can be </w:t>
      </w:r>
      <w:r w:rsidR="00AF6484" w:rsidRPr="00220A38">
        <w:rPr>
          <w:rFonts w:eastAsiaTheme="minorEastAsia"/>
        </w:rPr>
        <w:t>expressed</w:t>
      </w:r>
      <w:r w:rsidR="00CE3438" w:rsidRPr="00220A38">
        <w:rPr>
          <w:rFonts w:eastAsiaTheme="minorEastAsia"/>
        </w:rPr>
        <w:t xml:space="preserve"> as</w:t>
      </w:r>
      <w:r w:rsidR="000F1E57">
        <w:rPr>
          <w:rFonts w:eastAsiaTheme="minorEastAsia"/>
        </w:rPr>
        <w:t>:</w:t>
      </w:r>
    </w:p>
    <w:p w:rsidR="00DE0127" w:rsidRPr="00220A38" w:rsidRDefault="003F2042" w:rsidP="00142112">
      <w:pPr>
        <w:spacing w:line="360" w:lineRule="auto"/>
        <w:jc w:val="both"/>
        <w:rPr>
          <w:rFonts w:eastAsiaTheme="minorEastAsia"/>
        </w:rPr>
      </w:pPr>
      <w:r w:rsidRPr="00220A38">
        <w:rPr>
          <w:rFonts w:eastAsiaTheme="minorEastAsia"/>
        </w:rPr>
        <w:t>(3.1)</w:t>
      </w:r>
      <w:r w:rsidR="00DA3E77" w:rsidRPr="00220A38">
        <w:rPr>
          <w:rFonts w:eastAsiaTheme="minorEastAsia"/>
        </w:rPr>
        <w:t xml:space="preserve"> </w:t>
      </w:r>
      <w:r w:rsidR="00DA3E77" w:rsidRPr="00220A38">
        <w:rPr>
          <w:rFonts w:eastAsiaTheme="minorEastAsia"/>
        </w:rPr>
        <w:tab/>
      </w:r>
      <w:r w:rsidR="00DA3E77" w:rsidRPr="00220A38">
        <w:rPr>
          <w:rFonts w:eastAsiaTheme="minorEastAsia"/>
        </w:rPr>
        <w:tab/>
      </w:r>
      <w:r w:rsidR="00DA3E77" w:rsidRPr="00220A38">
        <w:rPr>
          <w:rFonts w:eastAsiaTheme="minorEastAsia"/>
        </w:rPr>
        <w:tab/>
      </w:r>
      <w:r w:rsidRPr="00220A38">
        <w:rPr>
          <w:rFonts w:eastAsiaTheme="minorEastAsia"/>
        </w:rPr>
        <w:tab/>
        <w:t xml:space="preserve">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y</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μN(N-1)</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d>
              </m:e>
            </m:nary>
          </m:e>
        </m:nary>
      </m:oMath>
      <w:r w:rsidRPr="00220A38">
        <w:rPr>
          <w:rFonts w:eastAsiaTheme="minorEastAsia"/>
        </w:rPr>
        <w:t xml:space="preserve"> ,</w:t>
      </w:r>
    </w:p>
    <w:p w:rsidR="00BE1648" w:rsidRPr="00220A38" w:rsidRDefault="007F7BEF" w:rsidP="00142112">
      <w:pPr>
        <w:spacing w:line="360" w:lineRule="auto"/>
        <w:jc w:val="both"/>
        <w:rPr>
          <w:rFonts w:eastAsiaTheme="minorEastAsia"/>
        </w:rPr>
      </w:pPr>
      <w:proofErr w:type="gramStart"/>
      <w:r w:rsidRPr="00220A38">
        <w:rPr>
          <w:rFonts w:eastAsiaTheme="minorEastAsia"/>
        </w:rPr>
        <w:t>where</w:t>
      </w:r>
      <w:proofErr w:type="gramEnd"/>
      <w:r w:rsidRPr="00220A38">
        <w:rPr>
          <w:rFonts w:eastAsiaTheme="minorEastAsia"/>
        </w:rPr>
        <w:t xml:space="preserve"> </w:t>
      </w:r>
      <w:r w:rsidRPr="00220A38">
        <w:rPr>
          <w:rFonts w:eastAsiaTheme="minorEastAsia"/>
          <w:i/>
        </w:rPr>
        <w:t>N</w:t>
      </w:r>
      <w:r w:rsidRPr="00220A38">
        <w:rPr>
          <w:rFonts w:eastAsiaTheme="minorEastAsia"/>
        </w:rPr>
        <w:t xml:space="preserve"> is the population size,  </w:t>
      </w:r>
      <m:oMath>
        <m:r>
          <w:rPr>
            <w:rFonts w:ascii="Cambria Math" w:eastAsiaTheme="minorEastAsia" w:hAnsi="Cambria Math"/>
          </w:rPr>
          <m:t>μ</m:t>
        </m:r>
      </m:oMath>
      <w:r w:rsidRPr="00220A38">
        <w:rPr>
          <w:rFonts w:eastAsiaTheme="minorEastAsia"/>
        </w:rPr>
        <w:t xml:space="preserve"> is the mean income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oMath>
      <w:r w:rsidRPr="00220A38">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oMath>
      <w:r w:rsidRPr="00220A38">
        <w:rPr>
          <w:rFonts w:eastAsiaTheme="minorEastAsia"/>
        </w:rPr>
        <w:t xml:space="preserve"> is the income of any two individuals of the population (Deaton, 1997). </w:t>
      </w:r>
      <w:r w:rsidR="00CE3438" w:rsidRPr="00220A38">
        <w:rPr>
          <w:rFonts w:eastAsiaTheme="minorEastAsia"/>
        </w:rPr>
        <w:t>Equation</w:t>
      </w:r>
      <w:r w:rsidR="00D11473" w:rsidRPr="00220A38">
        <w:rPr>
          <w:rFonts w:eastAsiaTheme="minorEastAsia"/>
        </w:rPr>
        <w:t xml:space="preserve"> </w:t>
      </w:r>
      <w:r w:rsidR="00CE3438" w:rsidRPr="00220A38">
        <w:rPr>
          <w:rFonts w:eastAsiaTheme="minorEastAsia"/>
        </w:rPr>
        <w:t>(</w:t>
      </w:r>
      <w:r w:rsidR="00DF2F09" w:rsidRPr="00220A38">
        <w:rPr>
          <w:rFonts w:eastAsiaTheme="minorEastAsia"/>
        </w:rPr>
        <w:t>3.1</w:t>
      </w:r>
      <w:r w:rsidR="00CE3438" w:rsidRPr="00220A38">
        <w:rPr>
          <w:rFonts w:eastAsiaTheme="minorEastAsia"/>
        </w:rPr>
        <w:t>)</w:t>
      </w:r>
      <w:r w:rsidR="00D11473" w:rsidRPr="00220A38">
        <w:rPr>
          <w:rFonts w:eastAsiaTheme="minorEastAsia"/>
        </w:rPr>
        <w:t xml:space="preserve"> shows that</w:t>
      </w:r>
      <w:r w:rsidRPr="00220A38">
        <w:rPr>
          <w:rFonts w:eastAsiaTheme="minorEastAsia"/>
        </w:rPr>
        <w:t xml:space="preserve"> if all incomes are equal</w:t>
      </w:r>
      <w:r w:rsidR="00D11473" w:rsidRPr="00220A38">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r>
          <w:rPr>
            <w:rFonts w:ascii="Cambria Math" w:eastAsiaTheme="minorEastAsia" w:hAnsi="Cambria Math"/>
          </w:rPr>
          <m:t>)</m:t>
        </m:r>
      </m:oMath>
      <w:r w:rsidRPr="00220A38">
        <w:rPr>
          <w:rFonts w:eastAsiaTheme="minorEastAsia"/>
        </w:rPr>
        <w:t xml:space="preserve">, the resulting </w:t>
      </w:r>
      <w:r w:rsidR="0039413B">
        <w:rPr>
          <w:rFonts w:eastAsiaTheme="minorEastAsia"/>
        </w:rPr>
        <w:t>Gini</w:t>
      </w:r>
      <w:r w:rsidRPr="00220A38">
        <w:rPr>
          <w:rFonts w:eastAsiaTheme="minorEastAsia"/>
        </w:rPr>
        <w:t xml:space="preserve">-coefficient is zero, while when one </w:t>
      </w:r>
      <w:r w:rsidR="00D11473" w:rsidRPr="00220A38">
        <w:rPr>
          <w:rFonts w:eastAsiaTheme="minorEastAsia"/>
        </w:rPr>
        <w:t>individual</w:t>
      </w:r>
      <w:r w:rsidRPr="00220A38">
        <w:rPr>
          <w:rFonts w:eastAsiaTheme="minorEastAsia"/>
        </w:rPr>
        <w:t xml:space="preserve"> has </w:t>
      </w:r>
      <w:r w:rsidR="00D11473" w:rsidRPr="00220A38">
        <w:rPr>
          <w:rFonts w:eastAsiaTheme="minorEastAsia"/>
        </w:rPr>
        <w:t xml:space="preserve">all income </w:t>
      </w:r>
      <m:oMath>
        <m:r>
          <w:rPr>
            <w:rFonts w:ascii="Cambria Math" w:eastAsiaTheme="minorEastAsia" w:hAnsi="Cambria Math"/>
          </w:rPr>
          <m:t>(μN)</m:t>
        </m:r>
      </m:oMath>
      <w:r w:rsidR="00D11473" w:rsidRPr="00220A38">
        <w:rPr>
          <w:rFonts w:eastAsiaTheme="minorEastAsia"/>
        </w:rPr>
        <w:t xml:space="preserve">, all pairs will have zero income difference except </w:t>
      </w:r>
      <w:r w:rsidR="00D11473" w:rsidRPr="00220A38">
        <w:rPr>
          <w:rFonts w:eastAsiaTheme="minorEastAsia"/>
          <w:i/>
        </w:rPr>
        <w:t>N</w:t>
      </w:r>
      <w:r w:rsidR="00D11473" w:rsidRPr="00220A38">
        <w:rPr>
          <w:rFonts w:eastAsiaTheme="minorEastAsia"/>
        </w:rPr>
        <w:t>-1 times when individuals are paired with the individual with income</w:t>
      </w:r>
      <w:r w:rsidR="00FC2834" w:rsidRPr="00220A38">
        <w:rPr>
          <w:rFonts w:eastAsiaTheme="minorEastAsia"/>
        </w:rPr>
        <w:t xml:space="preserve">, yielding the difference of </w:t>
      </w:r>
      <m:oMath>
        <m:r>
          <w:rPr>
            <w:rFonts w:ascii="Cambria Math" w:eastAsiaTheme="minorEastAsia" w:hAnsi="Cambria Math"/>
          </w:rPr>
          <m:t>μN</m:t>
        </m:r>
      </m:oMath>
      <w:r w:rsidR="00FC2834" w:rsidRPr="00220A38">
        <w:rPr>
          <w:rFonts w:eastAsiaTheme="minorEastAsia"/>
        </w:rPr>
        <w:t xml:space="preserve"> and a </w:t>
      </w:r>
      <w:r w:rsidR="0039413B">
        <w:rPr>
          <w:rFonts w:eastAsiaTheme="minorEastAsia"/>
        </w:rPr>
        <w:t>Gini</w:t>
      </w:r>
      <w:r w:rsidR="00FC2834" w:rsidRPr="00220A38">
        <w:rPr>
          <w:rFonts w:eastAsiaTheme="minorEastAsia"/>
        </w:rPr>
        <w:t xml:space="preserve">-coefficient of one. Hence, the </w:t>
      </w:r>
      <w:r w:rsidR="0039413B">
        <w:rPr>
          <w:rFonts w:eastAsiaTheme="minorEastAsia"/>
        </w:rPr>
        <w:t>Gini</w:t>
      </w:r>
      <w:r w:rsidR="000F1E57">
        <w:rPr>
          <w:rFonts w:eastAsiaTheme="minorEastAsia"/>
        </w:rPr>
        <w:t xml:space="preserve">-coefficient ranges from 0 to 1 and the </w:t>
      </w:r>
      <w:r w:rsidR="00FC2834" w:rsidRPr="00220A38">
        <w:rPr>
          <w:rFonts w:eastAsiaTheme="minorEastAsia"/>
        </w:rPr>
        <w:t xml:space="preserve">lower the </w:t>
      </w:r>
      <w:r w:rsidR="0039413B">
        <w:rPr>
          <w:rFonts w:eastAsiaTheme="minorEastAsia"/>
        </w:rPr>
        <w:t>Gini</w:t>
      </w:r>
      <w:r w:rsidR="00FC2834" w:rsidRPr="00220A38">
        <w:rPr>
          <w:rFonts w:eastAsiaTheme="minorEastAsia"/>
        </w:rPr>
        <w:t>-coefficient is, the more equa</w:t>
      </w:r>
      <w:r w:rsidR="00DF2F09" w:rsidRPr="00220A38">
        <w:rPr>
          <w:rFonts w:eastAsiaTheme="minorEastAsia"/>
        </w:rPr>
        <w:t xml:space="preserve">l </w:t>
      </w:r>
      <w:r w:rsidR="000F1E57">
        <w:rPr>
          <w:rFonts w:eastAsiaTheme="minorEastAsia"/>
        </w:rPr>
        <w:t>a distribution is</w:t>
      </w:r>
      <w:r w:rsidR="00DF2F09" w:rsidRPr="00220A38">
        <w:rPr>
          <w:rFonts w:eastAsiaTheme="minorEastAsia"/>
        </w:rPr>
        <w:t>.</w:t>
      </w:r>
    </w:p>
    <w:p w:rsidR="00E852CD" w:rsidRPr="00220A38" w:rsidRDefault="00BE1648" w:rsidP="00142112">
      <w:pPr>
        <w:spacing w:line="360" w:lineRule="auto"/>
        <w:jc w:val="both"/>
        <w:rPr>
          <w:rFonts w:eastAsiaTheme="minorEastAsia"/>
        </w:rPr>
      </w:pPr>
      <w:r w:rsidRPr="00220A38">
        <w:rPr>
          <w:rFonts w:eastAsiaTheme="minorEastAsia"/>
        </w:rPr>
        <w:t xml:space="preserve">An alternative way of constructing the </w:t>
      </w:r>
      <w:r w:rsidR="0039413B">
        <w:rPr>
          <w:rFonts w:eastAsiaTheme="minorEastAsia"/>
        </w:rPr>
        <w:t>Gini</w:t>
      </w:r>
      <w:r w:rsidRPr="00220A38">
        <w:rPr>
          <w:rFonts w:eastAsiaTheme="minorEastAsia"/>
        </w:rPr>
        <w:t xml:space="preserve">-coefficient is by </w:t>
      </w:r>
      <w:r w:rsidR="007E2183" w:rsidRPr="00220A38">
        <w:rPr>
          <w:rFonts w:eastAsiaTheme="minorEastAsia"/>
        </w:rPr>
        <w:t>using the Lorenz-curve</w:t>
      </w:r>
      <w:r w:rsidR="001F5182" w:rsidRPr="00220A38">
        <w:rPr>
          <w:rStyle w:val="FootnoteReference"/>
          <w:rFonts w:eastAsiaTheme="minorEastAsia"/>
        </w:rPr>
        <w:footnoteReference w:id="15"/>
      </w:r>
      <w:r w:rsidRPr="00220A38">
        <w:rPr>
          <w:rFonts w:eastAsiaTheme="minorEastAsia"/>
        </w:rPr>
        <w:t>.</w:t>
      </w:r>
      <w:r w:rsidR="005E291C" w:rsidRPr="00220A38">
        <w:rPr>
          <w:rFonts w:eastAsiaTheme="minorEastAsia"/>
        </w:rPr>
        <w:t xml:space="preserve"> It equals the ratio of the area between the Lorenz curve and the perfect equality line </w:t>
      </w:r>
      <w:r w:rsidR="000F1E57">
        <w:rPr>
          <w:rFonts w:eastAsiaTheme="minorEastAsia"/>
        </w:rPr>
        <w:t xml:space="preserve">(the </w:t>
      </w:r>
      <w:r w:rsidR="00781859">
        <w:rPr>
          <w:rFonts w:eastAsiaTheme="minorEastAsia"/>
        </w:rPr>
        <w:t xml:space="preserve">dotted </w:t>
      </w:r>
      <w:r w:rsidR="000F1E57">
        <w:rPr>
          <w:rFonts w:eastAsiaTheme="minorEastAsia"/>
        </w:rPr>
        <w:t>diagonal</w:t>
      </w:r>
      <w:r w:rsidR="00781859">
        <w:rPr>
          <w:rFonts w:eastAsiaTheme="minorEastAsia"/>
        </w:rPr>
        <w:t xml:space="preserve"> line in figure 3.3</w:t>
      </w:r>
      <w:r w:rsidR="000F1E57">
        <w:rPr>
          <w:rFonts w:eastAsiaTheme="minorEastAsia"/>
        </w:rPr>
        <w:t xml:space="preserve">) </w:t>
      </w:r>
      <w:r w:rsidR="005E291C" w:rsidRPr="00220A38">
        <w:rPr>
          <w:rFonts w:eastAsiaTheme="minorEastAsia"/>
        </w:rPr>
        <w:t xml:space="preserve">and the total area under </w:t>
      </w:r>
      <w:r w:rsidR="000F1E57">
        <w:rPr>
          <w:rFonts w:eastAsiaTheme="minorEastAsia"/>
        </w:rPr>
        <w:t>the diagonal</w:t>
      </w:r>
      <w:r w:rsidR="005E291C" w:rsidRPr="00220A38">
        <w:rPr>
          <w:rFonts w:eastAsiaTheme="minorEastAsia"/>
        </w:rPr>
        <w:t xml:space="preserve">.  </w:t>
      </w:r>
      <w:r w:rsidR="001F5182" w:rsidRPr="00220A38">
        <w:rPr>
          <w:rFonts w:eastAsiaTheme="minorEastAsia"/>
        </w:rPr>
        <w:t xml:space="preserve">Since (3.1) involves computing income differences between </w:t>
      </w:r>
      <w:r w:rsidR="001F5182" w:rsidRPr="00220A38">
        <w:rPr>
          <w:rFonts w:eastAsiaTheme="minorEastAsia"/>
          <w:i/>
        </w:rPr>
        <w:t>N</w:t>
      </w:r>
      <w:r w:rsidR="001F5182" w:rsidRPr="00220A38">
        <w:rPr>
          <w:rFonts w:eastAsiaTheme="minorEastAsia"/>
        </w:rPr>
        <w:t>(</w:t>
      </w:r>
      <w:r w:rsidR="001F5182" w:rsidRPr="00220A38">
        <w:rPr>
          <w:rFonts w:eastAsiaTheme="minorEastAsia"/>
          <w:i/>
        </w:rPr>
        <w:t>N</w:t>
      </w:r>
      <w:r w:rsidR="001F5182" w:rsidRPr="00220A38">
        <w:rPr>
          <w:rFonts w:eastAsiaTheme="minorEastAsia"/>
        </w:rPr>
        <w:t xml:space="preserve">-1)/2 pairs and the data </w:t>
      </w:r>
      <w:r w:rsidR="00220A38">
        <w:rPr>
          <w:rFonts w:eastAsiaTheme="minorEastAsia"/>
        </w:rPr>
        <w:t>for the</w:t>
      </w:r>
      <w:r w:rsidR="00DF2F09" w:rsidRPr="00220A38">
        <w:rPr>
          <w:rFonts w:eastAsiaTheme="minorEastAsia"/>
        </w:rPr>
        <w:t xml:space="preserve"> </w:t>
      </w:r>
      <w:r w:rsidR="000F1E57">
        <w:rPr>
          <w:rFonts w:eastAsiaTheme="minorEastAsia"/>
        </w:rPr>
        <w:t>w</w:t>
      </w:r>
      <w:r w:rsidR="00DF2F09" w:rsidRPr="00220A38">
        <w:rPr>
          <w:rFonts w:eastAsiaTheme="minorEastAsia"/>
        </w:rPr>
        <w:t xml:space="preserve">hole of Chile </w:t>
      </w:r>
      <w:r w:rsidR="001F5182" w:rsidRPr="00220A38">
        <w:rPr>
          <w:rFonts w:eastAsiaTheme="minorEastAsia"/>
        </w:rPr>
        <w:t>cover 12.957.503 individuals in 1990 and 16.</w:t>
      </w:r>
      <w:r w:rsidR="00DF2F09" w:rsidRPr="00220A38">
        <w:rPr>
          <w:rFonts w:eastAsiaTheme="minorEastAsia"/>
        </w:rPr>
        <w:t>607</w:t>
      </w:r>
      <w:r w:rsidR="001F5182" w:rsidRPr="00220A38">
        <w:rPr>
          <w:rFonts w:eastAsiaTheme="minorEastAsia"/>
        </w:rPr>
        <w:t>.</w:t>
      </w:r>
      <w:r w:rsidR="00DF2F09" w:rsidRPr="00220A38">
        <w:rPr>
          <w:rFonts w:eastAsiaTheme="minorEastAsia"/>
        </w:rPr>
        <w:t>007</w:t>
      </w:r>
      <w:r w:rsidR="001F5182" w:rsidRPr="00220A38">
        <w:rPr>
          <w:rFonts w:eastAsiaTheme="minorEastAsia"/>
        </w:rPr>
        <w:t xml:space="preserve"> in 2011 (when the expansion factors are used), I have chosen to use this indirect method </w:t>
      </w:r>
      <w:r w:rsidR="005E291C" w:rsidRPr="00220A38">
        <w:rPr>
          <w:rFonts w:eastAsiaTheme="minorEastAsia"/>
        </w:rPr>
        <w:t xml:space="preserve">by using trapezoids </w:t>
      </w:r>
      <w:r w:rsidR="001F5182" w:rsidRPr="00220A38">
        <w:rPr>
          <w:rFonts w:eastAsiaTheme="minorEastAsia"/>
        </w:rPr>
        <w:t xml:space="preserve">for the calculation of the </w:t>
      </w:r>
      <w:r w:rsidR="0039413B">
        <w:rPr>
          <w:rFonts w:eastAsiaTheme="minorEastAsia"/>
        </w:rPr>
        <w:t>Gini</w:t>
      </w:r>
      <w:r w:rsidR="001F5182" w:rsidRPr="00220A38">
        <w:rPr>
          <w:rFonts w:eastAsiaTheme="minorEastAsia"/>
        </w:rPr>
        <w:t>-coefficient of</w:t>
      </w:r>
      <w:r w:rsidR="00DF2F09" w:rsidRPr="00220A38">
        <w:rPr>
          <w:rFonts w:eastAsiaTheme="minorEastAsia"/>
        </w:rPr>
        <w:t xml:space="preserve"> the different regions in Chile. </w:t>
      </w:r>
      <w:r w:rsidR="00E852CD" w:rsidRPr="00220A38">
        <w:rPr>
          <w:rFonts w:eastAsiaTheme="minorEastAsia"/>
        </w:rPr>
        <w:t xml:space="preserve">If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oMath>
      <w:r w:rsidR="00E852CD" w:rsidRPr="00220A38">
        <w:rPr>
          <w:rFonts w:eastAsiaTheme="minorEastAsia"/>
        </w:rPr>
        <w:t xml:space="preserve"> is a </w:t>
      </w:r>
      <w:r w:rsidR="00861791" w:rsidRPr="00220A38">
        <w:rPr>
          <w:rFonts w:eastAsiaTheme="minorEastAsia"/>
        </w:rPr>
        <w:t xml:space="preserve">cumulated proportion variable for </w:t>
      </w:r>
      <m:oMath>
        <m:r>
          <w:rPr>
            <w:rFonts w:ascii="Cambria Math" w:eastAsiaTheme="minorEastAsia" w:hAnsi="Cambria Math"/>
          </w:rPr>
          <m:t xml:space="preserve">c=0, …., n </m:t>
        </m:r>
      </m:oMath>
      <w:r w:rsidR="00861791" w:rsidRPr="00220A38">
        <w:rPr>
          <w:rFonts w:eastAsiaTheme="minorEastAsia"/>
        </w:rPr>
        <w:t xml:space="preserve">ranked by income such that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c-1</m:t>
            </m:r>
          </m:sub>
        </m:sSub>
      </m:oMath>
      <w:r w:rsidR="00861791" w:rsidRPr="00220A38">
        <w:rPr>
          <w:rFonts w:eastAsiaTheme="minorEastAsia"/>
        </w:rPr>
        <w:t xml:space="preserve"> </w:t>
      </w:r>
      <w:proofErr w:type="gramStart"/>
      <w:r w:rsidR="00861791" w:rsidRPr="00220A38">
        <w:rPr>
          <w:rFonts w:eastAsiaTheme="minorEastAsia"/>
        </w:rPr>
        <w:t xml:space="preserve">with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=1</m:t>
        </m:r>
      </m:oMath>
      <w:r w:rsidR="00861791" w:rsidRPr="00220A38">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oMath>
      <w:r w:rsidR="00DF2F09" w:rsidRPr="00220A38">
        <w:rPr>
          <w:rFonts w:eastAsiaTheme="minorEastAsia"/>
        </w:rPr>
        <w:t xml:space="preserve"> </w:t>
      </w:r>
      <w:r w:rsidR="00861791" w:rsidRPr="00220A38">
        <w:rPr>
          <w:rFonts w:eastAsiaTheme="minorEastAsia"/>
        </w:rPr>
        <w:t xml:space="preserve">is the cumulated proportion of income for </w:t>
      </w:r>
      <m:oMath>
        <m:r>
          <w:rPr>
            <w:rFonts w:ascii="Cambria Math" w:eastAsiaTheme="minorEastAsia" w:hAnsi="Cambria Math"/>
          </w:rPr>
          <m:t>c=0, …., n</m:t>
        </m:r>
      </m:oMath>
      <w:r w:rsidR="00633C53" w:rsidRPr="00220A38">
        <w:rPr>
          <w:rFonts w:eastAsiaTheme="minorEastAsia"/>
        </w:rPr>
        <w:t xml:space="preserve"> with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r>
          <w:rPr>
            <w:rFonts w:ascii="Cambria Math" w:eastAsiaTheme="minorEastAsia" w:hAnsi="Cambria Math"/>
          </w:rPr>
          <m:t>=1</m:t>
        </m:r>
      </m:oMath>
      <w:r w:rsidR="00633C53" w:rsidRPr="00220A38">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c-1</m:t>
            </m:r>
          </m:sub>
        </m:sSub>
      </m:oMath>
      <w:r w:rsidR="00633C53" w:rsidRPr="00220A38">
        <w:rPr>
          <w:rFonts w:eastAsiaTheme="minorEastAsia"/>
        </w:rPr>
        <w:t xml:space="preserve">, the </w:t>
      </w:r>
      <w:r w:rsidR="0039413B">
        <w:rPr>
          <w:rFonts w:eastAsiaTheme="minorEastAsia"/>
        </w:rPr>
        <w:t>Gini</w:t>
      </w:r>
      <w:r w:rsidR="00633C53" w:rsidRPr="00220A38">
        <w:rPr>
          <w:rFonts w:eastAsiaTheme="minorEastAsia"/>
        </w:rPr>
        <w:t>-coefficient equals:</w:t>
      </w:r>
    </w:p>
    <w:p w:rsidR="00007985" w:rsidRPr="00220A38" w:rsidRDefault="00DA3E77" w:rsidP="00142112">
      <w:pPr>
        <w:spacing w:line="360" w:lineRule="auto"/>
        <w:jc w:val="both"/>
        <w:rPr>
          <w:rFonts w:eastAsiaTheme="minorEastAsia"/>
        </w:rPr>
      </w:pPr>
      <w:r w:rsidRPr="00220A38">
        <w:rPr>
          <w:rFonts w:eastAsiaTheme="minorEastAsia"/>
        </w:rPr>
        <w:lastRenderedPageBreak/>
        <w:t>(3.2)</w:t>
      </w:r>
      <w:r w:rsidRPr="00220A38">
        <w:rPr>
          <w:rFonts w:eastAsiaTheme="minorEastAsia"/>
        </w:rPr>
        <w:tab/>
      </w:r>
      <w:r w:rsidRPr="00220A38">
        <w:rPr>
          <w:rFonts w:eastAsiaTheme="minorEastAsia"/>
        </w:rPr>
        <w:tab/>
      </w:r>
      <w:r w:rsidRPr="00220A38">
        <w:rPr>
          <w:rFonts w:eastAsiaTheme="minorEastAsia"/>
        </w:rPr>
        <w:tab/>
      </w:r>
      <w:r w:rsidR="007E2183" w:rsidRPr="00220A38">
        <w:rPr>
          <w:rFonts w:eastAsiaTheme="minorEastAsia"/>
        </w:rPr>
        <w:tab/>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y</m:t>
            </m:r>
          </m:sub>
        </m:sSub>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c=1</m:t>
            </m:r>
          </m:sub>
          <m:sup>
            <m:r>
              <w:rPr>
                <w:rFonts w:ascii="Cambria Math" w:eastAsiaTheme="minorEastAsia" w:hAnsi="Cambria Math"/>
              </w:rPr>
              <m:t>N</m:t>
            </m:r>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c-1</m:t>
                    </m:r>
                  </m:sub>
                </m:sSub>
              </m:e>
            </m:d>
          </m:e>
        </m:nary>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c-1</m:t>
            </m:r>
          </m:sub>
        </m:sSub>
        <m:r>
          <w:rPr>
            <w:rFonts w:ascii="Cambria Math" w:eastAsiaTheme="minorEastAsia" w:hAnsi="Cambria Math"/>
          </w:rPr>
          <m:t>)</m:t>
        </m:r>
      </m:oMath>
      <w:r w:rsidR="00007985" w:rsidRPr="00220A38">
        <w:rPr>
          <w:rFonts w:eastAsiaTheme="minorEastAsia"/>
        </w:rPr>
        <w:t>.</w:t>
      </w:r>
    </w:p>
    <w:p w:rsidR="00CB5F30" w:rsidRPr="000F1E57" w:rsidRDefault="00DF2F09" w:rsidP="000F1E57">
      <w:pPr>
        <w:spacing w:line="360" w:lineRule="auto"/>
        <w:jc w:val="both"/>
        <w:rPr>
          <w:rFonts w:eastAsiaTheme="minorEastAsia"/>
        </w:rPr>
      </w:pPr>
      <w:r w:rsidRPr="00220A38">
        <w:rPr>
          <w:rFonts w:eastAsiaTheme="minorEastAsia"/>
        </w:rPr>
        <w:t xml:space="preserve">The </w:t>
      </w:r>
      <w:r w:rsidR="0039413B">
        <w:rPr>
          <w:rFonts w:eastAsiaTheme="minorEastAsia"/>
        </w:rPr>
        <w:t>Gini</w:t>
      </w:r>
      <w:r w:rsidRPr="00220A38">
        <w:rPr>
          <w:rFonts w:eastAsiaTheme="minorEastAsia"/>
        </w:rPr>
        <w:t xml:space="preserve">-coefficients for the </w:t>
      </w:r>
      <w:r w:rsidR="00BE0039">
        <w:t>Aysén Region equals 0.4762 in 1990 and 0.</w:t>
      </w:r>
      <w:r w:rsidRPr="00220A38">
        <w:t>4693in 2009, quantify</w:t>
      </w:r>
      <w:r w:rsidR="00781859">
        <w:t>ing the minimal differences graphically depicted in</w:t>
      </w:r>
      <w:r w:rsidRPr="00220A38">
        <w:t xml:space="preserve"> the two Lorenz Curves in figure 3.3. But as is apparent from figure 3.2 and figure 3.3, these </w:t>
      </w:r>
      <w:r w:rsidR="0039413B">
        <w:t>Gini</w:t>
      </w:r>
      <w:r w:rsidRPr="00220A38">
        <w:t xml:space="preserve">-coefficients don’t tell the whole story, as shifts in parts of </w:t>
      </w:r>
      <w:r w:rsidR="00D7593E" w:rsidRPr="00220A38">
        <w:t>the income distribution are not</w:t>
      </w:r>
      <w:r w:rsidRPr="00220A38">
        <w:t xml:space="preserve"> depicted in this single measure. Therefore, b</w:t>
      </w:r>
      <w:r w:rsidR="00CD091B" w:rsidRPr="00220A38">
        <w:rPr>
          <w:rFonts w:eastAsiaTheme="minorEastAsia"/>
        </w:rPr>
        <w:t xml:space="preserve">esides using the </w:t>
      </w:r>
      <w:r w:rsidR="0039413B">
        <w:rPr>
          <w:rFonts w:eastAsiaTheme="minorEastAsia"/>
        </w:rPr>
        <w:t>Gini</w:t>
      </w:r>
      <w:r w:rsidR="00CD091B" w:rsidRPr="00220A38">
        <w:rPr>
          <w:rFonts w:eastAsiaTheme="minorEastAsia"/>
        </w:rPr>
        <w:t>-coefficent as inequality measure, I</w:t>
      </w:r>
      <w:r w:rsidR="00443B84" w:rsidRPr="00220A38">
        <w:rPr>
          <w:rFonts w:eastAsiaTheme="minorEastAsia"/>
        </w:rPr>
        <w:t xml:space="preserve"> will also use the ratio of the 90</w:t>
      </w:r>
      <w:r w:rsidR="00443B84" w:rsidRPr="00220A38">
        <w:rPr>
          <w:rFonts w:eastAsiaTheme="minorEastAsia"/>
          <w:vertAlign w:val="superscript"/>
        </w:rPr>
        <w:t>th</w:t>
      </w:r>
      <w:r w:rsidR="00443B84" w:rsidRPr="00220A38">
        <w:rPr>
          <w:rFonts w:eastAsiaTheme="minorEastAsia"/>
        </w:rPr>
        <w:t xml:space="preserve"> to the 75</w:t>
      </w:r>
      <w:r w:rsidR="00443B84" w:rsidRPr="00220A38">
        <w:rPr>
          <w:rFonts w:eastAsiaTheme="minorEastAsia"/>
          <w:vertAlign w:val="superscript"/>
        </w:rPr>
        <w:t>th</w:t>
      </w:r>
      <w:r w:rsidR="00443B84" w:rsidRPr="00220A38">
        <w:rPr>
          <w:rFonts w:eastAsiaTheme="minorEastAsia"/>
        </w:rPr>
        <w:t xml:space="preserve"> </w:t>
      </w:r>
      <w:r w:rsidR="00CD091B" w:rsidRPr="00220A38">
        <w:rPr>
          <w:rFonts w:eastAsiaTheme="minorEastAsia"/>
        </w:rPr>
        <w:t xml:space="preserve">percentile </w:t>
      </w:r>
      <w:r w:rsidR="00443B84" w:rsidRPr="00220A38">
        <w:rPr>
          <w:rFonts w:eastAsiaTheme="minorEastAsia"/>
        </w:rPr>
        <w:t xml:space="preserve">of </w:t>
      </w:r>
      <w:r w:rsidR="00781859">
        <w:rPr>
          <w:rFonts w:eastAsiaTheme="minorEastAsia"/>
        </w:rPr>
        <w:t xml:space="preserve">the </w:t>
      </w:r>
      <w:r w:rsidR="00443B84" w:rsidRPr="00220A38">
        <w:rPr>
          <w:rFonts w:eastAsiaTheme="minorEastAsia"/>
        </w:rPr>
        <w:t>income</w:t>
      </w:r>
      <w:r w:rsidR="00781859">
        <w:rPr>
          <w:rFonts w:eastAsiaTheme="minorEastAsia"/>
        </w:rPr>
        <w:t xml:space="preserve"> distribution</w:t>
      </w:r>
      <w:r w:rsidR="00443B84" w:rsidRPr="00220A38">
        <w:rPr>
          <w:rFonts w:eastAsiaTheme="minorEastAsia"/>
        </w:rPr>
        <w:t xml:space="preserve"> (P90/75) </w:t>
      </w:r>
      <w:r w:rsidR="00CD091B" w:rsidRPr="00220A38">
        <w:rPr>
          <w:rFonts w:eastAsiaTheme="minorEastAsia"/>
        </w:rPr>
        <w:t xml:space="preserve">as a measure of top-end inequality and the </w:t>
      </w:r>
      <w:r w:rsidR="00443B84" w:rsidRPr="00220A38">
        <w:rPr>
          <w:rFonts w:eastAsiaTheme="minorEastAsia"/>
        </w:rPr>
        <w:t>ratio of the 50</w:t>
      </w:r>
      <w:r w:rsidR="00443B84" w:rsidRPr="00220A38">
        <w:rPr>
          <w:rFonts w:eastAsiaTheme="minorEastAsia"/>
          <w:vertAlign w:val="superscript"/>
        </w:rPr>
        <w:t>th</w:t>
      </w:r>
      <w:r w:rsidR="00443B84" w:rsidRPr="00220A38">
        <w:rPr>
          <w:rFonts w:eastAsiaTheme="minorEastAsia"/>
        </w:rPr>
        <w:t xml:space="preserve"> to the 10</w:t>
      </w:r>
      <w:r w:rsidR="00443B84" w:rsidRPr="00220A38">
        <w:rPr>
          <w:rFonts w:eastAsiaTheme="minorEastAsia"/>
          <w:vertAlign w:val="superscript"/>
        </w:rPr>
        <w:t>th</w:t>
      </w:r>
      <w:r w:rsidR="00443B84" w:rsidRPr="00220A38">
        <w:rPr>
          <w:rFonts w:eastAsiaTheme="minorEastAsia"/>
        </w:rPr>
        <w:t xml:space="preserve"> (P50/10) </w:t>
      </w:r>
      <w:r w:rsidR="00665CC0" w:rsidRPr="00220A38">
        <w:rPr>
          <w:rFonts w:eastAsiaTheme="minorEastAsia"/>
        </w:rPr>
        <w:t xml:space="preserve">as a measure of bottom end inequality </w:t>
      </w:r>
      <w:r w:rsidR="00EB1541" w:rsidRPr="00220A38">
        <w:rPr>
          <w:rFonts w:eastAsiaTheme="minorEastAsia"/>
        </w:rPr>
        <w:t>as suggested by Voitchovsky (2005).</w:t>
      </w:r>
      <w:r w:rsidR="0011042F" w:rsidRPr="00220A38">
        <w:rPr>
          <w:rFonts w:eastAsiaTheme="minorEastAsia"/>
        </w:rPr>
        <w:t xml:space="preserve"> </w:t>
      </w:r>
      <w:r w:rsidR="008E5465" w:rsidRPr="00220A38">
        <w:rPr>
          <w:rFonts w:eastAsiaTheme="minorEastAsia"/>
        </w:rPr>
        <w:t xml:space="preserve">For the </w:t>
      </w:r>
      <w:r w:rsidR="008E5465" w:rsidRPr="00220A38">
        <w:t>Aysén</w:t>
      </w:r>
      <w:r w:rsidR="008E5465" w:rsidRPr="00220A38">
        <w:rPr>
          <w:rFonts w:eastAsiaTheme="minorEastAsia"/>
        </w:rPr>
        <w:t xml:space="preserve"> Region, these variables have changed in opposite directions over time. T</w:t>
      </w:r>
      <w:r w:rsidR="00EE0A35" w:rsidRPr="00220A38">
        <w:rPr>
          <w:rFonts w:eastAsiaTheme="minorEastAsia"/>
        </w:rPr>
        <w:t>he P90/</w:t>
      </w:r>
      <w:r w:rsidR="00BE0039">
        <w:rPr>
          <w:rFonts w:eastAsiaTheme="minorEastAsia"/>
        </w:rPr>
        <w:t>75 ratio declined from 1.90 to 1.</w:t>
      </w:r>
      <w:r w:rsidR="008E5465" w:rsidRPr="00220A38">
        <w:rPr>
          <w:rFonts w:eastAsiaTheme="minorEastAsia"/>
        </w:rPr>
        <w:t>75, while the</w:t>
      </w:r>
      <w:r w:rsidR="00BE0039">
        <w:rPr>
          <w:rFonts w:eastAsiaTheme="minorEastAsia"/>
        </w:rPr>
        <w:t xml:space="preserve"> P50/P10 ratio increased from 2.45 to 2.</w:t>
      </w:r>
      <w:r w:rsidR="008E5465" w:rsidRPr="00220A38">
        <w:rPr>
          <w:rFonts w:eastAsiaTheme="minorEastAsia"/>
        </w:rPr>
        <w:t xml:space="preserve">77.  This </w:t>
      </w:r>
      <w:r w:rsidR="00973528">
        <w:rPr>
          <w:rFonts w:eastAsiaTheme="minorEastAsia"/>
        </w:rPr>
        <w:t xml:space="preserve">could possibly </w:t>
      </w:r>
      <w:r w:rsidR="008E5465" w:rsidRPr="00220A38">
        <w:rPr>
          <w:rFonts w:eastAsiaTheme="minorEastAsia"/>
        </w:rPr>
        <w:t xml:space="preserve">explain why the </w:t>
      </w:r>
      <w:r w:rsidR="0039413B">
        <w:rPr>
          <w:rFonts w:eastAsiaTheme="minorEastAsia"/>
        </w:rPr>
        <w:t>Gini</w:t>
      </w:r>
      <w:r w:rsidR="008E5465" w:rsidRPr="00220A38">
        <w:rPr>
          <w:rFonts w:eastAsiaTheme="minorEastAsia"/>
        </w:rPr>
        <w:t>-coefficient has hardly changed from 1990-2009:  absolute income differences in the upper part of the in</w:t>
      </w:r>
      <w:r w:rsidR="00242BD0" w:rsidRPr="00220A38">
        <w:rPr>
          <w:rFonts w:eastAsiaTheme="minorEastAsia"/>
        </w:rPr>
        <w:t>come distribution have decreased and those in the lower middle part of the inco</w:t>
      </w:r>
      <w:r w:rsidR="00973528">
        <w:rPr>
          <w:rFonts w:eastAsiaTheme="minorEastAsia"/>
        </w:rPr>
        <w:t xml:space="preserve">me distribution have increased, possibly cancelling out in the </w:t>
      </w:r>
      <w:r w:rsidR="0039413B">
        <w:rPr>
          <w:rFonts w:eastAsiaTheme="minorEastAsia"/>
        </w:rPr>
        <w:t>Gini</w:t>
      </w:r>
      <w:r w:rsidR="00973528">
        <w:rPr>
          <w:rFonts w:eastAsiaTheme="minorEastAsia"/>
        </w:rPr>
        <w:t>-coefficient.</w:t>
      </w:r>
    </w:p>
    <w:p w:rsidR="00D30464" w:rsidRPr="00220A38" w:rsidRDefault="0011042F" w:rsidP="00142112">
      <w:pPr>
        <w:pStyle w:val="ListParagraph"/>
        <w:spacing w:line="360" w:lineRule="auto"/>
        <w:jc w:val="both"/>
        <w:rPr>
          <w:b/>
        </w:rPr>
      </w:pPr>
      <w:r w:rsidRPr="00220A38">
        <w:rPr>
          <w:b/>
        </w:rPr>
        <w:t>3.3.</w:t>
      </w:r>
      <w:r w:rsidR="00D30464" w:rsidRPr="00220A38">
        <w:rPr>
          <w:b/>
        </w:rPr>
        <w:t xml:space="preserve"> </w:t>
      </w:r>
      <w:r w:rsidRPr="00220A38">
        <w:rPr>
          <w:b/>
        </w:rPr>
        <w:t xml:space="preserve">Other </w:t>
      </w:r>
      <w:r w:rsidR="00D30464" w:rsidRPr="00220A38">
        <w:rPr>
          <w:b/>
        </w:rPr>
        <w:t>Variables</w:t>
      </w:r>
    </w:p>
    <w:p w:rsidR="00A46797" w:rsidRPr="00220A38" w:rsidRDefault="00D334FB" w:rsidP="00142112">
      <w:pPr>
        <w:spacing w:line="360" w:lineRule="auto"/>
        <w:jc w:val="both"/>
      </w:pPr>
      <w:r w:rsidRPr="00220A38">
        <w:rPr>
          <w:rFonts w:eastAsiaTheme="minorEastAsia"/>
        </w:rPr>
        <w:t xml:space="preserve">As a measure of the human capital stock in a region, the average years of schooling </w:t>
      </w:r>
      <w:r>
        <w:rPr>
          <w:rFonts w:eastAsiaTheme="minorEastAsia"/>
        </w:rPr>
        <w:t>of the working age regional population</w:t>
      </w:r>
      <w:r w:rsidR="000F1E57">
        <w:rPr>
          <w:rFonts w:eastAsiaTheme="minorEastAsia"/>
        </w:rPr>
        <w:t xml:space="preserve"> (aged 15-65), </w:t>
      </w:r>
      <w:r w:rsidR="00515E65">
        <w:rPr>
          <w:rFonts w:eastAsiaTheme="minorEastAsia"/>
        </w:rPr>
        <w:t xml:space="preserve">also </w:t>
      </w:r>
      <w:r w:rsidR="000F1E57">
        <w:rPr>
          <w:rFonts w:eastAsiaTheme="minorEastAsia"/>
        </w:rPr>
        <w:t xml:space="preserve">extracted from the </w:t>
      </w:r>
      <w:r w:rsidR="00CF2E4F">
        <w:rPr>
          <w:rFonts w:eastAsiaTheme="minorEastAsia"/>
        </w:rPr>
        <w:t>CASEN</w:t>
      </w:r>
      <w:r w:rsidR="000F1E57">
        <w:rPr>
          <w:rFonts w:eastAsiaTheme="minorEastAsia"/>
        </w:rPr>
        <w:t xml:space="preserve"> surveys,</w:t>
      </w:r>
      <w:r>
        <w:rPr>
          <w:rFonts w:eastAsiaTheme="minorEastAsia"/>
        </w:rPr>
        <w:t xml:space="preserve"> </w:t>
      </w:r>
      <w:proofErr w:type="gramStart"/>
      <w:r>
        <w:rPr>
          <w:rFonts w:eastAsiaTheme="minorEastAsia"/>
        </w:rPr>
        <w:t>is</w:t>
      </w:r>
      <w:proofErr w:type="gramEnd"/>
      <w:r>
        <w:rPr>
          <w:rFonts w:eastAsiaTheme="minorEastAsia"/>
        </w:rPr>
        <w:t xml:space="preserve"> used</w:t>
      </w:r>
      <w:r w:rsidR="000F1E57">
        <w:rPr>
          <w:rStyle w:val="FootnoteReference"/>
          <w:rFonts w:eastAsiaTheme="minorEastAsia"/>
        </w:rPr>
        <w:footnoteReference w:id="16"/>
      </w:r>
      <w:r w:rsidRPr="00220A38">
        <w:rPr>
          <w:rFonts w:eastAsiaTheme="minorEastAsia"/>
        </w:rPr>
        <w:t xml:space="preserve">. </w:t>
      </w:r>
      <w:r w:rsidR="00855674" w:rsidRPr="00220A38">
        <w:t>As discussed in section 2.3.6, Castello-Climent and Domenech (2002</w:t>
      </w:r>
      <w:r w:rsidR="00520A50">
        <w:t>;</w:t>
      </w:r>
      <w:r w:rsidR="00855674" w:rsidRPr="00220A38">
        <w:t xml:space="preserve"> 2008) found that </w:t>
      </w:r>
      <w:r w:rsidR="00BA01F3" w:rsidRPr="00220A38">
        <w:t xml:space="preserve">human capital inequality could be a better proxy for wealth inequality than income inequality. </w:t>
      </w:r>
      <w:r w:rsidR="00A46797" w:rsidRPr="00220A38">
        <w:t>In order to estimate an inequality measure for human capital they compiled an inequality measure based on the</w:t>
      </w:r>
      <w:r w:rsidR="00DA3E77" w:rsidRPr="00220A38">
        <w:t xml:space="preserve"> </w:t>
      </w:r>
      <w:r w:rsidR="0039413B">
        <w:t>Gini</w:t>
      </w:r>
      <w:r w:rsidR="00DA3E77" w:rsidRPr="00220A38">
        <w:t>-coeffic</w:t>
      </w:r>
      <w:r w:rsidR="00242BD0" w:rsidRPr="00220A38">
        <w:t>i</w:t>
      </w:r>
      <w:r w:rsidR="00DA3E77" w:rsidRPr="00220A38">
        <w:t xml:space="preserve">ent. </w:t>
      </w:r>
      <w:r w:rsidR="00242BD0" w:rsidRPr="00220A38">
        <w:t>Their ‘</w:t>
      </w:r>
      <w:r w:rsidR="00A46797" w:rsidRPr="00220A38">
        <w:t xml:space="preserve">human capital </w:t>
      </w:r>
      <w:r w:rsidR="0039413B">
        <w:t>Gini</w:t>
      </w:r>
      <w:r w:rsidR="00A46797" w:rsidRPr="00220A38">
        <w:t>-coefficient</w:t>
      </w:r>
      <w:r w:rsidR="00242BD0" w:rsidRPr="00220A38">
        <w:t>’ can be expressed</w:t>
      </w:r>
      <w:r w:rsidR="00A46797" w:rsidRPr="00220A38">
        <w:t xml:space="preserve"> as</w:t>
      </w:r>
      <w:r w:rsidR="00242BD0" w:rsidRPr="00220A38">
        <w:t>:</w:t>
      </w:r>
    </w:p>
    <w:p w:rsidR="00A46797" w:rsidRPr="00220A38" w:rsidRDefault="00A46797" w:rsidP="00142112">
      <w:pPr>
        <w:spacing w:line="360" w:lineRule="auto"/>
        <w:jc w:val="both"/>
      </w:pPr>
      <w:r w:rsidRPr="00220A38">
        <w:t>(3.4)</w:t>
      </w:r>
      <w:r w:rsidRPr="00220A38">
        <w:tab/>
      </w:r>
      <w:r w:rsidRPr="00220A38">
        <w:tab/>
      </w:r>
      <w:r w:rsidRPr="00220A38">
        <w:tab/>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h</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H</m:t>
                </m:r>
              </m:e>
            </m:acc>
            <m:r>
              <w:rPr>
                <w:rFonts w:ascii="Cambria Math" w:eastAsiaTheme="minorEastAsia" w:hAnsi="Cambria Math"/>
              </w:rPr>
              <m:t>)</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3</m:t>
            </m:r>
          </m:sup>
          <m:e>
            <m:nary>
              <m:naryPr>
                <m:chr m:val="∑"/>
                <m:limLoc m:val="undOvr"/>
                <m:ctrlPr>
                  <w:rPr>
                    <w:rFonts w:ascii="Cambria Math" w:eastAsiaTheme="minorEastAsia" w:hAnsi="Cambria Math"/>
                    <w:i/>
                  </w:rPr>
                </m:ctrlPr>
              </m:naryPr>
              <m:sub>
                <m:r>
                  <w:rPr>
                    <w:rFonts w:ascii="Cambria Math" w:eastAsiaTheme="minorEastAsia" w:hAnsi="Cambria Math"/>
                  </w:rPr>
                  <m:t>j=0</m:t>
                </m:r>
              </m:sub>
              <m:sup>
                <m:r>
                  <w:rPr>
                    <w:rFonts w:ascii="Cambria Math" w:eastAsiaTheme="minorEastAsia" w:hAnsi="Cambria Math"/>
                  </w:rPr>
                  <m:t>3</m:t>
                </m:r>
              </m:sup>
              <m:e>
                <m:d>
                  <m:dPr>
                    <m:begChr m:val="|"/>
                    <m:endChr m:val="|"/>
                    <m:ctrlPr>
                      <w:rPr>
                        <w:rFonts w:ascii="Cambria Math" w:eastAsiaTheme="minorEastAsia" w:hAnsi="Cambria Math"/>
                        <w:i/>
                      </w:rPr>
                    </m:ctrlPr>
                  </m:dPr>
                  <m:e>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acc>
                    <m:r>
                      <w:rPr>
                        <w:rFonts w:ascii="Cambria Math" w:eastAsiaTheme="minorEastAsia" w:hAnsi="Cambria Math"/>
                      </w:rPr>
                      <m:t>-</m:t>
                    </m:r>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e>
                    </m:acc>
                  </m:e>
                </m:d>
              </m:e>
            </m:nary>
          </m:e>
        </m:nary>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j</m:t>
            </m:r>
          </m:sub>
        </m:sSub>
      </m:oMath>
    </w:p>
    <w:p w:rsidR="00AF6484" w:rsidRPr="00220A38" w:rsidRDefault="003B0F79" w:rsidP="00142112">
      <w:pPr>
        <w:spacing w:line="360" w:lineRule="auto"/>
        <w:jc w:val="both"/>
      </w:pPr>
      <w:proofErr w:type="gramStart"/>
      <w:r w:rsidRPr="00220A38">
        <w:rPr>
          <w:rFonts w:eastAsiaTheme="minorEastAsia"/>
        </w:rPr>
        <w:t>where</w:t>
      </w:r>
      <w:proofErr w:type="gramEnd"/>
      <w:r w:rsidRPr="00220A38">
        <w:rPr>
          <w:rFonts w:eastAsiaTheme="minorEastAsia"/>
        </w:rPr>
        <w:t xml:space="preserve"> </w:t>
      </w:r>
      <m:oMath>
        <m:r>
          <w:rPr>
            <w:rFonts w:ascii="Cambria Math" w:eastAsiaTheme="minorEastAsia" w:hAnsi="Cambria Math"/>
          </w:rPr>
          <m:t>p</m:t>
        </m:r>
      </m:oMath>
      <w:r w:rsidRPr="00220A38">
        <w:rPr>
          <w:rFonts w:eastAsiaTheme="minorEastAsia"/>
        </w:rPr>
        <w:t xml:space="preserve"> is the share of the population with </w:t>
      </w:r>
      <w:r w:rsidR="001E1F7B" w:rsidRPr="00220A38">
        <w:rPr>
          <w:rFonts w:eastAsiaTheme="minorEastAsia"/>
        </w:rPr>
        <w:t xml:space="preserve">either </w:t>
      </w:r>
      <w:r w:rsidRPr="00220A38">
        <w:rPr>
          <w:rFonts w:eastAsiaTheme="minorEastAsia"/>
        </w:rPr>
        <w:t xml:space="preserve">education level </w:t>
      </w:r>
      <w:r w:rsidRPr="00220A38">
        <w:rPr>
          <w:rFonts w:eastAsiaTheme="minorEastAsia"/>
          <w:i/>
        </w:rPr>
        <w:t>i</w:t>
      </w:r>
      <w:r w:rsidRPr="00220A38">
        <w:rPr>
          <w:rFonts w:eastAsiaTheme="minorEastAsia"/>
        </w:rPr>
        <w:t xml:space="preserve"> </w:t>
      </w:r>
      <w:r w:rsidR="001E1F7B" w:rsidRPr="00220A38">
        <w:rPr>
          <w:rFonts w:eastAsiaTheme="minorEastAsia"/>
        </w:rPr>
        <w:t xml:space="preserve">or </w:t>
      </w:r>
      <w:r w:rsidR="001E1F7B" w:rsidRPr="00220A38">
        <w:rPr>
          <w:rFonts w:eastAsiaTheme="minorEastAsia"/>
          <w:i/>
        </w:rPr>
        <w:t>j</w:t>
      </w:r>
      <w:r w:rsidR="001E1F7B" w:rsidRPr="00220A38">
        <w:rPr>
          <w:rFonts w:eastAsiaTheme="minorEastAsia"/>
        </w:rPr>
        <w:t xml:space="preserve"> </w:t>
      </w:r>
      <w:r w:rsidRPr="00220A38">
        <w:rPr>
          <w:rFonts w:eastAsiaTheme="minorEastAsia"/>
        </w:rPr>
        <w:t xml:space="preserve">and </w:t>
      </w:r>
      <m:oMath>
        <m:acc>
          <m:accPr>
            <m:ctrlPr>
              <w:rPr>
                <w:rFonts w:ascii="Cambria Math" w:eastAsiaTheme="minorEastAsia" w:hAnsi="Cambria Math"/>
                <w:i/>
              </w:rPr>
            </m:ctrlPr>
          </m:accPr>
          <m:e>
            <m:r>
              <w:rPr>
                <w:rFonts w:ascii="Cambria Math" w:eastAsiaTheme="minorEastAsia" w:hAnsi="Cambria Math"/>
              </w:rPr>
              <m:t>x</m:t>
            </m:r>
          </m:e>
        </m:acc>
      </m:oMath>
      <w:r w:rsidRPr="00220A38">
        <w:rPr>
          <w:rFonts w:eastAsiaTheme="minorEastAsia"/>
        </w:rPr>
        <w:t xml:space="preserve"> is the average scho</w:t>
      </w:r>
      <w:r w:rsidR="001E1F7B" w:rsidRPr="00220A38">
        <w:rPr>
          <w:rFonts w:eastAsiaTheme="minorEastAsia"/>
        </w:rPr>
        <w:t xml:space="preserve">oling years per education level. </w:t>
      </w:r>
      <w:r w:rsidR="000F1E57">
        <w:t xml:space="preserve">The fact that I use the raw data of the </w:t>
      </w:r>
      <w:r w:rsidR="00CF2E4F">
        <w:t>CASEN</w:t>
      </w:r>
      <w:r w:rsidR="000F1E57">
        <w:t xml:space="preserve"> surveys also allow</w:t>
      </w:r>
      <w:r w:rsidR="00520A50">
        <w:t>s</w:t>
      </w:r>
      <w:r w:rsidR="000F1E57">
        <w:t xml:space="preserve"> me to</w:t>
      </w:r>
      <w:r w:rsidR="00BA01F3" w:rsidRPr="00220A38">
        <w:t xml:space="preserve"> compile </w:t>
      </w:r>
      <w:r w:rsidR="00242BD0" w:rsidRPr="00220A38">
        <w:t>this educational or human capital inequality measure</w:t>
      </w:r>
      <w:r w:rsidR="00BA01F3" w:rsidRPr="00220A38">
        <w:t xml:space="preserve"> directly. I follow Castello-Climent and Domenech (2002) and compute a </w:t>
      </w:r>
      <w:r w:rsidR="0039413B">
        <w:t>Gini</w:t>
      </w:r>
      <w:r w:rsidR="00BA01F3" w:rsidRPr="00220A38">
        <w:t xml:space="preserve">-coefficient based on the average schooling years and </w:t>
      </w:r>
      <w:r w:rsidR="001E1F7B" w:rsidRPr="00220A38">
        <w:t>four</w:t>
      </w:r>
      <w:r w:rsidR="001F36E4" w:rsidRPr="00220A38">
        <w:t xml:space="preserve"> </w:t>
      </w:r>
      <w:r w:rsidR="001E1F7B" w:rsidRPr="00220A38">
        <w:t xml:space="preserve">both mutually exclusive and collectively inclusive </w:t>
      </w:r>
      <w:r w:rsidR="00BA01F3" w:rsidRPr="00220A38">
        <w:t>educational level</w:t>
      </w:r>
      <w:r w:rsidR="001F36E4" w:rsidRPr="00220A38">
        <w:t>s</w:t>
      </w:r>
      <w:r w:rsidR="00BA01F3" w:rsidRPr="00220A38">
        <w:t xml:space="preserve"> of the working age population</w:t>
      </w:r>
      <w:r w:rsidR="00973528">
        <w:t xml:space="preserve"> (15-65 years)</w:t>
      </w:r>
      <w:r w:rsidR="00BA01F3" w:rsidRPr="00220A38">
        <w:t>.</w:t>
      </w:r>
      <w:r w:rsidR="00007985" w:rsidRPr="00220A38">
        <w:t xml:space="preserve"> This was done by recoding the education level </w:t>
      </w:r>
      <w:r w:rsidR="00BA01F3" w:rsidRPr="00220A38">
        <w:t>variable</w:t>
      </w:r>
      <w:r w:rsidR="00007985" w:rsidRPr="00220A38">
        <w:t xml:space="preserve"> (EDUC)</w:t>
      </w:r>
      <w:r w:rsidR="00BA01F3" w:rsidRPr="00220A38">
        <w:t xml:space="preserve"> to (0) for no formal education, (1) for complete and incomplete primary schooling, (2) for incomplete and complete secondary schooling</w:t>
      </w:r>
      <w:r w:rsidR="00DA47AD" w:rsidRPr="00220A38">
        <w:t xml:space="preserve"> </w:t>
      </w:r>
      <w:r w:rsidR="001F36E4" w:rsidRPr="00220A38">
        <w:t>and (3) for higher education</w:t>
      </w:r>
      <w:r w:rsidR="001E1F7B" w:rsidRPr="00220A38">
        <w:t>. T</w:t>
      </w:r>
      <w:r w:rsidR="00E90949" w:rsidRPr="00220A38">
        <w:t>he average years</w:t>
      </w:r>
      <w:r w:rsidR="001F36E4" w:rsidRPr="00220A38">
        <w:t xml:space="preserve"> </w:t>
      </w:r>
      <w:r w:rsidR="00E90949" w:rsidRPr="00220A38">
        <w:t xml:space="preserve">of schooling </w:t>
      </w:r>
      <w:r w:rsidR="001E1F7B" w:rsidRPr="00220A38">
        <w:t>per</w:t>
      </w:r>
      <w:r w:rsidR="00E90949" w:rsidRPr="00220A38">
        <w:t xml:space="preserve"> level</w:t>
      </w:r>
      <w:r w:rsidR="001E1F7B" w:rsidRPr="00220A38">
        <w:t xml:space="preserve"> </w:t>
      </w:r>
      <w:r w:rsidR="00AF6484" w:rsidRPr="00220A38">
        <w:t>were formed by</w:t>
      </w:r>
      <w:r w:rsidR="001E1F7B" w:rsidRPr="00220A38">
        <w:t xml:space="preserve"> using the average years of education variable (ESC). </w:t>
      </w:r>
      <w:r w:rsidR="00AF6484" w:rsidRPr="00220A38">
        <w:t>Since an individual who has finished secondary school has also finished primary school, it can be stated that</w:t>
      </w:r>
    </w:p>
    <w:p w:rsidR="001E1F7B" w:rsidRPr="00220A38" w:rsidRDefault="00AF6484" w:rsidP="00142112">
      <w:pPr>
        <w:spacing w:line="360" w:lineRule="auto"/>
        <w:jc w:val="both"/>
      </w:pPr>
      <w:r w:rsidRPr="00220A38">
        <w:lastRenderedPageBreak/>
        <w:t xml:space="preserve">(3.5)  </w:t>
      </w:r>
      <w:r w:rsidRPr="00220A38">
        <w:tab/>
      </w:r>
      <w:r w:rsidRPr="00220A38">
        <w:tab/>
      </w:r>
      <w:r w:rsidRPr="00220A38">
        <w:tab/>
        <w:t xml:space="preserve">   </w:t>
      </w:r>
      <m:oMath>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0,  </m:t>
            </m:r>
          </m:sub>
        </m:sSub>
        <m:r>
          <w:rPr>
            <w:rFonts w:ascii="Cambria Math" w:eastAsiaTheme="minorEastAsia" w:hAnsi="Cambria Math"/>
          </w:rPr>
          <m:t xml:space="preserve">   </m:t>
        </m:r>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  </m:t>
        </m:r>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acc>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sidRPr="00220A38">
        <w:rPr>
          <w:rFonts w:eastAsiaTheme="minorEastAsia"/>
        </w:rPr>
        <w:t>.</w:t>
      </w:r>
    </w:p>
    <w:p w:rsidR="001A3267" w:rsidRPr="00220A38" w:rsidRDefault="001A3267" w:rsidP="00142112">
      <w:pPr>
        <w:spacing w:line="360" w:lineRule="auto"/>
        <w:jc w:val="both"/>
        <w:rPr>
          <w:rFonts w:eastAsiaTheme="minorEastAsia"/>
        </w:rPr>
      </w:pPr>
      <w:r w:rsidRPr="00220A38">
        <w:rPr>
          <w:rFonts w:eastAsiaTheme="minorEastAsia"/>
        </w:rPr>
        <w:t>Combining (3.4) and (3.5)</w:t>
      </w:r>
      <w:r w:rsidR="00242BD0" w:rsidRPr="00220A38">
        <w:rPr>
          <w:rFonts w:eastAsiaTheme="minorEastAsia"/>
        </w:rPr>
        <w:t xml:space="preserve"> and rewriting </w:t>
      </w:r>
      <w:r w:rsidRPr="00220A38">
        <w:rPr>
          <w:rFonts w:eastAsiaTheme="minorEastAsia"/>
        </w:rPr>
        <w:t xml:space="preserve">gives the final expression </w:t>
      </w:r>
      <w:r w:rsidR="00242BD0" w:rsidRPr="00220A38">
        <w:rPr>
          <w:rFonts w:eastAsiaTheme="minorEastAsia"/>
        </w:rPr>
        <w:t>used:</w:t>
      </w:r>
    </w:p>
    <w:p w:rsidR="000128F2" w:rsidRPr="00D334FB" w:rsidRDefault="003F2042" w:rsidP="00D334FB">
      <w:pPr>
        <w:spacing w:line="360" w:lineRule="auto"/>
        <w:jc w:val="both"/>
        <w:rPr>
          <w:rFonts w:eastAsiaTheme="minorEastAsia"/>
        </w:rPr>
      </w:pPr>
      <w:r w:rsidRPr="00220A38">
        <w:t>(3.</w:t>
      </w:r>
      <w:r w:rsidR="00973528">
        <w:t>6</w:t>
      </w:r>
      <w:r w:rsidR="00D33490" w:rsidRPr="00220A38">
        <w:t>)</w:t>
      </w:r>
      <w:r w:rsidR="00D33490" w:rsidRPr="00220A38">
        <w:tab/>
      </w:r>
      <w:r w:rsidR="00D33490" w:rsidRPr="00220A38">
        <w:tab/>
      </w:r>
      <w:r w:rsidR="00E90949" w:rsidRPr="00220A38">
        <w:tab/>
      </w:r>
      <m:oMath>
        <m:sSub>
          <m:sSubPr>
            <m:ctrlPr>
              <w:rPr>
                <w:rFonts w:ascii="Cambria Math" w:hAnsi="Cambria Math"/>
                <w:i/>
              </w:rPr>
            </m:ctrlPr>
          </m:sSubPr>
          <m:e>
            <m:r>
              <w:rPr>
                <w:rFonts w:ascii="Cambria Math" w:hAnsi="Cambria Math"/>
              </w:rPr>
              <m:t>G</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num>
          <m:den>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den>
        </m:f>
      </m:oMath>
      <w:r w:rsidR="00D33490" w:rsidRPr="00220A38">
        <w:rPr>
          <w:rFonts w:eastAsiaTheme="minorEastAsia"/>
        </w:rPr>
        <w:t xml:space="preserve"> ,</w:t>
      </w:r>
    </w:p>
    <w:p w:rsidR="00963182" w:rsidRDefault="00683F34" w:rsidP="00142112">
      <w:pPr>
        <w:spacing w:line="360" w:lineRule="auto"/>
        <w:jc w:val="both"/>
        <w:rPr>
          <w:sz w:val="24"/>
          <w:szCs w:val="24"/>
        </w:rPr>
      </w:pPr>
      <w:r w:rsidRPr="00220A38">
        <w:t xml:space="preserve">As a measure of economic development, </w:t>
      </w:r>
      <w:r w:rsidR="003C772A">
        <w:t xml:space="preserve">both the mean income per region computed from the </w:t>
      </w:r>
      <w:r w:rsidR="00CF2E4F">
        <w:t>CASEN</w:t>
      </w:r>
      <w:r w:rsidR="003C772A">
        <w:t xml:space="preserve"> survey as </w:t>
      </w:r>
      <w:r w:rsidR="00CD091B" w:rsidRPr="00220A38">
        <w:t xml:space="preserve">the regional GDP per capita </w:t>
      </w:r>
      <w:r w:rsidRPr="00220A38">
        <w:t>is used (all in 2003 CLP$).</w:t>
      </w:r>
      <w:r w:rsidR="00D334FB">
        <w:t xml:space="preserve"> </w:t>
      </w:r>
      <w:r w:rsidRPr="00220A38">
        <w:t>Un</w:t>
      </w:r>
      <w:r w:rsidR="00EB1541" w:rsidRPr="00220A38">
        <w:t xml:space="preserve">fortunately, no data for the investment ratio </w:t>
      </w:r>
      <w:r w:rsidR="00665CC0" w:rsidRPr="00220A38">
        <w:t>or total private investment on a</w:t>
      </w:r>
      <w:r w:rsidR="00EB1541" w:rsidRPr="00220A38">
        <w:t xml:space="preserve"> regional level is available for all the years. Therefore I combine the data available on </w:t>
      </w:r>
      <w:r w:rsidR="00520A50">
        <w:t xml:space="preserve">regional </w:t>
      </w:r>
      <w:r w:rsidR="00EB1541" w:rsidRPr="00220A38">
        <w:t xml:space="preserve">public investment and </w:t>
      </w:r>
      <w:r w:rsidR="00520A50">
        <w:t xml:space="preserve">regional </w:t>
      </w:r>
      <w:r w:rsidR="00EB1541" w:rsidRPr="00220A38">
        <w:t>FDI</w:t>
      </w:r>
      <w:r w:rsidR="00E1614A" w:rsidRPr="00220A38">
        <w:t xml:space="preserve"> to proxy for total</w:t>
      </w:r>
      <w:r w:rsidR="00520A50">
        <w:t xml:space="preserve"> regional</w:t>
      </w:r>
      <w:r w:rsidR="00E1614A" w:rsidRPr="00220A38">
        <w:t xml:space="preserve"> investment</w:t>
      </w:r>
      <w:r w:rsidR="00EB1541" w:rsidRPr="00220A38">
        <w:t xml:space="preserve">. The data on public regional investment come </w:t>
      </w:r>
      <w:r w:rsidR="00CD091B" w:rsidRPr="00220A38">
        <w:t>from the</w:t>
      </w:r>
      <w:r w:rsidR="00F33228" w:rsidRPr="00220A38">
        <w:t xml:space="preserve"> Chilean</w:t>
      </w:r>
      <w:r w:rsidR="00CD091B" w:rsidRPr="00220A38">
        <w:t xml:space="preserve"> Secretariat of Regional Development (Subsecretaria de Desarro</w:t>
      </w:r>
      <w:r w:rsidR="00EB1541" w:rsidRPr="00220A38">
        <w:t xml:space="preserve">llo Regional y Administrativo), as do the data on Regional GDP p/capita.  </w:t>
      </w:r>
      <w:r w:rsidR="00E2533D" w:rsidRPr="00220A38">
        <w:t>T</w:t>
      </w:r>
      <w:r w:rsidR="00EB1541" w:rsidRPr="00220A38">
        <w:t xml:space="preserve">he Foreign Investment Committee of the Chilean government </w:t>
      </w:r>
      <w:r w:rsidR="00E2533D" w:rsidRPr="00220A38">
        <w:t>(Comité de Inversiones Extranjeras) is the source for</w:t>
      </w:r>
      <w:r w:rsidR="00EB1541" w:rsidRPr="00220A38">
        <w:t xml:space="preserve"> data on FDI, </w:t>
      </w:r>
      <w:r w:rsidR="00E2533D" w:rsidRPr="00220A38">
        <w:t xml:space="preserve">and </w:t>
      </w:r>
      <w:r w:rsidR="00EB1541" w:rsidRPr="00220A38">
        <w:t xml:space="preserve">all </w:t>
      </w:r>
      <w:r w:rsidR="003C772A">
        <w:t>GDP</w:t>
      </w:r>
      <w:r w:rsidR="00E2533D" w:rsidRPr="00220A38">
        <w:t xml:space="preserve"> and investment variables are measured in 2003 Chilean p</w:t>
      </w:r>
      <w:r w:rsidR="00EB1541" w:rsidRPr="00220A38">
        <w:t xml:space="preserve">esos. </w:t>
      </w:r>
      <w:r w:rsidR="00FB023E" w:rsidRPr="00220A38">
        <w:t>Unemployment data come</w:t>
      </w:r>
      <w:r w:rsidR="00E1614A" w:rsidRPr="00220A38">
        <w:t xml:space="preserve"> from the Chilean Central Bank.</w:t>
      </w:r>
      <w:r w:rsidR="00FB023E" w:rsidRPr="00220A38">
        <w:rPr>
          <w:sz w:val="24"/>
          <w:szCs w:val="24"/>
        </w:rPr>
        <w:t xml:space="preserve"> </w:t>
      </w:r>
      <w:r w:rsidR="003C772A" w:rsidRPr="00515E65">
        <w:t xml:space="preserve">Urbanisation rates are computed by using the share of population stated as living in urban areas according to the </w:t>
      </w:r>
      <w:r w:rsidR="00CF2E4F">
        <w:t>CASEN</w:t>
      </w:r>
      <w:r w:rsidR="003C772A" w:rsidRPr="00515E65">
        <w:t xml:space="preserve"> survey</w:t>
      </w:r>
      <w:r w:rsidR="003C772A">
        <w:rPr>
          <w:sz w:val="24"/>
          <w:szCs w:val="24"/>
        </w:rPr>
        <w:t>.</w:t>
      </w:r>
    </w:p>
    <w:p w:rsidR="00AC3934" w:rsidRPr="00220A38" w:rsidRDefault="00AC3934" w:rsidP="00142112">
      <w:pPr>
        <w:spacing w:line="360" w:lineRule="auto"/>
        <w:jc w:val="both"/>
      </w:pPr>
    </w:p>
    <w:p w:rsidR="004154A9" w:rsidRPr="00515E65" w:rsidRDefault="00F23C91" w:rsidP="00515E65">
      <w:pPr>
        <w:pStyle w:val="ListParagraph"/>
        <w:numPr>
          <w:ilvl w:val="0"/>
          <w:numId w:val="28"/>
        </w:numPr>
        <w:spacing w:line="360" w:lineRule="auto"/>
        <w:jc w:val="both"/>
        <w:rPr>
          <w:b/>
        </w:rPr>
      </w:pPr>
      <w:r w:rsidRPr="00515E65">
        <w:rPr>
          <w:b/>
        </w:rPr>
        <w:t>Preliminary Analysis of the Data</w:t>
      </w:r>
    </w:p>
    <w:p w:rsidR="00F23C91" w:rsidRPr="00220A38" w:rsidRDefault="008E0EB3" w:rsidP="00F23C91">
      <w:pPr>
        <w:spacing w:line="360" w:lineRule="auto"/>
        <w:jc w:val="both"/>
      </w:pPr>
      <w:r w:rsidRPr="00220A38">
        <w:t>To analyze economic growth and the income distribution in Chilean regions in the relevant period (1990-2009), I will start with an overall view of Chile’s economic perfo</w:t>
      </w:r>
      <w:r w:rsidR="00F23C91" w:rsidRPr="00220A38">
        <w:t xml:space="preserve">rmance in the last two decades, focusing on the national trends during the relevant period in section 4.1. Section 4.2 continues with an analysis at the regional level. </w:t>
      </w:r>
    </w:p>
    <w:p w:rsidR="008E0EB3" w:rsidRPr="00220A38" w:rsidRDefault="00F23C91" w:rsidP="00F23C91">
      <w:pPr>
        <w:spacing w:line="360" w:lineRule="auto"/>
        <w:ind w:firstLine="720"/>
        <w:jc w:val="both"/>
        <w:rPr>
          <w:b/>
        </w:rPr>
      </w:pPr>
      <w:r w:rsidRPr="00220A38">
        <w:rPr>
          <w:b/>
        </w:rPr>
        <w:t xml:space="preserve">4.1. </w:t>
      </w:r>
      <w:r w:rsidR="008E0EB3" w:rsidRPr="00220A38">
        <w:rPr>
          <w:b/>
        </w:rPr>
        <w:t xml:space="preserve">Chile: </w:t>
      </w:r>
      <w:r w:rsidR="00520A50">
        <w:rPr>
          <w:b/>
        </w:rPr>
        <w:t>H</w:t>
      </w:r>
      <w:r w:rsidR="008E0EB3" w:rsidRPr="00220A38">
        <w:rPr>
          <w:b/>
        </w:rPr>
        <w:t xml:space="preserve">igh </w:t>
      </w:r>
      <w:r w:rsidR="00520A50">
        <w:rPr>
          <w:b/>
        </w:rPr>
        <w:t>G</w:t>
      </w:r>
      <w:r w:rsidR="008E0EB3" w:rsidRPr="00220A38">
        <w:rPr>
          <w:b/>
        </w:rPr>
        <w:t xml:space="preserve">rowth and </w:t>
      </w:r>
      <w:r w:rsidR="00520A50">
        <w:rPr>
          <w:b/>
        </w:rPr>
        <w:t>P</w:t>
      </w:r>
      <w:r w:rsidR="008E0EB3" w:rsidRPr="00220A38">
        <w:rPr>
          <w:b/>
        </w:rPr>
        <w:t xml:space="preserve">ersistent </w:t>
      </w:r>
      <w:r w:rsidR="00520A50">
        <w:rPr>
          <w:b/>
        </w:rPr>
        <w:t>I</w:t>
      </w:r>
      <w:r w:rsidR="008E0EB3" w:rsidRPr="00220A38">
        <w:rPr>
          <w:b/>
        </w:rPr>
        <w:t>nequality</w:t>
      </w:r>
    </w:p>
    <w:p w:rsidR="00EE4719" w:rsidRPr="00220A38" w:rsidRDefault="0052491C" w:rsidP="00142112">
      <w:pPr>
        <w:spacing w:line="360" w:lineRule="auto"/>
        <w:jc w:val="both"/>
      </w:pPr>
      <w:r w:rsidRPr="00220A38">
        <w:t>Chile has experienced high economic growth during the last two decades, w</w:t>
      </w:r>
      <w:r w:rsidR="00B92D7C" w:rsidRPr="00220A38">
        <w:t>ith GDP per capita almost doubling from</w:t>
      </w:r>
      <w:r w:rsidR="00EE4719" w:rsidRPr="00220A38">
        <w:t xml:space="preserve"> US2005</w:t>
      </w:r>
      <w:r w:rsidRPr="00220A38">
        <w:t xml:space="preserve"> </w:t>
      </w:r>
      <w:r w:rsidR="00B92D7C" w:rsidRPr="00220A38">
        <w:t>$6937</w:t>
      </w:r>
      <w:r w:rsidRPr="00220A38">
        <w:t xml:space="preserve"> in 199</w:t>
      </w:r>
      <w:r w:rsidR="00B92D7C" w:rsidRPr="00220A38">
        <w:t>0</w:t>
      </w:r>
      <w:r w:rsidRPr="00220A38">
        <w:t xml:space="preserve"> to US</w:t>
      </w:r>
      <w:r w:rsidR="00EE4719" w:rsidRPr="00220A38">
        <w:t xml:space="preserve">2005 </w:t>
      </w:r>
      <w:r w:rsidRPr="00220A38">
        <w:t>$</w:t>
      </w:r>
      <w:r w:rsidR="00B92D7C" w:rsidRPr="00220A38">
        <w:t>13.832</w:t>
      </w:r>
      <w:r w:rsidRPr="00220A38">
        <w:t xml:space="preserve"> in 2009, outperforming any other Latin-American country</w:t>
      </w:r>
      <w:r w:rsidR="00096F5A" w:rsidRPr="00220A38">
        <w:t xml:space="preserve"> in this period</w:t>
      </w:r>
      <w:r w:rsidR="00EE4719" w:rsidRPr="00220A38">
        <w:t xml:space="preserve"> (PPP GDP per capita, World Bank, 2012)</w:t>
      </w:r>
      <w:r w:rsidR="00B92D7C" w:rsidRPr="00220A38">
        <w:t xml:space="preserve">. </w:t>
      </w:r>
      <w:r w:rsidR="009D2071" w:rsidRPr="00220A38">
        <w:t>The foundation for this economic success has been an extensive reform program initiated in the mid 1970’s</w:t>
      </w:r>
      <w:r w:rsidR="00117DD1" w:rsidRPr="00220A38">
        <w:t xml:space="preserve"> by the military government led by Augusto Pinochet</w:t>
      </w:r>
      <w:r w:rsidR="009D2071" w:rsidRPr="00220A38">
        <w:t>. These reforms included market dereg</w:t>
      </w:r>
      <w:r w:rsidR="004F6EB8" w:rsidRPr="00220A38">
        <w:t xml:space="preserve">ulation, fiscal balance, exchange rate unification and </w:t>
      </w:r>
      <w:r w:rsidR="009D2071" w:rsidRPr="00220A38">
        <w:t>trade liberalization</w:t>
      </w:r>
      <w:r w:rsidR="004F6EB8" w:rsidRPr="00220A38">
        <w:t>.</w:t>
      </w:r>
      <w:r w:rsidR="00674711" w:rsidRPr="00220A38">
        <w:t xml:space="preserve"> </w:t>
      </w:r>
      <w:r w:rsidR="009D2071" w:rsidRPr="00220A38">
        <w:t xml:space="preserve">The fall of the Pinochet regime and the subsequent installment of a democratic government in 1990 did not put a halt on reforms. Public enterprises were privatized, labor markets deregulated and extensive social security reform has </w:t>
      </w:r>
      <w:r w:rsidR="00117DD1" w:rsidRPr="00220A38">
        <w:t>since</w:t>
      </w:r>
      <w:r w:rsidR="009D2071" w:rsidRPr="00220A38">
        <w:t xml:space="preserve"> taken place (Soto and Torche, 2004). </w:t>
      </w:r>
      <w:r w:rsidR="005D34B5" w:rsidRPr="00220A38">
        <w:t xml:space="preserve">Over the last three decades, </w:t>
      </w:r>
      <w:r w:rsidR="003927CE" w:rsidRPr="00220A38">
        <w:t>Chile has signed 59 bilateral or</w:t>
      </w:r>
      <w:r w:rsidR="005D34B5" w:rsidRPr="00220A38">
        <w:t xml:space="preserve"> regional trade-agreements with all major economies of the world. Chile</w:t>
      </w:r>
      <w:r w:rsidR="003927CE" w:rsidRPr="00220A38">
        <w:t>’s</w:t>
      </w:r>
      <w:r w:rsidR="005D34B5" w:rsidRPr="00220A38">
        <w:t xml:space="preserve"> focus on trade liberalization has had a big impact on the country’s economy: almost one third of its GDP come</w:t>
      </w:r>
      <w:r w:rsidR="003927CE" w:rsidRPr="00220A38">
        <w:t>s</w:t>
      </w:r>
      <w:r w:rsidR="005D34B5" w:rsidRPr="00220A38">
        <w:t xml:space="preserve"> from exports. </w:t>
      </w:r>
    </w:p>
    <w:p w:rsidR="00274FE5" w:rsidRDefault="00EE4719" w:rsidP="00142112">
      <w:pPr>
        <w:spacing w:line="360" w:lineRule="auto"/>
        <w:jc w:val="both"/>
      </w:pPr>
      <w:r w:rsidRPr="00220A38">
        <w:lastRenderedPageBreak/>
        <w:t xml:space="preserve">In the period </w:t>
      </w:r>
      <w:r w:rsidR="007256EA" w:rsidRPr="00220A38">
        <w:t>1991</w:t>
      </w:r>
      <w:r w:rsidR="0072506C" w:rsidRPr="00220A38">
        <w:t>-1998, GDP per capita growth averaged at 6.4% annually, but the Asian financial crisis hit the open economy hard, causing negative GDP per capita growth in 1999 and slow growth afterwards</w:t>
      </w:r>
      <w:r w:rsidR="00416C47" w:rsidRPr="00220A38">
        <w:t>, as depicted in figure 4.1</w:t>
      </w:r>
      <w:r w:rsidR="0072506C" w:rsidRPr="00220A38">
        <w:t>. From 2004-2008, GDP growth averaged almost at around 4%</w:t>
      </w:r>
      <w:r w:rsidR="00674711" w:rsidRPr="00220A38">
        <w:t>, fuelled by the commodity price boom</w:t>
      </w:r>
      <w:r w:rsidR="0072506C" w:rsidRPr="00220A38">
        <w:t xml:space="preserve">. </w:t>
      </w:r>
    </w:p>
    <w:p w:rsidR="00515E65" w:rsidRDefault="008E0384" w:rsidP="00142112">
      <w:pPr>
        <w:spacing w:line="360" w:lineRule="auto"/>
        <w:jc w:val="both"/>
      </w:pPr>
      <w:r w:rsidRPr="00220A38">
        <w:t>Poverty reduction in Chile has been immense in the 1990’s. Moderate poverty decreased from 38.6 to 20.6 percen</w:t>
      </w:r>
      <w:r>
        <w:t>t</w:t>
      </w:r>
      <w:r w:rsidRPr="00220A38">
        <w:t xml:space="preserve"> while extreme poverty fell from 12.9 to 5.7 (Pizzolito, 2005), but levels of inequality have stayed roughly the same, causing social unrest and massive demonstrations in its capital Santiago</w:t>
      </w:r>
      <w:r w:rsidRPr="008E0384">
        <w:t xml:space="preserve"> </w:t>
      </w:r>
      <w:r w:rsidRPr="00220A38">
        <w:t>in 2006, 2009, 2011 and earlier this year. Its colonial past has given it relatively high income-</w:t>
      </w:r>
    </w:p>
    <w:p w:rsidR="000B385E" w:rsidRPr="00220A38" w:rsidRDefault="00C602BD" w:rsidP="00142112">
      <w:pPr>
        <w:spacing w:line="240" w:lineRule="auto"/>
        <w:jc w:val="both"/>
        <w:rPr>
          <w:i/>
        </w:rPr>
      </w:pPr>
      <w:proofErr w:type="gramStart"/>
      <w:r w:rsidRPr="00220A38">
        <w:rPr>
          <w:i/>
        </w:rPr>
        <w:t>Figure 4</w:t>
      </w:r>
      <w:r w:rsidR="000B385E" w:rsidRPr="00220A38">
        <w:rPr>
          <w:i/>
        </w:rPr>
        <w:t>.1</w:t>
      </w:r>
      <w:r w:rsidR="008E0384">
        <w:rPr>
          <w:i/>
        </w:rPr>
        <w:t>.</w:t>
      </w:r>
      <w:proofErr w:type="gramEnd"/>
      <w:r w:rsidR="00515E65">
        <w:rPr>
          <w:i/>
        </w:rPr>
        <w:t xml:space="preserve"> The Chilean economy during 1990-2009</w:t>
      </w:r>
    </w:p>
    <w:p w:rsidR="008D0F03" w:rsidRPr="00220A38" w:rsidRDefault="005E7197" w:rsidP="00142112">
      <w:pPr>
        <w:spacing w:line="360" w:lineRule="auto"/>
        <w:jc w:val="both"/>
      </w:pPr>
      <w:r w:rsidRPr="00220A38">
        <w:rPr>
          <w:noProof/>
        </w:rPr>
        <w:drawing>
          <wp:inline distT="0" distB="0" distL="0" distR="0" wp14:anchorId="75D4D382" wp14:editId="00C30895">
            <wp:extent cx="5734050" cy="20383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D0F03" w:rsidRPr="00220A38">
        <w:rPr>
          <w:noProof/>
        </w:rPr>
        <mc:AlternateContent>
          <mc:Choice Requires="wps">
            <w:drawing>
              <wp:anchor distT="0" distB="0" distL="114300" distR="114300" simplePos="0" relativeHeight="251659264" behindDoc="0" locked="0" layoutInCell="1" allowOverlap="1" wp14:anchorId="552CF440" wp14:editId="38A316F7">
                <wp:simplePos x="0" y="0"/>
                <wp:positionH relativeFrom="column">
                  <wp:posOffset>224155</wp:posOffset>
                </wp:positionH>
                <wp:positionV relativeFrom="paragraph">
                  <wp:posOffset>2044700</wp:posOffset>
                </wp:positionV>
                <wp:extent cx="5219700" cy="514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21970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44C7" w:rsidRPr="00016873" w:rsidRDefault="00B044C7" w:rsidP="008D0F03">
                            <w:pPr>
                              <w:pStyle w:val="NoSpacing"/>
                              <w:rPr>
                                <w:sz w:val="18"/>
                                <w:szCs w:val="18"/>
                              </w:rPr>
                            </w:pPr>
                            <w:r w:rsidRPr="00016873">
                              <w:rPr>
                                <w:sz w:val="18"/>
                                <w:szCs w:val="18"/>
                              </w:rPr>
                              <w:t xml:space="preserve">Source: Banco Central de Chile, CASEN 1990-2009 household surveys. Note:  Real GDP per capita growth rate, constant 2003 prices; </w:t>
                            </w:r>
                            <w:r>
                              <w:rPr>
                                <w:sz w:val="18"/>
                                <w:szCs w:val="18"/>
                              </w:rPr>
                              <w:t>Gini</w:t>
                            </w:r>
                            <w:r w:rsidRPr="00016873">
                              <w:rPr>
                                <w:sz w:val="18"/>
                                <w:szCs w:val="18"/>
                              </w:rPr>
                              <w:t>-coeffecient, calculated for available years in CASEN survey, interpolated for other years.</w:t>
                            </w:r>
                          </w:p>
                          <w:p w:rsidR="00B044C7" w:rsidRDefault="00B044C7" w:rsidP="008D0F03">
                            <w:pPr>
                              <w:pStyle w:val="NoSpacing"/>
                            </w:pPr>
                          </w:p>
                          <w:p w:rsidR="00B044C7" w:rsidRPr="000A433A" w:rsidRDefault="00B044C7" w:rsidP="000A433A">
                            <w:pPr>
                              <w:spacing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5pt;margin-top:161pt;width:411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TfAIAAGIFAAAOAAAAZHJzL2Uyb0RvYy54bWysVFFPGzEMfp+0/xDlfVzbtTAqrqgDMU1C&#10;gAYTz2kuoaclcZa4vet+PU7urnRsL0x7uXPsz4792c7ZeWsN26oQa3AlHx+NOFNOQlW7p5J/f7j6&#10;8ImziMJVwoBTJd+pyM8X79+dNX6uJrAGU6nAKIiL88aXfI3o50UR5VpZEY/AK0dGDcEKpGN4Kqog&#10;GopuTTEZjY6LBkLlA0gVI2kvOyNf5PhaK4m3WkeFzJSccsP8Dfm7St9icSbmT0H4dS37NMQ/ZGFF&#10;7ejSfahLgYJtQv1HKFvLABE0HkmwBWhdS5VroGrGo1fV3K+FV7kWIif6PU3x/4WVN9u7wOqq5DPO&#10;nLDUogfVIvsMLZsldhof5wS69wTDltTU5UEfSZmKbnWw6U/lMLITz7s9tymYJOVsMj49GZFJkm02&#10;nn6cZfKLF28fIn5RYFkSSh6od5lSsb2OSJkQdICkyxxc1cbk/hnHmpIfp5C/WcjDuKRReRL6MKmi&#10;LvMs4c6ohDHum9LERC4gKfIMqgsT2FbQ9AgplcNce45L6ITSlMRbHHv8S1Zvce7qGG4Gh3tnWzsI&#10;ufpXaVc/hpR1hyciD+pOIrartu/0CqodNTpAtyjRy6uaunEtIt6JQJtBDaRtx1v6aAPEOvQSZ2sI&#10;v/6mT3gaWLJy1tCmlTz+3IigODNfHY3y6Xg6TauZD9PZyYQO4dCyOrS4jb0AaseY3hUvs5jwaAZR&#10;B7CP9Cgs061kEk7S3SXHQbzAbv/pUZFqucwgWkYv8Nrde5lCp+6kWXtoH0Xw/UAijfINDDsp5q/m&#10;ssMmTwfLDYKu89AmgjtWe+JpkfMs949OeikOzxn18jQungEAAP//AwBQSwMEFAAGAAgAAAAhAJpY&#10;097hAAAACgEAAA8AAABkcnMvZG93bnJldi54bWxMj81OwzAQhO9IvIO1SNyoTUIgSuNUVaQKCcGh&#10;pRdum9hNovonxG4beHqWE5xWuzOa/aZczdaws57C4J2E+4UApl3r1eA6Cfv3zV0OLER0Co13WsKX&#10;DrCqrq9KLJS/uK0+72LHKMSFAiX0MY4F56HttcWw8KN2pB38ZDHSOnVcTXihcGt4IsQjtzg4+tDj&#10;qOtet8fdyUp4qTdvuG0Sm3+b+vn1sB4/9x+ZlLc383oJLOo5/pnhF5/QoSKmxp+cCsxISLOUnDST&#10;hDqRIc+e6NJIeBCpAF6V/H+F6gcAAP//AwBQSwECLQAUAAYACAAAACEAtoM4kv4AAADhAQAAEwAA&#10;AAAAAAAAAAAAAAAAAAAAW0NvbnRlbnRfVHlwZXNdLnhtbFBLAQItABQABgAIAAAAIQA4/SH/1gAA&#10;AJQBAAALAAAAAAAAAAAAAAAAAC8BAABfcmVscy8ucmVsc1BLAQItABQABgAIAAAAIQCCO+GTfAIA&#10;AGIFAAAOAAAAAAAAAAAAAAAAAC4CAABkcnMvZTJvRG9jLnhtbFBLAQItABQABgAIAAAAIQCaWNPe&#10;4QAAAAoBAAAPAAAAAAAAAAAAAAAAANYEAABkcnMvZG93bnJldi54bWxQSwUGAAAAAAQABADzAAAA&#10;5AUAAAAA&#10;" filled="f" stroked="f" strokeweight=".5pt">
                <v:textbox>
                  <w:txbxContent>
                    <w:p w:rsidR="00B044C7" w:rsidRPr="00016873" w:rsidRDefault="00B044C7" w:rsidP="008D0F03">
                      <w:pPr>
                        <w:pStyle w:val="NoSpacing"/>
                        <w:rPr>
                          <w:sz w:val="18"/>
                          <w:szCs w:val="18"/>
                        </w:rPr>
                      </w:pPr>
                      <w:r w:rsidRPr="00016873">
                        <w:rPr>
                          <w:sz w:val="18"/>
                          <w:szCs w:val="18"/>
                        </w:rPr>
                        <w:t xml:space="preserve">Source: </w:t>
                      </w:r>
                      <w:proofErr w:type="spellStart"/>
                      <w:r w:rsidRPr="00016873">
                        <w:rPr>
                          <w:sz w:val="18"/>
                          <w:szCs w:val="18"/>
                        </w:rPr>
                        <w:t>Banco</w:t>
                      </w:r>
                      <w:proofErr w:type="spellEnd"/>
                      <w:r w:rsidRPr="00016873">
                        <w:rPr>
                          <w:sz w:val="18"/>
                          <w:szCs w:val="18"/>
                        </w:rPr>
                        <w:t xml:space="preserve"> Central de Chile, CASEN 1990-2009 household surveys. Note:  Real GDP per capita growth rate, constant 2003 prices; </w:t>
                      </w:r>
                      <w:proofErr w:type="spellStart"/>
                      <w:r>
                        <w:rPr>
                          <w:sz w:val="18"/>
                          <w:szCs w:val="18"/>
                        </w:rPr>
                        <w:t>Gini</w:t>
                      </w:r>
                      <w:r w:rsidRPr="00016873">
                        <w:rPr>
                          <w:sz w:val="18"/>
                          <w:szCs w:val="18"/>
                        </w:rPr>
                        <w:t>-coeffecient</w:t>
                      </w:r>
                      <w:proofErr w:type="spellEnd"/>
                      <w:r w:rsidRPr="00016873">
                        <w:rPr>
                          <w:sz w:val="18"/>
                          <w:szCs w:val="18"/>
                        </w:rPr>
                        <w:t>, calculated for available years in CASEN survey, interpolated for other years.</w:t>
                      </w:r>
                    </w:p>
                    <w:p w:rsidR="00B044C7" w:rsidRDefault="00B044C7" w:rsidP="008D0F03">
                      <w:pPr>
                        <w:pStyle w:val="NoSpacing"/>
                      </w:pPr>
                    </w:p>
                    <w:p w:rsidR="00B044C7" w:rsidRPr="000A433A" w:rsidRDefault="00B044C7" w:rsidP="000A433A">
                      <w:pPr>
                        <w:spacing w:line="240" w:lineRule="auto"/>
                        <w:rPr>
                          <w:sz w:val="16"/>
                          <w:szCs w:val="16"/>
                        </w:rPr>
                      </w:pPr>
                    </w:p>
                  </w:txbxContent>
                </v:textbox>
              </v:shape>
            </w:pict>
          </mc:Fallback>
        </mc:AlternateContent>
      </w:r>
    </w:p>
    <w:p w:rsidR="00826F71" w:rsidRDefault="00826F71" w:rsidP="00142112">
      <w:pPr>
        <w:spacing w:line="360" w:lineRule="auto"/>
        <w:jc w:val="both"/>
      </w:pPr>
    </w:p>
    <w:p w:rsidR="003C772A" w:rsidRDefault="0052491C" w:rsidP="00142112">
      <w:pPr>
        <w:spacing w:line="360" w:lineRule="auto"/>
        <w:jc w:val="both"/>
      </w:pPr>
      <w:proofErr w:type="gramStart"/>
      <w:r w:rsidRPr="00220A38">
        <w:t>inequality</w:t>
      </w:r>
      <w:proofErr w:type="gramEnd"/>
      <w:r w:rsidRPr="00220A38">
        <w:t xml:space="preserve"> levels as it has done with the whole region: 10 out of the 15 most unequal countries in the world are situated in Latin-America</w:t>
      </w:r>
      <w:r w:rsidR="00274FE5" w:rsidRPr="00220A38">
        <w:rPr>
          <w:rStyle w:val="FootnoteReference"/>
        </w:rPr>
        <w:t xml:space="preserve"> </w:t>
      </w:r>
      <w:r w:rsidR="00274FE5" w:rsidRPr="00220A38">
        <w:t xml:space="preserve">(UNDP, 2010). </w:t>
      </w:r>
      <w:r w:rsidRPr="00220A38">
        <w:t>But as other Latin-American economies grew, their inequality levels declined, while Chile’s remained relatively stable</w:t>
      </w:r>
      <w:r w:rsidR="003C772A">
        <w:t>, showing only a drop after 2004 in figure 4.1.</w:t>
      </w:r>
      <w:r w:rsidR="00274FE5" w:rsidRPr="00220A38">
        <w:t xml:space="preserve"> </w:t>
      </w:r>
      <w:r w:rsidRPr="00220A38">
        <w:t xml:space="preserve">Possible explanations for this prolonged inequality lie in the low level of migration, uneven returns to education, foreign competition in labor-intensive goods, an increase in labor-participation by women and increasing reliance on seasonal contract labor (Agostini and Brown, 2010). </w:t>
      </w:r>
      <w:r w:rsidR="000567CD" w:rsidRPr="00220A38">
        <w:t>Policies implemented by the Chilean government to reduce poverty have been quite successful but have also had negative effects. For example, housing subsidies have effectively reduced poverty, but have also caused citizens to stick to their place of origin instead of moving to more productive areas with higher wages (Soto and Torche, 2004). Studies conducted by Contreras (2001, 2003) show that poverty reduction has been evident in Chile, but that income inequality failed to decline, suggesting a larger middle-income class and a larger high-income class.</w:t>
      </w:r>
      <w:r w:rsidR="003C772A">
        <w:t xml:space="preserve"> </w:t>
      </w:r>
      <w:r w:rsidR="000567CD" w:rsidRPr="00220A38">
        <w:t xml:space="preserve"> </w:t>
      </w:r>
    </w:p>
    <w:p w:rsidR="00F55979" w:rsidRDefault="00F55979" w:rsidP="00142112">
      <w:pPr>
        <w:spacing w:line="360" w:lineRule="auto"/>
        <w:jc w:val="both"/>
      </w:pPr>
      <w:r>
        <w:t xml:space="preserve">When we take a first look on our data at the national level, a number of trends are clear. </w:t>
      </w:r>
      <w:proofErr w:type="gramStart"/>
      <w:r>
        <w:t xml:space="preserve">Table </w:t>
      </w:r>
      <w:r w:rsidR="00705D9B">
        <w:t>4.1 show</w:t>
      </w:r>
      <w:proofErr w:type="gramEnd"/>
      <w:r w:rsidR="00705D9B">
        <w:t xml:space="preserve"> the levels of different variables at the national level for selected years. The slow growth </w:t>
      </w:r>
      <w:r w:rsidR="004421AE">
        <w:t>surrounding</w:t>
      </w:r>
      <w:r w:rsidR="00705D9B">
        <w:t xml:space="preserve"> the millennium</w:t>
      </w:r>
      <w:r w:rsidR="004421AE">
        <w:t xml:space="preserve">, visible from figure 4.1 </w:t>
      </w:r>
      <w:r w:rsidR="00705D9B">
        <w:t xml:space="preserve">is </w:t>
      </w:r>
      <w:r w:rsidR="004421AE">
        <w:t xml:space="preserve">also </w:t>
      </w:r>
      <w:r w:rsidR="00705D9B">
        <w:t xml:space="preserve">clear from both GDP p/capita data as the </w:t>
      </w:r>
      <w:r w:rsidR="00705D9B">
        <w:lastRenderedPageBreak/>
        <w:t xml:space="preserve">mean income </w:t>
      </w:r>
      <w:r w:rsidR="00257C41">
        <w:t>(comparing</w:t>
      </w:r>
      <w:r w:rsidR="00705D9B">
        <w:t xml:space="preserve"> 1998 and 2003</w:t>
      </w:r>
      <w:r w:rsidR="00257C41">
        <w:t xml:space="preserve"> levels), as is the surge in unemployment resulting afterwards and the permanent decline in investment rate. In contrast with the assumptions of the Kuznets model, mean income levels lie higher in rural areas than in urban areas</w:t>
      </w:r>
      <w:r w:rsidR="00257C41">
        <w:rPr>
          <w:rStyle w:val="FootnoteReference"/>
        </w:rPr>
        <w:footnoteReference w:id="17"/>
      </w:r>
      <w:r w:rsidR="00257C41">
        <w:t xml:space="preserve">. The income on the countryside does </w:t>
      </w:r>
      <w:r w:rsidR="004421AE">
        <w:t>seem</w:t>
      </w:r>
      <w:r w:rsidR="00257C41">
        <w:t xml:space="preserve"> to be more evenly divided across the population, with </w:t>
      </w:r>
      <w:r w:rsidR="0039413B">
        <w:t>Gini</w:t>
      </w:r>
      <w:r w:rsidR="00257C41">
        <w:t xml:space="preserve"> levels lower in rural areas than in urban areas for all years except 1990. At the aggregated national level, inequality levels show a persistently high character with a drop after 2003 with a similar pattern when only comparing the rural or urban income distribution.  </w:t>
      </w:r>
      <w:r w:rsidR="004421AE">
        <w:t>The P9</w:t>
      </w:r>
      <w:r w:rsidR="007508AA">
        <w:t>0/75 and P50/10 ratios lead to</w:t>
      </w:r>
      <w:r w:rsidR="004421AE">
        <w:t xml:space="preserve"> similar conclusions.</w:t>
      </w:r>
    </w:p>
    <w:p w:rsidR="00705D9B" w:rsidRPr="00962E90" w:rsidRDefault="008E0384" w:rsidP="00B22442">
      <w:pPr>
        <w:spacing w:line="240" w:lineRule="auto"/>
        <w:jc w:val="both"/>
        <w:rPr>
          <w:i/>
        </w:rPr>
      </w:pPr>
      <w:proofErr w:type="gramStart"/>
      <w:r>
        <w:rPr>
          <w:i/>
        </w:rPr>
        <w:t>Table 4.1.</w:t>
      </w:r>
      <w:proofErr w:type="gramEnd"/>
      <w:r>
        <w:rPr>
          <w:i/>
        </w:rPr>
        <w:t xml:space="preserve"> </w:t>
      </w:r>
      <w:r w:rsidR="00515E65">
        <w:rPr>
          <w:i/>
        </w:rPr>
        <w:t>Summary of national variables</w:t>
      </w:r>
    </w:p>
    <w:tbl>
      <w:tblPr>
        <w:tblW w:w="8020" w:type="dxa"/>
        <w:tblInd w:w="93" w:type="dxa"/>
        <w:tblLook w:val="04A0" w:firstRow="1" w:lastRow="0" w:firstColumn="1" w:lastColumn="0" w:noHBand="0" w:noVBand="1"/>
      </w:tblPr>
      <w:tblGrid>
        <w:gridCol w:w="2620"/>
        <w:gridCol w:w="1100"/>
        <w:gridCol w:w="1016"/>
        <w:gridCol w:w="1100"/>
        <w:gridCol w:w="1100"/>
        <w:gridCol w:w="1100"/>
      </w:tblGrid>
      <w:tr w:rsidR="008728B3" w:rsidRPr="008728B3" w:rsidTr="008728B3">
        <w:trPr>
          <w:trHeight w:val="300"/>
        </w:trPr>
        <w:tc>
          <w:tcPr>
            <w:tcW w:w="262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rPr>
                <w:rFonts w:eastAsia="Times New Roman"/>
                <w:b/>
                <w:bCs/>
                <w:color w:val="000000"/>
                <w:sz w:val="20"/>
                <w:szCs w:val="20"/>
              </w:rPr>
            </w:pPr>
            <w:r w:rsidRPr="008728B3">
              <w:rPr>
                <w:rFonts w:eastAsia="Times New Roman"/>
                <w:b/>
                <w:bCs/>
                <w:color w:val="000000"/>
                <w:sz w:val="20"/>
                <w:szCs w:val="20"/>
              </w:rPr>
              <w:t>Variable, National level</w:t>
            </w:r>
          </w:p>
        </w:tc>
        <w:tc>
          <w:tcPr>
            <w:tcW w:w="110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jc w:val="center"/>
              <w:rPr>
                <w:rFonts w:eastAsia="Times New Roman"/>
                <w:b/>
                <w:bCs/>
                <w:color w:val="000000"/>
                <w:sz w:val="20"/>
                <w:szCs w:val="20"/>
              </w:rPr>
            </w:pPr>
            <w:r w:rsidRPr="008728B3">
              <w:rPr>
                <w:rFonts w:eastAsia="Times New Roman"/>
                <w:b/>
                <w:bCs/>
                <w:color w:val="000000"/>
                <w:sz w:val="20"/>
                <w:szCs w:val="20"/>
              </w:rPr>
              <w:t>1990</w:t>
            </w:r>
          </w:p>
        </w:tc>
        <w:tc>
          <w:tcPr>
            <w:tcW w:w="100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jc w:val="center"/>
              <w:rPr>
                <w:rFonts w:eastAsia="Times New Roman"/>
                <w:b/>
                <w:bCs/>
                <w:color w:val="000000"/>
                <w:sz w:val="20"/>
                <w:szCs w:val="20"/>
              </w:rPr>
            </w:pPr>
            <w:r w:rsidRPr="008728B3">
              <w:rPr>
                <w:rFonts w:eastAsia="Times New Roman"/>
                <w:b/>
                <w:bCs/>
                <w:color w:val="000000"/>
                <w:sz w:val="20"/>
                <w:szCs w:val="20"/>
              </w:rPr>
              <w:t>1994</w:t>
            </w:r>
          </w:p>
        </w:tc>
        <w:tc>
          <w:tcPr>
            <w:tcW w:w="110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jc w:val="center"/>
              <w:rPr>
                <w:rFonts w:eastAsia="Times New Roman"/>
                <w:b/>
                <w:bCs/>
                <w:color w:val="000000"/>
                <w:sz w:val="20"/>
                <w:szCs w:val="20"/>
              </w:rPr>
            </w:pPr>
            <w:r w:rsidRPr="008728B3">
              <w:rPr>
                <w:rFonts w:eastAsia="Times New Roman"/>
                <w:b/>
                <w:bCs/>
                <w:color w:val="000000"/>
                <w:sz w:val="20"/>
                <w:szCs w:val="20"/>
              </w:rPr>
              <w:t>1998</w:t>
            </w:r>
          </w:p>
        </w:tc>
        <w:tc>
          <w:tcPr>
            <w:tcW w:w="110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jc w:val="center"/>
              <w:rPr>
                <w:rFonts w:eastAsia="Times New Roman"/>
                <w:b/>
                <w:bCs/>
                <w:color w:val="000000"/>
                <w:sz w:val="20"/>
                <w:szCs w:val="20"/>
              </w:rPr>
            </w:pPr>
            <w:r w:rsidRPr="008728B3">
              <w:rPr>
                <w:rFonts w:eastAsia="Times New Roman"/>
                <w:b/>
                <w:bCs/>
                <w:color w:val="000000"/>
                <w:sz w:val="20"/>
                <w:szCs w:val="20"/>
              </w:rPr>
              <w:t>2003</w:t>
            </w:r>
          </w:p>
        </w:tc>
        <w:tc>
          <w:tcPr>
            <w:tcW w:w="1100" w:type="dxa"/>
            <w:tcBorders>
              <w:top w:val="single" w:sz="4" w:space="0" w:color="auto"/>
              <w:left w:val="nil"/>
              <w:bottom w:val="nil"/>
              <w:right w:val="nil"/>
            </w:tcBorders>
            <w:shd w:val="clear" w:color="auto" w:fill="auto"/>
            <w:noWrap/>
            <w:vAlign w:val="bottom"/>
            <w:hideMark/>
          </w:tcPr>
          <w:p w:rsidR="008728B3" w:rsidRPr="008728B3" w:rsidRDefault="008728B3" w:rsidP="00B22442">
            <w:pPr>
              <w:spacing w:after="0" w:line="240" w:lineRule="auto"/>
              <w:jc w:val="center"/>
              <w:rPr>
                <w:rFonts w:eastAsia="Times New Roman"/>
                <w:b/>
                <w:bCs/>
                <w:color w:val="000000"/>
                <w:sz w:val="20"/>
                <w:szCs w:val="20"/>
              </w:rPr>
            </w:pPr>
            <w:r w:rsidRPr="008728B3">
              <w:rPr>
                <w:rFonts w:eastAsia="Times New Roman"/>
                <w:b/>
                <w:bCs/>
                <w:color w:val="000000"/>
                <w:sz w:val="20"/>
                <w:szCs w:val="20"/>
              </w:rPr>
              <w:t>2009</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vertAlign w:val="superscript"/>
              </w:rPr>
            </w:pPr>
            <w:r w:rsidRPr="008728B3">
              <w:rPr>
                <w:rFonts w:eastAsia="Times New Roman"/>
                <w:color w:val="000000"/>
                <w:sz w:val="20"/>
                <w:szCs w:val="20"/>
              </w:rPr>
              <w:t>GDP p/cap (2003 CLP$)</w:t>
            </w:r>
            <w:r>
              <w:rPr>
                <w:rFonts w:eastAsia="Times New Roman"/>
                <w:color w:val="000000"/>
                <w:sz w:val="20"/>
                <w:szCs w:val="20"/>
                <w:vertAlign w:val="superscript"/>
              </w:rPr>
              <w:t>1</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940</w:t>
            </w:r>
            <w:r w:rsidR="002945D2">
              <w:rPr>
                <w:rFonts w:eastAsia="Times New Roman"/>
                <w:color w:val="000000"/>
                <w:sz w:val="20"/>
                <w:szCs w:val="20"/>
              </w:rPr>
              <w:t>,</w:t>
            </w:r>
            <w:r w:rsidRPr="008728B3">
              <w:rPr>
                <w:rFonts w:eastAsia="Times New Roman"/>
                <w:color w:val="000000"/>
                <w:sz w:val="20"/>
                <w:szCs w:val="20"/>
              </w:rPr>
              <w:t>376</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476</w:t>
            </w:r>
            <w:r w:rsidR="002945D2">
              <w:rPr>
                <w:rFonts w:eastAsia="Times New Roman"/>
                <w:color w:val="000000"/>
                <w:sz w:val="20"/>
                <w:szCs w:val="20"/>
              </w:rPr>
              <w:t>,</w:t>
            </w:r>
            <w:r w:rsidRPr="008728B3">
              <w:rPr>
                <w:rFonts w:eastAsia="Times New Roman"/>
                <w:color w:val="000000"/>
                <w:sz w:val="20"/>
                <w:szCs w:val="20"/>
              </w:rPr>
              <w:t>980</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w:t>
            </w:r>
            <w:r w:rsidR="002945D2">
              <w:rPr>
                <w:rFonts w:eastAsia="Times New Roman"/>
                <w:color w:val="000000"/>
                <w:sz w:val="20"/>
                <w:szCs w:val="20"/>
              </w:rPr>
              <w:t>,</w:t>
            </w:r>
            <w:r w:rsidRPr="008728B3">
              <w:rPr>
                <w:rFonts w:eastAsia="Times New Roman"/>
                <w:color w:val="000000"/>
                <w:sz w:val="20"/>
                <w:szCs w:val="20"/>
              </w:rPr>
              <w:t>043</w:t>
            </w:r>
            <w:r w:rsidR="002945D2">
              <w:rPr>
                <w:rFonts w:eastAsia="Times New Roman"/>
                <w:color w:val="000000"/>
                <w:sz w:val="20"/>
                <w:szCs w:val="20"/>
              </w:rPr>
              <w:t>,</w:t>
            </w:r>
            <w:r w:rsidRPr="008728B3">
              <w:rPr>
                <w:rFonts w:eastAsia="Times New Roman"/>
                <w:color w:val="000000"/>
                <w:sz w:val="20"/>
                <w:szCs w:val="20"/>
              </w:rPr>
              <w:t>892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w:t>
            </w:r>
            <w:r w:rsidR="002945D2">
              <w:rPr>
                <w:rFonts w:eastAsia="Times New Roman"/>
                <w:color w:val="000000"/>
                <w:sz w:val="20"/>
                <w:szCs w:val="20"/>
              </w:rPr>
              <w:t>,</w:t>
            </w:r>
            <w:r w:rsidRPr="008728B3">
              <w:rPr>
                <w:rFonts w:eastAsia="Times New Roman"/>
                <w:color w:val="000000"/>
                <w:sz w:val="20"/>
                <w:szCs w:val="20"/>
              </w:rPr>
              <w:t>270</w:t>
            </w:r>
            <w:r w:rsidR="002945D2">
              <w:rPr>
                <w:rFonts w:eastAsia="Times New Roman"/>
                <w:color w:val="000000"/>
                <w:sz w:val="20"/>
                <w:szCs w:val="20"/>
              </w:rPr>
              <w:t>,</w:t>
            </w:r>
            <w:r w:rsidRPr="008728B3">
              <w:rPr>
                <w:rFonts w:eastAsia="Times New Roman"/>
                <w:color w:val="000000"/>
                <w:sz w:val="20"/>
                <w:szCs w:val="20"/>
              </w:rPr>
              <w:t>916</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w:t>
            </w:r>
            <w:r w:rsidR="002945D2">
              <w:rPr>
                <w:rFonts w:eastAsia="Times New Roman"/>
                <w:color w:val="000000"/>
                <w:sz w:val="20"/>
                <w:szCs w:val="20"/>
              </w:rPr>
              <w:t>,</w:t>
            </w:r>
            <w:r w:rsidRPr="008728B3">
              <w:rPr>
                <w:rFonts w:eastAsia="Times New Roman"/>
                <w:color w:val="000000"/>
                <w:sz w:val="20"/>
                <w:szCs w:val="20"/>
              </w:rPr>
              <w:t>844</w:t>
            </w:r>
            <w:r w:rsidR="002945D2">
              <w:rPr>
                <w:rFonts w:eastAsia="Times New Roman"/>
                <w:color w:val="000000"/>
                <w:sz w:val="20"/>
                <w:szCs w:val="20"/>
              </w:rPr>
              <w:t>,</w:t>
            </w:r>
            <w:r w:rsidRPr="008728B3">
              <w:rPr>
                <w:rFonts w:eastAsia="Times New Roman"/>
                <w:color w:val="000000"/>
                <w:sz w:val="20"/>
                <w:szCs w:val="20"/>
              </w:rPr>
              <w:t>655</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Unemployment (%)</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7</w:t>
            </w:r>
            <w:r w:rsidR="002945D2">
              <w:rPr>
                <w:rFonts w:eastAsia="Times New Roman"/>
                <w:color w:val="000000"/>
                <w:sz w:val="20"/>
                <w:szCs w:val="20"/>
              </w:rPr>
              <w:t>.</w:t>
            </w:r>
            <w:r w:rsidRPr="008728B3">
              <w:rPr>
                <w:rFonts w:eastAsia="Times New Roman"/>
                <w:color w:val="000000"/>
                <w:sz w:val="20"/>
                <w:szCs w:val="20"/>
              </w:rPr>
              <w:t>57</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7</w:t>
            </w:r>
            <w:r w:rsidR="002945D2">
              <w:rPr>
                <w:rFonts w:eastAsia="Times New Roman"/>
                <w:color w:val="000000"/>
                <w:sz w:val="20"/>
                <w:szCs w:val="20"/>
              </w:rPr>
              <w:t>.</w:t>
            </w:r>
            <w:r w:rsidRPr="008728B3">
              <w:rPr>
                <w:rFonts w:eastAsia="Times New Roman"/>
                <w:color w:val="000000"/>
                <w:sz w:val="20"/>
                <w:szCs w:val="20"/>
              </w:rPr>
              <w:t>52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6</w:t>
            </w:r>
            <w:r w:rsidR="002945D2">
              <w:rPr>
                <w:rFonts w:eastAsia="Times New Roman"/>
                <w:color w:val="000000"/>
                <w:sz w:val="20"/>
                <w:szCs w:val="20"/>
              </w:rPr>
              <w:t>.</w:t>
            </w:r>
            <w:r w:rsidRPr="008728B3">
              <w:rPr>
                <w:rFonts w:eastAsia="Times New Roman"/>
                <w:color w:val="000000"/>
                <w:sz w:val="20"/>
                <w:szCs w:val="20"/>
              </w:rPr>
              <w:t>42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9</w:t>
            </w:r>
            <w:r w:rsidR="002945D2">
              <w:rPr>
                <w:rFonts w:eastAsia="Times New Roman"/>
                <w:color w:val="000000"/>
                <w:sz w:val="20"/>
                <w:szCs w:val="20"/>
              </w:rPr>
              <w:t>.</w:t>
            </w:r>
            <w:r w:rsidRPr="008728B3">
              <w:rPr>
                <w:rFonts w:eastAsia="Times New Roman"/>
                <w:color w:val="000000"/>
                <w:sz w:val="20"/>
                <w:szCs w:val="20"/>
              </w:rPr>
              <w:t>53</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9</w:t>
            </w:r>
            <w:r w:rsidR="002945D2">
              <w:rPr>
                <w:rFonts w:eastAsia="Times New Roman"/>
                <w:color w:val="000000"/>
                <w:sz w:val="20"/>
                <w:szCs w:val="20"/>
              </w:rPr>
              <w:t>.</w:t>
            </w:r>
            <w:r w:rsidRPr="008728B3">
              <w:rPr>
                <w:rFonts w:eastAsia="Times New Roman"/>
                <w:color w:val="000000"/>
                <w:sz w:val="20"/>
                <w:szCs w:val="20"/>
              </w:rPr>
              <w:t>69</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Investment rate (%)</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24</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26</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20</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22</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vertAlign w:val="superscript"/>
              </w:rPr>
            </w:pPr>
            <w:r w:rsidRPr="008728B3">
              <w:rPr>
                <w:rFonts w:eastAsia="Times New Roman"/>
                <w:color w:val="000000"/>
                <w:sz w:val="20"/>
                <w:szCs w:val="20"/>
              </w:rPr>
              <w:t>Mean Income</w:t>
            </w:r>
            <w:r>
              <w:rPr>
                <w:rFonts w:eastAsia="Times New Roman"/>
                <w:color w:val="000000"/>
                <w:sz w:val="20"/>
                <w:szCs w:val="20"/>
                <w:vertAlign w:val="superscript"/>
              </w:rPr>
              <w:t>2</w:t>
            </w:r>
          </w:p>
        </w:tc>
        <w:tc>
          <w:tcPr>
            <w:tcW w:w="1100" w:type="dxa"/>
            <w:tcBorders>
              <w:top w:val="nil"/>
              <w:left w:val="nil"/>
              <w:bottom w:val="nil"/>
              <w:right w:val="nil"/>
            </w:tcBorders>
            <w:shd w:val="clear" w:color="auto" w:fill="auto"/>
            <w:noWrap/>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199</w:t>
            </w:r>
            <w:r w:rsidR="002945D2">
              <w:rPr>
                <w:rFonts w:eastAsia="Times New Roman"/>
                <w:color w:val="000000"/>
                <w:sz w:val="20"/>
                <w:szCs w:val="20"/>
              </w:rPr>
              <w:t>,</w:t>
            </w:r>
            <w:r w:rsidRPr="008728B3">
              <w:rPr>
                <w:rFonts w:eastAsia="Times New Roman"/>
                <w:color w:val="000000"/>
                <w:sz w:val="20"/>
                <w:szCs w:val="20"/>
              </w:rPr>
              <w:t>502</w:t>
            </w:r>
          </w:p>
        </w:tc>
        <w:tc>
          <w:tcPr>
            <w:tcW w:w="1000" w:type="dxa"/>
            <w:tcBorders>
              <w:top w:val="nil"/>
              <w:left w:val="nil"/>
              <w:bottom w:val="nil"/>
              <w:right w:val="nil"/>
            </w:tcBorders>
            <w:shd w:val="clear" w:color="auto" w:fill="auto"/>
            <w:noWrap/>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245</w:t>
            </w:r>
            <w:r w:rsidR="002945D2">
              <w:rPr>
                <w:rFonts w:eastAsia="Times New Roman"/>
                <w:color w:val="000000"/>
                <w:sz w:val="20"/>
                <w:szCs w:val="20"/>
              </w:rPr>
              <w:t>,</w:t>
            </w:r>
            <w:r w:rsidRPr="008728B3">
              <w:rPr>
                <w:rFonts w:eastAsia="Times New Roman"/>
                <w:color w:val="000000"/>
                <w:sz w:val="20"/>
                <w:szCs w:val="20"/>
              </w:rPr>
              <w:t>981</w:t>
            </w:r>
          </w:p>
        </w:tc>
        <w:tc>
          <w:tcPr>
            <w:tcW w:w="1100" w:type="dxa"/>
            <w:tcBorders>
              <w:top w:val="nil"/>
              <w:left w:val="nil"/>
              <w:bottom w:val="nil"/>
              <w:right w:val="nil"/>
            </w:tcBorders>
            <w:shd w:val="clear" w:color="auto" w:fill="auto"/>
            <w:noWrap/>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289</w:t>
            </w:r>
            <w:r w:rsidR="002945D2">
              <w:rPr>
                <w:rFonts w:eastAsia="Times New Roman"/>
                <w:color w:val="000000"/>
                <w:sz w:val="20"/>
                <w:szCs w:val="20"/>
              </w:rPr>
              <w:t>,</w:t>
            </w:r>
            <w:r w:rsidRPr="008728B3">
              <w:rPr>
                <w:rFonts w:eastAsia="Times New Roman"/>
                <w:color w:val="000000"/>
                <w:sz w:val="20"/>
                <w:szCs w:val="20"/>
              </w:rPr>
              <w:t>627</w:t>
            </w:r>
          </w:p>
        </w:tc>
        <w:tc>
          <w:tcPr>
            <w:tcW w:w="1100" w:type="dxa"/>
            <w:tcBorders>
              <w:top w:val="nil"/>
              <w:left w:val="nil"/>
              <w:bottom w:val="nil"/>
              <w:right w:val="nil"/>
            </w:tcBorders>
            <w:shd w:val="clear" w:color="auto" w:fill="auto"/>
            <w:noWrap/>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300</w:t>
            </w:r>
            <w:r w:rsidR="002945D2">
              <w:rPr>
                <w:rFonts w:eastAsia="Times New Roman"/>
                <w:color w:val="000000"/>
                <w:sz w:val="20"/>
                <w:szCs w:val="20"/>
              </w:rPr>
              <w:t>,</w:t>
            </w:r>
            <w:r w:rsidRPr="008728B3">
              <w:rPr>
                <w:rFonts w:eastAsia="Times New Roman"/>
                <w:color w:val="000000"/>
                <w:sz w:val="20"/>
                <w:szCs w:val="20"/>
              </w:rPr>
              <w:t>154</w:t>
            </w:r>
          </w:p>
        </w:tc>
        <w:tc>
          <w:tcPr>
            <w:tcW w:w="1100" w:type="dxa"/>
            <w:tcBorders>
              <w:top w:val="nil"/>
              <w:left w:val="nil"/>
              <w:bottom w:val="nil"/>
              <w:right w:val="nil"/>
            </w:tcBorders>
            <w:shd w:val="clear" w:color="auto" w:fill="auto"/>
            <w:noWrap/>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336</w:t>
            </w:r>
            <w:r w:rsidR="002945D2">
              <w:rPr>
                <w:rFonts w:eastAsia="Times New Roman"/>
                <w:color w:val="000000"/>
                <w:sz w:val="20"/>
                <w:szCs w:val="20"/>
              </w:rPr>
              <w:t>,</w:t>
            </w:r>
            <w:r w:rsidRPr="008728B3">
              <w:rPr>
                <w:rFonts w:eastAsia="Times New Roman"/>
                <w:color w:val="000000"/>
                <w:sz w:val="20"/>
                <w:szCs w:val="20"/>
              </w:rPr>
              <w:t>103</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 xml:space="preserve">Mean Income rural </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210</w:t>
            </w:r>
            <w:r w:rsidR="002945D2">
              <w:rPr>
                <w:rFonts w:eastAsia="Times New Roman"/>
                <w:color w:val="000000"/>
                <w:sz w:val="20"/>
                <w:szCs w:val="20"/>
              </w:rPr>
              <w:t>,</w:t>
            </w:r>
            <w:r w:rsidRPr="008728B3">
              <w:rPr>
                <w:rFonts w:eastAsia="Times New Roman"/>
                <w:color w:val="000000"/>
                <w:sz w:val="20"/>
                <w:szCs w:val="20"/>
              </w:rPr>
              <w:t>325</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266</w:t>
            </w:r>
            <w:r w:rsidR="002945D2">
              <w:rPr>
                <w:rFonts w:eastAsia="Times New Roman"/>
                <w:color w:val="000000"/>
                <w:sz w:val="20"/>
                <w:szCs w:val="20"/>
              </w:rPr>
              <w:t>,</w:t>
            </w:r>
            <w:r w:rsidRPr="008728B3">
              <w:rPr>
                <w:rFonts w:eastAsia="Times New Roman"/>
                <w:color w:val="000000"/>
                <w:sz w:val="20"/>
                <w:szCs w:val="20"/>
              </w:rPr>
              <w:t>884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313</w:t>
            </w:r>
            <w:r w:rsidR="002945D2">
              <w:rPr>
                <w:rFonts w:eastAsia="Times New Roman"/>
                <w:color w:val="000000"/>
                <w:sz w:val="20"/>
                <w:szCs w:val="20"/>
              </w:rPr>
              <w:t>,</w:t>
            </w:r>
            <w:r w:rsidRPr="008728B3">
              <w:rPr>
                <w:rFonts w:eastAsia="Times New Roman"/>
                <w:color w:val="000000"/>
                <w:sz w:val="20"/>
                <w:szCs w:val="20"/>
              </w:rPr>
              <w:t>854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319</w:t>
            </w:r>
            <w:r w:rsidR="002945D2">
              <w:rPr>
                <w:rFonts w:eastAsia="Times New Roman"/>
                <w:color w:val="000000"/>
                <w:sz w:val="20"/>
                <w:szCs w:val="20"/>
              </w:rPr>
              <w:t>,</w:t>
            </w:r>
            <w:r w:rsidRPr="008728B3">
              <w:rPr>
                <w:rFonts w:eastAsia="Times New Roman"/>
                <w:color w:val="000000"/>
                <w:sz w:val="20"/>
                <w:szCs w:val="20"/>
              </w:rPr>
              <w:t>712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354</w:t>
            </w:r>
            <w:r w:rsidR="002945D2">
              <w:rPr>
                <w:rFonts w:eastAsia="Times New Roman"/>
                <w:color w:val="000000"/>
                <w:sz w:val="20"/>
                <w:szCs w:val="20"/>
              </w:rPr>
              <w:t>,</w:t>
            </w:r>
            <w:r w:rsidRPr="008728B3">
              <w:rPr>
                <w:rFonts w:eastAsia="Times New Roman"/>
                <w:color w:val="000000"/>
                <w:sz w:val="20"/>
                <w:szCs w:val="20"/>
              </w:rPr>
              <w:t>772</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Mean Income urban</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146</w:t>
            </w:r>
            <w:r w:rsidR="002945D2">
              <w:rPr>
                <w:rFonts w:eastAsia="Times New Roman"/>
                <w:color w:val="000000"/>
                <w:sz w:val="20"/>
                <w:szCs w:val="20"/>
              </w:rPr>
              <w:t>,</w:t>
            </w:r>
            <w:r w:rsidRPr="008728B3">
              <w:rPr>
                <w:rFonts w:eastAsia="Times New Roman"/>
                <w:color w:val="000000"/>
                <w:sz w:val="20"/>
                <w:szCs w:val="20"/>
              </w:rPr>
              <w:t>553</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132</w:t>
            </w:r>
            <w:r w:rsidR="002945D2">
              <w:rPr>
                <w:rFonts w:eastAsia="Times New Roman"/>
                <w:color w:val="000000"/>
                <w:sz w:val="20"/>
                <w:szCs w:val="20"/>
              </w:rPr>
              <w:t>,</w:t>
            </w:r>
            <w:r w:rsidRPr="008728B3">
              <w:rPr>
                <w:rFonts w:eastAsia="Times New Roman"/>
                <w:color w:val="000000"/>
                <w:sz w:val="20"/>
                <w:szCs w:val="20"/>
              </w:rPr>
              <w:t>473</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142</w:t>
            </w:r>
            <w:r w:rsidR="002945D2">
              <w:rPr>
                <w:rFonts w:eastAsia="Times New Roman"/>
                <w:color w:val="000000"/>
                <w:sz w:val="20"/>
                <w:szCs w:val="20"/>
              </w:rPr>
              <w:t>,</w:t>
            </w:r>
            <w:r w:rsidRPr="008728B3">
              <w:rPr>
                <w:rFonts w:eastAsia="Times New Roman"/>
                <w:color w:val="000000"/>
                <w:sz w:val="20"/>
                <w:szCs w:val="20"/>
              </w:rPr>
              <w:t>971</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170</w:t>
            </w:r>
            <w:r w:rsidR="002945D2">
              <w:rPr>
                <w:rFonts w:eastAsia="Times New Roman"/>
                <w:color w:val="000000"/>
                <w:sz w:val="20"/>
                <w:szCs w:val="20"/>
              </w:rPr>
              <w:t>,</w:t>
            </w:r>
            <w:r w:rsidRPr="008728B3">
              <w:rPr>
                <w:rFonts w:eastAsia="Times New Roman"/>
                <w:color w:val="000000"/>
                <w:sz w:val="20"/>
                <w:szCs w:val="20"/>
              </w:rPr>
              <w:t>078</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208</w:t>
            </w:r>
            <w:r w:rsidR="002945D2">
              <w:rPr>
                <w:rFonts w:eastAsia="Times New Roman"/>
                <w:color w:val="000000"/>
                <w:sz w:val="20"/>
                <w:szCs w:val="20"/>
              </w:rPr>
              <w:t>,</w:t>
            </w:r>
            <w:r w:rsidRPr="008728B3">
              <w:rPr>
                <w:rFonts w:eastAsia="Times New Roman"/>
                <w:color w:val="000000"/>
                <w:sz w:val="20"/>
                <w:szCs w:val="20"/>
              </w:rPr>
              <w:t>392</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39413B" w:rsidP="008728B3">
            <w:pPr>
              <w:spacing w:after="0" w:line="240" w:lineRule="auto"/>
              <w:rPr>
                <w:rFonts w:eastAsia="Times New Roman"/>
                <w:color w:val="000000"/>
                <w:sz w:val="20"/>
                <w:szCs w:val="20"/>
              </w:rPr>
            </w:pPr>
            <w:r>
              <w:rPr>
                <w:rFonts w:eastAsia="Times New Roman"/>
                <w:color w:val="000000"/>
                <w:sz w:val="20"/>
                <w:szCs w:val="20"/>
              </w:rPr>
              <w:t>Gini</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54</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55</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55</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51</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39413B" w:rsidP="008728B3">
            <w:pPr>
              <w:spacing w:after="0" w:line="240" w:lineRule="auto"/>
              <w:rPr>
                <w:rFonts w:eastAsia="Times New Roman"/>
                <w:color w:val="000000"/>
                <w:sz w:val="20"/>
                <w:szCs w:val="20"/>
              </w:rPr>
            </w:pPr>
            <w:r>
              <w:rPr>
                <w:rFonts w:eastAsia="Times New Roman"/>
                <w:color w:val="000000"/>
                <w:sz w:val="20"/>
                <w:szCs w:val="20"/>
              </w:rPr>
              <w:t>Gini</w:t>
            </w:r>
            <w:r w:rsidR="008728B3" w:rsidRPr="008728B3">
              <w:rPr>
                <w:rFonts w:eastAsia="Times New Roman"/>
                <w:color w:val="000000"/>
                <w:sz w:val="20"/>
                <w:szCs w:val="20"/>
              </w:rPr>
              <w:t xml:space="preserve"> (urban)</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53</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51</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39413B" w:rsidP="008728B3">
            <w:pPr>
              <w:spacing w:after="0" w:line="240" w:lineRule="auto"/>
              <w:rPr>
                <w:rFonts w:eastAsia="Times New Roman"/>
                <w:color w:val="000000"/>
                <w:sz w:val="20"/>
                <w:szCs w:val="20"/>
              </w:rPr>
            </w:pPr>
            <w:r>
              <w:rPr>
                <w:rFonts w:eastAsia="Times New Roman"/>
                <w:color w:val="000000"/>
                <w:sz w:val="20"/>
                <w:szCs w:val="20"/>
              </w:rPr>
              <w:t>Gini</w:t>
            </w:r>
            <w:r w:rsidR="008728B3" w:rsidRPr="008728B3">
              <w:rPr>
                <w:rFonts w:eastAsia="Times New Roman"/>
                <w:color w:val="000000"/>
                <w:sz w:val="20"/>
                <w:szCs w:val="20"/>
              </w:rPr>
              <w:t xml:space="preserve"> (rural)</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57</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48</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48</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50</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45</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 xml:space="preserve">Median Income </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111</w:t>
            </w:r>
            <w:r w:rsidR="002945D2">
              <w:rPr>
                <w:rFonts w:eastAsia="Times New Roman"/>
                <w:color w:val="000000"/>
                <w:sz w:val="20"/>
                <w:szCs w:val="20"/>
              </w:rPr>
              <w:t>,</w:t>
            </w:r>
            <w:r w:rsidRPr="008728B3">
              <w:rPr>
                <w:rFonts w:eastAsia="Times New Roman"/>
                <w:color w:val="000000"/>
                <w:sz w:val="20"/>
                <w:szCs w:val="20"/>
              </w:rPr>
              <w:t>132</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137</w:t>
            </w:r>
            <w:r w:rsidR="002945D2">
              <w:rPr>
                <w:rFonts w:eastAsia="Times New Roman"/>
                <w:color w:val="000000"/>
                <w:sz w:val="20"/>
                <w:szCs w:val="20"/>
              </w:rPr>
              <w:t>,</w:t>
            </w:r>
            <w:r w:rsidRPr="008728B3">
              <w:rPr>
                <w:rFonts w:eastAsia="Times New Roman"/>
                <w:color w:val="000000"/>
                <w:sz w:val="20"/>
                <w:szCs w:val="20"/>
              </w:rPr>
              <w:t>481</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160</w:t>
            </w:r>
            <w:r w:rsidR="002945D2">
              <w:rPr>
                <w:rFonts w:eastAsia="Times New Roman"/>
                <w:color w:val="000000"/>
                <w:sz w:val="20"/>
                <w:szCs w:val="20"/>
              </w:rPr>
              <w:t>,</w:t>
            </w:r>
            <w:r w:rsidRPr="008728B3">
              <w:rPr>
                <w:rFonts w:eastAsia="Times New Roman"/>
                <w:color w:val="000000"/>
                <w:sz w:val="20"/>
                <w:szCs w:val="20"/>
              </w:rPr>
              <w:t>015</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166</w:t>
            </w:r>
            <w:r w:rsidR="002945D2">
              <w:rPr>
                <w:rFonts w:eastAsia="Times New Roman"/>
                <w:color w:val="000000"/>
                <w:sz w:val="20"/>
                <w:szCs w:val="20"/>
              </w:rPr>
              <w:t>,</w:t>
            </w:r>
            <w:r w:rsidRPr="008728B3">
              <w:rPr>
                <w:rFonts w:eastAsia="Times New Roman"/>
                <w:color w:val="000000"/>
                <w:sz w:val="20"/>
                <w:szCs w:val="20"/>
              </w:rPr>
              <w:t>473</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202</w:t>
            </w:r>
            <w:r w:rsidR="002945D2">
              <w:rPr>
                <w:rFonts w:eastAsia="Times New Roman"/>
                <w:color w:val="000000"/>
                <w:sz w:val="20"/>
                <w:szCs w:val="20"/>
              </w:rPr>
              <w:t>,</w:t>
            </w:r>
            <w:r w:rsidRPr="008728B3">
              <w:rPr>
                <w:rFonts w:eastAsia="Times New Roman"/>
                <w:color w:val="000000"/>
                <w:sz w:val="20"/>
                <w:szCs w:val="20"/>
              </w:rPr>
              <w:t>914</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P90/75</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98</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93</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96</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87</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w:t>
            </w:r>
            <w:r w:rsidR="002945D2">
              <w:rPr>
                <w:rFonts w:eastAsia="Times New Roman"/>
                <w:color w:val="000000"/>
                <w:sz w:val="20"/>
                <w:szCs w:val="20"/>
              </w:rPr>
              <w:t>.</w:t>
            </w:r>
            <w:r w:rsidRPr="008728B3">
              <w:rPr>
                <w:rFonts w:eastAsia="Times New Roman"/>
                <w:color w:val="000000"/>
                <w:sz w:val="20"/>
                <w:szCs w:val="20"/>
              </w:rPr>
              <w:t>83</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P50/10</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78</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79</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84</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72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2</w:t>
            </w:r>
            <w:r w:rsidR="002945D2">
              <w:rPr>
                <w:rFonts w:eastAsia="Times New Roman"/>
                <w:color w:val="000000"/>
                <w:sz w:val="20"/>
                <w:szCs w:val="20"/>
              </w:rPr>
              <w:t>.</w:t>
            </w:r>
            <w:r w:rsidRPr="008728B3">
              <w:rPr>
                <w:rFonts w:eastAsia="Times New Roman"/>
                <w:color w:val="000000"/>
                <w:sz w:val="20"/>
                <w:szCs w:val="20"/>
              </w:rPr>
              <w:t>55</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Urbanisation (%)</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83</w:t>
            </w:r>
            <w:r w:rsidR="002945D2">
              <w:rPr>
                <w:rFonts w:eastAsia="Times New Roman"/>
                <w:color w:val="000000"/>
                <w:sz w:val="20"/>
                <w:szCs w:val="20"/>
              </w:rPr>
              <w:t>.</w:t>
            </w:r>
            <w:r w:rsidRPr="008728B3">
              <w:rPr>
                <w:rFonts w:eastAsia="Times New Roman"/>
                <w:color w:val="000000"/>
                <w:sz w:val="20"/>
                <w:szCs w:val="20"/>
              </w:rPr>
              <w:t>03</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84</w:t>
            </w:r>
            <w:r w:rsidR="002945D2">
              <w:rPr>
                <w:rFonts w:eastAsia="Times New Roman"/>
                <w:color w:val="000000"/>
                <w:sz w:val="20"/>
                <w:szCs w:val="20"/>
              </w:rPr>
              <w:t>.</w:t>
            </w:r>
            <w:r w:rsidRPr="008728B3">
              <w:rPr>
                <w:rFonts w:eastAsia="Times New Roman"/>
                <w:color w:val="000000"/>
                <w:sz w:val="20"/>
                <w:szCs w:val="20"/>
              </w:rPr>
              <w:t>45</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85</w:t>
            </w:r>
            <w:r w:rsidR="002945D2">
              <w:rPr>
                <w:rFonts w:eastAsia="Times New Roman"/>
                <w:color w:val="000000"/>
                <w:sz w:val="20"/>
                <w:szCs w:val="20"/>
              </w:rPr>
              <w:t>.</w:t>
            </w:r>
            <w:r w:rsidRPr="008728B3">
              <w:rPr>
                <w:rFonts w:eastAsia="Times New Roman"/>
                <w:color w:val="000000"/>
                <w:sz w:val="20"/>
                <w:szCs w:val="20"/>
              </w:rPr>
              <w:t>82</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86</w:t>
            </w:r>
            <w:r w:rsidR="002945D2">
              <w:rPr>
                <w:rFonts w:eastAsia="Times New Roman"/>
                <w:color w:val="000000"/>
                <w:sz w:val="20"/>
                <w:szCs w:val="20"/>
              </w:rPr>
              <w:t>.</w:t>
            </w:r>
            <w:r w:rsidRPr="008728B3">
              <w:rPr>
                <w:rFonts w:eastAsia="Times New Roman"/>
                <w:color w:val="000000"/>
                <w:sz w:val="20"/>
                <w:szCs w:val="20"/>
              </w:rPr>
              <w:t>93</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87</w:t>
            </w:r>
            <w:r w:rsidR="002945D2">
              <w:rPr>
                <w:rFonts w:eastAsia="Times New Roman"/>
                <w:color w:val="000000"/>
                <w:sz w:val="20"/>
                <w:szCs w:val="20"/>
              </w:rPr>
              <w:t>.</w:t>
            </w:r>
            <w:r w:rsidRPr="008728B3">
              <w:rPr>
                <w:rFonts w:eastAsia="Times New Roman"/>
                <w:color w:val="000000"/>
                <w:sz w:val="20"/>
                <w:szCs w:val="20"/>
              </w:rPr>
              <w:t>25</w:t>
            </w:r>
          </w:p>
        </w:tc>
      </w:tr>
      <w:tr w:rsidR="008728B3" w:rsidRPr="008728B3" w:rsidTr="008728B3">
        <w:trPr>
          <w:trHeight w:val="300"/>
        </w:trPr>
        <w:tc>
          <w:tcPr>
            <w:tcW w:w="262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Average education</w:t>
            </w:r>
            <w:r w:rsidR="002945D2">
              <w:rPr>
                <w:rFonts w:eastAsia="Times New Roman"/>
                <w:color w:val="000000"/>
                <w:sz w:val="20"/>
                <w:szCs w:val="20"/>
              </w:rPr>
              <w:t>.</w:t>
            </w:r>
            <w:r w:rsidRPr="008728B3">
              <w:rPr>
                <w:rFonts w:eastAsia="Times New Roman"/>
                <w:color w:val="000000"/>
                <w:sz w:val="20"/>
                <w:szCs w:val="20"/>
              </w:rPr>
              <w:t xml:space="preserve"> years</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9</w:t>
            </w:r>
            <w:r w:rsidR="002945D2">
              <w:rPr>
                <w:rFonts w:eastAsia="Times New Roman"/>
                <w:color w:val="000000"/>
                <w:sz w:val="20"/>
                <w:szCs w:val="20"/>
              </w:rPr>
              <w:t>.</w:t>
            </w:r>
            <w:r w:rsidRPr="008728B3">
              <w:rPr>
                <w:rFonts w:eastAsia="Times New Roman"/>
                <w:color w:val="000000"/>
                <w:sz w:val="20"/>
                <w:szCs w:val="20"/>
              </w:rPr>
              <w:t>03</w:t>
            </w:r>
          </w:p>
        </w:tc>
        <w:tc>
          <w:tcPr>
            <w:tcW w:w="10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9</w:t>
            </w:r>
            <w:r w:rsidR="002945D2">
              <w:rPr>
                <w:rFonts w:eastAsia="Times New Roman"/>
                <w:color w:val="000000"/>
                <w:sz w:val="20"/>
                <w:szCs w:val="20"/>
              </w:rPr>
              <w:t>.</w:t>
            </w:r>
            <w:r w:rsidRPr="008728B3">
              <w:rPr>
                <w:rFonts w:eastAsia="Times New Roman"/>
                <w:color w:val="000000"/>
                <w:sz w:val="20"/>
                <w:szCs w:val="20"/>
              </w:rPr>
              <w:t>20</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9</w:t>
            </w:r>
            <w:r w:rsidR="002945D2">
              <w:rPr>
                <w:rFonts w:eastAsia="Times New Roman"/>
                <w:color w:val="000000"/>
                <w:sz w:val="20"/>
                <w:szCs w:val="20"/>
              </w:rPr>
              <w:t>.</w:t>
            </w:r>
            <w:r w:rsidRPr="008728B3">
              <w:rPr>
                <w:rFonts w:eastAsia="Times New Roman"/>
                <w:color w:val="000000"/>
                <w:sz w:val="20"/>
                <w:szCs w:val="20"/>
              </w:rPr>
              <w:t>69</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10</w:t>
            </w:r>
            <w:r w:rsidR="002945D2">
              <w:rPr>
                <w:rFonts w:eastAsia="Times New Roman"/>
                <w:color w:val="000000"/>
                <w:sz w:val="20"/>
                <w:szCs w:val="20"/>
              </w:rPr>
              <w:t>.</w:t>
            </w:r>
            <w:r w:rsidRPr="008728B3">
              <w:rPr>
                <w:rFonts w:eastAsia="Times New Roman"/>
                <w:color w:val="000000"/>
                <w:sz w:val="20"/>
                <w:szCs w:val="20"/>
              </w:rPr>
              <w:t>16</w:t>
            </w:r>
          </w:p>
        </w:tc>
        <w:tc>
          <w:tcPr>
            <w:tcW w:w="1100" w:type="dxa"/>
            <w:tcBorders>
              <w:top w:val="nil"/>
              <w:left w:val="nil"/>
              <w:bottom w:val="nil"/>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10</w:t>
            </w:r>
            <w:r w:rsidR="002945D2">
              <w:rPr>
                <w:rFonts w:eastAsia="Times New Roman"/>
                <w:color w:val="000000"/>
                <w:sz w:val="20"/>
                <w:szCs w:val="20"/>
              </w:rPr>
              <w:t>.</w:t>
            </w:r>
            <w:r w:rsidRPr="008728B3">
              <w:rPr>
                <w:rFonts w:eastAsia="Times New Roman"/>
                <w:color w:val="000000"/>
                <w:sz w:val="20"/>
                <w:szCs w:val="20"/>
              </w:rPr>
              <w:t>39</w:t>
            </w:r>
          </w:p>
        </w:tc>
      </w:tr>
      <w:tr w:rsidR="008728B3" w:rsidRPr="008728B3" w:rsidTr="008728B3">
        <w:trPr>
          <w:trHeight w:val="300"/>
        </w:trPr>
        <w:tc>
          <w:tcPr>
            <w:tcW w:w="262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rPr>
                <w:rFonts w:eastAsia="Times New Roman"/>
                <w:color w:val="000000"/>
                <w:sz w:val="20"/>
                <w:szCs w:val="20"/>
              </w:rPr>
            </w:pPr>
            <w:r w:rsidRPr="008728B3">
              <w:rPr>
                <w:rFonts w:eastAsia="Times New Roman"/>
                <w:color w:val="000000"/>
                <w:sz w:val="20"/>
                <w:szCs w:val="20"/>
              </w:rPr>
              <w:t xml:space="preserve">Human capital </w:t>
            </w:r>
            <w:r w:rsidR="0039413B">
              <w:rPr>
                <w:rFonts w:eastAsia="Times New Roman"/>
                <w:color w:val="000000"/>
                <w:sz w:val="20"/>
                <w:szCs w:val="20"/>
              </w:rPr>
              <w:t>Gini</w:t>
            </w:r>
          </w:p>
        </w:tc>
        <w:tc>
          <w:tcPr>
            <w:tcW w:w="110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35</w:t>
            </w:r>
          </w:p>
        </w:tc>
        <w:tc>
          <w:tcPr>
            <w:tcW w:w="100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34</w:t>
            </w:r>
          </w:p>
        </w:tc>
        <w:tc>
          <w:tcPr>
            <w:tcW w:w="110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32</w:t>
            </w:r>
          </w:p>
        </w:tc>
        <w:tc>
          <w:tcPr>
            <w:tcW w:w="110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31</w:t>
            </w:r>
          </w:p>
        </w:tc>
        <w:tc>
          <w:tcPr>
            <w:tcW w:w="1100" w:type="dxa"/>
            <w:tcBorders>
              <w:top w:val="nil"/>
              <w:left w:val="nil"/>
              <w:bottom w:val="single" w:sz="4" w:space="0" w:color="auto"/>
              <w:right w:val="nil"/>
            </w:tcBorders>
            <w:shd w:val="clear" w:color="auto" w:fill="auto"/>
            <w:noWrap/>
            <w:vAlign w:val="bottom"/>
            <w:hideMark/>
          </w:tcPr>
          <w:p w:rsidR="008728B3" w:rsidRPr="008728B3" w:rsidRDefault="008728B3" w:rsidP="008728B3">
            <w:pPr>
              <w:spacing w:after="0" w:line="240" w:lineRule="auto"/>
              <w:jc w:val="center"/>
              <w:rPr>
                <w:rFonts w:eastAsia="Times New Roman"/>
                <w:color w:val="000000"/>
                <w:sz w:val="20"/>
                <w:szCs w:val="20"/>
              </w:rPr>
            </w:pPr>
            <w:r w:rsidRPr="008728B3">
              <w:rPr>
                <w:rFonts w:eastAsia="Times New Roman"/>
                <w:color w:val="000000"/>
                <w:sz w:val="20"/>
                <w:szCs w:val="20"/>
              </w:rPr>
              <w:t>0</w:t>
            </w:r>
            <w:r w:rsidR="002945D2">
              <w:rPr>
                <w:rFonts w:eastAsia="Times New Roman"/>
                <w:color w:val="000000"/>
                <w:sz w:val="20"/>
                <w:szCs w:val="20"/>
              </w:rPr>
              <w:t>.</w:t>
            </w:r>
            <w:r w:rsidRPr="008728B3">
              <w:rPr>
                <w:rFonts w:eastAsia="Times New Roman"/>
                <w:color w:val="000000"/>
                <w:sz w:val="20"/>
                <w:szCs w:val="20"/>
              </w:rPr>
              <w:t>31</w:t>
            </w:r>
          </w:p>
        </w:tc>
      </w:tr>
    </w:tbl>
    <w:p w:rsidR="008728B3" w:rsidRDefault="00705D9B" w:rsidP="00705D9B">
      <w:pPr>
        <w:pStyle w:val="NoSpacing"/>
        <w:jc w:val="both"/>
        <w:rPr>
          <w:sz w:val="18"/>
          <w:szCs w:val="18"/>
        </w:rPr>
      </w:pPr>
      <w:r>
        <w:t xml:space="preserve"> </w:t>
      </w:r>
      <w:r w:rsidRPr="00220A38">
        <w:rPr>
          <w:sz w:val="18"/>
          <w:szCs w:val="18"/>
        </w:rPr>
        <w:t xml:space="preserve">Source: </w:t>
      </w:r>
      <w:r>
        <w:rPr>
          <w:sz w:val="18"/>
          <w:szCs w:val="18"/>
        </w:rPr>
        <w:t xml:space="preserve">Own calculations based on the </w:t>
      </w:r>
      <w:r w:rsidR="00CF2E4F">
        <w:rPr>
          <w:sz w:val="18"/>
          <w:szCs w:val="18"/>
        </w:rPr>
        <w:t>CASEN</w:t>
      </w:r>
      <w:r>
        <w:rPr>
          <w:sz w:val="18"/>
          <w:szCs w:val="18"/>
        </w:rPr>
        <w:t xml:space="preserve"> Household Survey for the respective years</w:t>
      </w:r>
      <w:r w:rsidRPr="00220A38">
        <w:rPr>
          <w:sz w:val="18"/>
          <w:szCs w:val="18"/>
        </w:rPr>
        <w:t>. Notes: (1)</w:t>
      </w:r>
      <w:r w:rsidR="008D757B">
        <w:rPr>
          <w:sz w:val="18"/>
          <w:szCs w:val="18"/>
        </w:rPr>
        <w:t xml:space="preserve"> </w:t>
      </w:r>
      <w:r>
        <w:rPr>
          <w:sz w:val="18"/>
          <w:szCs w:val="18"/>
        </w:rPr>
        <w:t>Source</w:t>
      </w:r>
      <w:r w:rsidR="008D757B">
        <w:rPr>
          <w:sz w:val="18"/>
          <w:szCs w:val="18"/>
        </w:rPr>
        <w:t>:</w:t>
      </w:r>
    </w:p>
    <w:p w:rsidR="008728B3" w:rsidRDefault="005B3156" w:rsidP="00705D9B">
      <w:pPr>
        <w:pStyle w:val="NoSpacing"/>
        <w:jc w:val="both"/>
        <w:rPr>
          <w:sz w:val="18"/>
          <w:szCs w:val="18"/>
        </w:rPr>
      </w:pPr>
      <w:r>
        <w:rPr>
          <w:sz w:val="18"/>
          <w:szCs w:val="18"/>
        </w:rPr>
        <w:t xml:space="preserve"> </w:t>
      </w:r>
      <w:r w:rsidR="00705D9B">
        <w:rPr>
          <w:sz w:val="18"/>
          <w:szCs w:val="18"/>
        </w:rPr>
        <w:t>Centra</w:t>
      </w:r>
      <w:r>
        <w:rPr>
          <w:sz w:val="18"/>
          <w:szCs w:val="18"/>
        </w:rPr>
        <w:t>l</w:t>
      </w:r>
      <w:r w:rsidR="00705D9B">
        <w:rPr>
          <w:sz w:val="18"/>
          <w:szCs w:val="18"/>
        </w:rPr>
        <w:t xml:space="preserve"> Bank of Chile</w:t>
      </w:r>
      <w:r w:rsidR="00705D9B" w:rsidRPr="00220A38">
        <w:rPr>
          <w:sz w:val="18"/>
          <w:szCs w:val="18"/>
        </w:rPr>
        <w:t>; (2</w:t>
      </w:r>
      <w:r w:rsidR="001A69E4">
        <w:rPr>
          <w:sz w:val="18"/>
          <w:szCs w:val="18"/>
        </w:rPr>
        <w:t>) Mean income measures</w:t>
      </w:r>
      <w:r w:rsidR="00705D9B">
        <w:rPr>
          <w:sz w:val="18"/>
          <w:szCs w:val="18"/>
        </w:rPr>
        <w:t xml:space="preserve"> are income per month</w:t>
      </w:r>
      <w:r w:rsidR="008728B3">
        <w:rPr>
          <w:sz w:val="18"/>
          <w:szCs w:val="18"/>
        </w:rPr>
        <w:t xml:space="preserve"> in CLP$, other definitions as specified </w:t>
      </w:r>
    </w:p>
    <w:p w:rsidR="00705D9B" w:rsidRDefault="005B3156" w:rsidP="00705D9B">
      <w:pPr>
        <w:pStyle w:val="NoSpacing"/>
        <w:jc w:val="both"/>
        <w:rPr>
          <w:sz w:val="18"/>
          <w:szCs w:val="18"/>
        </w:rPr>
      </w:pPr>
      <w:r>
        <w:rPr>
          <w:sz w:val="18"/>
          <w:szCs w:val="18"/>
        </w:rPr>
        <w:t xml:space="preserve"> </w:t>
      </w:r>
      <w:proofErr w:type="gramStart"/>
      <w:r w:rsidR="008728B3">
        <w:rPr>
          <w:sz w:val="18"/>
          <w:szCs w:val="18"/>
        </w:rPr>
        <w:t>in</w:t>
      </w:r>
      <w:proofErr w:type="gramEnd"/>
      <w:r w:rsidR="008728B3">
        <w:rPr>
          <w:sz w:val="18"/>
          <w:szCs w:val="18"/>
        </w:rPr>
        <w:t xml:space="preserve"> the text</w:t>
      </w:r>
      <w:r w:rsidR="002945D2">
        <w:rPr>
          <w:sz w:val="18"/>
          <w:szCs w:val="18"/>
        </w:rPr>
        <w:t>,</w:t>
      </w:r>
    </w:p>
    <w:p w:rsidR="00257C41" w:rsidRPr="00220A38" w:rsidRDefault="00257C41" w:rsidP="00705D9B">
      <w:pPr>
        <w:pStyle w:val="NoSpacing"/>
        <w:jc w:val="both"/>
        <w:rPr>
          <w:sz w:val="18"/>
          <w:szCs w:val="18"/>
        </w:rPr>
      </w:pPr>
    </w:p>
    <w:p w:rsidR="006C58D2" w:rsidRDefault="004421AE" w:rsidP="00142112">
      <w:pPr>
        <w:spacing w:line="360" w:lineRule="auto"/>
        <w:jc w:val="both"/>
      </w:pPr>
      <w:r>
        <w:t xml:space="preserve">The human capital stock as measured by the average level of education of the working age population </w:t>
      </w:r>
      <w:r w:rsidR="00826F71">
        <w:t>climbs</w:t>
      </w:r>
      <w:r>
        <w:t xml:space="preserve"> steadily as is </w:t>
      </w:r>
      <w:r w:rsidR="00016873">
        <w:t xml:space="preserve">to be </w:t>
      </w:r>
      <w:r>
        <w:t xml:space="preserve">expected and the human capital </w:t>
      </w:r>
      <w:r w:rsidR="0039413B">
        <w:t>Gini</w:t>
      </w:r>
      <w:r>
        <w:t>-levels drop over the years</w:t>
      </w:r>
      <w:r w:rsidR="002945D2">
        <w:t>.</w:t>
      </w:r>
      <w:r>
        <w:t xml:space="preserve"> </w:t>
      </w:r>
      <w:r w:rsidR="008D757B">
        <w:t xml:space="preserve">Since 1965 the compulsory amount of years of education has been 8 years, which has been lifted to 12 years in 2003, an unprecedented high for Latin-America (Mattear, 2007). </w:t>
      </w:r>
      <w:r>
        <w:t>Average education levels in rural areas (not shown in the table) range from 6</w:t>
      </w:r>
      <w:r w:rsidR="002945D2">
        <w:t>.</w:t>
      </w:r>
      <w:r>
        <w:t>23 to 7</w:t>
      </w:r>
      <w:r w:rsidR="002945D2">
        <w:t>.</w:t>
      </w:r>
      <w:r>
        <w:t>94</w:t>
      </w:r>
      <w:r w:rsidR="00016873">
        <w:t xml:space="preserve"> years</w:t>
      </w:r>
      <w:r>
        <w:t xml:space="preserve"> while urban levels lie approximately 3 years higher for all years measured, showing an education gap between rural and urban areas which is </w:t>
      </w:r>
      <w:r w:rsidR="008D757B">
        <w:t>globally a</w:t>
      </w:r>
      <w:r>
        <w:t xml:space="preserve"> common phenomenon. </w:t>
      </w:r>
      <w:r w:rsidR="006C58D2">
        <w:t xml:space="preserve">The human capital </w:t>
      </w:r>
      <w:r w:rsidR="0039413B">
        <w:t>Gini</w:t>
      </w:r>
      <w:r w:rsidR="008D757B">
        <w:t>-coefficient</w:t>
      </w:r>
      <w:r w:rsidR="006C58D2">
        <w:t xml:space="preserve"> lies higher in rural than in urban areas, </w:t>
      </w:r>
      <w:r w:rsidR="008D757B">
        <w:t xml:space="preserve">probably reflecting the smaller portion of individuals attending secondary or tertiary education, causing more inequality. </w:t>
      </w:r>
    </w:p>
    <w:p w:rsidR="007508AA" w:rsidRDefault="007508AA" w:rsidP="00142112">
      <w:pPr>
        <w:spacing w:line="360" w:lineRule="auto"/>
        <w:jc w:val="both"/>
      </w:pPr>
    </w:p>
    <w:p w:rsidR="000567CD" w:rsidRPr="00220A38" w:rsidRDefault="000567CD" w:rsidP="00F23C91">
      <w:pPr>
        <w:pStyle w:val="ListParagraph"/>
        <w:numPr>
          <w:ilvl w:val="1"/>
          <w:numId w:val="33"/>
        </w:numPr>
        <w:spacing w:line="360" w:lineRule="auto"/>
        <w:jc w:val="both"/>
        <w:rPr>
          <w:b/>
        </w:rPr>
      </w:pPr>
      <w:r w:rsidRPr="00220A38">
        <w:rPr>
          <w:b/>
        </w:rPr>
        <w:lastRenderedPageBreak/>
        <w:t>Regional Growth and Inequality</w:t>
      </w:r>
    </w:p>
    <w:p w:rsidR="00F45F41" w:rsidRPr="00220A38" w:rsidRDefault="006C58D2" w:rsidP="00142112">
      <w:pPr>
        <w:spacing w:line="360" w:lineRule="auto"/>
        <w:jc w:val="both"/>
      </w:pPr>
      <w:r>
        <w:t xml:space="preserve">In his research on inequality levels in Chile, </w:t>
      </w:r>
      <w:r w:rsidRPr="006C58D2">
        <w:t>Contreras (2001) shows that inequality is regional</w:t>
      </w:r>
      <w:r w:rsidR="00962E90">
        <w:t>ly</w:t>
      </w:r>
      <w:r w:rsidR="00016873">
        <w:t xml:space="preserve"> dependent since </w:t>
      </w:r>
      <w:r w:rsidRPr="006C58D2">
        <w:t xml:space="preserve">that there are large differences in regional inequality and economic growth present in Chile. </w:t>
      </w:r>
      <w:r w:rsidR="000567CD" w:rsidRPr="00220A38">
        <w:t xml:space="preserve">Chile </w:t>
      </w:r>
      <w:r w:rsidR="00D11066" w:rsidRPr="00220A38">
        <w:t>is</w:t>
      </w:r>
      <w:r w:rsidR="000567CD" w:rsidRPr="00220A38">
        <w:t xml:space="preserve"> divided in 13 regions</w:t>
      </w:r>
      <w:r w:rsidR="000567CD" w:rsidRPr="00220A38">
        <w:rPr>
          <w:rStyle w:val="FootnoteReference"/>
        </w:rPr>
        <w:footnoteReference w:id="18"/>
      </w:r>
      <w:r w:rsidR="00D11066" w:rsidRPr="00220A38">
        <w:t xml:space="preserve"> with regional populations ranging from a mere 90</w:t>
      </w:r>
      <w:r w:rsidR="002945D2">
        <w:t>,</w:t>
      </w:r>
      <w:r w:rsidR="00D11066" w:rsidRPr="00220A38">
        <w:t>000</w:t>
      </w:r>
      <w:r w:rsidR="005E7197" w:rsidRPr="00220A38">
        <w:t xml:space="preserve"> in the southern Aysen region</w:t>
      </w:r>
      <w:r w:rsidR="00A65FC5" w:rsidRPr="00220A38">
        <w:t xml:space="preserve"> (Region 11)</w:t>
      </w:r>
      <w:r w:rsidR="005E7197" w:rsidRPr="00220A38">
        <w:t xml:space="preserve"> to </w:t>
      </w:r>
      <w:r w:rsidR="00970C7D" w:rsidRPr="00220A38">
        <w:t>over</w:t>
      </w:r>
      <w:r w:rsidR="00D11066" w:rsidRPr="00220A38">
        <w:t xml:space="preserve"> </w:t>
      </w:r>
      <w:r w:rsidR="005E7197" w:rsidRPr="00220A38">
        <w:t>6 million in the capital’s region of Santiago</w:t>
      </w:r>
      <w:r w:rsidR="00A65FC5" w:rsidRPr="00220A38">
        <w:t xml:space="preserve"> (Region 13)</w:t>
      </w:r>
      <w:r w:rsidR="005E7197" w:rsidRPr="00220A38">
        <w:t xml:space="preserve">. </w:t>
      </w:r>
      <w:r w:rsidR="00016873">
        <w:t xml:space="preserve">Regional </w:t>
      </w:r>
      <w:r w:rsidR="005E7197" w:rsidRPr="00220A38">
        <w:t xml:space="preserve">GDP p/cap levels also differ greatly </w:t>
      </w:r>
      <w:r w:rsidR="00A65FC5" w:rsidRPr="00220A38">
        <w:t>from the poor Araucanía region (Region 9) to the</w:t>
      </w:r>
      <w:r w:rsidR="00016873">
        <w:t xml:space="preserve"> wealthy region of Magallanes (R</w:t>
      </w:r>
      <w:r w:rsidR="00A65FC5" w:rsidRPr="00220A38">
        <w:t>egion 12) as did each regions performance in the time period considered. Figure 4.2 captures the initial regional GDP p/cap in 1990 and the regional growth rates of the whole period considered (1990-2009)</w:t>
      </w:r>
      <w:r>
        <w:t xml:space="preserve"> relative </w:t>
      </w:r>
      <w:r w:rsidRPr="00220A38">
        <w:t>to the national level and growth rate over the same period.</w:t>
      </w:r>
    </w:p>
    <w:p w:rsidR="000567CD" w:rsidRPr="00220A38" w:rsidRDefault="00F45F41" w:rsidP="00B22442">
      <w:pPr>
        <w:spacing w:line="240" w:lineRule="auto"/>
        <w:rPr>
          <w:i/>
        </w:rPr>
      </w:pPr>
      <w:proofErr w:type="gramStart"/>
      <w:r w:rsidRPr="00220A38">
        <w:rPr>
          <w:i/>
        </w:rPr>
        <w:t>Figure 4.2</w:t>
      </w:r>
      <w:r w:rsidR="001C5C93">
        <w:rPr>
          <w:i/>
        </w:rPr>
        <w:t>.</w:t>
      </w:r>
      <w:proofErr w:type="gramEnd"/>
      <w:r w:rsidR="008E0384">
        <w:rPr>
          <w:i/>
        </w:rPr>
        <w:t xml:space="preserve"> </w:t>
      </w:r>
      <w:r w:rsidR="0039413B">
        <w:rPr>
          <w:i/>
        </w:rPr>
        <w:t xml:space="preserve">Regional GDP and growth </w:t>
      </w:r>
      <w:r w:rsidR="001C5C93">
        <w:rPr>
          <w:i/>
        </w:rPr>
        <w:t>in</w:t>
      </w:r>
      <w:r w:rsidR="0039413B">
        <w:rPr>
          <w:i/>
        </w:rPr>
        <w:t xml:space="preserve"> a</w:t>
      </w:r>
      <w:r w:rsidR="001C5C93">
        <w:rPr>
          <w:i/>
        </w:rPr>
        <w:t xml:space="preserve"> national context</w:t>
      </w:r>
    </w:p>
    <w:p w:rsidR="00416C47" w:rsidRPr="00220A38" w:rsidRDefault="00416C47" w:rsidP="00B22442">
      <w:pPr>
        <w:spacing w:line="240" w:lineRule="auto"/>
        <w:jc w:val="both"/>
      </w:pPr>
      <w:r w:rsidRPr="00220A38">
        <w:rPr>
          <w:noProof/>
        </w:rPr>
        <w:drawing>
          <wp:inline distT="0" distB="0" distL="0" distR="0" wp14:anchorId="63B4CD42" wp14:editId="2A333A6A">
            <wp:extent cx="5743575" cy="32670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16C47" w:rsidRPr="00220A38" w:rsidRDefault="00416C47" w:rsidP="00B22442">
      <w:pPr>
        <w:spacing w:line="240" w:lineRule="auto"/>
        <w:jc w:val="both"/>
        <w:rPr>
          <w:sz w:val="18"/>
          <w:szCs w:val="18"/>
        </w:rPr>
      </w:pPr>
      <w:r w:rsidRPr="00220A38">
        <w:rPr>
          <w:sz w:val="18"/>
          <w:szCs w:val="18"/>
        </w:rPr>
        <w:t xml:space="preserve">Source: Own calculations based on data from Banco Central de Chile. Notes: (1) Regional </w:t>
      </w:r>
      <w:r w:rsidR="005F3550" w:rsidRPr="00220A38">
        <w:rPr>
          <w:sz w:val="18"/>
          <w:szCs w:val="18"/>
        </w:rPr>
        <w:t xml:space="preserve">average </w:t>
      </w:r>
      <w:r w:rsidRPr="00220A38">
        <w:rPr>
          <w:sz w:val="18"/>
          <w:szCs w:val="18"/>
        </w:rPr>
        <w:t xml:space="preserve">annual GDP per capita growth rate </w:t>
      </w:r>
      <w:r w:rsidR="005F3550" w:rsidRPr="00220A38">
        <w:rPr>
          <w:sz w:val="18"/>
          <w:szCs w:val="18"/>
        </w:rPr>
        <w:t>in 1990-2009</w:t>
      </w:r>
      <w:r w:rsidRPr="00220A38">
        <w:rPr>
          <w:sz w:val="18"/>
          <w:szCs w:val="18"/>
        </w:rPr>
        <w:t xml:space="preserve"> for all 13 regions minus national </w:t>
      </w:r>
      <w:r w:rsidR="005F3550" w:rsidRPr="00220A38">
        <w:rPr>
          <w:sz w:val="18"/>
          <w:szCs w:val="18"/>
        </w:rPr>
        <w:t xml:space="preserve">average </w:t>
      </w:r>
      <w:r w:rsidRPr="00220A38">
        <w:rPr>
          <w:sz w:val="18"/>
          <w:szCs w:val="18"/>
        </w:rPr>
        <w:t xml:space="preserve">annual GDP per capita growth rate </w:t>
      </w:r>
      <w:r w:rsidR="005F3550" w:rsidRPr="00220A38">
        <w:rPr>
          <w:sz w:val="18"/>
          <w:szCs w:val="18"/>
        </w:rPr>
        <w:t xml:space="preserve">in </w:t>
      </w:r>
      <w:r w:rsidR="002945D2">
        <w:rPr>
          <w:sz w:val="18"/>
          <w:szCs w:val="18"/>
        </w:rPr>
        <w:t>1990-2009 (5.</w:t>
      </w:r>
      <w:r w:rsidRPr="00220A38">
        <w:rPr>
          <w:sz w:val="18"/>
          <w:szCs w:val="18"/>
        </w:rPr>
        <w:t>2%</w:t>
      </w:r>
      <w:proofErr w:type="gramStart"/>
      <w:r w:rsidRPr="00220A38">
        <w:rPr>
          <w:sz w:val="18"/>
          <w:szCs w:val="18"/>
        </w:rPr>
        <w:t>) ;</w:t>
      </w:r>
      <w:proofErr w:type="gramEnd"/>
      <w:r w:rsidRPr="00220A38">
        <w:rPr>
          <w:sz w:val="18"/>
          <w:szCs w:val="18"/>
        </w:rPr>
        <w:t xml:space="preserve"> (2) LN regional GDP per capita 1990 for all 13 regions minus LN national GDP per capita 1990.</w:t>
      </w:r>
    </w:p>
    <w:p w:rsidR="000A0A24" w:rsidRDefault="00F45F41" w:rsidP="000A0A24">
      <w:pPr>
        <w:spacing w:line="360" w:lineRule="auto"/>
        <w:jc w:val="both"/>
      </w:pPr>
      <w:r w:rsidRPr="00220A38">
        <w:t xml:space="preserve">This shows that the wealthy region </w:t>
      </w:r>
      <w:r w:rsidR="000A0A24" w:rsidRPr="00220A38">
        <w:t xml:space="preserve">12 is falling behind rapidly while most regions tend to show similar </w:t>
      </w:r>
      <w:r w:rsidR="006C58D2">
        <w:t xml:space="preserve">average </w:t>
      </w:r>
      <w:r w:rsidR="000A0A24" w:rsidRPr="00220A38">
        <w:t xml:space="preserve">growth rates to the </w:t>
      </w:r>
      <w:r w:rsidR="006C58D2">
        <w:t>national level</w:t>
      </w:r>
      <w:r w:rsidR="000A0A24" w:rsidRPr="00220A38">
        <w:t xml:space="preserve">.  This process of catching up </w:t>
      </w:r>
      <w:r w:rsidR="006C58D2">
        <w:t xml:space="preserve">or convergence </w:t>
      </w:r>
      <w:r w:rsidR="000A0A24" w:rsidRPr="00220A38">
        <w:t xml:space="preserve">can also be seen in figure 4.3 which plots the </w:t>
      </w:r>
      <w:r w:rsidRPr="00220A38">
        <w:t xml:space="preserve">initial log of regional GDP per capita in 1990 and the annual </w:t>
      </w:r>
      <w:r w:rsidR="004D66E5" w:rsidRPr="00220A38">
        <w:t xml:space="preserve">regional growth rate over the whole period. </w:t>
      </w:r>
      <w:r w:rsidR="004D66E5">
        <w:t>Although one should be cautious interpreting these basic results, t</w:t>
      </w:r>
      <w:r w:rsidR="004D66E5" w:rsidRPr="00220A38">
        <w:t>he regression results depicted in the graph shows that there is a process of absolute cross-</w:t>
      </w:r>
    </w:p>
    <w:p w:rsidR="004D66E5" w:rsidRPr="00220A38" w:rsidRDefault="004D66E5" w:rsidP="000A0A24">
      <w:pPr>
        <w:spacing w:line="360" w:lineRule="auto"/>
        <w:jc w:val="both"/>
      </w:pPr>
    </w:p>
    <w:p w:rsidR="00F45F41" w:rsidRPr="00220A38" w:rsidRDefault="00F45F41" w:rsidP="00B22442">
      <w:pPr>
        <w:spacing w:line="240" w:lineRule="auto"/>
        <w:jc w:val="both"/>
        <w:rPr>
          <w:i/>
        </w:rPr>
      </w:pPr>
      <w:proofErr w:type="gramStart"/>
      <w:r w:rsidRPr="00220A38">
        <w:rPr>
          <w:i/>
        </w:rPr>
        <w:t>Figure 4.3.</w:t>
      </w:r>
      <w:proofErr w:type="gramEnd"/>
      <w:r w:rsidR="008E0384">
        <w:rPr>
          <w:i/>
        </w:rPr>
        <w:t xml:space="preserve"> Beta-convergence in Chilean r</w:t>
      </w:r>
      <w:r w:rsidR="001C5C93">
        <w:rPr>
          <w:i/>
        </w:rPr>
        <w:t>egions</w:t>
      </w:r>
    </w:p>
    <w:p w:rsidR="00F45F41" w:rsidRDefault="00F45F41" w:rsidP="00B22442">
      <w:pPr>
        <w:spacing w:line="240" w:lineRule="auto"/>
        <w:jc w:val="center"/>
      </w:pPr>
      <w:r w:rsidRPr="00220A38">
        <w:rPr>
          <w:noProof/>
        </w:rPr>
        <w:drawing>
          <wp:inline distT="0" distB="0" distL="0" distR="0" wp14:anchorId="0A54BB65" wp14:editId="6FA5BEB9">
            <wp:extent cx="4572000" cy="246697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6FBE" w:rsidRPr="00220A38" w:rsidRDefault="00826F71" w:rsidP="00B22442">
      <w:pPr>
        <w:spacing w:line="240" w:lineRule="auto"/>
        <w:ind w:left="720"/>
        <w:rPr>
          <w:sz w:val="18"/>
          <w:szCs w:val="18"/>
        </w:rPr>
      </w:pPr>
      <w:r>
        <w:rPr>
          <w:sz w:val="18"/>
          <w:szCs w:val="18"/>
        </w:rPr>
        <w:t xml:space="preserve">    </w:t>
      </w:r>
      <w:r w:rsidR="00306FBE" w:rsidRPr="00220A38">
        <w:rPr>
          <w:sz w:val="18"/>
          <w:szCs w:val="18"/>
        </w:rPr>
        <w:t>Source: Own calculations based on data from Banco Central de Chile.</w:t>
      </w:r>
      <w:r>
        <w:rPr>
          <w:sz w:val="18"/>
          <w:szCs w:val="18"/>
        </w:rPr>
        <w:t xml:space="preserve"> F-Test value 2.874 (p=0.118)</w:t>
      </w:r>
    </w:p>
    <w:p w:rsidR="008E0384" w:rsidRDefault="008E0384" w:rsidP="00306FBE">
      <w:pPr>
        <w:spacing w:line="360" w:lineRule="auto"/>
        <w:jc w:val="both"/>
      </w:pPr>
      <w:proofErr w:type="gramStart"/>
      <w:r w:rsidRPr="00220A38">
        <w:t>regional</w:t>
      </w:r>
      <w:proofErr w:type="gramEnd"/>
      <w:r w:rsidRPr="00220A38">
        <w:t xml:space="preserve"> convergence i</w:t>
      </w:r>
      <w:r>
        <w:t xml:space="preserve">n the period at approximately 1 </w:t>
      </w:r>
      <w:r w:rsidRPr="00220A38">
        <w:t xml:space="preserve">% per year. The low explanatory power suggests that </w:t>
      </w:r>
      <w:r>
        <w:t xml:space="preserve">besides lagged income level, </w:t>
      </w:r>
      <w:r w:rsidRPr="00220A38">
        <w:t xml:space="preserve">additional structural variables can influence the growth performance of regions. </w:t>
      </w:r>
    </w:p>
    <w:p w:rsidR="007D0D35" w:rsidRDefault="006C58D2" w:rsidP="00306FBE">
      <w:pPr>
        <w:spacing w:line="360" w:lineRule="auto"/>
        <w:jc w:val="both"/>
      </w:pPr>
      <w:r>
        <w:t xml:space="preserve">To get a first impression of regional inequality levels, figure 4.4 depicts the average </w:t>
      </w:r>
      <w:r w:rsidR="0039413B">
        <w:t>Gini</w:t>
      </w:r>
      <w:r>
        <w:t xml:space="preserve"> coefficients in the period 1990-2009</w:t>
      </w:r>
      <w:r w:rsidR="00306FBE">
        <w:t xml:space="preserve"> for the regional population as a whole and for the urban and rural population separately. The </w:t>
      </w:r>
      <w:r w:rsidR="0039413B">
        <w:t>Gini</w:t>
      </w:r>
      <w:r w:rsidR="00306FBE">
        <w:t>-coefficients show considerate variability with region 13 (the metropolitan region of Santiago) standing out as by far the most unequal</w:t>
      </w:r>
      <w:r>
        <w:t xml:space="preserve"> </w:t>
      </w:r>
      <w:r w:rsidR="00306FBE">
        <w:t>when compared to the other regions. The figure also shows that most inequali</w:t>
      </w:r>
      <w:r w:rsidR="001C5C93">
        <w:t>ty levels lie in the range of 0.44 to 0.</w:t>
      </w:r>
      <w:r w:rsidR="00306FBE">
        <w:t xml:space="preserve">48 while the national </w:t>
      </w:r>
      <w:r w:rsidR="0039413B">
        <w:t>Gini</w:t>
      </w:r>
      <w:r w:rsidR="00306FBE">
        <w:t>-coeffi</w:t>
      </w:r>
      <w:r w:rsidR="001C5C93">
        <w:t>cients persistently lie above 0.</w:t>
      </w:r>
      <w:r w:rsidR="00306FBE">
        <w:t xml:space="preserve">50. Besides the fact that region 13 </w:t>
      </w:r>
      <w:r w:rsidR="001C5C93">
        <w:t>inhibits</w:t>
      </w:r>
      <w:r w:rsidR="00306FBE">
        <w:t xml:space="preserve"> almost half of the Chilean population so its higher </w:t>
      </w:r>
      <w:r w:rsidR="0039413B">
        <w:t>Gini</w:t>
      </w:r>
      <w:r w:rsidR="00306FBE">
        <w:t>-coefficient causes the national levels to rise, this also reflect</w:t>
      </w:r>
      <w:r w:rsidR="007D0D35">
        <w:t>s</w:t>
      </w:r>
      <w:r w:rsidR="00306FBE">
        <w:t xml:space="preserve"> the </w:t>
      </w:r>
    </w:p>
    <w:p w:rsidR="007D0D35" w:rsidRDefault="008E0384" w:rsidP="00B22442">
      <w:pPr>
        <w:spacing w:line="240" w:lineRule="auto"/>
        <w:jc w:val="both"/>
      </w:pPr>
      <w:proofErr w:type="gramStart"/>
      <w:r>
        <w:rPr>
          <w:i/>
        </w:rPr>
        <w:t>Figure 4.4.</w:t>
      </w:r>
      <w:proofErr w:type="gramEnd"/>
      <w:r>
        <w:rPr>
          <w:i/>
        </w:rPr>
        <w:t xml:space="preserve"> </w:t>
      </w:r>
      <w:r w:rsidR="001C5C93">
        <w:rPr>
          <w:i/>
        </w:rPr>
        <w:t xml:space="preserve">Average </w:t>
      </w:r>
      <w:r>
        <w:rPr>
          <w:i/>
        </w:rPr>
        <w:t>r</w:t>
      </w:r>
      <w:r w:rsidR="001C5C93">
        <w:rPr>
          <w:i/>
        </w:rPr>
        <w:t>egional</w:t>
      </w:r>
      <w:r>
        <w:rPr>
          <w:i/>
        </w:rPr>
        <w:t xml:space="preserve"> i</w:t>
      </w:r>
      <w:r w:rsidR="001C5C93">
        <w:rPr>
          <w:i/>
        </w:rPr>
        <w:t>nequality levels</w:t>
      </w:r>
    </w:p>
    <w:p w:rsidR="007D0D35" w:rsidRDefault="007D0D35" w:rsidP="00B22442">
      <w:pPr>
        <w:spacing w:line="240" w:lineRule="auto"/>
        <w:jc w:val="both"/>
      </w:pPr>
      <w:r w:rsidRPr="00220A38">
        <w:rPr>
          <w:noProof/>
        </w:rPr>
        <w:drawing>
          <wp:inline distT="0" distB="0" distL="0" distR="0" wp14:anchorId="44929F6A" wp14:editId="47FA880A">
            <wp:extent cx="5695950" cy="199072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0D35" w:rsidRPr="00962E90" w:rsidRDefault="007D0D35" w:rsidP="00B22442">
      <w:pPr>
        <w:spacing w:line="240" w:lineRule="auto"/>
        <w:jc w:val="both"/>
        <w:rPr>
          <w:rFonts w:eastAsiaTheme="minorEastAsia"/>
          <w:sz w:val="20"/>
          <w:szCs w:val="20"/>
        </w:rPr>
      </w:pPr>
      <w:r>
        <w:rPr>
          <w:rFonts w:eastAsiaTheme="minorEastAsia"/>
          <w:sz w:val="20"/>
          <w:szCs w:val="20"/>
        </w:rPr>
        <w:t xml:space="preserve">Source: Own calculations based on the </w:t>
      </w:r>
      <w:r w:rsidR="00CF2E4F">
        <w:rPr>
          <w:rFonts w:eastAsiaTheme="minorEastAsia"/>
          <w:sz w:val="20"/>
          <w:szCs w:val="20"/>
        </w:rPr>
        <w:t>CASEN</w:t>
      </w:r>
      <w:r>
        <w:rPr>
          <w:rFonts w:eastAsiaTheme="minorEastAsia"/>
          <w:sz w:val="20"/>
          <w:szCs w:val="20"/>
        </w:rPr>
        <w:t xml:space="preserve"> Househ</w:t>
      </w:r>
      <w:r w:rsidR="001C5C93">
        <w:rPr>
          <w:rFonts w:eastAsiaTheme="minorEastAsia"/>
          <w:sz w:val="20"/>
          <w:szCs w:val="20"/>
        </w:rPr>
        <w:t>old Survey, 1990-2009.</w:t>
      </w:r>
      <w:r>
        <w:rPr>
          <w:rFonts w:eastAsiaTheme="minorEastAsia"/>
          <w:sz w:val="20"/>
          <w:szCs w:val="20"/>
        </w:rPr>
        <w:t xml:space="preserve"> </w:t>
      </w:r>
      <w:r w:rsidR="0039413B">
        <w:rPr>
          <w:rFonts w:eastAsiaTheme="minorEastAsia"/>
          <w:sz w:val="20"/>
          <w:szCs w:val="20"/>
        </w:rPr>
        <w:t>Gini</w:t>
      </w:r>
      <w:r>
        <w:rPr>
          <w:rFonts w:eastAsiaTheme="minorEastAsia"/>
          <w:sz w:val="20"/>
          <w:szCs w:val="20"/>
        </w:rPr>
        <w:t xml:space="preserve"> levels depicted are average values over 1990-2009. </w:t>
      </w:r>
    </w:p>
    <w:p w:rsidR="00962E90" w:rsidRPr="001701D3" w:rsidRDefault="004D66E5" w:rsidP="00973528">
      <w:pPr>
        <w:spacing w:line="360" w:lineRule="auto"/>
        <w:jc w:val="both"/>
      </w:pPr>
      <w:r>
        <w:lastRenderedPageBreak/>
        <w:t>fact that the national Gini-coefficient comprises of both within-group levels (intra-regional Gini-</w:t>
      </w:r>
      <w:r w:rsidR="007D0D35">
        <w:t xml:space="preserve">coefficients) </w:t>
      </w:r>
      <w:r w:rsidR="00306FBE">
        <w:t>and the between-group levels (</w:t>
      </w:r>
      <w:r w:rsidR="00096978">
        <w:t>inter-</w:t>
      </w:r>
      <w:r w:rsidR="00306FBE">
        <w:t xml:space="preserve">regional inequality levels), suggesting that a substantial portion of the national </w:t>
      </w:r>
      <w:r w:rsidR="0039413B">
        <w:t>Gini</w:t>
      </w:r>
      <w:r w:rsidR="00306FBE">
        <w:t xml:space="preserve">-levels </w:t>
      </w:r>
      <w:r w:rsidR="00096978">
        <w:t>is due to inter</w:t>
      </w:r>
      <w:r w:rsidR="00306FBE">
        <w:t>region</w:t>
      </w:r>
      <w:r w:rsidR="00096978">
        <w:t>al</w:t>
      </w:r>
      <w:r w:rsidR="00306FBE">
        <w:t xml:space="preserve"> </w:t>
      </w:r>
      <w:r w:rsidR="00962E90">
        <w:t xml:space="preserve">income </w:t>
      </w:r>
      <w:r w:rsidR="00306FBE">
        <w:t>inequali</w:t>
      </w:r>
      <w:r w:rsidR="00306FBE" w:rsidRPr="00962E90">
        <w:t>t</w:t>
      </w:r>
      <w:r w:rsidR="00306FBE">
        <w:t>y</w:t>
      </w:r>
      <w:r w:rsidR="00096978">
        <w:t>, as also found by e.g. Contreras (1996; 2003)</w:t>
      </w:r>
      <w:r w:rsidR="00962E90">
        <w:rPr>
          <w:rStyle w:val="FootnoteReference"/>
        </w:rPr>
        <w:footnoteReference w:id="19"/>
      </w:r>
      <w:r w:rsidR="00096978">
        <w:t>.</w:t>
      </w:r>
      <w:r w:rsidR="007D0D35">
        <w:t xml:space="preserve"> </w:t>
      </w:r>
      <w:r w:rsidR="00096978">
        <w:t>These interregional differences are also apparent from table 4.2, which shows</w:t>
      </w:r>
      <w:r w:rsidR="001701D3">
        <w:t xml:space="preserve"> levels of </w:t>
      </w:r>
      <w:r w:rsidR="004C599B">
        <w:t xml:space="preserve">several </w:t>
      </w:r>
      <w:r w:rsidR="00096978">
        <w:t xml:space="preserve">relevant </w:t>
      </w:r>
      <w:r w:rsidR="004C599B">
        <w:t>variables</w:t>
      </w:r>
      <w:r w:rsidR="001701D3">
        <w:t xml:space="preserve"> for the year 2000 measured at the regional level. </w:t>
      </w:r>
      <w:r w:rsidR="00096978">
        <w:t>The differences in mean income per region are very clear. Also, t</w:t>
      </w:r>
      <w:r w:rsidR="001701D3">
        <w:t xml:space="preserve">he high level of GDP per capita of region 2 compared to its mean income stands out, which </w:t>
      </w:r>
      <w:r w:rsidR="009F19D1">
        <w:t>is</w:t>
      </w:r>
      <w:r w:rsidR="001701D3">
        <w:t xml:space="preserve"> explained by the fact that region 2 receives high investments for the extraction of copper and other</w:t>
      </w:r>
      <w:r w:rsidR="004C599B">
        <w:t xml:space="preserve"> minerals.</w:t>
      </w:r>
      <w:r w:rsidR="00096978" w:rsidRPr="00096978">
        <w:t xml:space="preserve"> </w:t>
      </w:r>
      <w:r w:rsidR="00096978">
        <w:t>The table also shows</w:t>
      </w:r>
      <w:r w:rsidR="00096978" w:rsidRPr="00096978">
        <w:t xml:space="preserve"> </w:t>
      </w:r>
      <w:r w:rsidR="00096978">
        <w:t xml:space="preserve">the small </w:t>
      </w:r>
    </w:p>
    <w:p w:rsidR="00973528" w:rsidRPr="00962E90" w:rsidRDefault="00973528" w:rsidP="00B22442">
      <w:pPr>
        <w:spacing w:line="240" w:lineRule="auto"/>
        <w:jc w:val="both"/>
        <w:rPr>
          <w:rFonts w:eastAsiaTheme="minorEastAsia"/>
          <w:i/>
        </w:rPr>
      </w:pPr>
      <w:proofErr w:type="gramStart"/>
      <w:r w:rsidRPr="00962E90">
        <w:rPr>
          <w:rFonts w:eastAsiaTheme="minorEastAsia"/>
          <w:i/>
        </w:rPr>
        <w:t>Tabel</w:t>
      </w:r>
      <w:r w:rsidR="00B169F4" w:rsidRPr="00962E90">
        <w:rPr>
          <w:rFonts w:eastAsiaTheme="minorEastAsia"/>
          <w:i/>
        </w:rPr>
        <w:t xml:space="preserve"> </w:t>
      </w:r>
      <w:r w:rsidR="00962E90" w:rsidRPr="00962E90">
        <w:rPr>
          <w:rFonts w:eastAsiaTheme="minorEastAsia"/>
          <w:i/>
        </w:rPr>
        <w:t>4.2</w:t>
      </w:r>
      <w:r w:rsidR="00B169F4" w:rsidRPr="00962E90">
        <w:rPr>
          <w:rFonts w:eastAsiaTheme="minorEastAsia"/>
          <w:i/>
        </w:rPr>
        <w:t>.</w:t>
      </w:r>
      <w:proofErr w:type="gramEnd"/>
      <w:r w:rsidR="00B169F4" w:rsidRPr="00962E90">
        <w:rPr>
          <w:rFonts w:eastAsiaTheme="minorEastAsia"/>
          <w:i/>
        </w:rPr>
        <w:t xml:space="preserve"> </w:t>
      </w:r>
      <w:r w:rsidR="008E0384">
        <w:rPr>
          <w:rFonts w:eastAsiaTheme="minorEastAsia"/>
          <w:i/>
        </w:rPr>
        <w:t>Regional v</w:t>
      </w:r>
      <w:r w:rsidR="00962E90" w:rsidRPr="00962E90">
        <w:rPr>
          <w:rFonts w:eastAsiaTheme="minorEastAsia"/>
          <w:i/>
        </w:rPr>
        <w:t>ariables, measured in 2000</w:t>
      </w:r>
      <w:r w:rsidRPr="00962E90">
        <w:rPr>
          <w:rFonts w:eastAsiaTheme="minorEastAsia"/>
          <w:i/>
        </w:rPr>
        <w:t>.</w:t>
      </w:r>
    </w:p>
    <w:tbl>
      <w:tblPr>
        <w:tblW w:w="5000" w:type="pct"/>
        <w:jc w:val="center"/>
        <w:tblLayout w:type="fixed"/>
        <w:tblLook w:val="04A0" w:firstRow="1" w:lastRow="0" w:firstColumn="1" w:lastColumn="0" w:noHBand="0" w:noVBand="1"/>
      </w:tblPr>
      <w:tblGrid>
        <w:gridCol w:w="925"/>
        <w:gridCol w:w="1233"/>
        <w:gridCol w:w="1094"/>
        <w:gridCol w:w="957"/>
        <w:gridCol w:w="1094"/>
        <w:gridCol w:w="685"/>
        <w:gridCol w:w="821"/>
        <w:gridCol w:w="821"/>
        <w:gridCol w:w="793"/>
        <w:gridCol w:w="864"/>
      </w:tblGrid>
      <w:tr w:rsidR="00C90E07" w:rsidRPr="00C90E07" w:rsidTr="00C90E07">
        <w:trPr>
          <w:trHeight w:val="315"/>
          <w:jc w:val="center"/>
        </w:trPr>
        <w:tc>
          <w:tcPr>
            <w:tcW w:w="498"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Region</w:t>
            </w:r>
          </w:p>
        </w:tc>
        <w:tc>
          <w:tcPr>
            <w:tcW w:w="664"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Populatio</w:t>
            </w:r>
            <w:r>
              <w:rPr>
                <w:rFonts w:eastAsia="Times New Roman"/>
                <w:b/>
                <w:bCs/>
                <w:color w:val="000000"/>
                <w:sz w:val="20"/>
                <w:szCs w:val="20"/>
              </w:rPr>
              <w:t>n</w:t>
            </w:r>
          </w:p>
        </w:tc>
        <w:tc>
          <w:tcPr>
            <w:tcW w:w="589"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GDP P/C</w:t>
            </w:r>
          </w:p>
        </w:tc>
        <w:tc>
          <w:tcPr>
            <w:tcW w:w="515"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Mean Income</w:t>
            </w:r>
          </w:p>
        </w:tc>
        <w:tc>
          <w:tcPr>
            <w:tcW w:w="589"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Median Income</w:t>
            </w:r>
          </w:p>
        </w:tc>
        <w:tc>
          <w:tcPr>
            <w:tcW w:w="369" w:type="pct"/>
            <w:tcBorders>
              <w:top w:val="single" w:sz="4" w:space="0" w:color="auto"/>
              <w:left w:val="nil"/>
              <w:bottom w:val="nil"/>
              <w:right w:val="nil"/>
            </w:tcBorders>
            <w:shd w:val="clear" w:color="auto" w:fill="auto"/>
            <w:noWrap/>
            <w:vAlign w:val="center"/>
            <w:hideMark/>
          </w:tcPr>
          <w:p w:rsidR="00C90E07" w:rsidRPr="00C90E07" w:rsidRDefault="0039413B" w:rsidP="00C90E07">
            <w:pPr>
              <w:spacing w:after="0" w:line="240" w:lineRule="auto"/>
              <w:jc w:val="center"/>
              <w:rPr>
                <w:rFonts w:eastAsia="Times New Roman"/>
                <w:b/>
                <w:bCs/>
                <w:color w:val="000000"/>
                <w:sz w:val="20"/>
                <w:szCs w:val="20"/>
              </w:rPr>
            </w:pPr>
            <w:r>
              <w:rPr>
                <w:rFonts w:eastAsia="Times New Roman"/>
                <w:b/>
                <w:bCs/>
                <w:color w:val="000000"/>
                <w:sz w:val="20"/>
                <w:szCs w:val="20"/>
              </w:rPr>
              <w:t>Gini</w:t>
            </w:r>
          </w:p>
        </w:tc>
        <w:tc>
          <w:tcPr>
            <w:tcW w:w="442"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P90/75</w:t>
            </w:r>
          </w:p>
        </w:tc>
        <w:tc>
          <w:tcPr>
            <w:tcW w:w="442"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P50/10</w:t>
            </w:r>
          </w:p>
        </w:tc>
        <w:tc>
          <w:tcPr>
            <w:tcW w:w="427"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Pr>
                <w:rFonts w:eastAsia="Times New Roman"/>
                <w:b/>
                <w:bCs/>
                <w:color w:val="000000"/>
                <w:sz w:val="20"/>
                <w:szCs w:val="20"/>
              </w:rPr>
              <w:t>Aver.</w:t>
            </w:r>
            <w:r w:rsidRPr="00C90E07">
              <w:rPr>
                <w:rFonts w:eastAsia="Times New Roman"/>
                <w:b/>
                <w:bCs/>
                <w:color w:val="000000"/>
                <w:sz w:val="20"/>
                <w:szCs w:val="20"/>
              </w:rPr>
              <w:t xml:space="preserve"> Educ</w:t>
            </w:r>
            <w:r>
              <w:rPr>
                <w:rFonts w:eastAsia="Times New Roman"/>
                <w:b/>
                <w:bCs/>
                <w:color w:val="000000"/>
                <w:sz w:val="20"/>
                <w:szCs w:val="20"/>
              </w:rPr>
              <w:t>.</w:t>
            </w:r>
          </w:p>
        </w:tc>
        <w:tc>
          <w:tcPr>
            <w:tcW w:w="465" w:type="pct"/>
            <w:tcBorders>
              <w:top w:val="single" w:sz="4" w:space="0" w:color="auto"/>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b/>
                <w:bCs/>
                <w:color w:val="000000"/>
                <w:sz w:val="20"/>
                <w:szCs w:val="20"/>
              </w:rPr>
            </w:pPr>
            <w:r w:rsidRPr="00C90E07">
              <w:rPr>
                <w:rFonts w:eastAsia="Times New Roman"/>
                <w:b/>
                <w:bCs/>
                <w:color w:val="000000"/>
                <w:sz w:val="20"/>
                <w:szCs w:val="20"/>
              </w:rPr>
              <w:t xml:space="preserve">HC </w:t>
            </w:r>
            <w:r w:rsidR="0039413B">
              <w:rPr>
                <w:rFonts w:eastAsia="Times New Roman"/>
                <w:b/>
                <w:bCs/>
                <w:color w:val="000000"/>
                <w:sz w:val="20"/>
                <w:szCs w:val="20"/>
              </w:rPr>
              <w:t>Gini</w:t>
            </w:r>
          </w:p>
        </w:tc>
      </w:tr>
      <w:tr w:rsidR="00C90E07" w:rsidRPr="00C90E07" w:rsidTr="00C90E07">
        <w:trPr>
          <w:trHeight w:val="315"/>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420.899</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3.989.072</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235.657</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150.001</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0.48</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2.47</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10.36</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0,27</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479.040</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6.406.778</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307.568</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205.542</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0.48</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1.68</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2.84</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10.93</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0,26</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250.731</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3.606.495</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189.967</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131.343</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0.44</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1.67</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2.62</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9.76</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0,30</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4</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606.337</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1.871.034</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218.870</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138.363</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0.50</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1.84</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2.63</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9.34</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0,34</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5</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1.542.975</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2.503.019</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250.691</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168.063</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0.47</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1.72</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2.75</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10.17</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0,29</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6</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785.763</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2.216.439</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213.785</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141.734</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1.69</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2.45</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8.8</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0,35</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7</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909.984</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1.809.041</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232.666</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131.462</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0.54</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2.57</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8.63</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0,37</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1.854.838</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2.302.799</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241.001</w:t>
            </w:r>
          </w:p>
        </w:tc>
        <w:tc>
          <w:tcPr>
            <w:tcW w:w="589" w:type="pct"/>
            <w:tcBorders>
              <w:top w:val="nil"/>
              <w:left w:val="nil"/>
              <w:bottom w:val="nil"/>
              <w:right w:val="nil"/>
            </w:tcBorders>
            <w:shd w:val="clear" w:color="auto" w:fill="auto"/>
            <w:noWrap/>
            <w:vAlign w:val="center"/>
            <w:hideMark/>
          </w:tcPr>
          <w:p w:rsidR="00C90E07" w:rsidRPr="00C90E07" w:rsidRDefault="00F009DC" w:rsidP="00F009DC">
            <w:pPr>
              <w:spacing w:after="0" w:line="240" w:lineRule="auto"/>
              <w:jc w:val="center"/>
              <w:rPr>
                <w:rFonts w:eastAsia="Times New Roman"/>
                <w:color w:val="000000"/>
                <w:sz w:val="20"/>
                <w:szCs w:val="20"/>
              </w:rPr>
            </w:pPr>
            <w:r>
              <w:rPr>
                <w:rFonts w:eastAsia="Times New Roman"/>
                <w:color w:val="000000"/>
                <w:sz w:val="20"/>
                <w:szCs w:val="20"/>
              </w:rPr>
              <w:t>128</w:t>
            </w:r>
            <w:r w:rsidR="00C90E07" w:rsidRPr="00C90E07">
              <w:rPr>
                <w:rFonts w:eastAsia="Times New Roman"/>
                <w:color w:val="000000"/>
                <w:sz w:val="20"/>
                <w:szCs w:val="20"/>
              </w:rPr>
              <w:t>.</w:t>
            </w:r>
            <w:r>
              <w:rPr>
                <w:rFonts w:eastAsia="Times New Roman"/>
                <w:color w:val="000000"/>
                <w:sz w:val="20"/>
                <w:szCs w:val="20"/>
              </w:rPr>
              <w:t>897</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1.76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2.65</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9.39</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0,34</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857.665</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1.365.373</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209.407</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111.955</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0.57</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2.03</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2.91</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8.78</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0,37</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1.063.589</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2.006.782</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197.943</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124.314</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0.49</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1.94</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2.44</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8.5</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0,36</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11</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87.277</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2.954.764</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267.826</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174.533</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0.49</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1.78</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2.71</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8.81</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0,36</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12</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138.520</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5.605.267</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371.056</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191.848</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0.54</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2.59</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2.73</w:t>
            </w:r>
          </w:p>
        </w:tc>
        <w:tc>
          <w:tcPr>
            <w:tcW w:w="427"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10.43</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0,28</w:t>
            </w:r>
          </w:p>
        </w:tc>
      </w:tr>
      <w:tr w:rsidR="00C90E07" w:rsidRPr="00C90E07" w:rsidTr="00C90E07">
        <w:trPr>
          <w:trHeight w:val="300"/>
          <w:jc w:val="center"/>
        </w:trPr>
        <w:tc>
          <w:tcPr>
            <w:tcW w:w="498"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R.M.</w:t>
            </w:r>
          </w:p>
        </w:tc>
        <w:tc>
          <w:tcPr>
            <w:tcW w:w="664"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6.115.041</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3.278.067</w:t>
            </w:r>
          </w:p>
        </w:tc>
        <w:tc>
          <w:tcPr>
            <w:tcW w:w="51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389.686</w:t>
            </w:r>
          </w:p>
        </w:tc>
        <w:tc>
          <w:tcPr>
            <w:tcW w:w="58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203.568</w:t>
            </w:r>
          </w:p>
        </w:tc>
        <w:tc>
          <w:tcPr>
            <w:tcW w:w="369"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0.56</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2.08</w:t>
            </w:r>
          </w:p>
        </w:tc>
        <w:tc>
          <w:tcPr>
            <w:tcW w:w="442"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2.62</w:t>
            </w:r>
          </w:p>
        </w:tc>
        <w:tc>
          <w:tcPr>
            <w:tcW w:w="427" w:type="pct"/>
            <w:tcBorders>
              <w:top w:val="nil"/>
              <w:left w:val="nil"/>
              <w:bottom w:val="nil"/>
              <w:right w:val="nil"/>
            </w:tcBorders>
            <w:shd w:val="clear" w:color="auto" w:fill="auto"/>
            <w:noWrap/>
            <w:vAlign w:val="bottom"/>
            <w:hideMark/>
          </w:tcPr>
          <w:p w:rsidR="00C90E07" w:rsidRPr="00C90E07" w:rsidRDefault="007D0D35" w:rsidP="007D0D35">
            <w:pPr>
              <w:spacing w:after="0" w:line="240" w:lineRule="auto"/>
              <w:jc w:val="center"/>
              <w:rPr>
                <w:rFonts w:eastAsia="Times New Roman"/>
                <w:color w:val="000000"/>
                <w:sz w:val="20"/>
                <w:szCs w:val="20"/>
              </w:rPr>
            </w:pPr>
            <w:r>
              <w:rPr>
                <w:rFonts w:eastAsia="Times New Roman"/>
                <w:color w:val="000000"/>
                <w:sz w:val="20"/>
                <w:szCs w:val="20"/>
              </w:rPr>
              <w:t>10.7</w:t>
            </w:r>
          </w:p>
        </w:tc>
        <w:tc>
          <w:tcPr>
            <w:tcW w:w="465" w:type="pct"/>
            <w:tcBorders>
              <w:top w:val="nil"/>
              <w:left w:val="nil"/>
              <w:bottom w:val="nil"/>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0,28</w:t>
            </w:r>
          </w:p>
        </w:tc>
      </w:tr>
      <w:tr w:rsidR="00C90E07" w:rsidRPr="00C90E07" w:rsidTr="00C90E07">
        <w:trPr>
          <w:trHeight w:val="300"/>
          <w:jc w:val="center"/>
        </w:trPr>
        <w:tc>
          <w:tcPr>
            <w:tcW w:w="498"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National</w:t>
            </w:r>
          </w:p>
        </w:tc>
        <w:tc>
          <w:tcPr>
            <w:tcW w:w="664"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15.112.659</w:t>
            </w:r>
          </w:p>
        </w:tc>
        <w:tc>
          <w:tcPr>
            <w:tcW w:w="589"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3.083.852</w:t>
            </w:r>
          </w:p>
        </w:tc>
        <w:tc>
          <w:tcPr>
            <w:tcW w:w="515"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296.986</w:t>
            </w:r>
          </w:p>
        </w:tc>
        <w:tc>
          <w:tcPr>
            <w:tcW w:w="589"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164.775</w:t>
            </w:r>
          </w:p>
        </w:tc>
        <w:tc>
          <w:tcPr>
            <w:tcW w:w="369"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0.55</w:t>
            </w:r>
          </w:p>
        </w:tc>
        <w:tc>
          <w:tcPr>
            <w:tcW w:w="442"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2.28</w:t>
            </w:r>
          </w:p>
        </w:tc>
        <w:tc>
          <w:tcPr>
            <w:tcW w:w="442"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1.58</w:t>
            </w:r>
          </w:p>
        </w:tc>
        <w:tc>
          <w:tcPr>
            <w:tcW w:w="427"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9.91</w:t>
            </w:r>
          </w:p>
        </w:tc>
        <w:tc>
          <w:tcPr>
            <w:tcW w:w="465" w:type="pct"/>
            <w:tcBorders>
              <w:top w:val="nil"/>
              <w:left w:val="nil"/>
              <w:bottom w:val="single" w:sz="4" w:space="0" w:color="auto"/>
              <w:right w:val="nil"/>
            </w:tcBorders>
            <w:shd w:val="clear" w:color="auto" w:fill="auto"/>
            <w:noWrap/>
            <w:vAlign w:val="center"/>
            <w:hideMark/>
          </w:tcPr>
          <w:p w:rsidR="00C90E07" w:rsidRPr="00C90E07" w:rsidRDefault="00C90E07" w:rsidP="00C90E07">
            <w:pPr>
              <w:spacing w:after="0" w:line="240" w:lineRule="auto"/>
              <w:jc w:val="center"/>
              <w:rPr>
                <w:rFonts w:eastAsia="Times New Roman"/>
                <w:color w:val="000000"/>
                <w:sz w:val="20"/>
                <w:szCs w:val="20"/>
              </w:rPr>
            </w:pPr>
            <w:r w:rsidRPr="00C90E07">
              <w:rPr>
                <w:rFonts w:eastAsia="Times New Roman"/>
                <w:color w:val="000000"/>
                <w:sz w:val="20"/>
                <w:szCs w:val="20"/>
              </w:rPr>
              <w:t>0.32</w:t>
            </w:r>
          </w:p>
        </w:tc>
      </w:tr>
    </w:tbl>
    <w:p w:rsidR="00C90E07" w:rsidRDefault="009F19D1" w:rsidP="00D334FB">
      <w:pPr>
        <w:spacing w:line="360" w:lineRule="auto"/>
        <w:jc w:val="both"/>
        <w:rPr>
          <w:rFonts w:eastAsiaTheme="minorEastAsia"/>
        </w:rPr>
      </w:pPr>
      <w:r>
        <w:rPr>
          <w:rFonts w:eastAsiaTheme="minorEastAsia"/>
          <w:sz w:val="20"/>
          <w:szCs w:val="20"/>
        </w:rPr>
        <w:t xml:space="preserve">Source: Own calculations based on the </w:t>
      </w:r>
      <w:r w:rsidR="00CF2E4F">
        <w:rPr>
          <w:rFonts w:eastAsiaTheme="minorEastAsia"/>
          <w:sz w:val="20"/>
          <w:szCs w:val="20"/>
        </w:rPr>
        <w:t>CASEN</w:t>
      </w:r>
      <w:r>
        <w:rPr>
          <w:rFonts w:eastAsiaTheme="minorEastAsia"/>
          <w:sz w:val="20"/>
          <w:szCs w:val="20"/>
        </w:rPr>
        <w:t xml:space="preserve"> Household Survey, 2000, and Central Bank of Chile. </w:t>
      </w:r>
    </w:p>
    <w:p w:rsidR="00096978" w:rsidRDefault="00A949E8" w:rsidP="00D334FB">
      <w:pPr>
        <w:spacing w:line="360" w:lineRule="auto"/>
        <w:jc w:val="both"/>
        <w:rPr>
          <w:rFonts w:eastAsiaTheme="minorEastAsia"/>
        </w:rPr>
      </w:pPr>
      <w:proofErr w:type="gramStart"/>
      <w:r>
        <w:t>p</w:t>
      </w:r>
      <w:r w:rsidR="00096978">
        <w:t>opulation</w:t>
      </w:r>
      <w:proofErr w:type="gramEnd"/>
      <w:r w:rsidR="00096978">
        <w:t xml:space="preserve"> size </w:t>
      </w:r>
      <w:r w:rsidR="009F19D1">
        <w:t>of regions 11 and 12 in the southern part of the</w:t>
      </w:r>
      <w:r w:rsidR="009F19D1">
        <w:rPr>
          <w:rFonts w:eastAsiaTheme="minorEastAsia"/>
        </w:rPr>
        <w:t xml:space="preserve"> </w:t>
      </w:r>
      <w:r w:rsidR="001701D3">
        <w:rPr>
          <w:rFonts w:eastAsiaTheme="minorEastAsia"/>
        </w:rPr>
        <w:t>country, which casts doubt about the inference possibilities of these values as explained before. Levels of inequality that stand out are similar to those in figure 4.4: regions 9, 8 and 13 are the most unequal regions in Chile.</w:t>
      </w:r>
      <w:r w:rsidR="004C599B">
        <w:rPr>
          <w:rFonts w:eastAsiaTheme="minorEastAsia"/>
        </w:rPr>
        <w:t xml:space="preserve"> The human capital </w:t>
      </w:r>
      <w:r w:rsidR="0039413B">
        <w:rPr>
          <w:rFonts w:eastAsiaTheme="minorEastAsia"/>
        </w:rPr>
        <w:t>Gini</w:t>
      </w:r>
      <w:r w:rsidR="004C599B">
        <w:rPr>
          <w:rFonts w:eastAsiaTheme="minorEastAsia"/>
        </w:rPr>
        <w:t xml:space="preserve"> in the last column correlates reasonably well with the income </w:t>
      </w:r>
      <w:r w:rsidR="0039413B">
        <w:rPr>
          <w:rFonts w:eastAsiaTheme="minorEastAsia"/>
        </w:rPr>
        <w:t>Gini</w:t>
      </w:r>
      <w:r w:rsidR="007D0D35">
        <w:rPr>
          <w:rFonts w:eastAsiaTheme="minorEastAsia"/>
        </w:rPr>
        <w:t xml:space="preserve"> coefficients: the above mentioned three regions also score relatively bad on human capital inequality, except for region 13, which is the region of Santiago. </w:t>
      </w:r>
      <w:r w:rsidR="0044700E">
        <w:rPr>
          <w:rFonts w:eastAsiaTheme="minorEastAsia"/>
        </w:rPr>
        <w:t>As can be seen in column 9,</w:t>
      </w:r>
      <w:r w:rsidR="007D0D35">
        <w:rPr>
          <w:rFonts w:eastAsiaTheme="minorEastAsia"/>
        </w:rPr>
        <w:t xml:space="preserve"> the average education level is also reasonably high in the capital. </w:t>
      </w:r>
      <w:r w:rsidR="00D334FB" w:rsidRPr="00220A38">
        <w:rPr>
          <w:rFonts w:eastAsiaTheme="minorEastAsia"/>
        </w:rPr>
        <w:t xml:space="preserve">If we look at the relationship between the human capital </w:t>
      </w:r>
      <w:r w:rsidR="0039413B">
        <w:rPr>
          <w:rFonts w:eastAsiaTheme="minorEastAsia"/>
        </w:rPr>
        <w:t>Gini</w:t>
      </w:r>
      <w:r w:rsidR="00D334FB" w:rsidRPr="00220A38">
        <w:rPr>
          <w:rFonts w:eastAsiaTheme="minorEastAsia"/>
        </w:rPr>
        <w:t xml:space="preserve"> and the human capital stock</w:t>
      </w:r>
      <w:r w:rsidR="007D0D35">
        <w:rPr>
          <w:rFonts w:eastAsiaTheme="minorEastAsia"/>
        </w:rPr>
        <w:t xml:space="preserve"> in more detail</w:t>
      </w:r>
      <w:r w:rsidR="00D334FB" w:rsidRPr="00220A38">
        <w:rPr>
          <w:rFonts w:eastAsiaTheme="minorEastAsia"/>
        </w:rPr>
        <w:t xml:space="preserve"> as in the scatterplot in figure </w:t>
      </w:r>
      <w:r w:rsidR="00AE39AD">
        <w:rPr>
          <w:rFonts w:eastAsiaTheme="minorEastAsia"/>
        </w:rPr>
        <w:t>4</w:t>
      </w:r>
      <w:r w:rsidR="00D334FB" w:rsidRPr="00220A38">
        <w:rPr>
          <w:rFonts w:eastAsiaTheme="minorEastAsia"/>
        </w:rPr>
        <w:t>.</w:t>
      </w:r>
      <w:r w:rsidR="00A10868">
        <w:rPr>
          <w:rFonts w:eastAsiaTheme="minorEastAsia"/>
        </w:rPr>
        <w:t>6</w:t>
      </w:r>
      <w:r w:rsidR="00D334FB" w:rsidRPr="00220A38">
        <w:rPr>
          <w:rFonts w:eastAsiaTheme="minorEastAsia"/>
        </w:rPr>
        <w:t xml:space="preserve">, the negative relationship between the two variables is apparent. </w:t>
      </w:r>
      <w:r w:rsidR="001701D3">
        <w:rPr>
          <w:rFonts w:eastAsiaTheme="minorEastAsia"/>
        </w:rPr>
        <w:t>The figure contains all possible values in the sample</w:t>
      </w:r>
      <w:r w:rsidR="0044700E">
        <w:rPr>
          <w:rFonts w:eastAsiaTheme="minorEastAsia"/>
        </w:rPr>
        <w:t xml:space="preserve"> (1990-2009)</w:t>
      </w:r>
      <w:r w:rsidR="001701D3">
        <w:rPr>
          <w:rFonts w:eastAsiaTheme="minorEastAsia"/>
        </w:rPr>
        <w:t xml:space="preserve"> and </w:t>
      </w:r>
      <w:r w:rsidR="00794467">
        <w:rPr>
          <w:rFonts w:eastAsiaTheme="minorEastAsia"/>
        </w:rPr>
        <w:t>shows a negative relationship</w:t>
      </w:r>
      <w:r w:rsidR="00096978">
        <w:rPr>
          <w:rFonts w:eastAsiaTheme="minorEastAsia"/>
        </w:rPr>
        <w:t>, which is also found by Casti</w:t>
      </w:r>
      <w:r w:rsidR="00016873">
        <w:rPr>
          <w:rFonts w:eastAsiaTheme="minorEastAsia"/>
        </w:rPr>
        <w:t xml:space="preserve">llo-Clement and Domenech (2002, </w:t>
      </w:r>
      <w:r w:rsidR="00794467">
        <w:rPr>
          <w:rFonts w:eastAsiaTheme="minorEastAsia"/>
        </w:rPr>
        <w:t>2008).</w:t>
      </w:r>
    </w:p>
    <w:p w:rsidR="00D334FB" w:rsidRPr="00AE39AD" w:rsidRDefault="00D334FB" w:rsidP="00B22442">
      <w:pPr>
        <w:spacing w:line="240" w:lineRule="auto"/>
        <w:jc w:val="both"/>
        <w:rPr>
          <w:rFonts w:eastAsiaTheme="minorEastAsia"/>
          <w:i/>
        </w:rPr>
      </w:pPr>
      <w:proofErr w:type="gramStart"/>
      <w:r w:rsidRPr="00AE39AD">
        <w:rPr>
          <w:rFonts w:eastAsiaTheme="minorEastAsia"/>
          <w:i/>
        </w:rPr>
        <w:lastRenderedPageBreak/>
        <w:t xml:space="preserve">Figure </w:t>
      </w:r>
      <w:r w:rsidR="00AE39AD" w:rsidRPr="00AE39AD">
        <w:rPr>
          <w:rFonts w:eastAsiaTheme="minorEastAsia"/>
          <w:i/>
        </w:rPr>
        <w:t>4</w:t>
      </w:r>
      <w:r w:rsidRPr="00AE39AD">
        <w:rPr>
          <w:rFonts w:eastAsiaTheme="minorEastAsia"/>
          <w:i/>
        </w:rPr>
        <w:t>.</w:t>
      </w:r>
      <w:r w:rsidR="008E0384">
        <w:rPr>
          <w:rFonts w:eastAsiaTheme="minorEastAsia"/>
          <w:i/>
        </w:rPr>
        <w:t>6.</w:t>
      </w:r>
      <w:proofErr w:type="gramEnd"/>
      <w:r w:rsidR="008E0384">
        <w:rPr>
          <w:rFonts w:eastAsiaTheme="minorEastAsia"/>
          <w:i/>
        </w:rPr>
        <w:t xml:space="preserve"> </w:t>
      </w:r>
      <w:r w:rsidR="008E0384">
        <w:rPr>
          <w:i/>
        </w:rPr>
        <w:t>Human c</w:t>
      </w:r>
      <w:r w:rsidR="008E0384" w:rsidRPr="008E0384">
        <w:rPr>
          <w:i/>
        </w:rPr>
        <w:t xml:space="preserve">apital: </w:t>
      </w:r>
      <w:r w:rsidR="008E0384">
        <w:rPr>
          <w:i/>
        </w:rPr>
        <w:t>i</w:t>
      </w:r>
      <w:r w:rsidR="008E0384" w:rsidRPr="008E0384">
        <w:rPr>
          <w:i/>
        </w:rPr>
        <w:t xml:space="preserve">nequality vs </w:t>
      </w:r>
      <w:r w:rsidR="008E0384">
        <w:rPr>
          <w:i/>
        </w:rPr>
        <w:t>s</w:t>
      </w:r>
      <w:r w:rsidR="008E0384" w:rsidRPr="008E0384">
        <w:rPr>
          <w:i/>
        </w:rPr>
        <w:t>tock¹</w:t>
      </w:r>
    </w:p>
    <w:p w:rsidR="00D334FB" w:rsidRPr="00220A38" w:rsidRDefault="00D334FB" w:rsidP="00B22442">
      <w:pPr>
        <w:spacing w:line="240" w:lineRule="auto"/>
        <w:jc w:val="center"/>
        <w:rPr>
          <w:rFonts w:eastAsiaTheme="minorEastAsia"/>
        </w:rPr>
      </w:pPr>
      <w:r w:rsidRPr="00220A38">
        <w:rPr>
          <w:noProof/>
        </w:rPr>
        <w:drawing>
          <wp:inline distT="0" distB="0" distL="0" distR="0" wp14:anchorId="7141BC00" wp14:editId="01D63A13">
            <wp:extent cx="5705475" cy="18669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34FB" w:rsidRDefault="00D334FB" w:rsidP="00B22442">
      <w:pPr>
        <w:pStyle w:val="NoSpacing"/>
        <w:jc w:val="both"/>
        <w:rPr>
          <w:sz w:val="18"/>
          <w:szCs w:val="18"/>
        </w:rPr>
      </w:pPr>
      <w:r w:rsidRPr="00220A38">
        <w:rPr>
          <w:sz w:val="18"/>
          <w:szCs w:val="18"/>
        </w:rPr>
        <w:t xml:space="preserve">Source: own calculations based on </w:t>
      </w:r>
      <w:r w:rsidR="00CF2E4F">
        <w:rPr>
          <w:sz w:val="18"/>
          <w:szCs w:val="18"/>
        </w:rPr>
        <w:t>CASEN</w:t>
      </w:r>
      <w:r w:rsidRPr="00220A38">
        <w:rPr>
          <w:sz w:val="18"/>
          <w:szCs w:val="18"/>
        </w:rPr>
        <w:t xml:space="preserve"> 1990-2009. Note: (1) Scatterplot includes all 13 regions of Chile with 9 observations from 1990-2009. </w:t>
      </w:r>
    </w:p>
    <w:p w:rsidR="008E0384" w:rsidRDefault="008E0384" w:rsidP="008E0384">
      <w:pPr>
        <w:pStyle w:val="NoSpacing"/>
        <w:spacing w:line="360" w:lineRule="auto"/>
        <w:jc w:val="both"/>
        <w:rPr>
          <w:sz w:val="18"/>
          <w:szCs w:val="18"/>
        </w:rPr>
      </w:pPr>
    </w:p>
    <w:p w:rsidR="008E0384" w:rsidRDefault="008E0384" w:rsidP="008E0384">
      <w:pPr>
        <w:pStyle w:val="NoSpacing"/>
        <w:spacing w:line="360" w:lineRule="auto"/>
        <w:jc w:val="both"/>
        <w:rPr>
          <w:rFonts w:eastAsiaTheme="minorEastAsia"/>
        </w:rPr>
      </w:pPr>
      <w:r>
        <w:rPr>
          <w:rFonts w:eastAsiaTheme="minorEastAsia"/>
        </w:rPr>
        <w:t>They however find a larger variance per average education level, which could be due to the fact that they consider multiple countries in their sample with differing e</w:t>
      </w:r>
      <w:r w:rsidR="00794467">
        <w:rPr>
          <w:rFonts w:eastAsiaTheme="minorEastAsia"/>
        </w:rPr>
        <w:t>ducational government policies.</w:t>
      </w:r>
    </w:p>
    <w:p w:rsidR="00AC3934" w:rsidRDefault="00AC3934" w:rsidP="008E0384">
      <w:pPr>
        <w:pStyle w:val="NoSpacing"/>
        <w:spacing w:line="360" w:lineRule="auto"/>
        <w:jc w:val="both"/>
        <w:rPr>
          <w:sz w:val="18"/>
          <w:szCs w:val="18"/>
        </w:rPr>
      </w:pPr>
    </w:p>
    <w:p w:rsidR="00AE39AD" w:rsidRDefault="00AE39AD" w:rsidP="00D334FB">
      <w:pPr>
        <w:pStyle w:val="NoSpacing"/>
        <w:jc w:val="both"/>
        <w:rPr>
          <w:sz w:val="18"/>
          <w:szCs w:val="18"/>
        </w:rPr>
      </w:pPr>
    </w:p>
    <w:p w:rsidR="00BB3A73" w:rsidRPr="00ED5D7E" w:rsidRDefault="00BB3A73" w:rsidP="00ED5D7E">
      <w:pPr>
        <w:pStyle w:val="ListParagraph"/>
        <w:numPr>
          <w:ilvl w:val="0"/>
          <w:numId w:val="33"/>
        </w:numPr>
        <w:spacing w:line="360" w:lineRule="auto"/>
        <w:jc w:val="both"/>
        <w:rPr>
          <w:b/>
          <w:lang w:val="nl-NL"/>
        </w:rPr>
      </w:pPr>
      <w:r w:rsidRPr="00ED5D7E">
        <w:rPr>
          <w:b/>
          <w:lang w:val="nl-NL"/>
        </w:rPr>
        <w:t>Methodology</w:t>
      </w:r>
    </w:p>
    <w:p w:rsidR="00FB023E" w:rsidRPr="00220A38" w:rsidRDefault="00D516A4" w:rsidP="00B11094">
      <w:pPr>
        <w:spacing w:line="360" w:lineRule="auto"/>
        <w:jc w:val="both"/>
      </w:pPr>
      <w:r w:rsidRPr="00220A38">
        <w:t xml:space="preserve">To empirically asses </w:t>
      </w:r>
      <w:r w:rsidR="005F3550" w:rsidRPr="00220A38">
        <w:t xml:space="preserve">my hypotheses formulated in the introduction, several </w:t>
      </w:r>
      <w:r w:rsidR="00FB5C1E">
        <w:t xml:space="preserve">crossection- and </w:t>
      </w:r>
      <w:r w:rsidR="005F3550" w:rsidRPr="00220A38">
        <w:t>panel data regressions are conducted using the data described in section 3.</w:t>
      </w:r>
      <w:r w:rsidR="007508AA">
        <w:t xml:space="preserve"> First, I </w:t>
      </w:r>
      <w:r w:rsidR="005F3550" w:rsidRPr="00220A38">
        <w:t xml:space="preserve">will discuss the empirical setup used to test for the </w:t>
      </w:r>
      <w:r w:rsidR="00FD729C" w:rsidRPr="00220A38">
        <w:t>presence of an inverted-U curve in the development process of Chilean regions</w:t>
      </w:r>
      <w:r w:rsidR="007508AA">
        <w:t xml:space="preserve">. Secondly, </w:t>
      </w:r>
      <w:r w:rsidR="005F3550" w:rsidRPr="00220A38">
        <w:t>the one chosen to shed light on the inequality- growth relations</w:t>
      </w:r>
      <w:r w:rsidR="007508AA">
        <w:t>hip will be introduced.</w:t>
      </w:r>
      <w:r w:rsidR="005F3550" w:rsidRPr="00220A38">
        <w:t xml:space="preserve"> </w:t>
      </w:r>
    </w:p>
    <w:p w:rsidR="00467DBB" w:rsidRPr="00ED5D7E" w:rsidRDefault="00280E78" w:rsidP="00ED5D7E">
      <w:pPr>
        <w:pStyle w:val="ListParagraph"/>
        <w:numPr>
          <w:ilvl w:val="1"/>
          <w:numId w:val="35"/>
        </w:numPr>
        <w:spacing w:line="360" w:lineRule="auto"/>
        <w:jc w:val="both"/>
        <w:rPr>
          <w:b/>
        </w:rPr>
      </w:pPr>
      <w:r w:rsidRPr="00ED5D7E">
        <w:rPr>
          <w:b/>
        </w:rPr>
        <w:t>Estimating the Kuznets Curve</w:t>
      </w:r>
    </w:p>
    <w:p w:rsidR="00164B33" w:rsidRPr="00220A38" w:rsidRDefault="005F3550" w:rsidP="00B11094">
      <w:pPr>
        <w:spacing w:line="360" w:lineRule="auto"/>
        <w:jc w:val="both"/>
      </w:pPr>
      <w:r w:rsidRPr="00220A38">
        <w:t>As discussed in section 2.</w:t>
      </w:r>
      <w:r w:rsidR="00DC1B68" w:rsidRPr="00220A38">
        <w:t xml:space="preserve">2, most estimations of a Kuznets type relationship </w:t>
      </w:r>
      <w:r w:rsidR="00FD729C" w:rsidRPr="00220A38">
        <w:t xml:space="preserve">between the level of development and the inequality of the income distribution are performed by </w:t>
      </w:r>
      <w:proofErr w:type="gramStart"/>
      <w:r w:rsidR="00FD729C" w:rsidRPr="00220A38">
        <w:t>regressing</w:t>
      </w:r>
      <w:proofErr w:type="gramEnd"/>
      <w:r w:rsidR="00FD729C" w:rsidRPr="00220A38">
        <w:t xml:space="preserve"> </w:t>
      </w:r>
      <w:r w:rsidR="00DC1B68" w:rsidRPr="00220A38">
        <w:t xml:space="preserve">an inequality measure as the dependent variable on a measure of economic development and on its squared </w:t>
      </w:r>
      <w:r w:rsidR="00627364" w:rsidRPr="00220A38">
        <w:t xml:space="preserve">or inverse </w:t>
      </w:r>
      <w:r w:rsidR="00DC1B68" w:rsidRPr="00220A38">
        <w:t>value</w:t>
      </w:r>
      <w:r w:rsidR="007508AA">
        <w:t>,</w:t>
      </w:r>
      <w:r w:rsidR="00DC1B68" w:rsidRPr="00220A38">
        <w:t xml:space="preserve"> to account for the shape of the </w:t>
      </w:r>
      <w:r w:rsidR="00FD729C" w:rsidRPr="00220A38">
        <w:t>assumed curve. Since my data</w:t>
      </w:r>
      <w:r w:rsidR="007508AA">
        <w:t>set</w:t>
      </w:r>
      <w:r w:rsidR="00FD729C" w:rsidRPr="00220A38">
        <w:t xml:space="preserve"> cover</w:t>
      </w:r>
      <w:r w:rsidR="007508AA">
        <w:t>s</w:t>
      </w:r>
      <w:r w:rsidR="00FD729C" w:rsidRPr="00220A38">
        <w:t xml:space="preserve"> Chilean regions from 1990 to 2009, I do not expect to detect the whole Kuznets curve in my data</w:t>
      </w:r>
      <w:r w:rsidR="000D3230" w:rsidRPr="00220A38">
        <w:t xml:space="preserve"> for all regions</w:t>
      </w:r>
      <w:r w:rsidR="00FD729C" w:rsidRPr="00220A38">
        <w:t>. That is, the turning point of economic development which results in lower inequality in the income distribution could also lie in the past</w:t>
      </w:r>
      <w:r w:rsidR="00834D18" w:rsidRPr="00220A38">
        <w:t xml:space="preserve">, resulting in a negative relationship between the level of development and an inequality measure. It could also be the fact that regions are still experiencing increasing inequality while they develop, positing them on the upward slope of the Kuznets curve as depicted in figure 2.1. </w:t>
      </w:r>
      <w:r w:rsidR="00E814F6">
        <w:t xml:space="preserve"> To first check if all countries follow the same Kuznets curve, </w:t>
      </w:r>
      <w:r w:rsidR="00E52358">
        <w:t xml:space="preserve">I will </w:t>
      </w:r>
      <w:r w:rsidR="00AE39AD">
        <w:t xml:space="preserve">perform a </w:t>
      </w:r>
      <w:r w:rsidR="00CC3DC5">
        <w:t>panel least squares</w:t>
      </w:r>
      <w:r w:rsidR="00845808">
        <w:t xml:space="preserve"> </w:t>
      </w:r>
      <w:r w:rsidR="00AE39AD">
        <w:t xml:space="preserve">regression which is common in the literature using </w:t>
      </w:r>
      <w:r w:rsidR="00164B33" w:rsidRPr="00220A38">
        <w:t xml:space="preserve">the following </w:t>
      </w:r>
      <w:r w:rsidR="003F6259" w:rsidRPr="00220A38">
        <w:t>specification:</w:t>
      </w:r>
    </w:p>
    <w:p w:rsidR="00627364" w:rsidRPr="00220A38" w:rsidRDefault="00164B33" w:rsidP="00B11094">
      <w:pPr>
        <w:spacing w:line="360" w:lineRule="auto"/>
        <w:jc w:val="both"/>
        <w:rPr>
          <w:rFonts w:eastAsiaTheme="minorEastAsia"/>
        </w:rPr>
      </w:pPr>
      <w:r w:rsidRPr="00220A38">
        <w:rPr>
          <w:rFonts w:eastAsiaTheme="minorEastAsia"/>
        </w:rPr>
        <w:t xml:space="preserve"> </w:t>
      </w:r>
      <w:r w:rsidR="00627364" w:rsidRPr="00220A38">
        <w:rPr>
          <w:rFonts w:eastAsiaTheme="minorEastAsia"/>
        </w:rPr>
        <w:t>(5.1)</w:t>
      </w:r>
      <w:r w:rsidR="00627364" w:rsidRPr="00220A38">
        <w:rPr>
          <w:rFonts w:eastAsiaTheme="minorEastAsia"/>
        </w:rPr>
        <w:tab/>
      </w:r>
      <w:r w:rsidR="00627364" w:rsidRPr="00220A38">
        <w:rPr>
          <w:rFonts w:eastAsiaTheme="minorEastAsia"/>
        </w:rPr>
        <w:tab/>
      </w:r>
      <w:r w:rsidR="00627364" w:rsidRPr="00220A38">
        <w:rPr>
          <w:rFonts w:eastAsiaTheme="minorEastAsia"/>
        </w:rPr>
        <w:tab/>
      </w:r>
      <w:r w:rsidR="00627364" w:rsidRPr="00220A38">
        <w:rPr>
          <w:rFonts w:eastAsiaTheme="minorEastAsia"/>
        </w:rPr>
        <w:tab/>
      </w:r>
      <m:oMath>
        <m:sSub>
          <m:sSubPr>
            <m:ctrlPr>
              <w:rPr>
                <w:rFonts w:ascii="Cambria Math" w:hAnsi="Cambria Math"/>
                <w:i/>
              </w:rPr>
            </m:ctrlPr>
          </m:sSubPr>
          <m:e>
            <m:r>
              <w:rPr>
                <w:rFonts w:ascii="Cambria Math" w:hAnsi="Cambria Math"/>
              </w:rPr>
              <m:t>INEQ</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sSubSup>
          <m:sSubSupPr>
            <m:ctrlPr>
              <w:rPr>
                <w:rFonts w:ascii="Cambria Math" w:hAnsi="Cambria Math"/>
                <w:i/>
              </w:rPr>
            </m:ctrlPr>
          </m:sSubSupPr>
          <m:e>
            <m:r>
              <w:rPr>
                <w:rFonts w:ascii="Cambria Math" w:hAnsi="Cambria Math"/>
              </w:rPr>
              <m:t>Y</m:t>
            </m:r>
          </m:e>
          <m:sub>
            <m:r>
              <w:rPr>
                <w:rFonts w:ascii="Cambria Math" w:hAnsi="Cambria Math"/>
              </w:rPr>
              <m:t>r,t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t</m:t>
            </m:r>
          </m:sub>
        </m:sSub>
        <m:r>
          <w:rPr>
            <w:rFonts w:ascii="Cambria Math" w:hAnsi="Cambria Math"/>
          </w:rPr>
          <m:t>+</m:t>
        </m:r>
      </m:oMath>
      <w:r w:rsidR="00627364" w:rsidRPr="00220A38">
        <w:rPr>
          <w:rFonts w:eastAsiaTheme="minorEastAsia"/>
        </w:rPr>
        <w:t xml:space="preserve"> </w:t>
      </w:r>
      <m:oMath>
        <m:sSub>
          <m:sSubPr>
            <m:ctrlPr>
              <w:rPr>
                <w:rFonts w:ascii="Cambria Math" w:hAnsi="Cambria Math"/>
                <w:i/>
              </w:rPr>
            </m:ctrlPr>
          </m:sSubPr>
          <m:e>
            <m:r>
              <w:rPr>
                <w:rFonts w:ascii="Cambria Math" w:hAnsi="Cambria Math"/>
              </w:rPr>
              <m:t>ε</m:t>
            </m:r>
          </m:e>
          <m:sub>
            <m:r>
              <w:rPr>
                <w:rFonts w:ascii="Cambria Math" w:hAnsi="Cambria Math"/>
              </w:rPr>
              <m:t>r,t</m:t>
            </m:r>
          </m:sub>
        </m:sSub>
      </m:oMath>
      <w:r w:rsidR="00627364" w:rsidRPr="00220A38">
        <w:rPr>
          <w:rFonts w:eastAsiaTheme="minorEastAsia"/>
        </w:rPr>
        <w:t>.</w:t>
      </w:r>
    </w:p>
    <w:p w:rsidR="00D516A4" w:rsidRPr="00220A38" w:rsidRDefault="00FB5C1E" w:rsidP="00B11094">
      <w:pPr>
        <w:spacing w:line="360" w:lineRule="auto"/>
        <w:jc w:val="both"/>
      </w:pPr>
      <w:r>
        <w:lastRenderedPageBreak/>
        <w:t>An</w:t>
      </w:r>
      <w:r w:rsidR="003F6259" w:rsidRPr="00220A38">
        <w:t xml:space="preserve"> inequality indicator </w:t>
      </w:r>
      <w:r w:rsidR="008A64C9" w:rsidRPr="00220A38">
        <w:t>(</w:t>
      </w:r>
      <w:r>
        <w:rPr>
          <w:i/>
        </w:rPr>
        <w:t>INEQ</w:t>
      </w:r>
      <w:r w:rsidR="008A64C9" w:rsidRPr="00220A38">
        <w:t xml:space="preserve">) </w:t>
      </w:r>
      <w:r w:rsidR="003F6259" w:rsidRPr="00220A38">
        <w:t>is regressed on an income measure</w:t>
      </w:r>
      <w:r w:rsidR="008A64C9" w:rsidRPr="00220A38">
        <w:t xml:space="preserve"> (</w:t>
      </w:r>
      <w:r w:rsidR="008A64C9" w:rsidRPr="00220A38">
        <w:rPr>
          <w:i/>
        </w:rPr>
        <w:t>Y</w:t>
      </w:r>
      <w:r w:rsidR="008A64C9" w:rsidRPr="00220A38">
        <w:t xml:space="preserve">) </w:t>
      </w:r>
      <w:r w:rsidR="003F6259" w:rsidRPr="00220A38">
        <w:t xml:space="preserve">and on this </w:t>
      </w:r>
      <w:r w:rsidR="008A64C9" w:rsidRPr="00220A38">
        <w:t>income measure squared</w:t>
      </w:r>
      <w:r w:rsidR="009B7D6D" w:rsidRPr="00220A38">
        <w:t xml:space="preserve">, where </w:t>
      </w:r>
      <w:r w:rsidR="00F35F00">
        <w:rPr>
          <w:i/>
        </w:rPr>
        <w:t>b</w:t>
      </w:r>
      <w:r w:rsidR="009B7D6D" w:rsidRPr="00220A38">
        <w:t xml:space="preserve"> is expected to have a positive sign and </w:t>
      </w:r>
      <w:r w:rsidR="00F35F00">
        <w:rPr>
          <w:i/>
        </w:rPr>
        <w:t>c</w:t>
      </w:r>
      <w:r w:rsidR="009B7D6D" w:rsidRPr="00220A38">
        <w:t xml:space="preserve"> a negative sign. </w:t>
      </w:r>
      <m:oMath>
        <m:sSub>
          <m:sSubPr>
            <m:ctrlPr>
              <w:rPr>
                <w:rFonts w:ascii="Cambria Math" w:hAnsi="Cambria Math"/>
                <w:i/>
              </w:rPr>
            </m:ctrlPr>
          </m:sSubPr>
          <m:e>
            <m:r>
              <w:rPr>
                <w:rFonts w:ascii="Cambria Math" w:hAnsi="Cambria Math"/>
              </w:rPr>
              <m:t>ζ</m:t>
            </m:r>
          </m:e>
          <m:sub>
            <m:r>
              <w:rPr>
                <w:rFonts w:ascii="Cambria Math" w:hAnsi="Cambria Math"/>
              </w:rPr>
              <m:t>t</m:t>
            </m:r>
          </m:sub>
        </m:sSub>
      </m:oMath>
      <w:r w:rsidR="00845808">
        <w:rPr>
          <w:rFonts w:eastAsiaTheme="minorEastAsia"/>
        </w:rPr>
        <w:t xml:space="preserve"> </w:t>
      </w:r>
      <w:proofErr w:type="gramStart"/>
      <w:r w:rsidR="00845808">
        <w:rPr>
          <w:rFonts w:eastAsiaTheme="minorEastAsia"/>
        </w:rPr>
        <w:t>represents</w:t>
      </w:r>
      <w:proofErr w:type="gramEnd"/>
      <w:r w:rsidR="00845808">
        <w:rPr>
          <w:rFonts w:eastAsiaTheme="minorEastAsia"/>
        </w:rPr>
        <w:t xml:space="preserve"> time-dummies  and the remaining error term is </w:t>
      </w:r>
      <m:oMath>
        <m:sSub>
          <m:sSubPr>
            <m:ctrlPr>
              <w:rPr>
                <w:rFonts w:ascii="Cambria Math" w:hAnsi="Cambria Math"/>
                <w:i/>
              </w:rPr>
            </m:ctrlPr>
          </m:sSubPr>
          <m:e>
            <m:r>
              <w:rPr>
                <w:rFonts w:ascii="Cambria Math" w:hAnsi="Cambria Math"/>
              </w:rPr>
              <m:t>ε</m:t>
            </m:r>
          </m:e>
          <m:sub>
            <m:r>
              <w:rPr>
                <w:rFonts w:ascii="Cambria Math" w:hAnsi="Cambria Math"/>
              </w:rPr>
              <m:t>r,t</m:t>
            </m:r>
          </m:sub>
        </m:sSub>
      </m:oMath>
      <w:r w:rsidR="00845808">
        <w:rPr>
          <w:rFonts w:eastAsiaTheme="minorEastAsia"/>
        </w:rPr>
        <w:t xml:space="preserve">. Due to the inclusion of time-dummies, equation 5.1 only focusses on the </w:t>
      </w:r>
      <w:r w:rsidR="00B23C73">
        <w:rPr>
          <w:rFonts w:eastAsiaTheme="minorEastAsia"/>
        </w:rPr>
        <w:t>cross-regional variation</w:t>
      </w:r>
      <w:r w:rsidR="00845808">
        <w:rPr>
          <w:rFonts w:eastAsiaTheme="minorEastAsia"/>
        </w:rPr>
        <w:t xml:space="preserve">. </w:t>
      </w:r>
      <w:r w:rsidR="007508AA">
        <w:t xml:space="preserve">As </w:t>
      </w:r>
      <w:r w:rsidR="0044700E">
        <w:t>income measure</w:t>
      </w:r>
      <w:r w:rsidR="007508AA">
        <w:t>,</w:t>
      </w:r>
      <w:r w:rsidR="0044700E">
        <w:t xml:space="preserve"> I will </w:t>
      </w:r>
      <w:r w:rsidR="00E814F6">
        <w:t>use both</w:t>
      </w:r>
      <w:r w:rsidR="00AE39AD">
        <w:t xml:space="preserve"> the GDP per capita levels </w:t>
      </w:r>
      <w:r w:rsidR="007508AA">
        <w:t>and</w:t>
      </w:r>
      <w:r w:rsidR="0044700E">
        <w:t xml:space="preserve"> the mean monthly income levels. </w:t>
      </w:r>
      <w:r w:rsidR="00B266CB">
        <w:t xml:space="preserve">The income level corresponding to the turning point in equation 5.1 equals </w:t>
      </w:r>
      <w:r w:rsidR="00B266CB" w:rsidRPr="00B266CB">
        <w:rPr>
          <w:i/>
        </w:rPr>
        <w:t>–</w:t>
      </w:r>
      <w:r w:rsidR="00253F39">
        <w:rPr>
          <w:i/>
        </w:rPr>
        <w:t>c</w:t>
      </w:r>
      <w:r w:rsidR="00B266CB" w:rsidRPr="00B266CB">
        <w:rPr>
          <w:i/>
        </w:rPr>
        <w:t>/2</w:t>
      </w:r>
      <w:r w:rsidR="00253F39">
        <w:rPr>
          <w:i/>
        </w:rPr>
        <w:t>b</w:t>
      </w:r>
      <w:r w:rsidR="00B266CB">
        <w:rPr>
          <w:i/>
        </w:rPr>
        <w:t xml:space="preserve">. </w:t>
      </w:r>
      <w:r w:rsidR="008A64C9" w:rsidRPr="00220A38">
        <w:t xml:space="preserve">Besides using this specification, I </w:t>
      </w:r>
      <w:r w:rsidR="00270B84">
        <w:t xml:space="preserve">will </w:t>
      </w:r>
      <w:r w:rsidR="008A64C9" w:rsidRPr="00220A38">
        <w:t>also use the functional form proposed by Anand and Kanbur (1993), which takes the inverse of the income variable instead</w:t>
      </w:r>
      <w:r w:rsidR="000D3230" w:rsidRPr="00220A38">
        <w:t>:</w:t>
      </w:r>
    </w:p>
    <w:p w:rsidR="00EB6AF3" w:rsidRPr="00220A38" w:rsidRDefault="000D3230" w:rsidP="00B11094">
      <w:pPr>
        <w:spacing w:line="360" w:lineRule="auto"/>
        <w:jc w:val="both"/>
        <w:rPr>
          <w:rFonts w:eastAsiaTheme="minorEastAsia"/>
        </w:rPr>
      </w:pPr>
      <w:r w:rsidRPr="00220A38">
        <w:t>(5.2)</w:t>
      </w:r>
      <w:r w:rsidRPr="00220A38">
        <w:tab/>
      </w:r>
      <w:r w:rsidRPr="00220A38">
        <w:tab/>
      </w:r>
      <w:r w:rsidRPr="00220A38">
        <w:tab/>
      </w:r>
      <w:r w:rsidRPr="00220A38">
        <w:tab/>
      </w:r>
      <m:oMath>
        <m:sSub>
          <m:sSubPr>
            <m:ctrlPr>
              <w:rPr>
                <w:rFonts w:ascii="Cambria Math" w:hAnsi="Cambria Math"/>
                <w:i/>
              </w:rPr>
            </m:ctrlPr>
          </m:sSubPr>
          <m:e>
            <m:r>
              <w:rPr>
                <w:rFonts w:ascii="Cambria Math" w:hAnsi="Cambria Math"/>
              </w:rPr>
              <m:t>INE</m:t>
            </m:r>
            <m:r>
              <w:rPr>
                <w:rFonts w:ascii="Cambria Math" w:hAnsi="Cambria Math"/>
              </w:rPr>
              <m:t>Q</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r,t</m:t>
                    </m:r>
                  </m:sub>
                </m:sSub>
              </m:den>
            </m:f>
          </m:e>
        </m:d>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t</m:t>
            </m:r>
          </m:sub>
        </m:sSub>
        <m:r>
          <w:rPr>
            <w:rFonts w:ascii="Cambria Math" w:hAnsi="Cambria Math"/>
          </w:rPr>
          <m:t>+</m:t>
        </m:r>
      </m:oMath>
      <w:r w:rsidR="00845808" w:rsidRPr="00220A38">
        <w:rPr>
          <w:rFonts w:eastAsiaTheme="minorEastAsia"/>
        </w:rPr>
        <w:t xml:space="preserve">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00845808" w:rsidRPr="00220A38">
        <w:rPr>
          <w:rFonts w:eastAsiaTheme="minorEastAsia"/>
        </w:rPr>
        <w:t>.</w:t>
      </w:r>
    </w:p>
    <w:p w:rsidR="00FB5C1E" w:rsidRDefault="00B93E03" w:rsidP="00B11094">
      <w:pPr>
        <w:spacing w:line="360" w:lineRule="auto"/>
        <w:jc w:val="both"/>
        <w:rPr>
          <w:rFonts w:eastAsiaTheme="minorEastAsia"/>
        </w:rPr>
      </w:pPr>
      <w:r w:rsidRPr="00220A38">
        <w:rPr>
          <w:rFonts w:eastAsiaTheme="minorEastAsia"/>
        </w:rPr>
        <w:t>Note that now the Kuznets curve is found if both</w:t>
      </w:r>
      <m:oMath>
        <m:r>
          <w:rPr>
            <w:rFonts w:ascii="Cambria Math" w:hAnsi="Cambria Math"/>
          </w:rPr>
          <m:t xml:space="preserve"> b </m:t>
        </m:r>
      </m:oMath>
      <w:r w:rsidRPr="00220A38">
        <w:rPr>
          <w:rFonts w:eastAsiaTheme="minorEastAsia"/>
        </w:rPr>
        <w:t xml:space="preserve">and </w:t>
      </w:r>
      <m:oMath>
        <m:r>
          <w:rPr>
            <w:rFonts w:ascii="Cambria Math" w:hAnsi="Cambria Math"/>
          </w:rPr>
          <m:t>c</m:t>
        </m:r>
      </m:oMath>
      <w:r w:rsidRPr="00220A38">
        <w:rPr>
          <w:rFonts w:eastAsiaTheme="minorEastAsia"/>
        </w:rPr>
        <w:t xml:space="preserve"> have a negative sign</w:t>
      </w:r>
      <w:r w:rsidR="00B266CB">
        <w:rPr>
          <w:rFonts w:eastAsiaTheme="minorEastAsia"/>
        </w:rPr>
        <w:t xml:space="preserve"> and that t</w:t>
      </w:r>
      <w:r w:rsidR="003F2BDB">
        <w:rPr>
          <w:rFonts w:eastAsiaTheme="minorEastAsia"/>
        </w:rPr>
        <w:t xml:space="preserve">he turning point </w:t>
      </w:r>
      <w:r w:rsidR="00B266CB">
        <w:rPr>
          <w:rFonts w:eastAsiaTheme="minorEastAsia"/>
        </w:rPr>
        <w:t xml:space="preserve">of this specification is at </w:t>
      </w:r>
      <w:r w:rsidR="00B266CB" w:rsidRPr="00D23CF7">
        <w:rPr>
          <w:rFonts w:eastAsiaTheme="minorEastAsia"/>
          <w:i/>
        </w:rPr>
        <w:t>√(c/b).</w:t>
      </w:r>
      <w:r w:rsidR="003F2BDB">
        <w:rPr>
          <w:rFonts w:eastAsiaTheme="minorEastAsia"/>
        </w:rPr>
        <w:t xml:space="preserve"> </w:t>
      </w:r>
      <w:r w:rsidRPr="00220A38">
        <w:rPr>
          <w:rFonts w:eastAsiaTheme="minorEastAsia"/>
        </w:rPr>
        <w:t>Equation</w:t>
      </w:r>
      <w:r w:rsidR="007508AA">
        <w:rPr>
          <w:rFonts w:eastAsiaTheme="minorEastAsia"/>
        </w:rPr>
        <w:t>s</w:t>
      </w:r>
      <w:r w:rsidRPr="00220A38">
        <w:rPr>
          <w:rFonts w:eastAsiaTheme="minorEastAsia"/>
        </w:rPr>
        <w:t xml:space="preserve"> 5.</w:t>
      </w:r>
      <w:r w:rsidR="00B23C73">
        <w:rPr>
          <w:rFonts w:eastAsiaTheme="minorEastAsia"/>
        </w:rPr>
        <w:t>1 and 5.2</w:t>
      </w:r>
      <w:r w:rsidRPr="00220A38">
        <w:rPr>
          <w:rFonts w:eastAsiaTheme="minorEastAsia"/>
        </w:rPr>
        <w:t xml:space="preserve"> allows me to test for different possibilities </w:t>
      </w:r>
      <w:r w:rsidR="00AE39AD">
        <w:rPr>
          <w:rFonts w:eastAsiaTheme="minorEastAsia"/>
        </w:rPr>
        <w:t xml:space="preserve">using </w:t>
      </w:r>
      <w:r w:rsidR="00B23C73">
        <w:rPr>
          <w:rFonts w:eastAsiaTheme="minorEastAsia"/>
        </w:rPr>
        <w:t xml:space="preserve">either </w:t>
      </w:r>
      <w:r w:rsidR="007508AA">
        <w:rPr>
          <w:rFonts w:eastAsiaTheme="minorEastAsia"/>
        </w:rPr>
        <w:t>least squares</w:t>
      </w:r>
      <w:r w:rsidR="00B23C73">
        <w:rPr>
          <w:rFonts w:eastAsiaTheme="minorEastAsia"/>
        </w:rPr>
        <w:t xml:space="preserve"> or </w:t>
      </w:r>
      <w:r w:rsidR="00D23CF7">
        <w:rPr>
          <w:rFonts w:eastAsiaTheme="minorEastAsia"/>
        </w:rPr>
        <w:t>fixed effects</w:t>
      </w:r>
      <w:r w:rsidR="00AE39AD">
        <w:rPr>
          <w:rFonts w:eastAsiaTheme="minorEastAsia"/>
        </w:rPr>
        <w:t xml:space="preserve"> in a panel setup </w:t>
      </w:r>
      <w:r w:rsidRPr="00220A38">
        <w:rPr>
          <w:rFonts w:eastAsiaTheme="minorEastAsia"/>
        </w:rPr>
        <w:t>(Deininger and Squire, 1998): do all regions conform to a Kuznets curve with the same coefficients (</w:t>
      </w:r>
      <m:oMath>
        <m:sSub>
          <m:sSubPr>
            <m:ctrlPr>
              <w:rPr>
                <w:rFonts w:ascii="Cambria Math" w:hAnsi="Cambria Math"/>
                <w:i/>
              </w:rPr>
            </m:ctrlPr>
          </m:sSubPr>
          <m:e>
            <m:r>
              <w:rPr>
                <w:rFonts w:ascii="Cambria Math" w:hAnsi="Cambria Math"/>
              </w:rPr>
              <m:t>α</m:t>
            </m:r>
          </m:e>
          <m:sub>
            <m:r>
              <w:rPr>
                <w:rFonts w:ascii="Cambria Math" w:hAnsi="Cambria Math"/>
              </w:rPr>
              <m:t>r</m:t>
            </m:r>
          </m:sub>
        </m:sSub>
        <m:r>
          <w:rPr>
            <w:rFonts w:ascii="Cambria Math" w:hAnsi="Cambria Math"/>
          </w:rPr>
          <m:t>=a ;</m:t>
        </m:r>
        <m:sSub>
          <m:sSubPr>
            <m:ctrlPr>
              <w:rPr>
                <w:rFonts w:ascii="Cambria Math" w:hAnsi="Cambria Math"/>
                <w:i/>
              </w:rPr>
            </m:ctrlPr>
          </m:sSubPr>
          <m:e>
            <m:r>
              <w:rPr>
                <w:rFonts w:ascii="Cambria Math" w:hAnsi="Cambria Math"/>
              </w:rPr>
              <m:t>b</m:t>
            </m:r>
          </m:e>
          <m:sub>
            <m:r>
              <w:rPr>
                <w:rFonts w:ascii="Cambria Math" w:hAnsi="Cambria Math"/>
              </w:rPr>
              <m:t>r</m:t>
            </m:r>
          </m:sub>
        </m:sSub>
        <m:r>
          <w:rPr>
            <w:rFonts w:ascii="Cambria Math" w:hAnsi="Cambria Math"/>
          </w:rPr>
          <m:t xml:space="preserve">=b ; </m:t>
        </m:r>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=c</m:t>
        </m:r>
      </m:oMath>
      <w:r w:rsidRPr="00220A38">
        <w:rPr>
          <w:rFonts w:eastAsiaTheme="minorEastAsia"/>
        </w:rPr>
        <w:t xml:space="preserve">) or </w:t>
      </w:r>
      <w:r w:rsidR="00660067" w:rsidRPr="00220A38">
        <w:rPr>
          <w:rFonts w:eastAsiaTheme="minorEastAsia"/>
        </w:rPr>
        <w:t>are there region-specific intercepts (</w:t>
      </w:r>
      <m:oMath>
        <m:sSub>
          <m:sSubPr>
            <m:ctrlPr>
              <w:rPr>
                <w:rFonts w:ascii="Cambria Math" w:hAnsi="Cambria Math"/>
                <w:i/>
              </w:rPr>
            </m:ctrlPr>
          </m:sSubPr>
          <m:e>
            <m:r>
              <w:rPr>
                <w:rFonts w:ascii="Cambria Math" w:hAnsi="Cambria Math"/>
              </w:rPr>
              <m:t>α</m:t>
            </m:r>
          </m:e>
          <m:sub>
            <m:r>
              <w:rPr>
                <w:rFonts w:ascii="Cambria Math" w:hAnsi="Cambria Math"/>
              </w:rPr>
              <m:t>r</m:t>
            </m:r>
          </m:sub>
        </m:sSub>
        <m:r>
          <w:rPr>
            <w:rFonts w:ascii="Cambria Math" w:hAnsi="Cambria Math"/>
          </w:rPr>
          <m:t xml:space="preserve">≠a </m:t>
        </m:r>
      </m:oMath>
      <w:r w:rsidR="00660067" w:rsidRPr="00220A38">
        <w:rPr>
          <w:rFonts w:eastAsiaTheme="minorEastAsia"/>
        </w:rPr>
        <w:t xml:space="preserve">)? </w:t>
      </w:r>
    </w:p>
    <w:p w:rsidR="00280E78" w:rsidRPr="00ED5D7E" w:rsidRDefault="00280E78" w:rsidP="00ED5D7E">
      <w:pPr>
        <w:pStyle w:val="ListParagraph"/>
        <w:numPr>
          <w:ilvl w:val="1"/>
          <w:numId w:val="34"/>
        </w:numPr>
        <w:spacing w:line="360" w:lineRule="auto"/>
        <w:jc w:val="both"/>
        <w:rPr>
          <w:b/>
        </w:rPr>
      </w:pPr>
      <w:r w:rsidRPr="00ED5D7E">
        <w:rPr>
          <w:b/>
        </w:rPr>
        <w:t xml:space="preserve">The Inequality-Growth </w:t>
      </w:r>
      <w:r w:rsidR="00016873">
        <w:rPr>
          <w:b/>
        </w:rPr>
        <w:t>R</w:t>
      </w:r>
      <w:r w:rsidRPr="00ED5D7E">
        <w:rPr>
          <w:b/>
        </w:rPr>
        <w:t>elationship</w:t>
      </w:r>
    </w:p>
    <w:p w:rsidR="00160F8E" w:rsidRDefault="00A4165F" w:rsidP="004E16A5">
      <w:pPr>
        <w:spacing w:line="360" w:lineRule="auto"/>
        <w:jc w:val="both"/>
      </w:pPr>
      <w:r>
        <w:t>T</w:t>
      </w:r>
      <w:r w:rsidR="00160F8E">
        <w:t>he</w:t>
      </w:r>
      <w:r w:rsidR="00AE39AD">
        <w:t xml:space="preserve"> inequality-growth literature </w:t>
      </w:r>
      <w:r w:rsidR="00160F8E">
        <w:t>a</w:t>
      </w:r>
      <w:r>
        <w:t>s discussed in section 2.3.6 has</w:t>
      </w:r>
      <w:r w:rsidR="00160F8E">
        <w:t xml:space="preserve"> shown that there are various issues to take in consideration when estimating a growth regression with </w:t>
      </w:r>
      <w:r w:rsidR="007A7350">
        <w:t xml:space="preserve">an </w:t>
      </w:r>
      <w:r w:rsidR="00160F8E">
        <w:t>inequality</w:t>
      </w:r>
      <w:r w:rsidR="007A7350">
        <w:t xml:space="preserve"> indicator as </w:t>
      </w:r>
      <w:r w:rsidR="007508AA">
        <w:t xml:space="preserve">one of the </w:t>
      </w:r>
      <w:r w:rsidR="007A7350">
        <w:t>dependent variable</w:t>
      </w:r>
      <w:r w:rsidR="007508AA">
        <w:t>s</w:t>
      </w:r>
      <w:r w:rsidR="00160F8E">
        <w:t>. Results are thought to be influenced by the time span considered (short v</w:t>
      </w:r>
      <w:r w:rsidR="0075251A">
        <w:t>er</w:t>
      </w:r>
      <w:r w:rsidR="00160F8E">
        <w:t>s</w:t>
      </w:r>
      <w:r w:rsidR="0075251A">
        <w:t>us</w:t>
      </w:r>
      <w:r w:rsidR="00160F8E">
        <w:t xml:space="preserve"> long), the quality and consis</w:t>
      </w:r>
      <w:r w:rsidR="0075251A">
        <w:t>tency of the data, the different</w:t>
      </w:r>
      <w:r w:rsidR="00160F8E">
        <w:t xml:space="preserve"> effects of bottom </w:t>
      </w:r>
      <w:r w:rsidR="0075251A">
        <w:t>and</w:t>
      </w:r>
      <w:r w:rsidR="00160F8E">
        <w:t xml:space="preserve"> top-end inequality, different relationships </w:t>
      </w:r>
      <w:r>
        <w:t>of inequality and</w:t>
      </w:r>
      <w:r w:rsidR="0075251A">
        <w:t xml:space="preserve"> growth </w:t>
      </w:r>
      <w:r w:rsidR="00160F8E">
        <w:t xml:space="preserve">between rich and poor countries and the possible impact of urbanization levels when estimating on a subnational level. </w:t>
      </w:r>
    </w:p>
    <w:p w:rsidR="00C47218" w:rsidRDefault="00160F8E" w:rsidP="004E16A5">
      <w:pPr>
        <w:spacing w:line="360" w:lineRule="auto"/>
        <w:jc w:val="both"/>
      </w:pPr>
      <w:r>
        <w:t xml:space="preserve">To </w:t>
      </w:r>
      <w:r w:rsidR="008038B2" w:rsidRPr="00220A38">
        <w:t xml:space="preserve">estimate the effect of inequality on economic growth, I will first discard the time series property of my dataset and only </w:t>
      </w:r>
      <w:r w:rsidR="0008130B">
        <w:t xml:space="preserve">use </w:t>
      </w:r>
      <w:r w:rsidR="008038B2" w:rsidRPr="00220A38">
        <w:t>the cross-sectional framework</w:t>
      </w:r>
      <w:r w:rsidR="00C47218">
        <w:t xml:space="preserve"> by running an OLS-regression on the average </w:t>
      </w:r>
      <w:r w:rsidR="00E814F6">
        <w:t>growth rate from 1990</w:t>
      </w:r>
      <w:r w:rsidR="00A10384">
        <w:t>-2009</w:t>
      </w:r>
      <w:r w:rsidR="00EB79D5">
        <w:t xml:space="preserve">. </w:t>
      </w:r>
      <w:r>
        <w:t>This captures the</w:t>
      </w:r>
      <w:r w:rsidR="00EB79D5">
        <w:t xml:space="preserve"> long-run effect at the cost of</w:t>
      </w:r>
      <w:r w:rsidR="007A7350">
        <w:t xml:space="preserve"> </w:t>
      </w:r>
      <w:r w:rsidR="00EB79D5">
        <w:t>having only one observation per region</w:t>
      </w:r>
      <w:r>
        <w:t xml:space="preserve">. The setup is a typical growth-regression setup </w:t>
      </w:r>
      <w:r w:rsidR="00EB79D5">
        <w:t xml:space="preserve">common in the literature </w:t>
      </w:r>
      <w:r>
        <w:t>with t</w:t>
      </w:r>
      <w:r w:rsidR="008038B2" w:rsidRPr="00220A38">
        <w:t xml:space="preserve">he growth rate of GDP </w:t>
      </w:r>
      <w:r w:rsidR="0075251A">
        <w:t xml:space="preserve">per capita </w:t>
      </w:r>
      <w:r w:rsidR="00E814F6">
        <w:t>over the sample period 1990</w:t>
      </w:r>
      <w:r w:rsidR="008038B2" w:rsidRPr="00220A38">
        <w:t xml:space="preserve">-2009 </w:t>
      </w:r>
      <w:r w:rsidR="00C47218">
        <w:t>(</w:t>
      </w:r>
      <m:oMath>
        <m:sSub>
          <m:sSubPr>
            <m:ctrlPr>
              <w:rPr>
                <w:rFonts w:ascii="Cambria Math" w:hAnsi="Cambria Math"/>
                <w:i/>
              </w:rPr>
            </m:ctrlPr>
          </m:sSubPr>
          <m:e>
            <m:r>
              <w:rPr>
                <w:rFonts w:ascii="Cambria Math" w:hAnsi="Cambria Math"/>
              </w:rPr>
              <m:t>Growth</m:t>
            </m:r>
          </m:e>
          <m:sub>
            <m:r>
              <w:rPr>
                <w:rFonts w:ascii="Cambria Math" w:hAnsi="Cambria Math"/>
              </w:rPr>
              <m:t>r,1990-2009</m:t>
            </m:r>
          </m:sub>
        </m:sSub>
      </m:oMath>
      <w:r w:rsidR="00C47218">
        <w:rPr>
          <w:rFonts w:eastAsiaTheme="minorEastAsia"/>
        </w:rPr>
        <w:t xml:space="preserve">) </w:t>
      </w:r>
      <w:r>
        <w:t>explained</w:t>
      </w:r>
      <w:r w:rsidR="008038B2" w:rsidRPr="00220A38">
        <w:t xml:space="preserve"> by </w:t>
      </w:r>
      <w:r w:rsidR="00ED5D7E">
        <w:t>income inequality</w:t>
      </w:r>
      <w:r w:rsidR="00683F34" w:rsidRPr="00220A38">
        <w:t xml:space="preserve"> in the in</w:t>
      </w:r>
      <w:r w:rsidR="00C47218">
        <w:t xml:space="preserve">itial year </w:t>
      </w:r>
      <w:r w:rsidR="00ED5D7E">
        <w:t>1990</w:t>
      </w:r>
      <w:r w:rsidR="00C47218">
        <w:t xml:space="preserve"> (</w:t>
      </w:r>
      <m:oMath>
        <m:sSub>
          <m:sSubPr>
            <m:ctrlPr>
              <w:rPr>
                <w:rFonts w:ascii="Cambria Math" w:hAnsi="Cambria Math"/>
                <w:i/>
              </w:rPr>
            </m:ctrlPr>
          </m:sSubPr>
          <m:e>
            <m:r>
              <w:rPr>
                <w:rFonts w:ascii="Cambria Math" w:hAnsi="Cambria Math"/>
              </w:rPr>
              <m:t>Ineq</m:t>
            </m:r>
          </m:e>
          <m:sub>
            <m:r>
              <w:rPr>
                <w:rFonts w:ascii="Cambria Math" w:hAnsi="Cambria Math"/>
              </w:rPr>
              <m:t>r,1990</m:t>
            </m:r>
          </m:sub>
        </m:sSub>
      </m:oMath>
      <w:r>
        <w:t>)</w:t>
      </w:r>
      <w:r w:rsidR="00ED5D7E">
        <w:t xml:space="preserve">, </w:t>
      </w:r>
      <w:r w:rsidR="00C47218">
        <w:t>the logarithm of GDP per capita</w:t>
      </w:r>
      <w:r w:rsidR="00A10384">
        <w:t xml:space="preserve"> in 1990</w:t>
      </w:r>
      <w:r w:rsidR="00C47218">
        <w:t xml:space="preserve"> (</w:t>
      </w:r>
      <m:oMath>
        <m:sSub>
          <m:sSubPr>
            <m:ctrlPr>
              <w:rPr>
                <w:rFonts w:ascii="Cambria Math" w:hAnsi="Cambria Math"/>
                <w:i/>
              </w:rPr>
            </m:ctrlPr>
          </m:sSubPr>
          <m:e>
            <m:r>
              <w:rPr>
                <w:rFonts w:ascii="Cambria Math" w:hAnsi="Cambria Math"/>
              </w:rPr>
              <m:t>LNGDPPC</m:t>
            </m:r>
          </m:e>
          <m:sub>
            <m:r>
              <w:rPr>
                <w:rFonts w:ascii="Cambria Math" w:hAnsi="Cambria Math"/>
              </w:rPr>
              <m:t>r,1990</m:t>
            </m:r>
          </m:sub>
        </m:sSub>
      </m:oMath>
      <w:r w:rsidR="00C47218">
        <w:t xml:space="preserve">) </w:t>
      </w:r>
      <w:r>
        <w:t xml:space="preserve">to account for </w:t>
      </w:r>
      <w:r w:rsidR="00005977">
        <w:t xml:space="preserve">the possibility of </w:t>
      </w:r>
      <w:r>
        <w:t xml:space="preserve">convergence </w:t>
      </w:r>
      <w:r w:rsidR="00ED5D7E">
        <w:t>and several control variables</w:t>
      </w:r>
      <w:r w:rsidR="00C47218">
        <w:t xml:space="preserve"> </w:t>
      </w:r>
      <w:r w:rsidR="00A10384">
        <w:t xml:space="preserve">measured in the initial year </w:t>
      </w:r>
      <w:r w:rsidR="00C47218">
        <w:t>(</w:t>
      </w:r>
      <m:oMath>
        <m:sSub>
          <m:sSubPr>
            <m:ctrlPr>
              <w:rPr>
                <w:rFonts w:ascii="Cambria Math" w:hAnsi="Cambria Math"/>
                <w:i/>
              </w:rPr>
            </m:ctrlPr>
          </m:sSubPr>
          <m:e>
            <m:r>
              <w:rPr>
                <w:rFonts w:ascii="Cambria Math" w:hAnsi="Cambria Math"/>
              </w:rPr>
              <m:t>X</m:t>
            </m:r>
          </m:e>
          <m:sub>
            <m:r>
              <w:rPr>
                <w:rFonts w:ascii="Cambria Math" w:hAnsi="Cambria Math"/>
              </w:rPr>
              <m:t>r,1990</m:t>
            </m:r>
          </m:sub>
        </m:sSub>
      </m:oMath>
      <w:r w:rsidR="00C47218">
        <w:rPr>
          <w:rFonts w:eastAsiaTheme="minorEastAsia"/>
        </w:rPr>
        <w:t>)</w:t>
      </w:r>
      <w:r w:rsidR="00A10384">
        <w:t xml:space="preserve"> </w:t>
      </w:r>
      <w:r w:rsidR="00005977">
        <w:t>as in equation 5.4:</w:t>
      </w:r>
    </w:p>
    <w:p w:rsidR="00ED5D7E" w:rsidRDefault="00ED5D7E" w:rsidP="004E16A5">
      <w:pPr>
        <w:spacing w:line="360" w:lineRule="auto"/>
        <w:jc w:val="both"/>
        <w:rPr>
          <w:rFonts w:eastAsiaTheme="minorEastAsia"/>
        </w:rPr>
      </w:pPr>
      <w:r>
        <w:t>(5.4)</w:t>
      </w:r>
      <w:r>
        <w:tab/>
      </w:r>
      <w:r>
        <w:tab/>
      </w:r>
      <m:oMath>
        <m:sSub>
          <m:sSubPr>
            <m:ctrlPr>
              <w:rPr>
                <w:rFonts w:ascii="Cambria Math" w:hAnsi="Cambria Math"/>
                <w:i/>
              </w:rPr>
            </m:ctrlPr>
          </m:sSubPr>
          <m:e>
            <m:r>
              <w:rPr>
                <w:rFonts w:ascii="Cambria Math" w:hAnsi="Cambria Math"/>
              </w:rPr>
              <m:t>Growth</m:t>
            </m:r>
          </m:e>
          <m:sub>
            <m:r>
              <w:rPr>
                <w:rFonts w:ascii="Cambria Math" w:hAnsi="Cambria Math"/>
              </w:rPr>
              <m:t>r,1990-2009</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Ineq</m:t>
            </m:r>
          </m:e>
          <m:sub>
            <m:r>
              <w:rPr>
                <w:rFonts w:ascii="Cambria Math" w:hAnsi="Cambria Math"/>
              </w:rPr>
              <m:t>r,1990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LNGDPPC</m:t>
            </m:r>
          </m:e>
          <m:sub>
            <m:r>
              <w:rPr>
                <w:rFonts w:ascii="Cambria Math" w:hAnsi="Cambria Math"/>
              </w:rPr>
              <m:t>r,1990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r,1990</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r</m:t>
            </m:r>
          </m:sub>
        </m:sSub>
      </m:oMath>
      <w:r w:rsidRPr="00220A38">
        <w:rPr>
          <w:rFonts w:eastAsiaTheme="minorEastAsia"/>
        </w:rPr>
        <w:t xml:space="preserve"> .</w:t>
      </w:r>
    </w:p>
    <w:p w:rsidR="00E867D9" w:rsidRDefault="00E814F6" w:rsidP="004E16A5">
      <w:pPr>
        <w:spacing w:line="360" w:lineRule="auto"/>
        <w:jc w:val="both"/>
      </w:pPr>
      <w:r>
        <w:t xml:space="preserve">Various measures of inequality will be used to check for the stability of the results. </w:t>
      </w:r>
      <w:r w:rsidR="00DF25F3">
        <w:t xml:space="preserve">As mentioned in section 2.3.6, the </w:t>
      </w:r>
      <w:r w:rsidR="00E44E98">
        <w:t xml:space="preserve">upper-end inequality measure P90/75 is expected to enhance growth (e.g. by increasing investment) while lower-end inequality </w:t>
      </w:r>
      <w:r w:rsidR="00A949E8">
        <w:t>is expected</w:t>
      </w:r>
      <w:r w:rsidR="00E44E98">
        <w:t xml:space="preserve"> to harm growth due to channels related </w:t>
      </w:r>
      <w:r w:rsidR="00E44E98">
        <w:lastRenderedPageBreak/>
        <w:t>to restrictions on investment in human capital, crime rates and suboptimal work effort (Voit</w:t>
      </w:r>
      <w:r>
        <w:t xml:space="preserve">chovsky, 2005). When combining </w:t>
      </w:r>
      <w:r w:rsidR="00E44E98">
        <w:t xml:space="preserve">p9075 and </w:t>
      </w:r>
      <w:r w:rsidR="0039413B">
        <w:t>Gini</w:t>
      </w:r>
      <w:r w:rsidR="00E44E98">
        <w:t xml:space="preserve">, the </w:t>
      </w:r>
      <w:r w:rsidR="0039413B">
        <w:t>Gini</w:t>
      </w:r>
      <w:r w:rsidR="00E44E98">
        <w:t xml:space="preserve"> coefficient can be thought of as pick</w:t>
      </w:r>
      <w:r>
        <w:t xml:space="preserve">ing up the lower end inequality. </w:t>
      </w:r>
      <w:r w:rsidR="00E44E98">
        <w:t>Furthermore, these OLS results can be seen as picking up the long-term effect of inequality on growth (Partridge, 2005).</w:t>
      </w:r>
    </w:p>
    <w:p w:rsidR="0036747F" w:rsidRDefault="000216C6" w:rsidP="004E16A5">
      <w:pPr>
        <w:spacing w:line="360" w:lineRule="auto"/>
        <w:jc w:val="both"/>
      </w:pPr>
      <w:r>
        <w:t xml:space="preserve">One </w:t>
      </w:r>
      <w:r w:rsidR="0008130B">
        <w:t>common issue</w:t>
      </w:r>
      <w:r>
        <w:t xml:space="preserve"> with growth regressions as stressed in section 2.3.6 is that of omitted variables in a cross-sectional setup. There is a possibility that a variable, not captured in the cross-section above, is both correlated to economic growth and initial inequality. A method to capture these omitted regional effects is to exploit the panel dat</w:t>
      </w:r>
      <w:r w:rsidR="000D7918">
        <w:t>a setup and estimate</w:t>
      </w:r>
      <w:r>
        <w:t xml:space="preserve"> the following equation</w:t>
      </w:r>
      <w:r w:rsidR="0015518D">
        <w:t xml:space="preserve"> using </w:t>
      </w:r>
      <w:r w:rsidR="00D23CF7">
        <w:t>fixed effects</w:t>
      </w:r>
      <w:r>
        <w:t>:</w:t>
      </w:r>
    </w:p>
    <w:p w:rsidR="005A7F41" w:rsidRDefault="005A7F41" w:rsidP="005A7F41">
      <w:pPr>
        <w:spacing w:line="360" w:lineRule="auto"/>
        <w:jc w:val="both"/>
        <w:rPr>
          <w:rFonts w:eastAsiaTheme="minorEastAsia"/>
        </w:rPr>
      </w:pPr>
      <w:r>
        <w:rPr>
          <w:rFonts w:eastAsiaTheme="minorEastAsia"/>
        </w:rPr>
        <w:t>(5.5)</w:t>
      </w:r>
      <w:r>
        <w:rPr>
          <w:rFonts w:eastAsiaTheme="minorEastAsia"/>
        </w:rPr>
        <w:tab/>
      </w:r>
      <w:r>
        <w:rPr>
          <w:rFonts w:eastAsiaTheme="minorEastAsia"/>
        </w:rPr>
        <w:tab/>
      </w:r>
      <w:r>
        <w:rPr>
          <w:rFonts w:eastAsiaTheme="minorEastAsia"/>
        </w:rPr>
        <w:tab/>
      </w:r>
      <m:oMath>
        <m:func>
          <m:funcPr>
            <m:ctrlPr>
              <w:rPr>
                <w:rFonts w:ascii="Cambria Math" w:hAnsi="Cambria Math"/>
                <w:i/>
              </w:rPr>
            </m:ctrlPr>
          </m:funcPr>
          <m:fName>
            <m:sSub>
              <m:sSubPr>
                <m:ctrlPr>
                  <w:rPr>
                    <w:rFonts w:ascii="Cambria Math" w:hAnsi="Cambria Math"/>
                    <w:i/>
                  </w:rPr>
                </m:ctrlPr>
              </m:sSubPr>
              <m:e>
                <m:r>
                  <w:rPr>
                    <w:rFonts w:ascii="Cambria Math" w:hAnsi="Cambria Math"/>
                  </w:rPr>
                  <m:t>Growth</m:t>
                </m:r>
              </m:e>
              <m:sub>
                <m:r>
                  <w:rPr>
                    <w:rFonts w:ascii="Cambria Math" w:hAnsi="Cambria Math"/>
                  </w:rPr>
                  <m:t>r,t-(t+τ)</m:t>
                </m:r>
              </m:sub>
            </m:sSub>
          </m:fName>
          <m:e>
            <m:r>
              <w:rPr>
                <w:rFonts w:ascii="Cambria Math" w:hAnsi="Cambria Math"/>
              </w:rPr>
              <m:t xml:space="preserve">= </m:t>
            </m:r>
          </m:e>
        </m:func>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0</m:t>
            </m:r>
          </m:sub>
        </m:sSub>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γ</m:t>
                </m:r>
              </m:e>
              <m:sub>
                <m:r>
                  <w:rPr>
                    <w:rFonts w:ascii="Cambria Math" w:hAnsi="Cambria Math"/>
                  </w:rPr>
                  <m:t>r,t-τ</m:t>
                </m:r>
              </m:sub>
            </m:sSub>
          </m:e>
        </m:fun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1</m:t>
            </m:r>
          </m:sub>
        </m:sSub>
        <m:sSub>
          <m:sSubPr>
            <m:ctrlPr>
              <w:rPr>
                <w:rFonts w:ascii="Cambria Math" w:hAnsi="Cambria Math"/>
                <w:i/>
              </w:rPr>
            </m:ctrlPr>
          </m:sSubPr>
          <m:e>
            <m:r>
              <w:rPr>
                <w:rFonts w:ascii="Cambria Math" w:hAnsi="Cambria Math"/>
              </w:rPr>
              <m:t>Ineq</m:t>
            </m:r>
          </m:e>
          <m:sub>
            <m:r>
              <w:rPr>
                <w:rFonts w:ascii="Cambria Math" w:hAnsi="Cambria Math"/>
              </w:rPr>
              <m:t>r,t-τ</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r,t-τ</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ε</m:t>
                </m:r>
              </m:e>
            </m:acc>
          </m:e>
          <m:sub>
            <m:r>
              <w:rPr>
                <w:rFonts w:ascii="Cambria Math" w:hAnsi="Cambria Math"/>
              </w:rPr>
              <m:t>i,t</m:t>
            </m:r>
          </m:sub>
        </m:sSub>
      </m:oMath>
      <w:r>
        <w:rPr>
          <w:rFonts w:eastAsiaTheme="minorEastAsia"/>
        </w:rPr>
        <w:t xml:space="preserve"> .</w:t>
      </w:r>
    </w:p>
    <w:p w:rsidR="005A7F41" w:rsidRDefault="00802458" w:rsidP="005A7F41">
      <w:pPr>
        <w:spacing w:line="360" w:lineRule="auto"/>
        <w:jc w:val="both"/>
        <w:rPr>
          <w:rFonts w:eastAsiaTheme="minorEastAsia"/>
        </w:rPr>
      </w:pPr>
      <w:r>
        <w:t>I will use all</w:t>
      </w:r>
      <w:r w:rsidR="005A7F41">
        <w:t xml:space="preserve"> observations available (entailing  </w:t>
      </w:r>
      <m:oMath>
        <m:r>
          <w:rPr>
            <w:rFonts w:ascii="Cambria Math" w:hAnsi="Cambria Math"/>
          </w:rPr>
          <m:t>τ</m:t>
        </m:r>
      </m:oMath>
      <w:r>
        <w:rPr>
          <w:rFonts w:eastAsiaTheme="minorEastAsia"/>
        </w:rPr>
        <w:t xml:space="preserve"> will represent a</w:t>
      </w:r>
      <w:r>
        <w:t xml:space="preserve"> </w:t>
      </w:r>
      <w:r w:rsidR="005A7F41">
        <w:t xml:space="preserve">3 and 2 year interval, since the </w:t>
      </w:r>
      <w:r w:rsidR="00CF2E4F">
        <w:t>CASEN</w:t>
      </w:r>
      <w:r w:rsidR="005A7F41">
        <w:t xml:space="preserve"> survey was held every 2 years in the 90’s and every 3 years since 2000) </w:t>
      </w:r>
      <w:r w:rsidR="0008130B">
        <w:t xml:space="preserve">which totals to 104 </w:t>
      </w:r>
      <w:r>
        <w:t xml:space="preserve">observations, since one </w:t>
      </w:r>
      <w:r w:rsidR="00A949E8">
        <w:t>cross-section</w:t>
      </w:r>
      <w:r>
        <w:t xml:space="preserve"> is lost </w:t>
      </w:r>
      <w:r w:rsidR="00A949E8">
        <w:t>when estimating the growth rates</w:t>
      </w:r>
      <w:r>
        <w:t xml:space="preserve">. Two or 3 year intervals are considered relatively small in the literature, where 5, 10 or even larger timespans are standard for empirical work. </w:t>
      </w:r>
      <w:r w:rsidR="0008130B">
        <w:t>Therefore, business</w:t>
      </w:r>
      <w:r w:rsidR="000D7918">
        <w:t xml:space="preserve"> cycles could therefore influence my results </w:t>
      </w:r>
      <w:r w:rsidR="0008130B">
        <w:t>using these small intervalls</w:t>
      </w:r>
      <w:r w:rsidR="000D7918">
        <w:t xml:space="preserve">. Therefore, I also use </w:t>
      </w:r>
      <m:oMath>
        <m:r>
          <w:rPr>
            <w:rFonts w:ascii="Cambria Math" w:hAnsi="Cambria Math"/>
          </w:rPr>
          <m:t>τ</m:t>
        </m:r>
      </m:oMath>
      <w:r w:rsidR="000D7918">
        <w:t xml:space="preserve"> = 2 </w:t>
      </w:r>
      <w:r w:rsidR="00A949E8">
        <w:t xml:space="preserve">and </w:t>
      </w:r>
      <m:oMath>
        <m:r>
          <w:rPr>
            <w:rFonts w:ascii="Cambria Math" w:hAnsi="Cambria Math"/>
          </w:rPr>
          <m:t>τ</m:t>
        </m:r>
      </m:oMath>
      <w:r w:rsidR="00A949E8">
        <w:t xml:space="preserve"> = 3 </w:t>
      </w:r>
      <w:r w:rsidR="005A7F41">
        <w:t xml:space="preserve">and </w:t>
      </w:r>
      <w:r w:rsidR="00D23CF7">
        <w:t>estimate</w:t>
      </w:r>
      <w:r w:rsidR="00A949E8">
        <w:t xml:space="preserve"> four, five or six year intervals (1990-1994-1994-1998, 1998-2003, 2003-2009</w:t>
      </w:r>
      <w:r w:rsidR="00D065BE">
        <w:t>)</w:t>
      </w:r>
      <w:r w:rsidR="00A949E8">
        <w:t xml:space="preserve"> and </w:t>
      </w:r>
      <w:r w:rsidR="00D065BE">
        <w:t xml:space="preserve">six or </w:t>
      </w:r>
      <w:r w:rsidR="005A7F41">
        <w:t xml:space="preserve">seven year intervals (1990-1996, 1996-2003 and 2003-2009). </w:t>
      </w:r>
      <w:r w:rsidR="0075251A">
        <w:t xml:space="preserve">Variable definitions are similar to equation 5.4 and </w:t>
      </w:r>
      <m:oMath>
        <m:sSub>
          <m:sSubPr>
            <m:ctrlPr>
              <w:rPr>
                <w:rFonts w:ascii="Cambria Math" w:hAnsi="Cambria Math"/>
                <w:i/>
              </w:rPr>
            </m:ctrlPr>
          </m:sSubPr>
          <m:e>
            <m:r>
              <w:rPr>
                <w:rFonts w:ascii="Cambria Math" w:hAnsi="Cambria Math"/>
              </w:rPr>
              <m:t>ζ</m:t>
            </m:r>
          </m:e>
          <m:sub>
            <m:r>
              <w:rPr>
                <w:rFonts w:ascii="Cambria Math" w:hAnsi="Cambria Math"/>
              </w:rPr>
              <m:t>t</m:t>
            </m:r>
          </m:sub>
        </m:sSub>
      </m:oMath>
      <w:r w:rsidR="0075251A">
        <w:rPr>
          <w:rFonts w:eastAsiaTheme="minorEastAsia"/>
        </w:rPr>
        <w:t xml:space="preserve"> stands for time-</w:t>
      </w:r>
      <w:r w:rsidR="00D23CF7">
        <w:rPr>
          <w:rFonts w:eastAsiaTheme="minorEastAsia"/>
        </w:rPr>
        <w:t>fixed effects</w:t>
      </w:r>
      <w:r w:rsidR="0075251A">
        <w:rPr>
          <w:rFonts w:eastAsiaTheme="minorEastAsia"/>
        </w:rPr>
        <w:t xml:space="preserve"> and  </w:t>
      </w:r>
      <m:oMath>
        <m:sSub>
          <m:sSubPr>
            <m:ctrlPr>
              <w:rPr>
                <w:rFonts w:ascii="Cambria Math" w:hAnsi="Cambria Math"/>
                <w:i/>
              </w:rPr>
            </m:ctrlPr>
          </m:sSubPr>
          <m:e>
            <m:r>
              <w:rPr>
                <w:rFonts w:ascii="Cambria Math" w:hAnsi="Cambria Math"/>
              </w:rPr>
              <m:t>υ</m:t>
            </m:r>
          </m:e>
          <m:sub>
            <m:r>
              <w:rPr>
                <w:rFonts w:ascii="Cambria Math" w:hAnsi="Cambria Math"/>
              </w:rPr>
              <m:t>r</m:t>
            </m:r>
          </m:sub>
        </m:sSub>
      </m:oMath>
      <w:r w:rsidR="0075251A">
        <w:rPr>
          <w:rFonts w:eastAsiaTheme="minorEastAsia"/>
        </w:rPr>
        <w:t xml:space="preserve"> for region specific effects. Inclusion of time-</w:t>
      </w:r>
      <w:r w:rsidR="00D23CF7">
        <w:rPr>
          <w:rFonts w:eastAsiaTheme="minorEastAsia"/>
        </w:rPr>
        <w:t>fixed effects</w:t>
      </w:r>
      <w:r w:rsidR="0075251A">
        <w:rPr>
          <w:rFonts w:eastAsiaTheme="minorEastAsia"/>
        </w:rPr>
        <w:t xml:space="preserve"> is done to correct for </w:t>
      </w:r>
      <w:r w:rsidR="00A10384">
        <w:rPr>
          <w:rFonts w:eastAsiaTheme="minorEastAsia"/>
        </w:rPr>
        <w:t xml:space="preserve">unobservable </w:t>
      </w:r>
      <w:r w:rsidR="0008130B">
        <w:rPr>
          <w:rFonts w:eastAsiaTheme="minorEastAsia"/>
        </w:rPr>
        <w:t>national</w:t>
      </w:r>
      <w:r w:rsidR="0075251A">
        <w:rPr>
          <w:rFonts w:eastAsiaTheme="minorEastAsia"/>
        </w:rPr>
        <w:t xml:space="preserve"> effects such as </w:t>
      </w:r>
      <w:r w:rsidR="00A10384">
        <w:rPr>
          <w:rFonts w:eastAsiaTheme="minorEastAsia"/>
        </w:rPr>
        <w:t xml:space="preserve">fiscal or monetary policy, business cycles etc. </w:t>
      </w:r>
    </w:p>
    <w:p w:rsidR="00AC3934" w:rsidRDefault="000D7918" w:rsidP="005A7F41">
      <w:pPr>
        <w:spacing w:line="360" w:lineRule="auto"/>
        <w:jc w:val="both"/>
        <w:rPr>
          <w:rFonts w:eastAsiaTheme="minorEastAsia"/>
        </w:rPr>
      </w:pPr>
      <w:r>
        <w:t xml:space="preserve">The </w:t>
      </w:r>
      <w:r w:rsidR="00A949E8">
        <w:t>equation</w:t>
      </w:r>
      <w:r>
        <w:t xml:space="preserve"> (5.5) </w:t>
      </w:r>
      <w:r w:rsidR="00EF1954">
        <w:t>can be tested in different forms, depending on which assumption is made regarding the relationship between the error term and the explanatory variables</w:t>
      </w:r>
      <w:r w:rsidR="00EF1954">
        <w:rPr>
          <w:rFonts w:eastAsiaTheme="minorEastAsia"/>
        </w:rPr>
        <w:t xml:space="preserve">. The first option is to estimate a </w:t>
      </w:r>
      <w:r w:rsidR="005C15D7">
        <w:rPr>
          <w:rFonts w:eastAsiaTheme="minorEastAsia"/>
        </w:rPr>
        <w:t>panel least squares with time dummies or time fixed effects</w:t>
      </w:r>
      <w:r w:rsidR="00EF1954">
        <w:rPr>
          <w:rFonts w:eastAsiaTheme="minorEastAsia"/>
        </w:rPr>
        <w:t>, where the composite error term is assumed not to correlate with the explanatory variables. If most of the variation in the income varia</w:t>
      </w:r>
      <w:r w:rsidR="004D19CA">
        <w:rPr>
          <w:rFonts w:eastAsiaTheme="minorEastAsia"/>
        </w:rPr>
        <w:t>bles is cross-sectional</w:t>
      </w:r>
      <w:r w:rsidR="00D23CF7">
        <w:rPr>
          <w:rFonts w:eastAsiaTheme="minorEastAsia"/>
        </w:rPr>
        <w:t xml:space="preserve">, the </w:t>
      </w:r>
      <w:r w:rsidR="0008130B">
        <w:rPr>
          <w:rFonts w:eastAsiaTheme="minorEastAsia"/>
        </w:rPr>
        <w:t>panel least squares</w:t>
      </w:r>
      <w:r w:rsidR="00EF1954">
        <w:rPr>
          <w:rFonts w:eastAsiaTheme="minorEastAsia"/>
        </w:rPr>
        <w:t xml:space="preserve"> regression coefficient</w:t>
      </w:r>
      <w:r w:rsidR="0008130B">
        <w:rPr>
          <w:rFonts w:eastAsiaTheme="minorEastAsia"/>
        </w:rPr>
        <w:t>s</w:t>
      </w:r>
      <w:r w:rsidR="00EF1954">
        <w:rPr>
          <w:rFonts w:eastAsiaTheme="minorEastAsia"/>
        </w:rPr>
        <w:t xml:space="preserve"> will probably reflect long-run effects (Partridge, 2005). The second option is to use a </w:t>
      </w:r>
      <w:r w:rsidR="00D23CF7">
        <w:rPr>
          <w:rFonts w:eastAsiaTheme="minorEastAsia"/>
        </w:rPr>
        <w:t>fixed effects</w:t>
      </w:r>
      <w:r w:rsidR="00EF1954">
        <w:rPr>
          <w:rFonts w:eastAsiaTheme="minorEastAsia"/>
        </w:rPr>
        <w:t xml:space="preserve"> (FE) approach. </w:t>
      </w:r>
      <w:r w:rsidR="00B14A46">
        <w:rPr>
          <w:rFonts w:eastAsiaTheme="minorEastAsia"/>
        </w:rPr>
        <w:t>This will eliminate the omitted variable bias which could be caused by unobserved regional effects that correlate with the dependent variables.</w:t>
      </w:r>
      <w:r w:rsidR="006A3974">
        <w:rPr>
          <w:rStyle w:val="FootnoteReference"/>
          <w:rFonts w:eastAsiaTheme="minorEastAsia"/>
        </w:rPr>
        <w:footnoteReference w:id="20"/>
      </w:r>
      <w:r w:rsidR="0008130B">
        <w:rPr>
          <w:rFonts w:eastAsiaTheme="minorEastAsia"/>
        </w:rPr>
        <w:t xml:space="preserve"> </w:t>
      </w:r>
    </w:p>
    <w:p w:rsidR="0008130B" w:rsidRDefault="0008130B" w:rsidP="005A7F41">
      <w:pPr>
        <w:spacing w:line="360" w:lineRule="auto"/>
        <w:jc w:val="both"/>
        <w:rPr>
          <w:rFonts w:eastAsiaTheme="minorEastAsia"/>
        </w:rPr>
      </w:pPr>
    </w:p>
    <w:p w:rsidR="0008130B" w:rsidRDefault="0008130B" w:rsidP="005A7F41">
      <w:pPr>
        <w:spacing w:line="360" w:lineRule="auto"/>
        <w:jc w:val="both"/>
        <w:rPr>
          <w:rFonts w:eastAsiaTheme="minorEastAsia"/>
        </w:rPr>
      </w:pPr>
    </w:p>
    <w:p w:rsidR="0008130B" w:rsidRDefault="0008130B" w:rsidP="005A7F41">
      <w:pPr>
        <w:spacing w:line="360" w:lineRule="auto"/>
        <w:jc w:val="both"/>
        <w:rPr>
          <w:rFonts w:eastAsiaTheme="minorEastAsia"/>
        </w:rPr>
      </w:pPr>
    </w:p>
    <w:p w:rsidR="0008130B" w:rsidRDefault="00BB3A73" w:rsidP="004D66E5">
      <w:pPr>
        <w:pStyle w:val="ListParagraph"/>
        <w:numPr>
          <w:ilvl w:val="0"/>
          <w:numId w:val="34"/>
        </w:numPr>
        <w:spacing w:line="360" w:lineRule="auto"/>
        <w:jc w:val="both"/>
        <w:rPr>
          <w:b/>
        </w:rPr>
      </w:pPr>
      <w:r w:rsidRPr="00220A38">
        <w:rPr>
          <w:b/>
        </w:rPr>
        <w:lastRenderedPageBreak/>
        <w:t>Results</w:t>
      </w:r>
    </w:p>
    <w:p w:rsidR="00850B06" w:rsidRPr="0008130B" w:rsidRDefault="00120EA5" w:rsidP="0008130B">
      <w:pPr>
        <w:spacing w:line="360" w:lineRule="auto"/>
        <w:jc w:val="both"/>
        <w:rPr>
          <w:b/>
        </w:rPr>
      </w:pPr>
      <w:r>
        <w:t xml:space="preserve">In this chapter I will discuss and analyze </w:t>
      </w:r>
      <w:r w:rsidR="00136F39">
        <w:t>the</w:t>
      </w:r>
      <w:r>
        <w:t xml:space="preserve"> results obtained. Similar to the previous chapter, results are divided in those dealing with a </w:t>
      </w:r>
      <w:r w:rsidR="0008130B">
        <w:t>possible Kuznets relationship in t</w:t>
      </w:r>
      <w:r>
        <w:t>he next se</w:t>
      </w:r>
      <w:r w:rsidR="00136F39">
        <w:t>c</w:t>
      </w:r>
      <w:r w:rsidR="0008130B">
        <w:t xml:space="preserve">tion </w:t>
      </w:r>
      <w:r>
        <w:t>and those dealing with the effect of inequality on economic growth in the last section.</w:t>
      </w:r>
      <w:r w:rsidR="004C599B">
        <w:t xml:space="preserve"> </w:t>
      </w:r>
    </w:p>
    <w:p w:rsidR="00120EA5" w:rsidRDefault="00016873" w:rsidP="00B14A46">
      <w:pPr>
        <w:spacing w:line="360" w:lineRule="auto"/>
        <w:jc w:val="both"/>
        <w:rPr>
          <w:b/>
        </w:rPr>
      </w:pPr>
      <w:r>
        <w:rPr>
          <w:b/>
        </w:rPr>
        <w:t>6.1 The R</w:t>
      </w:r>
      <w:r w:rsidR="00120EA5" w:rsidRPr="00120EA5">
        <w:rPr>
          <w:b/>
        </w:rPr>
        <w:t>egional Kuznets-curve</w:t>
      </w:r>
    </w:p>
    <w:p w:rsidR="00B22442" w:rsidRDefault="006546FC" w:rsidP="00B14A46">
      <w:pPr>
        <w:spacing w:line="360" w:lineRule="auto"/>
        <w:jc w:val="both"/>
        <w:rPr>
          <w:i/>
        </w:rPr>
      </w:pPr>
      <w:r w:rsidRPr="006546FC">
        <w:t xml:space="preserve">Figure 6.1 </w:t>
      </w:r>
      <w:r w:rsidR="008728B3">
        <w:t xml:space="preserve">shows the spread of </w:t>
      </w:r>
      <w:r w:rsidR="00523065">
        <w:t xml:space="preserve">both the regional income </w:t>
      </w:r>
      <w:r w:rsidR="0039413B">
        <w:t>Gini</w:t>
      </w:r>
      <w:r w:rsidR="00523065">
        <w:t xml:space="preserve">-levels and the logarithm of </w:t>
      </w:r>
      <w:r w:rsidR="00016873">
        <w:t xml:space="preserve">regional </w:t>
      </w:r>
      <w:r w:rsidR="00523065">
        <w:t>GDP</w:t>
      </w:r>
      <w:r w:rsidR="00016873">
        <w:t xml:space="preserve"> p/capita over time. Contrary to most literature on the subject</w:t>
      </w:r>
      <w:r w:rsidR="00794467">
        <w:t xml:space="preserve"> (</w:t>
      </w:r>
      <w:r w:rsidR="004D19CA">
        <w:t>e.g.</w:t>
      </w:r>
      <w:r w:rsidR="00A50759">
        <w:t xml:space="preserve"> Rooth and Stenberg, </w:t>
      </w:r>
      <w:r w:rsidR="004D19CA">
        <w:t>2012),</w:t>
      </w:r>
    </w:p>
    <w:p w:rsidR="002A45B8" w:rsidRPr="001B292F" w:rsidRDefault="002A45B8" w:rsidP="00B22442">
      <w:pPr>
        <w:spacing w:line="240" w:lineRule="auto"/>
        <w:jc w:val="both"/>
        <w:rPr>
          <w:i/>
        </w:rPr>
      </w:pPr>
      <w:proofErr w:type="gramStart"/>
      <w:r w:rsidRPr="002A45B8">
        <w:rPr>
          <w:i/>
        </w:rPr>
        <w:t>Figure 6.1</w:t>
      </w:r>
      <w:r w:rsidR="008E0384">
        <w:t>.</w:t>
      </w:r>
      <w:proofErr w:type="gramEnd"/>
      <w:r w:rsidR="008E0384">
        <w:t xml:space="preserve"> </w:t>
      </w:r>
      <w:r w:rsidR="001B292F">
        <w:rPr>
          <w:i/>
        </w:rPr>
        <w:t xml:space="preserve">Spread of </w:t>
      </w:r>
      <w:r w:rsidR="00B44F12">
        <w:rPr>
          <w:i/>
        </w:rPr>
        <w:t>r</w:t>
      </w:r>
      <w:r w:rsidR="00640944">
        <w:rPr>
          <w:i/>
        </w:rPr>
        <w:t xml:space="preserve">egional </w:t>
      </w:r>
      <w:r w:rsidR="0039413B">
        <w:rPr>
          <w:i/>
        </w:rPr>
        <w:t>Gini</w:t>
      </w:r>
      <w:r w:rsidR="001B292F">
        <w:rPr>
          <w:i/>
        </w:rPr>
        <w:t xml:space="preserve"> and </w:t>
      </w:r>
      <w:r w:rsidR="00B44F12">
        <w:rPr>
          <w:i/>
        </w:rPr>
        <w:t>r</w:t>
      </w:r>
      <w:r w:rsidR="00640944">
        <w:rPr>
          <w:i/>
        </w:rPr>
        <w:t xml:space="preserve">egional </w:t>
      </w:r>
      <w:r w:rsidR="001B292F">
        <w:rPr>
          <w:i/>
        </w:rPr>
        <w:t>GDP</w:t>
      </w:r>
    </w:p>
    <w:p w:rsidR="006546FC" w:rsidRPr="006546FC" w:rsidRDefault="006546FC" w:rsidP="00B22442">
      <w:pPr>
        <w:spacing w:line="240" w:lineRule="auto"/>
        <w:jc w:val="both"/>
      </w:pPr>
      <w:r>
        <w:rPr>
          <w:noProof/>
        </w:rPr>
        <w:drawing>
          <wp:inline distT="0" distB="0" distL="0" distR="0" wp14:anchorId="09B6D6DA" wp14:editId="465D29A2">
            <wp:extent cx="2781300" cy="1981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8728B3">
        <w:rPr>
          <w:noProof/>
        </w:rPr>
        <w:drawing>
          <wp:inline distT="0" distB="0" distL="0" distR="0" wp14:anchorId="7F130DC8" wp14:editId="19049B02">
            <wp:extent cx="2895600" cy="1981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22442" w:rsidRPr="00CF5FD6" w:rsidRDefault="00B22442" w:rsidP="00136F39">
      <w:pPr>
        <w:spacing w:line="360" w:lineRule="auto"/>
        <w:jc w:val="both"/>
        <w:rPr>
          <w:sz w:val="18"/>
          <w:szCs w:val="18"/>
        </w:rPr>
      </w:pPr>
      <w:r w:rsidRPr="00CF5FD6">
        <w:rPr>
          <w:sz w:val="18"/>
          <w:szCs w:val="18"/>
        </w:rPr>
        <w:t xml:space="preserve">Source: Own calculations. </w:t>
      </w:r>
    </w:p>
    <w:p w:rsidR="008978BB" w:rsidRDefault="008978BB" w:rsidP="008978BB">
      <w:pPr>
        <w:spacing w:line="360" w:lineRule="auto"/>
        <w:jc w:val="both"/>
      </w:pPr>
      <w:proofErr w:type="gramStart"/>
      <w:r>
        <w:t>the</w:t>
      </w:r>
      <w:proofErr w:type="gramEnd"/>
      <w:r>
        <w:t xml:space="preserve"> variation in income inequality levels is mostly cross-sectional instead of temporal, as the </w:t>
      </w:r>
      <w:r w:rsidR="0008130B">
        <w:t>variation increases</w:t>
      </w:r>
      <w:r>
        <w:t xml:space="preserve"> during the years and th</w:t>
      </w:r>
      <w:r w:rsidR="0008130B">
        <w:t>e inequality levels also drop considerably during</w:t>
      </w:r>
      <w:r>
        <w:t xml:space="preserve"> the 19 year period. </w:t>
      </w:r>
    </w:p>
    <w:p w:rsidR="004D3FC2" w:rsidRDefault="004D66E5" w:rsidP="00B14A46">
      <w:pPr>
        <w:spacing w:line="360" w:lineRule="auto"/>
        <w:jc w:val="both"/>
      </w:pPr>
      <w:r>
        <w:t>To quantify the possible existence of a Kuznets curve in the de</w:t>
      </w:r>
      <w:r w:rsidR="0008130B">
        <w:t>velopment of Chilean regions, I</w:t>
      </w:r>
      <w:r>
        <w:t xml:space="preserve"> start by first estimating equation 5.1 as discussed in the previous chapter. Estimation of the first model entails pooling all</w:t>
      </w:r>
      <w:r w:rsidR="0008130B">
        <w:t xml:space="preserve"> observations and estimating a panel least s</w:t>
      </w:r>
      <w:r>
        <w:t>quares with time dummies. There are 9</w:t>
      </w:r>
      <w:r w:rsidRPr="004D66E5">
        <w:t xml:space="preserve"> </w:t>
      </w:r>
      <w:r>
        <w:t>obs</w:t>
      </w:r>
      <w:r w:rsidR="0008130B">
        <w:t>ervations for all 13 regions during the considered time period</w:t>
      </w:r>
      <w:r>
        <w:t>, which gives 117</w:t>
      </w:r>
      <w:r w:rsidR="0008130B">
        <w:t xml:space="preserve"> </w:t>
      </w:r>
      <w:r w:rsidR="00ED101B">
        <w:t xml:space="preserve">observations. All income variables are reported in 1000 CLP$ and </w:t>
      </w:r>
      <w:r w:rsidR="00640944">
        <w:t xml:space="preserve">regional </w:t>
      </w:r>
      <w:r w:rsidR="00ED101B">
        <w:t xml:space="preserve">income and </w:t>
      </w:r>
      <w:r w:rsidR="00640944">
        <w:t xml:space="preserve">regional </w:t>
      </w:r>
      <w:r w:rsidR="00ED101B">
        <w:t xml:space="preserve">human capital </w:t>
      </w:r>
      <w:r w:rsidR="0039413B">
        <w:t>Gini</w:t>
      </w:r>
      <w:r w:rsidR="00ED101B">
        <w:t>-coefficients are all in percentage</w:t>
      </w:r>
      <w:r w:rsidR="000611A1">
        <w:t>s</w:t>
      </w:r>
      <w:r w:rsidR="00ED101B">
        <w:t xml:space="preserve">. The results are shown in table 6.1. Columns 1 and 2 </w:t>
      </w:r>
      <w:r w:rsidR="00BE26B5">
        <w:t>show th</w:t>
      </w:r>
      <w:r w:rsidR="00640944">
        <w:t>e results</w:t>
      </w:r>
      <w:r w:rsidR="00ED101B">
        <w:t xml:space="preserve"> for respectively the </w:t>
      </w:r>
      <w:r w:rsidR="00640944">
        <w:t xml:space="preserve">regional </w:t>
      </w:r>
      <w:r w:rsidR="00ED101B">
        <w:t xml:space="preserve">GDP per capita and the </w:t>
      </w:r>
      <w:r w:rsidR="00640944">
        <w:t xml:space="preserve">regional </w:t>
      </w:r>
      <w:r w:rsidR="00ED101B">
        <w:t>mean income with its squared value</w:t>
      </w:r>
      <w:r w:rsidR="0008130B">
        <w:t>s</w:t>
      </w:r>
      <w:r w:rsidR="00ED101B">
        <w:t xml:space="preserve">. </w:t>
      </w:r>
      <w:r w:rsidR="00BE26B5">
        <w:t xml:space="preserve">The results using </w:t>
      </w:r>
      <w:r w:rsidR="00640944">
        <w:t xml:space="preserve">regional </w:t>
      </w:r>
      <w:r w:rsidR="00BE26B5">
        <w:t xml:space="preserve">GDP per capita and its squared </w:t>
      </w:r>
      <w:r w:rsidR="0008130B">
        <w:t xml:space="preserve">value </w:t>
      </w:r>
      <w:r w:rsidR="00BE26B5">
        <w:t xml:space="preserve">are not significant, while those using the </w:t>
      </w:r>
      <w:r w:rsidR="00640944">
        <w:t xml:space="preserve">regional </w:t>
      </w:r>
      <w:r w:rsidR="00BE26B5">
        <w:t>mean inc</w:t>
      </w:r>
      <w:r w:rsidR="0008130B">
        <w:t>ome only yield</w:t>
      </w:r>
      <w:r w:rsidR="00BE26B5">
        <w:t xml:space="preserve"> a significant coefficient for the squared value. The sign</w:t>
      </w:r>
      <w:r w:rsidR="004D19CA">
        <w:t>s</w:t>
      </w:r>
      <w:r w:rsidR="00BE26B5">
        <w:t xml:space="preserve"> of both variables in columns 1 and 2 are not </w:t>
      </w:r>
      <w:r w:rsidR="0008130B">
        <w:t>as expected</w:t>
      </w:r>
      <w:r w:rsidR="00BE26B5">
        <w:t xml:space="preserve">: instead of pointing to an inverted-U curve, they </w:t>
      </w:r>
      <w:r w:rsidR="004D19CA">
        <w:t xml:space="preserve">point to </w:t>
      </w:r>
      <w:r w:rsidR="00BE26B5">
        <w:t xml:space="preserve">a normal U-curve, indicating that inequality has initially </w:t>
      </w:r>
      <w:r w:rsidR="0008130B">
        <w:t>decreased</w:t>
      </w:r>
      <w:r w:rsidR="00BE26B5">
        <w:t xml:space="preserve"> during the period and subsequently </w:t>
      </w:r>
      <w:r w:rsidR="0008130B">
        <w:t>increased</w:t>
      </w:r>
      <w:r w:rsidR="00BE26B5">
        <w:t xml:space="preserve"> as </w:t>
      </w:r>
      <w:r w:rsidR="003F2BDB">
        <w:t>the regional economies developed</w:t>
      </w:r>
      <w:r w:rsidR="00BE26B5">
        <w:t xml:space="preserve">. </w:t>
      </w:r>
    </w:p>
    <w:p w:rsidR="004D66E5" w:rsidRDefault="00BE26B5" w:rsidP="004D66E5">
      <w:pPr>
        <w:spacing w:line="360" w:lineRule="auto"/>
        <w:jc w:val="both"/>
      </w:pPr>
      <w:r>
        <w:lastRenderedPageBreak/>
        <w:t>Adding control variables</w:t>
      </w:r>
      <w:r w:rsidR="00B266CB">
        <w:t xml:space="preserve"> (not reported)</w:t>
      </w:r>
      <w:r>
        <w:t xml:space="preserve"> or changing the </w:t>
      </w:r>
      <w:r w:rsidR="0008130B">
        <w:t>specification</w:t>
      </w:r>
      <w:r>
        <w:t xml:space="preserve"> to the Anand and Kanbur variant </w:t>
      </w:r>
      <w:r w:rsidR="00640944">
        <w:t xml:space="preserve">as in </w:t>
      </w:r>
      <w:r w:rsidR="0008130B">
        <w:t>equation</w:t>
      </w:r>
      <w:r>
        <w:t xml:space="preserve"> 5.2 </w:t>
      </w:r>
      <w:r w:rsidR="003A60E8">
        <w:t xml:space="preserve">does not yield </w:t>
      </w:r>
      <w:r w:rsidR="0008130B">
        <w:t>stronger</w:t>
      </w:r>
      <w:r w:rsidR="003A60E8">
        <w:t xml:space="preserve"> results </w:t>
      </w:r>
      <w:r w:rsidR="003F2BDB">
        <w:t>for the GDP specification</w:t>
      </w:r>
      <w:r w:rsidR="00CF35D3">
        <w:t xml:space="preserve"> (column 3</w:t>
      </w:r>
      <w:r w:rsidR="003938A3">
        <w:t xml:space="preserve">). </w:t>
      </w:r>
      <w:r w:rsidR="0008130B">
        <w:t>Instead, using the</w:t>
      </w:r>
      <w:r w:rsidR="003F2BDB">
        <w:t xml:space="preserve"> </w:t>
      </w:r>
      <w:r w:rsidR="00B266CB">
        <w:t>mean</w:t>
      </w:r>
      <w:r w:rsidR="003F2BDB">
        <w:t xml:space="preserve"> income</w:t>
      </w:r>
      <w:r w:rsidR="003938A3">
        <w:t xml:space="preserve"> and its inverse </w:t>
      </w:r>
      <w:r w:rsidR="0008130B">
        <w:t xml:space="preserve">does yield </w:t>
      </w:r>
      <w:r w:rsidR="003F2BDB">
        <w:t>si</w:t>
      </w:r>
      <w:r w:rsidR="0036710E">
        <w:t>g</w:t>
      </w:r>
      <w:r w:rsidR="0039413B">
        <w:t>ni</w:t>
      </w:r>
      <w:r w:rsidR="003F2BDB">
        <w:t>ficant coefficients for</w:t>
      </w:r>
      <w:r w:rsidR="00B266CB">
        <w:t xml:space="preserve"> both the explanatory variables at the 10% level</w:t>
      </w:r>
      <w:r w:rsidR="00CF35D3">
        <w:t xml:space="preserve"> (column 4</w:t>
      </w:r>
      <w:r w:rsidR="00B266CB">
        <w:t>)</w:t>
      </w:r>
      <w:r w:rsidR="0008130B">
        <w:t>,</w:t>
      </w:r>
      <w:r w:rsidR="00B266CB">
        <w:t xml:space="preserve"> </w:t>
      </w:r>
      <w:r w:rsidR="003A60E8">
        <w:t>but</w:t>
      </w:r>
      <w:r w:rsidR="00CF35D3">
        <w:t xml:space="preserve"> </w:t>
      </w:r>
      <w:r w:rsidR="001C5C93">
        <w:t xml:space="preserve">both coefficients </w:t>
      </w:r>
      <w:r w:rsidR="003A60E8">
        <w:t>do not carry the</w:t>
      </w:r>
      <w:r w:rsidR="001C5C93">
        <w:t xml:space="preserve"> expe</w:t>
      </w:r>
      <w:r w:rsidR="0008130B">
        <w:t>cted sign. Ag</w:t>
      </w:r>
      <w:r w:rsidR="003A60E8">
        <w:t>ain</w:t>
      </w:r>
      <w:r w:rsidR="0008130B">
        <w:t>, they show</w:t>
      </w:r>
      <w:r w:rsidR="003A60E8">
        <w:t xml:space="preserve"> a real U rather than an inverted</w:t>
      </w:r>
      <w:r w:rsidR="00296838">
        <w:t>-U</w:t>
      </w:r>
      <w:r w:rsidR="006731C0">
        <w:t xml:space="preserve"> pattern</w:t>
      </w:r>
      <w:r w:rsidR="00296838">
        <w:t xml:space="preserve">. The minimum and thus the </w:t>
      </w:r>
      <w:r w:rsidR="001C5C93">
        <w:t xml:space="preserve">turning point </w:t>
      </w:r>
      <w:r w:rsidR="00296838">
        <w:t xml:space="preserve">is reached at </w:t>
      </w:r>
      <w:r w:rsidR="001644C8">
        <w:t>CLP$ 186,</w:t>
      </w:r>
      <w:r w:rsidR="001C5C93">
        <w:t>0</w:t>
      </w:r>
      <w:r w:rsidR="001644C8">
        <w:t>36</w:t>
      </w:r>
      <w:r w:rsidR="001C5C93">
        <w:t xml:space="preserve">. This </w:t>
      </w:r>
      <w:r w:rsidR="006731C0">
        <w:t xml:space="preserve">mean </w:t>
      </w:r>
      <w:r w:rsidR="001C5C93">
        <w:t xml:space="preserve">income level is </w:t>
      </w:r>
      <w:r w:rsidR="006731C0">
        <w:t xml:space="preserve">exceeded </w:t>
      </w:r>
      <w:r w:rsidR="001C5C93">
        <w:t xml:space="preserve">by most regions before 1996 in my sample. To check for </w:t>
      </w:r>
      <w:r w:rsidR="006731C0">
        <w:t xml:space="preserve">the </w:t>
      </w:r>
      <w:r w:rsidR="001C5C93">
        <w:t>robustness of this last result, both the human capital stock as measured by the average amount of schooling in years (HC Stock) and the reg</w:t>
      </w:r>
      <w:r w:rsidR="004D19CA">
        <w:t>ional population (Population) are</w:t>
      </w:r>
      <w:r w:rsidR="001C5C93">
        <w:t xml:space="preserve"> added in column 5. Addition of these (highly significant) variables just renders the coefficient on mean income insignificant</w:t>
      </w:r>
      <w:r w:rsidR="006731C0">
        <w:t>,</w:t>
      </w:r>
      <w:r w:rsidR="001C5C93">
        <w:t xml:space="preserve"> while the inverse </w:t>
      </w:r>
      <w:r w:rsidR="00296838">
        <w:t>remains</w:t>
      </w:r>
      <w:r w:rsidR="001C5C93">
        <w:t xml:space="preserve"> significant at the 10% level, </w:t>
      </w:r>
      <w:r w:rsidR="00296838">
        <w:t>but also switches sign</w:t>
      </w:r>
      <w:r w:rsidR="001C5C93">
        <w:t xml:space="preserve">. The human capital stock has a strong </w:t>
      </w:r>
      <w:r w:rsidR="00296838">
        <w:t>positive relationship</w:t>
      </w:r>
      <w:r w:rsidR="004D66E5">
        <w:t xml:space="preserve"> with equality while population size impacts equality negatively. The above results thus do </w:t>
      </w:r>
      <w:r w:rsidR="006731C0">
        <w:t>not</w:t>
      </w:r>
      <w:r w:rsidR="004D66E5">
        <w:t xml:space="preserve"> support the existence of a Kuznets curve in the development process of Chilean regions in the last two decades. </w:t>
      </w:r>
      <w:r w:rsidR="006731C0">
        <w:t>If any</w:t>
      </w:r>
      <w:r w:rsidR="004D66E5">
        <w:t xml:space="preserve">, they point to a drop and subsequent rise of </w:t>
      </w:r>
    </w:p>
    <w:p w:rsidR="004D3FC2" w:rsidRDefault="004D3FC2" w:rsidP="004D3FC2">
      <w:pPr>
        <w:spacing w:line="360" w:lineRule="auto"/>
        <w:jc w:val="both"/>
      </w:pPr>
      <w:proofErr w:type="gramStart"/>
      <w:r w:rsidRPr="001B292F">
        <w:rPr>
          <w:i/>
        </w:rPr>
        <w:t>Table 6.1.</w:t>
      </w:r>
      <w:proofErr w:type="gramEnd"/>
      <w:r>
        <w:rPr>
          <w:i/>
        </w:rPr>
        <w:t xml:space="preserve"> Panel </w:t>
      </w:r>
      <w:r w:rsidR="00B44F12">
        <w:rPr>
          <w:i/>
        </w:rPr>
        <w:t>l</w:t>
      </w:r>
      <w:r>
        <w:rPr>
          <w:i/>
        </w:rPr>
        <w:t xml:space="preserve">east </w:t>
      </w:r>
      <w:r w:rsidR="00B44F12">
        <w:rPr>
          <w:i/>
        </w:rPr>
        <w:t>s</w:t>
      </w:r>
      <w:r>
        <w:rPr>
          <w:i/>
        </w:rPr>
        <w:t>quares with time fixed effects, estimation of the Kuznets curve</w:t>
      </w:r>
    </w:p>
    <w:tbl>
      <w:tblPr>
        <w:tblW w:w="9906" w:type="dxa"/>
        <w:jc w:val="center"/>
        <w:tblInd w:w="93" w:type="dxa"/>
        <w:tblLook w:val="04A0" w:firstRow="1" w:lastRow="0" w:firstColumn="1" w:lastColumn="0" w:noHBand="0" w:noVBand="1"/>
      </w:tblPr>
      <w:tblGrid>
        <w:gridCol w:w="1552"/>
        <w:gridCol w:w="766"/>
        <w:gridCol w:w="824"/>
        <w:gridCol w:w="818"/>
        <w:gridCol w:w="672"/>
        <w:gridCol w:w="1311"/>
        <w:gridCol w:w="672"/>
        <w:gridCol w:w="976"/>
        <w:gridCol w:w="672"/>
        <w:gridCol w:w="1015"/>
        <w:gridCol w:w="672"/>
      </w:tblGrid>
      <w:tr w:rsidR="004D3FC2" w:rsidRPr="00CD5054" w:rsidTr="003A60E8">
        <w:trPr>
          <w:trHeight w:val="301"/>
          <w:jc w:val="center"/>
        </w:trPr>
        <w:tc>
          <w:tcPr>
            <w:tcW w:w="1552" w:type="dxa"/>
            <w:tcBorders>
              <w:top w:val="single" w:sz="4" w:space="0" w:color="auto"/>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 </w:t>
            </w:r>
          </w:p>
        </w:tc>
        <w:tc>
          <w:tcPr>
            <w:tcW w:w="8354"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 xml:space="preserve">Panel </w:t>
            </w:r>
            <w:r w:rsidR="004D19CA">
              <w:rPr>
                <w:rFonts w:eastAsia="Times New Roman"/>
                <w:b/>
                <w:bCs/>
                <w:color w:val="000000"/>
                <w:sz w:val="20"/>
                <w:szCs w:val="20"/>
              </w:rPr>
              <w:t xml:space="preserve">with </w:t>
            </w:r>
            <w:r w:rsidRPr="00CD5054">
              <w:rPr>
                <w:rFonts w:eastAsia="Times New Roman"/>
                <w:b/>
                <w:bCs/>
                <w:color w:val="000000"/>
                <w:sz w:val="20"/>
                <w:szCs w:val="20"/>
              </w:rPr>
              <w:t xml:space="preserve">time </w:t>
            </w:r>
            <w:r>
              <w:rPr>
                <w:rFonts w:eastAsia="Times New Roman"/>
                <w:b/>
                <w:bCs/>
                <w:color w:val="000000"/>
                <w:sz w:val="20"/>
                <w:szCs w:val="20"/>
              </w:rPr>
              <w:t>fixed effects</w:t>
            </w:r>
          </w:p>
        </w:tc>
      </w:tr>
      <w:tr w:rsidR="00E91762" w:rsidRPr="00CD5054" w:rsidTr="003A60E8">
        <w:trPr>
          <w:trHeight w:val="301"/>
          <w:jc w:val="center"/>
        </w:trPr>
        <w:tc>
          <w:tcPr>
            <w:tcW w:w="1552" w:type="dxa"/>
            <w:tcBorders>
              <w:top w:val="single" w:sz="4" w:space="0" w:color="auto"/>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b/>
                <w:bCs/>
                <w:color w:val="000000"/>
                <w:sz w:val="20"/>
                <w:szCs w:val="20"/>
              </w:rPr>
            </w:pPr>
            <w:r w:rsidRPr="00CD5054">
              <w:rPr>
                <w:rFonts w:eastAsia="Times New Roman"/>
                <w:b/>
                <w:bCs/>
                <w:color w:val="000000"/>
                <w:sz w:val="20"/>
                <w:szCs w:val="20"/>
              </w:rPr>
              <w:t> </w:t>
            </w:r>
          </w:p>
        </w:tc>
        <w:tc>
          <w:tcPr>
            <w:tcW w:w="1546" w:type="dxa"/>
            <w:gridSpan w:val="2"/>
            <w:tcBorders>
              <w:top w:val="single" w:sz="4" w:space="0" w:color="auto"/>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1</w:t>
            </w:r>
          </w:p>
        </w:tc>
        <w:tc>
          <w:tcPr>
            <w:tcW w:w="1490" w:type="dxa"/>
            <w:gridSpan w:val="2"/>
            <w:tcBorders>
              <w:top w:val="single" w:sz="4" w:space="0" w:color="auto"/>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2</w:t>
            </w:r>
          </w:p>
        </w:tc>
        <w:tc>
          <w:tcPr>
            <w:tcW w:w="1983" w:type="dxa"/>
            <w:gridSpan w:val="2"/>
            <w:tcBorders>
              <w:top w:val="single" w:sz="4" w:space="0" w:color="auto"/>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3</w:t>
            </w:r>
          </w:p>
        </w:tc>
        <w:tc>
          <w:tcPr>
            <w:tcW w:w="1648" w:type="dxa"/>
            <w:gridSpan w:val="2"/>
            <w:tcBorders>
              <w:top w:val="single" w:sz="4" w:space="0" w:color="auto"/>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4</w:t>
            </w:r>
          </w:p>
        </w:tc>
        <w:tc>
          <w:tcPr>
            <w:tcW w:w="1687" w:type="dxa"/>
            <w:gridSpan w:val="2"/>
            <w:tcBorders>
              <w:top w:val="single" w:sz="4" w:space="0" w:color="auto"/>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5</w:t>
            </w:r>
          </w:p>
        </w:tc>
      </w:tr>
      <w:tr w:rsidR="00E91762" w:rsidRPr="00CD5054" w:rsidTr="003A60E8">
        <w:trPr>
          <w:trHeight w:val="286"/>
          <w:jc w:val="center"/>
        </w:trPr>
        <w:tc>
          <w:tcPr>
            <w:tcW w:w="1552" w:type="dxa"/>
            <w:tcBorders>
              <w:top w:val="nil"/>
              <w:left w:val="single" w:sz="4" w:space="0" w:color="auto"/>
              <w:bottom w:val="single" w:sz="4" w:space="0" w:color="auto"/>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b/>
                <w:bCs/>
                <w:color w:val="000000"/>
                <w:sz w:val="20"/>
                <w:szCs w:val="20"/>
              </w:rPr>
            </w:pPr>
            <w:r w:rsidRPr="00CD5054">
              <w:rPr>
                <w:rFonts w:eastAsia="Times New Roman"/>
                <w:b/>
                <w:bCs/>
                <w:color w:val="000000"/>
                <w:sz w:val="20"/>
                <w:szCs w:val="20"/>
              </w:rPr>
              <w:t> </w:t>
            </w:r>
          </w:p>
        </w:tc>
        <w:tc>
          <w:tcPr>
            <w:tcW w:w="722" w:type="dxa"/>
            <w:tcBorders>
              <w:top w:val="nil"/>
              <w:left w:val="nil"/>
              <w:bottom w:val="single" w:sz="4" w:space="0" w:color="auto"/>
              <w:right w:val="nil"/>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824" w:type="dxa"/>
            <w:tcBorders>
              <w:top w:val="nil"/>
              <w:left w:val="nil"/>
              <w:bottom w:val="single" w:sz="4" w:space="0" w:color="auto"/>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818" w:type="dxa"/>
            <w:tcBorders>
              <w:top w:val="nil"/>
              <w:left w:val="nil"/>
              <w:bottom w:val="single" w:sz="4" w:space="0" w:color="auto"/>
              <w:right w:val="nil"/>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672" w:type="dxa"/>
            <w:tcBorders>
              <w:top w:val="nil"/>
              <w:left w:val="nil"/>
              <w:bottom w:val="single" w:sz="4" w:space="0" w:color="auto"/>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1311" w:type="dxa"/>
            <w:tcBorders>
              <w:top w:val="nil"/>
              <w:left w:val="nil"/>
              <w:bottom w:val="single" w:sz="4" w:space="0" w:color="auto"/>
              <w:right w:val="nil"/>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672" w:type="dxa"/>
            <w:tcBorders>
              <w:top w:val="nil"/>
              <w:left w:val="nil"/>
              <w:bottom w:val="single" w:sz="4" w:space="0" w:color="auto"/>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976" w:type="dxa"/>
            <w:tcBorders>
              <w:top w:val="nil"/>
              <w:left w:val="nil"/>
              <w:bottom w:val="single" w:sz="4" w:space="0" w:color="auto"/>
              <w:right w:val="nil"/>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672" w:type="dxa"/>
            <w:tcBorders>
              <w:top w:val="nil"/>
              <w:left w:val="nil"/>
              <w:bottom w:val="single" w:sz="4" w:space="0" w:color="auto"/>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1015" w:type="dxa"/>
            <w:tcBorders>
              <w:top w:val="nil"/>
              <w:left w:val="nil"/>
              <w:bottom w:val="single" w:sz="4" w:space="0" w:color="auto"/>
              <w:right w:val="nil"/>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672" w:type="dxa"/>
            <w:tcBorders>
              <w:top w:val="nil"/>
              <w:left w:val="nil"/>
              <w:bottom w:val="single" w:sz="4" w:space="0" w:color="auto"/>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Constant</w:t>
            </w:r>
          </w:p>
        </w:tc>
        <w:tc>
          <w:tcPr>
            <w:tcW w:w="722"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52.366</w:t>
            </w:r>
          </w:p>
        </w:tc>
        <w:tc>
          <w:tcPr>
            <w:tcW w:w="824"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818"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54.390</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1311"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50.164</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976"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27.419</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0.002</w:t>
            </w:r>
          </w:p>
        </w:tc>
        <w:tc>
          <w:tcPr>
            <w:tcW w:w="1015"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60.337</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GDPpc</w:t>
            </w:r>
          </w:p>
        </w:tc>
        <w:tc>
          <w:tcPr>
            <w:tcW w:w="722"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-0.001</w:t>
            </w:r>
          </w:p>
        </w:tc>
        <w:tc>
          <w:tcPr>
            <w:tcW w:w="824"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0.474</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0.134</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GDPpc^2</w:t>
            </w:r>
          </w:p>
        </w:tc>
        <w:tc>
          <w:tcPr>
            <w:tcW w:w="722"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824"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0.936</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1/</w:t>
            </w:r>
            <w:r>
              <w:rPr>
                <w:rFonts w:eastAsia="Times New Roman"/>
                <w:color w:val="000000"/>
                <w:sz w:val="20"/>
                <w:szCs w:val="20"/>
              </w:rPr>
              <w:t>R</w:t>
            </w:r>
            <w:r w:rsidRPr="00CD5054">
              <w:rPr>
                <w:rFonts w:eastAsia="Times New Roman"/>
                <w:color w:val="000000"/>
                <w:sz w:val="20"/>
                <w:szCs w:val="20"/>
              </w:rPr>
              <w:t>GDPpc</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2,676.59</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0.590</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Mean Income</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-0.063</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0.237</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0.055</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0.001</w:t>
            </w:r>
          </w:p>
        </w:tc>
        <w:tc>
          <w:tcPr>
            <w:tcW w:w="1015"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0.024</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0.136</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Mean Income^2</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0.047</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1/Mean Income</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1,903.52</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0.077</w:t>
            </w:r>
          </w:p>
        </w:tc>
        <w:tc>
          <w:tcPr>
            <w:tcW w:w="1015"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-1,762.94</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0.054</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HC Stock</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-3.262</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r>
      <w:tr w:rsidR="00E91762" w:rsidRPr="00CD5054" w:rsidTr="003A60E8">
        <w:trPr>
          <w:trHeight w:val="256"/>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Population</w:t>
            </w:r>
          </w:p>
        </w:tc>
        <w:tc>
          <w:tcPr>
            <w:tcW w:w="722"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p>
        </w:tc>
        <w:tc>
          <w:tcPr>
            <w:tcW w:w="824"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18"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311"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76" w:type="dxa"/>
            <w:tcBorders>
              <w:top w:val="nil"/>
              <w:left w:val="nil"/>
              <w:bottom w:val="nil"/>
              <w:right w:val="nil"/>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015" w:type="dxa"/>
            <w:tcBorders>
              <w:top w:val="nil"/>
              <w:left w:val="nil"/>
              <w:bottom w:val="nil"/>
              <w:right w:val="nil"/>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1.600</w:t>
            </w:r>
          </w:p>
        </w:tc>
        <w:tc>
          <w:tcPr>
            <w:tcW w:w="672" w:type="dxa"/>
            <w:tcBorders>
              <w:top w:val="nil"/>
              <w:left w:val="nil"/>
              <w:bottom w:val="nil"/>
              <w:right w:val="single" w:sz="4" w:space="0" w:color="auto"/>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r>
      <w:tr w:rsidR="00E91762" w:rsidRPr="00CD5054" w:rsidTr="003A60E8">
        <w:trPr>
          <w:trHeight w:val="301"/>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Observations</w:t>
            </w:r>
          </w:p>
        </w:tc>
        <w:tc>
          <w:tcPr>
            <w:tcW w:w="1546" w:type="dxa"/>
            <w:gridSpan w:val="2"/>
            <w:tcBorders>
              <w:top w:val="nil"/>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490" w:type="dxa"/>
            <w:gridSpan w:val="2"/>
            <w:tcBorders>
              <w:top w:val="nil"/>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983" w:type="dxa"/>
            <w:gridSpan w:val="2"/>
            <w:tcBorders>
              <w:top w:val="nil"/>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648" w:type="dxa"/>
            <w:gridSpan w:val="2"/>
            <w:tcBorders>
              <w:top w:val="nil"/>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687" w:type="dxa"/>
            <w:gridSpan w:val="2"/>
            <w:tcBorders>
              <w:top w:val="nil"/>
              <w:left w:val="nil"/>
              <w:bottom w:val="nil"/>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117</w:t>
            </w:r>
          </w:p>
        </w:tc>
      </w:tr>
      <w:tr w:rsidR="00E91762" w:rsidRPr="00CD5054" w:rsidTr="003A60E8">
        <w:trPr>
          <w:trHeight w:val="301"/>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R2 Adjusted</w:t>
            </w:r>
          </w:p>
        </w:tc>
        <w:tc>
          <w:tcPr>
            <w:tcW w:w="1546"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0.336</w:t>
            </w:r>
          </w:p>
        </w:tc>
        <w:tc>
          <w:tcPr>
            <w:tcW w:w="1490"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0.337</w:t>
            </w:r>
          </w:p>
        </w:tc>
        <w:tc>
          <w:tcPr>
            <w:tcW w:w="1983"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0.340</w:t>
            </w:r>
          </w:p>
        </w:tc>
        <w:tc>
          <w:tcPr>
            <w:tcW w:w="1648"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0.322</w:t>
            </w:r>
          </w:p>
        </w:tc>
        <w:tc>
          <w:tcPr>
            <w:tcW w:w="1687"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0.632</w:t>
            </w:r>
          </w:p>
        </w:tc>
      </w:tr>
      <w:tr w:rsidR="00E91762" w:rsidRPr="00CD5054" w:rsidTr="003A60E8">
        <w:trPr>
          <w:trHeight w:val="301"/>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F-Test</w:t>
            </w:r>
          </w:p>
        </w:tc>
        <w:tc>
          <w:tcPr>
            <w:tcW w:w="1546"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1490"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1983"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1648"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c>
          <w:tcPr>
            <w:tcW w:w="1687"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0.000</w:t>
            </w:r>
          </w:p>
        </w:tc>
      </w:tr>
      <w:tr w:rsidR="00E91762" w:rsidRPr="00CD5054" w:rsidTr="003A60E8">
        <w:trPr>
          <w:trHeight w:val="301"/>
          <w:jc w:val="center"/>
        </w:trPr>
        <w:tc>
          <w:tcPr>
            <w:tcW w:w="1552" w:type="dxa"/>
            <w:tcBorders>
              <w:top w:val="nil"/>
              <w:left w:val="single" w:sz="4" w:space="0" w:color="auto"/>
              <w:bottom w:val="nil"/>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Schwartz</w:t>
            </w:r>
          </w:p>
        </w:tc>
        <w:tc>
          <w:tcPr>
            <w:tcW w:w="1546"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5.826</w:t>
            </w:r>
          </w:p>
        </w:tc>
        <w:tc>
          <w:tcPr>
            <w:tcW w:w="1490"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5.824</w:t>
            </w:r>
          </w:p>
        </w:tc>
        <w:tc>
          <w:tcPr>
            <w:tcW w:w="1983"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5.821</w:t>
            </w:r>
          </w:p>
        </w:tc>
        <w:tc>
          <w:tcPr>
            <w:tcW w:w="1648"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5.846</w:t>
            </w:r>
          </w:p>
        </w:tc>
        <w:tc>
          <w:tcPr>
            <w:tcW w:w="1687" w:type="dxa"/>
            <w:gridSpan w:val="2"/>
            <w:tcBorders>
              <w:top w:val="nil"/>
              <w:left w:val="nil"/>
              <w:bottom w:val="nil"/>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5.299</w:t>
            </w:r>
          </w:p>
        </w:tc>
      </w:tr>
      <w:tr w:rsidR="00E91762" w:rsidRPr="00CD5054" w:rsidTr="003A60E8">
        <w:trPr>
          <w:trHeight w:val="301"/>
          <w:jc w:val="center"/>
        </w:trPr>
        <w:tc>
          <w:tcPr>
            <w:tcW w:w="1552" w:type="dxa"/>
            <w:tcBorders>
              <w:top w:val="nil"/>
              <w:left w:val="single" w:sz="4" w:space="0" w:color="auto"/>
              <w:bottom w:val="single" w:sz="4" w:space="0" w:color="auto"/>
              <w:right w:val="double" w:sz="6" w:space="0" w:color="auto"/>
            </w:tcBorders>
            <w:shd w:val="clear" w:color="auto" w:fill="auto"/>
            <w:noWrap/>
            <w:vAlign w:val="bottom"/>
            <w:hideMark/>
          </w:tcPr>
          <w:p w:rsidR="004D3FC2" w:rsidRPr="00CD5054" w:rsidRDefault="004D3FC2" w:rsidP="007A7F40">
            <w:pPr>
              <w:spacing w:after="0" w:line="240" w:lineRule="auto"/>
              <w:rPr>
                <w:rFonts w:eastAsia="Times New Roman"/>
                <w:color w:val="000000"/>
                <w:sz w:val="20"/>
                <w:szCs w:val="20"/>
              </w:rPr>
            </w:pPr>
            <w:r w:rsidRPr="00CD5054">
              <w:rPr>
                <w:rFonts w:eastAsia="Times New Roman"/>
                <w:color w:val="000000"/>
                <w:sz w:val="20"/>
                <w:szCs w:val="20"/>
              </w:rPr>
              <w:t>Log-likelihood</w:t>
            </w:r>
          </w:p>
        </w:tc>
        <w:tc>
          <w:tcPr>
            <w:tcW w:w="1546" w:type="dxa"/>
            <w:gridSpan w:val="2"/>
            <w:tcBorders>
              <w:top w:val="nil"/>
              <w:left w:val="nil"/>
              <w:bottom w:val="single" w:sz="4" w:space="0" w:color="auto"/>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-314.615</w:t>
            </w:r>
          </w:p>
        </w:tc>
        <w:tc>
          <w:tcPr>
            <w:tcW w:w="1490" w:type="dxa"/>
            <w:gridSpan w:val="2"/>
            <w:tcBorders>
              <w:top w:val="nil"/>
              <w:left w:val="nil"/>
              <w:bottom w:val="single" w:sz="4" w:space="0" w:color="auto"/>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-314.510</w:t>
            </w:r>
          </w:p>
        </w:tc>
        <w:tc>
          <w:tcPr>
            <w:tcW w:w="1983" w:type="dxa"/>
            <w:gridSpan w:val="2"/>
            <w:tcBorders>
              <w:top w:val="nil"/>
              <w:left w:val="nil"/>
              <w:bottom w:val="single" w:sz="4" w:space="0" w:color="auto"/>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-314.307</w:t>
            </w:r>
          </w:p>
        </w:tc>
        <w:tc>
          <w:tcPr>
            <w:tcW w:w="1648" w:type="dxa"/>
            <w:gridSpan w:val="2"/>
            <w:tcBorders>
              <w:top w:val="nil"/>
              <w:left w:val="nil"/>
              <w:bottom w:val="single" w:sz="4" w:space="0" w:color="auto"/>
              <w:right w:val="single" w:sz="4" w:space="0" w:color="000000"/>
            </w:tcBorders>
            <w:shd w:val="clear" w:color="auto" w:fill="auto"/>
            <w:noWrap/>
            <w:vAlign w:val="bottom"/>
            <w:hideMark/>
          </w:tcPr>
          <w:p w:rsidR="004D3FC2" w:rsidRPr="00CD5054" w:rsidRDefault="004D3FC2" w:rsidP="007A7F40">
            <w:pPr>
              <w:spacing w:after="0" w:line="240" w:lineRule="auto"/>
              <w:jc w:val="center"/>
              <w:rPr>
                <w:rFonts w:eastAsia="Times New Roman"/>
                <w:color w:val="000000"/>
                <w:sz w:val="20"/>
                <w:szCs w:val="20"/>
              </w:rPr>
            </w:pPr>
            <w:r w:rsidRPr="00CD5054">
              <w:rPr>
                <w:rFonts w:eastAsia="Times New Roman"/>
                <w:color w:val="000000"/>
                <w:sz w:val="20"/>
                <w:szCs w:val="20"/>
              </w:rPr>
              <w:t>-315.813</w:t>
            </w:r>
          </w:p>
        </w:tc>
        <w:tc>
          <w:tcPr>
            <w:tcW w:w="1687" w:type="dxa"/>
            <w:gridSpan w:val="2"/>
            <w:tcBorders>
              <w:top w:val="nil"/>
              <w:left w:val="nil"/>
              <w:bottom w:val="single" w:sz="4" w:space="0" w:color="auto"/>
              <w:right w:val="single" w:sz="4" w:space="0" w:color="000000"/>
            </w:tcBorders>
            <w:shd w:val="clear" w:color="auto" w:fill="auto"/>
            <w:noWrap/>
            <w:vAlign w:val="bottom"/>
            <w:hideMark/>
          </w:tcPr>
          <w:p w:rsidR="004D3FC2" w:rsidRPr="00CD5054" w:rsidRDefault="00AC4741" w:rsidP="007A7F40">
            <w:pPr>
              <w:spacing w:after="0" w:line="240" w:lineRule="auto"/>
              <w:jc w:val="center"/>
              <w:rPr>
                <w:rFonts w:eastAsia="Times New Roman"/>
                <w:color w:val="000000"/>
                <w:sz w:val="20"/>
                <w:szCs w:val="20"/>
              </w:rPr>
            </w:pPr>
            <w:r>
              <w:rPr>
                <w:rFonts w:eastAsia="Times New Roman"/>
                <w:color w:val="000000"/>
                <w:sz w:val="20"/>
                <w:szCs w:val="20"/>
              </w:rPr>
              <w:t>-279.055</w:t>
            </w:r>
          </w:p>
        </w:tc>
      </w:tr>
    </w:tbl>
    <w:p w:rsidR="004D3FC2" w:rsidRDefault="004D3FC2" w:rsidP="004D3FC2">
      <w:pPr>
        <w:rPr>
          <w:sz w:val="18"/>
          <w:szCs w:val="18"/>
        </w:rPr>
      </w:pPr>
      <w:r w:rsidRPr="005C0811">
        <w:rPr>
          <w:sz w:val="18"/>
          <w:szCs w:val="18"/>
        </w:rPr>
        <w:t xml:space="preserve">Notes: </w:t>
      </w:r>
      <w:r>
        <w:rPr>
          <w:sz w:val="18"/>
          <w:szCs w:val="18"/>
        </w:rPr>
        <w:t xml:space="preserve">Panel </w:t>
      </w:r>
      <w:r w:rsidR="00B44F12">
        <w:rPr>
          <w:sz w:val="18"/>
          <w:szCs w:val="18"/>
        </w:rPr>
        <w:t>L</w:t>
      </w:r>
      <w:r>
        <w:rPr>
          <w:sz w:val="18"/>
          <w:szCs w:val="18"/>
        </w:rPr>
        <w:t>east Squares</w:t>
      </w:r>
      <w:r w:rsidRPr="005C0811">
        <w:rPr>
          <w:sz w:val="18"/>
          <w:szCs w:val="18"/>
        </w:rPr>
        <w:t xml:space="preserve"> </w:t>
      </w:r>
      <w:r>
        <w:rPr>
          <w:sz w:val="18"/>
          <w:szCs w:val="18"/>
        </w:rPr>
        <w:t xml:space="preserve">with time fixed effects </w:t>
      </w:r>
      <w:r w:rsidRPr="005C0811">
        <w:rPr>
          <w:sz w:val="18"/>
          <w:szCs w:val="18"/>
        </w:rPr>
        <w:t xml:space="preserve">(not reported). </w:t>
      </w:r>
      <w:r>
        <w:rPr>
          <w:sz w:val="18"/>
          <w:szCs w:val="18"/>
        </w:rPr>
        <w:t>Standard errors are robust</w:t>
      </w:r>
      <w:r w:rsidRPr="005C0811">
        <w:rPr>
          <w:sz w:val="18"/>
          <w:szCs w:val="18"/>
        </w:rPr>
        <w:t xml:space="preserve">. Dependent variable: </w:t>
      </w:r>
      <w:r>
        <w:rPr>
          <w:sz w:val="18"/>
          <w:szCs w:val="18"/>
        </w:rPr>
        <w:t>income Gini co</w:t>
      </w:r>
      <w:r w:rsidR="00CC3DC5">
        <w:rPr>
          <w:sz w:val="18"/>
          <w:szCs w:val="18"/>
        </w:rPr>
        <w:t>efficient in percentage-points. F-Test values are probability values.</w:t>
      </w:r>
    </w:p>
    <w:p w:rsidR="00407202" w:rsidRDefault="00407202" w:rsidP="006731C0">
      <w:pPr>
        <w:spacing w:line="360" w:lineRule="auto"/>
        <w:jc w:val="both"/>
      </w:pPr>
      <w:proofErr w:type="gramStart"/>
      <w:r>
        <w:t>inequality</w:t>
      </w:r>
      <w:proofErr w:type="gramEnd"/>
      <w:r>
        <w:t xml:space="preserve"> levels. </w:t>
      </w:r>
    </w:p>
    <w:p w:rsidR="006731C0" w:rsidRDefault="00296838" w:rsidP="006731C0">
      <w:pPr>
        <w:spacing w:line="360" w:lineRule="auto"/>
        <w:jc w:val="both"/>
      </w:pPr>
      <w:r>
        <w:t xml:space="preserve">As Deininger and Squire (1998) note, this could be caused by omitted variables that affect inequality levels and are correlated with the </w:t>
      </w:r>
      <w:r w:rsidR="006731C0">
        <w:t>income</w:t>
      </w:r>
      <w:r>
        <w:t xml:space="preserve"> levels. </w:t>
      </w:r>
      <w:r w:rsidR="004D3FC2">
        <w:t>A possible solution to this problem is</w:t>
      </w:r>
      <w:r w:rsidR="006731C0">
        <w:t xml:space="preserve"> the estimation of the model </w:t>
      </w:r>
      <w:r w:rsidR="004D3FC2">
        <w:t xml:space="preserve">using regional fixed effects. This could overcome the possible bias of omitted variables as mentioned above. A disadvantage of the fixed effects model is that it removes all cross-sectional variation in the data and possibly interferes with the estimated parameters (Pindyck and Rubinfield, </w:t>
      </w:r>
      <w:r w:rsidR="004D3FC2">
        <w:lastRenderedPageBreak/>
        <w:t>1998). Regional fixed effect</w:t>
      </w:r>
      <w:r w:rsidR="006731C0">
        <w:t>s allow the intercept to vary per</w:t>
      </w:r>
      <w:r w:rsidR="004D3FC2">
        <w:t xml:space="preserve"> region which seems more realistic since there are sizable differences in inequality, GDP and income levels as noted in chapter 4. </w:t>
      </w:r>
      <w:r w:rsidR="006731C0">
        <w:t>As a</w:t>
      </w:r>
      <w:r w:rsidR="004D3FC2">
        <w:t xml:space="preserve">lso mentioned by Deininger and Squire (1998), it is unlikely that all regions are on the ‘same’ Kuznets curve. Table 6.2 shows the results of estimating the models </w:t>
      </w:r>
      <w:r>
        <w:t xml:space="preserve">using </w:t>
      </w:r>
      <w:r w:rsidR="004D3FC2">
        <w:t>regional fixed effects</w:t>
      </w:r>
      <w:r w:rsidR="004D3FC2">
        <w:rPr>
          <w:rStyle w:val="FootnoteReference"/>
        </w:rPr>
        <w:footnoteReference w:id="21"/>
      </w:r>
      <w:r w:rsidR="004D3FC2">
        <w:t xml:space="preserve">. As is clear from column 6 and 7, both estimates </w:t>
      </w:r>
      <w:r w:rsidR="00FF1D6F">
        <w:t xml:space="preserve">again </w:t>
      </w:r>
      <w:r w:rsidR="004D3FC2">
        <w:t xml:space="preserve">do not show the expected sign, that is, they show a U-curve instead of an inverted-U pattern. Adding the two control variables used before does not change the sign, </w:t>
      </w:r>
      <w:proofErr w:type="gramStart"/>
      <w:r w:rsidR="006731C0">
        <w:t>nor</w:t>
      </w:r>
      <w:proofErr w:type="gramEnd"/>
      <w:r w:rsidR="004D3FC2">
        <w:t xml:space="preserve"> does using the specification with the inverse instead of the square income variable (not reported). Combining both the time and region fixed effects yields the results as shown in column 8 and 9. </w:t>
      </w:r>
      <w:r w:rsidR="00FF1D6F">
        <w:t>Now both</w:t>
      </w:r>
      <w:r w:rsidR="004D3FC2">
        <w:t xml:space="preserve"> GDP and its</w:t>
      </w:r>
      <w:r w:rsidR="00FF1D6F" w:rsidRPr="00FF1D6F">
        <w:t xml:space="preserve"> </w:t>
      </w:r>
      <w:r w:rsidR="00FF1D6F">
        <w:t>squared show a highly insignificant coefficient. The mean income</w:t>
      </w:r>
      <w:r w:rsidR="004D66E5">
        <w:t xml:space="preserve"> variable and its squared do yield significant coefficients and have the appropriate sign for an inverted-U, with both coefficients significant at the 1% level. Column 10 tests for the robustness of this result</w:t>
      </w:r>
      <w:r w:rsidR="004D66E5" w:rsidRPr="004D66E5">
        <w:t xml:space="preserve"> </w:t>
      </w:r>
      <w:r w:rsidR="004D66E5">
        <w:t>by adding the average education level and the population. HC stock enters the model significant at the 10% level and has a positive effect on equality while population does not enter the equation in a significant way. To further check for this specification, equation 5.2 is estimated as shown in column</w:t>
      </w:r>
      <w:r w:rsidR="006731C0">
        <w:t xml:space="preserve"> 11. Changing the specification as proposed by Anand and Kanbur (1993) makes the variables switch sign, showing that the model is not robust to a different functional form. </w:t>
      </w:r>
    </w:p>
    <w:p w:rsidR="004D3FC2" w:rsidRPr="006731C0" w:rsidRDefault="006731C0" w:rsidP="004D3FC2">
      <w:pPr>
        <w:spacing w:line="360" w:lineRule="auto"/>
        <w:jc w:val="both"/>
      </w:pPr>
      <w:r>
        <w:t xml:space="preserve">Overall, results point to a U-curved relationship between development and inequality instead of an inverted-U, with most of these results not robust to different specifications or the addition of control variables. The mean income seems to pick up this pattern better than regional GDP, which could be caused by the higher volatility of GDP compared to income. This could be related to the fact that regional GDP in my sample depicts levels every 2 or 3 years, while most literature on the subject (including Kuznets’s 1955 paper) deals with much larger time spans. Unfortunately, the limited amount of regional inequality data does not support this kind of analysis. </w:t>
      </w:r>
    </w:p>
    <w:p w:rsidR="006731C0" w:rsidRPr="00F76156" w:rsidRDefault="006731C0" w:rsidP="006731C0">
      <w:pPr>
        <w:pStyle w:val="ListParagraph"/>
        <w:spacing w:line="360" w:lineRule="auto"/>
        <w:jc w:val="both"/>
        <w:rPr>
          <w:b/>
        </w:rPr>
      </w:pPr>
      <w:r w:rsidRPr="00F76156">
        <w:rPr>
          <w:b/>
        </w:rPr>
        <w:t>6.2 Inequality as a Determinant of Economic Growth</w:t>
      </w:r>
    </w:p>
    <w:p w:rsidR="00622E76" w:rsidRDefault="006731C0" w:rsidP="006731C0">
      <w:pPr>
        <w:spacing w:line="360" w:lineRule="auto"/>
        <w:jc w:val="both"/>
      </w:pPr>
      <w:r>
        <w:t xml:space="preserve">As outlined in section 5.2, I will use several lengths of growth spells to determine if inequality has an influence on regional economic growth in Chile during the 1990-2009 </w:t>
      </w:r>
      <w:proofErr w:type="gramStart"/>
      <w:r>
        <w:t>period</w:t>
      </w:r>
      <w:proofErr w:type="gramEnd"/>
      <w:r>
        <w:t>. Each growth regression is estimated using 8 different model specifications, where the difference between these specifications consists of the differing inequality estimators which are included</w:t>
      </w:r>
      <w:r w:rsidR="00622E76">
        <w:t>. Note that both t</w:t>
      </w:r>
      <w:r>
        <w:t>he income and human capital G</w:t>
      </w:r>
      <w:r w:rsidR="00622E76">
        <w:t>ini enter</w:t>
      </w:r>
      <w:r>
        <w:t xml:space="preserve"> in coefficients instead of percentages. </w:t>
      </w:r>
    </w:p>
    <w:p w:rsidR="006731C0" w:rsidRPr="000611A1" w:rsidRDefault="006731C0" w:rsidP="006731C0">
      <w:pPr>
        <w:spacing w:line="360" w:lineRule="auto"/>
        <w:jc w:val="both"/>
        <w:rPr>
          <w:sz w:val="18"/>
          <w:szCs w:val="18"/>
        </w:rPr>
        <w:sectPr w:rsidR="006731C0" w:rsidRPr="000611A1" w:rsidSect="00240798">
          <w:footerReference w:type="default" r:id="rId21"/>
          <w:footerReference w:type="first" r:id="rId22"/>
          <w:pgSz w:w="11907" w:h="16840" w:code="9"/>
          <w:pgMar w:top="1418" w:right="1418" w:bottom="1418" w:left="1418" w:header="709" w:footer="709" w:gutter="0"/>
          <w:pgNumType w:start="0"/>
          <w:cols w:space="708"/>
          <w:titlePg/>
          <w:docGrid w:linePitch="360"/>
        </w:sectPr>
      </w:pPr>
      <w:r>
        <w:t>My first approach is to use cross-sectional estimations, using only one observation per region to a total of 13 observations. Although this severely limits the amount of observations, given the data it is the only way to allow for a regression on long</w:t>
      </w:r>
      <w:r w:rsidR="00622E76">
        <w:t xml:space="preserve"> term growth rates.</w:t>
      </w:r>
      <w:r w:rsidR="00622E76" w:rsidRPr="00622E76">
        <w:t xml:space="preserve"> </w:t>
      </w:r>
      <w:r w:rsidR="00622E76">
        <w:t>The dependent variable is the average</w:t>
      </w:r>
    </w:p>
    <w:p w:rsidR="00136F39" w:rsidRDefault="00136F39"/>
    <w:p w:rsidR="005B3156" w:rsidRPr="001B292F" w:rsidRDefault="00BA6009">
      <w:pPr>
        <w:rPr>
          <w:i/>
        </w:rPr>
      </w:pPr>
      <w:proofErr w:type="gramStart"/>
      <w:r>
        <w:rPr>
          <w:i/>
        </w:rPr>
        <w:t>Table 6.2.</w:t>
      </w:r>
      <w:proofErr w:type="gramEnd"/>
      <w:r>
        <w:rPr>
          <w:i/>
        </w:rPr>
        <w:t xml:space="preserve"> </w:t>
      </w:r>
      <w:r w:rsidR="001C5C93">
        <w:rPr>
          <w:i/>
        </w:rPr>
        <w:t xml:space="preserve"> </w:t>
      </w:r>
      <w:r w:rsidR="001B292F">
        <w:rPr>
          <w:i/>
        </w:rPr>
        <w:t xml:space="preserve">Panel </w:t>
      </w:r>
      <w:r>
        <w:rPr>
          <w:i/>
        </w:rPr>
        <w:t xml:space="preserve">Least Squares with </w:t>
      </w:r>
      <w:r w:rsidR="00D23CF7">
        <w:rPr>
          <w:i/>
        </w:rPr>
        <w:t>fixed effects</w:t>
      </w:r>
      <w:r>
        <w:rPr>
          <w:i/>
        </w:rPr>
        <w:t xml:space="preserve">, estimation </w:t>
      </w:r>
      <w:r w:rsidR="001B292F">
        <w:rPr>
          <w:i/>
        </w:rPr>
        <w:t>of the Kuznets curve</w:t>
      </w:r>
    </w:p>
    <w:tbl>
      <w:tblPr>
        <w:tblW w:w="12738" w:type="dxa"/>
        <w:tblInd w:w="93" w:type="dxa"/>
        <w:tblLook w:val="04A0" w:firstRow="1" w:lastRow="0" w:firstColumn="1" w:lastColumn="0" w:noHBand="0" w:noVBand="1"/>
      </w:tblPr>
      <w:tblGrid>
        <w:gridCol w:w="1575"/>
        <w:gridCol w:w="866"/>
        <w:gridCol w:w="950"/>
        <w:gridCol w:w="866"/>
        <w:gridCol w:w="950"/>
        <w:gridCol w:w="866"/>
        <w:gridCol w:w="950"/>
        <w:gridCol w:w="866"/>
        <w:gridCol w:w="950"/>
        <w:gridCol w:w="866"/>
        <w:gridCol w:w="950"/>
        <w:gridCol w:w="1133"/>
        <w:gridCol w:w="950"/>
      </w:tblGrid>
      <w:tr w:rsidR="00CD5054" w:rsidRPr="00CD5054" w:rsidTr="00E91762">
        <w:trPr>
          <w:trHeight w:val="300"/>
        </w:trPr>
        <w:tc>
          <w:tcPr>
            <w:tcW w:w="1575" w:type="dxa"/>
            <w:tcBorders>
              <w:top w:val="single" w:sz="4" w:space="0" w:color="auto"/>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 </w:t>
            </w:r>
          </w:p>
        </w:tc>
        <w:tc>
          <w:tcPr>
            <w:tcW w:w="3632" w:type="dxa"/>
            <w:gridSpan w:val="4"/>
            <w:tcBorders>
              <w:top w:val="single" w:sz="4" w:space="0" w:color="auto"/>
              <w:left w:val="nil"/>
              <w:bottom w:val="nil"/>
              <w:right w:val="double" w:sz="6"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 xml:space="preserve">Panel regional </w:t>
            </w:r>
            <w:r w:rsidR="00D23CF7">
              <w:rPr>
                <w:rFonts w:eastAsia="Times New Roman"/>
                <w:b/>
                <w:bCs/>
                <w:color w:val="000000"/>
                <w:sz w:val="20"/>
                <w:szCs w:val="20"/>
              </w:rPr>
              <w:t>fixed effects</w:t>
            </w:r>
          </w:p>
        </w:tc>
        <w:tc>
          <w:tcPr>
            <w:tcW w:w="7531" w:type="dxa"/>
            <w:gridSpan w:val="8"/>
            <w:tcBorders>
              <w:top w:val="single" w:sz="4" w:space="0" w:color="auto"/>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 xml:space="preserve">Panel regional and time </w:t>
            </w:r>
            <w:r w:rsidR="00D23CF7">
              <w:rPr>
                <w:rFonts w:eastAsia="Times New Roman"/>
                <w:b/>
                <w:bCs/>
                <w:color w:val="000000"/>
                <w:sz w:val="20"/>
                <w:szCs w:val="20"/>
              </w:rPr>
              <w:t>fixed effects</w:t>
            </w:r>
          </w:p>
        </w:tc>
      </w:tr>
      <w:tr w:rsidR="00CD5054" w:rsidRPr="00CD5054" w:rsidTr="00E91762">
        <w:trPr>
          <w:trHeight w:val="300"/>
        </w:trPr>
        <w:tc>
          <w:tcPr>
            <w:tcW w:w="1575" w:type="dxa"/>
            <w:tcBorders>
              <w:top w:val="single" w:sz="4" w:space="0" w:color="auto"/>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 </w:t>
            </w:r>
          </w:p>
        </w:tc>
        <w:tc>
          <w:tcPr>
            <w:tcW w:w="1816" w:type="dxa"/>
            <w:gridSpan w:val="2"/>
            <w:tcBorders>
              <w:top w:val="single" w:sz="4" w:space="0" w:color="auto"/>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6</w:t>
            </w:r>
          </w:p>
        </w:tc>
        <w:tc>
          <w:tcPr>
            <w:tcW w:w="1816" w:type="dxa"/>
            <w:gridSpan w:val="2"/>
            <w:tcBorders>
              <w:top w:val="single" w:sz="4" w:space="0" w:color="auto"/>
              <w:left w:val="single" w:sz="4" w:space="0" w:color="auto"/>
              <w:bottom w:val="nil"/>
              <w:right w:val="double" w:sz="6"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7</w:t>
            </w:r>
          </w:p>
        </w:tc>
        <w:tc>
          <w:tcPr>
            <w:tcW w:w="1816" w:type="dxa"/>
            <w:gridSpan w:val="2"/>
            <w:tcBorders>
              <w:top w:val="single" w:sz="4" w:space="0" w:color="auto"/>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8</w:t>
            </w:r>
          </w:p>
        </w:tc>
        <w:tc>
          <w:tcPr>
            <w:tcW w:w="1816" w:type="dxa"/>
            <w:gridSpan w:val="2"/>
            <w:tcBorders>
              <w:top w:val="single" w:sz="4" w:space="0" w:color="auto"/>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9</w:t>
            </w:r>
          </w:p>
        </w:tc>
        <w:tc>
          <w:tcPr>
            <w:tcW w:w="1816" w:type="dxa"/>
            <w:gridSpan w:val="2"/>
            <w:tcBorders>
              <w:top w:val="single" w:sz="4" w:space="0" w:color="auto"/>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10</w:t>
            </w:r>
          </w:p>
        </w:tc>
        <w:tc>
          <w:tcPr>
            <w:tcW w:w="2083" w:type="dxa"/>
            <w:gridSpan w:val="2"/>
            <w:tcBorders>
              <w:top w:val="single" w:sz="4" w:space="0" w:color="auto"/>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11</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866" w:type="dxa"/>
            <w:tcBorders>
              <w:top w:val="nil"/>
              <w:left w:val="single" w:sz="4" w:space="0" w:color="auto"/>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866"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866"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866"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c>
          <w:tcPr>
            <w:tcW w:w="1133" w:type="dxa"/>
            <w:tcBorders>
              <w:top w:val="nil"/>
              <w:left w:val="nil"/>
              <w:bottom w:val="single" w:sz="4" w:space="0" w:color="auto"/>
              <w:right w:val="nil"/>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b/>
                <w:bCs/>
                <w:color w:val="000000"/>
                <w:sz w:val="20"/>
                <w:szCs w:val="20"/>
              </w:rPr>
            </w:pPr>
            <w:r w:rsidRPr="00CD5054">
              <w:rPr>
                <w:rFonts w:eastAsia="Times New Roman"/>
                <w:b/>
                <w:bCs/>
                <w:color w:val="000000"/>
                <w:sz w:val="20"/>
                <w:szCs w:val="20"/>
              </w:rPr>
              <w:t>p-value</w:t>
            </w:r>
          </w:p>
        </w:tc>
      </w:tr>
      <w:tr w:rsidR="00CD5054" w:rsidRPr="00CD5054" w:rsidTr="00E91762">
        <w:trPr>
          <w:trHeight w:val="300"/>
        </w:trPr>
        <w:tc>
          <w:tcPr>
            <w:tcW w:w="1575" w:type="dxa"/>
            <w:tcBorders>
              <w:top w:val="single" w:sz="4" w:space="0" w:color="auto"/>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Constant</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59.136</w:t>
            </w:r>
          </w:p>
        </w:tc>
        <w:tc>
          <w:tcPr>
            <w:tcW w:w="950"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0.000</w:t>
            </w: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52.97</w:t>
            </w:r>
            <w:r w:rsidR="00E91762">
              <w:rPr>
                <w:rFonts w:eastAsia="Times New Roman"/>
                <w:color w:val="000000"/>
                <w:sz w:val="20"/>
                <w:szCs w:val="20"/>
              </w:rPr>
              <w:t>7</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0.000</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53.01</w:t>
            </w:r>
            <w:r w:rsidR="00E91762">
              <w:rPr>
                <w:rFonts w:eastAsia="Times New Roman"/>
                <w:color w:val="000000"/>
                <w:sz w:val="20"/>
                <w:szCs w:val="20"/>
              </w:rPr>
              <w:t>3</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22.63</w:t>
            </w:r>
            <w:r w:rsidR="00E91762">
              <w:rPr>
                <w:rFonts w:eastAsia="Times New Roman"/>
                <w:color w:val="000000"/>
                <w:sz w:val="20"/>
                <w:szCs w:val="20"/>
              </w:rPr>
              <w:t>6</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29.244</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0.749</w:t>
            </w:r>
          </w:p>
        </w:tc>
        <w:tc>
          <w:tcPr>
            <w:tcW w:w="1133"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92.235</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0.290</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GDPpc</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-0.004</w:t>
            </w:r>
          </w:p>
        </w:tc>
        <w:tc>
          <w:tcPr>
            <w:tcW w:w="950" w:type="dxa"/>
            <w:tcBorders>
              <w:top w:val="nil"/>
              <w:left w:val="nil"/>
              <w:bottom w:val="nil"/>
              <w:right w:val="nil"/>
            </w:tcBorders>
            <w:shd w:val="clear" w:color="auto" w:fill="auto"/>
            <w:noWrap/>
            <w:vAlign w:val="bottom"/>
            <w:hideMark/>
          </w:tcPr>
          <w:p w:rsidR="00CD5054" w:rsidRPr="00CD5054" w:rsidRDefault="00E91762" w:rsidP="00E91762">
            <w:pPr>
              <w:spacing w:after="0" w:line="240" w:lineRule="auto"/>
              <w:jc w:val="center"/>
              <w:rPr>
                <w:rFonts w:eastAsia="Times New Roman"/>
                <w:color w:val="000000"/>
                <w:sz w:val="20"/>
                <w:szCs w:val="20"/>
              </w:rPr>
            </w:pPr>
            <w:r>
              <w:rPr>
                <w:rFonts w:eastAsia="Times New Roman"/>
                <w:color w:val="000000"/>
                <w:sz w:val="20"/>
                <w:szCs w:val="20"/>
              </w:rPr>
              <w:t>0.001</w:t>
            </w: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E91762" w:rsidP="00E91762">
            <w:pPr>
              <w:spacing w:after="0" w:line="240" w:lineRule="auto"/>
              <w:jc w:val="center"/>
              <w:rPr>
                <w:rFonts w:eastAsia="Times New Roman"/>
                <w:color w:val="000000"/>
                <w:sz w:val="20"/>
                <w:szCs w:val="20"/>
              </w:rPr>
            </w:pPr>
            <w:r>
              <w:rPr>
                <w:rFonts w:eastAsia="Times New Roman"/>
                <w:color w:val="000000"/>
                <w:sz w:val="20"/>
                <w:szCs w:val="20"/>
              </w:rPr>
              <w:t>-0.002</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0.456</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133"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GDPpc^2</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0.000</w:t>
            </w:r>
          </w:p>
        </w:tc>
        <w:tc>
          <w:tcPr>
            <w:tcW w:w="950"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0.014</w:t>
            </w: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0.746</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133"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1/GDPpc</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133"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Mean Income</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-0.034</w:t>
            </w:r>
          </w:p>
        </w:tc>
        <w:tc>
          <w:tcPr>
            <w:tcW w:w="950" w:type="dxa"/>
            <w:tcBorders>
              <w:top w:val="nil"/>
              <w:left w:val="nil"/>
              <w:bottom w:val="nil"/>
              <w:right w:val="double" w:sz="6"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0.548</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0.14</w:t>
            </w:r>
            <w:r w:rsidR="00E91762">
              <w:rPr>
                <w:rFonts w:eastAsia="Times New Roman"/>
                <w:color w:val="000000"/>
                <w:sz w:val="20"/>
                <w:szCs w:val="20"/>
              </w:rPr>
              <w:t>1</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0.159</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1133"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0.045</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0.001</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Mean Income^2</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0.45</w:t>
            </w:r>
            <w:r w:rsidR="00E91762">
              <w:rPr>
                <w:rFonts w:eastAsia="Times New Roman"/>
                <w:color w:val="000000"/>
                <w:sz w:val="20"/>
                <w:szCs w:val="20"/>
              </w:rPr>
              <w:t>1</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E91762" w:rsidP="00E91762">
            <w:pPr>
              <w:spacing w:after="0" w:line="240" w:lineRule="auto"/>
              <w:jc w:val="center"/>
              <w:rPr>
                <w:rFonts w:eastAsia="Times New Roman"/>
                <w:color w:val="000000"/>
                <w:sz w:val="20"/>
                <w:szCs w:val="20"/>
              </w:rPr>
            </w:pPr>
            <w:r>
              <w:rPr>
                <w:rFonts w:eastAsia="Times New Roman"/>
                <w:color w:val="000000"/>
                <w:sz w:val="20"/>
                <w:szCs w:val="20"/>
              </w:rPr>
              <w:t>-0.000</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0.008</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0.004</w:t>
            </w:r>
          </w:p>
        </w:tc>
        <w:tc>
          <w:tcPr>
            <w:tcW w:w="1133"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1/Mean Income</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1133"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-2884.426</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0.</w:t>
            </w:r>
            <w:r w:rsidR="00E91762">
              <w:rPr>
                <w:rFonts w:eastAsia="Times New Roman"/>
                <w:color w:val="000000"/>
                <w:sz w:val="20"/>
                <w:szCs w:val="20"/>
              </w:rPr>
              <w:t>001</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HC Stock</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-2.528</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0.084</w:t>
            </w:r>
          </w:p>
        </w:tc>
        <w:tc>
          <w:tcPr>
            <w:tcW w:w="1133"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-3.007</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0.041</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Population</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866" w:type="dxa"/>
            <w:tcBorders>
              <w:top w:val="nil"/>
              <w:left w:val="single" w:sz="4" w:space="0" w:color="auto"/>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double" w:sz="6"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 </w:t>
            </w:r>
          </w:p>
        </w:tc>
        <w:tc>
          <w:tcPr>
            <w:tcW w:w="866"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1.028</w:t>
            </w:r>
          </w:p>
        </w:tc>
        <w:tc>
          <w:tcPr>
            <w:tcW w:w="950" w:type="dxa"/>
            <w:tcBorders>
              <w:top w:val="nil"/>
              <w:left w:val="nil"/>
              <w:bottom w:val="nil"/>
              <w:right w:val="single" w:sz="4" w:space="0" w:color="auto"/>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0.871</w:t>
            </w:r>
          </w:p>
        </w:tc>
        <w:tc>
          <w:tcPr>
            <w:tcW w:w="1133" w:type="dxa"/>
            <w:tcBorders>
              <w:top w:val="nil"/>
              <w:left w:val="nil"/>
              <w:bottom w:val="nil"/>
              <w:right w:val="nil"/>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-0.945</w:t>
            </w:r>
          </w:p>
        </w:tc>
        <w:tc>
          <w:tcPr>
            <w:tcW w:w="950" w:type="dxa"/>
            <w:tcBorders>
              <w:top w:val="nil"/>
              <w:left w:val="nil"/>
              <w:bottom w:val="nil"/>
              <w:right w:val="single" w:sz="4" w:space="0" w:color="auto"/>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0.876</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Observations</w:t>
            </w:r>
          </w:p>
        </w:tc>
        <w:tc>
          <w:tcPr>
            <w:tcW w:w="1816" w:type="dxa"/>
            <w:gridSpan w:val="2"/>
            <w:tcBorders>
              <w:top w:val="nil"/>
              <w:left w:val="nil"/>
              <w:bottom w:val="nil"/>
              <w:right w:val="nil"/>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816" w:type="dxa"/>
            <w:gridSpan w:val="2"/>
            <w:tcBorders>
              <w:top w:val="nil"/>
              <w:left w:val="single" w:sz="4" w:space="0" w:color="auto"/>
              <w:bottom w:val="nil"/>
              <w:right w:val="double" w:sz="6"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c>
          <w:tcPr>
            <w:tcW w:w="2083"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117</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R2 Adjusted</w:t>
            </w:r>
          </w:p>
        </w:tc>
        <w:tc>
          <w:tcPr>
            <w:tcW w:w="1816" w:type="dxa"/>
            <w:gridSpan w:val="2"/>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0.464</w:t>
            </w:r>
          </w:p>
        </w:tc>
        <w:tc>
          <w:tcPr>
            <w:tcW w:w="1816" w:type="dxa"/>
            <w:gridSpan w:val="2"/>
            <w:tcBorders>
              <w:top w:val="nil"/>
              <w:left w:val="single" w:sz="4" w:space="0" w:color="auto"/>
              <w:bottom w:val="nil"/>
              <w:right w:val="double" w:sz="6"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0.325</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0.602</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0.80</w:t>
            </w:r>
            <w:r w:rsidR="00E91762">
              <w:rPr>
                <w:rFonts w:eastAsia="Times New Roman"/>
                <w:color w:val="000000"/>
                <w:sz w:val="20"/>
                <w:szCs w:val="20"/>
              </w:rPr>
              <w:t>6</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0.8103</w:t>
            </w:r>
          </w:p>
        </w:tc>
        <w:tc>
          <w:tcPr>
            <w:tcW w:w="2083"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0.823</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F-Test</w:t>
            </w:r>
          </w:p>
        </w:tc>
        <w:tc>
          <w:tcPr>
            <w:tcW w:w="1816" w:type="dxa"/>
            <w:gridSpan w:val="2"/>
            <w:tcBorders>
              <w:top w:val="nil"/>
              <w:left w:val="nil"/>
              <w:bottom w:val="nil"/>
              <w:right w:val="nil"/>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0.000</w:t>
            </w:r>
          </w:p>
        </w:tc>
        <w:tc>
          <w:tcPr>
            <w:tcW w:w="1816" w:type="dxa"/>
            <w:gridSpan w:val="2"/>
            <w:tcBorders>
              <w:top w:val="nil"/>
              <w:left w:val="single" w:sz="4" w:space="0" w:color="auto"/>
              <w:bottom w:val="nil"/>
              <w:right w:val="double" w:sz="6"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0.000</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0.0000</w:t>
            </w:r>
          </w:p>
        </w:tc>
        <w:tc>
          <w:tcPr>
            <w:tcW w:w="2083"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0.000</w:t>
            </w:r>
          </w:p>
        </w:tc>
      </w:tr>
      <w:tr w:rsidR="00CD5054" w:rsidRPr="00CD5054" w:rsidTr="00E91762">
        <w:trPr>
          <w:trHeight w:val="300"/>
        </w:trPr>
        <w:tc>
          <w:tcPr>
            <w:tcW w:w="1575" w:type="dxa"/>
            <w:tcBorders>
              <w:top w:val="nil"/>
              <w:left w:val="single" w:sz="4" w:space="0" w:color="auto"/>
              <w:bottom w:val="nil"/>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Schwartz</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5.735</w:t>
            </w:r>
          </w:p>
        </w:tc>
        <w:tc>
          <w:tcPr>
            <w:tcW w:w="1816" w:type="dxa"/>
            <w:gridSpan w:val="2"/>
            <w:tcBorders>
              <w:top w:val="nil"/>
              <w:left w:val="nil"/>
              <w:bottom w:val="nil"/>
              <w:right w:val="double" w:sz="6"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5.96</w:t>
            </w:r>
            <w:r w:rsidR="00E91762">
              <w:rPr>
                <w:rFonts w:eastAsia="Times New Roman"/>
                <w:color w:val="000000"/>
                <w:sz w:val="20"/>
                <w:szCs w:val="20"/>
              </w:rPr>
              <w:t>7</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5.682</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4.96</w:t>
            </w:r>
            <w:r w:rsidR="00E91762">
              <w:rPr>
                <w:rFonts w:eastAsia="Times New Roman"/>
                <w:color w:val="000000"/>
                <w:sz w:val="20"/>
                <w:szCs w:val="20"/>
              </w:rPr>
              <w:t>6</w:t>
            </w:r>
          </w:p>
        </w:tc>
        <w:tc>
          <w:tcPr>
            <w:tcW w:w="1816" w:type="dxa"/>
            <w:gridSpan w:val="2"/>
            <w:tcBorders>
              <w:top w:val="nil"/>
              <w:left w:val="nil"/>
              <w:bottom w:val="nil"/>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5.001158</w:t>
            </w:r>
          </w:p>
        </w:tc>
        <w:tc>
          <w:tcPr>
            <w:tcW w:w="2083" w:type="dxa"/>
            <w:gridSpan w:val="2"/>
            <w:tcBorders>
              <w:top w:val="nil"/>
              <w:left w:val="nil"/>
              <w:bottom w:val="nil"/>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4.932</w:t>
            </w:r>
          </w:p>
        </w:tc>
      </w:tr>
      <w:tr w:rsidR="00CD5054" w:rsidRPr="00CD5054" w:rsidTr="00E91762">
        <w:trPr>
          <w:trHeight w:val="300"/>
        </w:trPr>
        <w:tc>
          <w:tcPr>
            <w:tcW w:w="1575" w:type="dxa"/>
            <w:tcBorders>
              <w:top w:val="nil"/>
              <w:left w:val="single" w:sz="4" w:space="0" w:color="auto"/>
              <w:bottom w:val="single" w:sz="4" w:space="0" w:color="auto"/>
              <w:right w:val="double" w:sz="6" w:space="0" w:color="auto"/>
            </w:tcBorders>
            <w:shd w:val="clear" w:color="auto" w:fill="auto"/>
            <w:noWrap/>
            <w:vAlign w:val="bottom"/>
            <w:hideMark/>
          </w:tcPr>
          <w:p w:rsidR="00CD5054" w:rsidRPr="00CD5054" w:rsidRDefault="00CD5054" w:rsidP="00CD5054">
            <w:pPr>
              <w:spacing w:after="0" w:line="240" w:lineRule="auto"/>
              <w:rPr>
                <w:rFonts w:eastAsia="Times New Roman"/>
                <w:color w:val="000000"/>
                <w:sz w:val="20"/>
                <w:szCs w:val="20"/>
              </w:rPr>
            </w:pPr>
            <w:r w:rsidRPr="00CD5054">
              <w:rPr>
                <w:rFonts w:eastAsia="Times New Roman"/>
                <w:color w:val="000000"/>
                <w:sz w:val="20"/>
                <w:szCs w:val="20"/>
              </w:rPr>
              <w:t>Log-likelihood</w:t>
            </w:r>
          </w:p>
        </w:tc>
        <w:tc>
          <w:tcPr>
            <w:tcW w:w="1816" w:type="dxa"/>
            <w:gridSpan w:val="2"/>
            <w:tcBorders>
              <w:top w:val="nil"/>
              <w:left w:val="nil"/>
              <w:bottom w:val="single" w:sz="4" w:space="0" w:color="auto"/>
              <w:right w:val="single" w:sz="4" w:space="0" w:color="000000"/>
            </w:tcBorders>
            <w:shd w:val="clear" w:color="auto" w:fill="auto"/>
            <w:noWrap/>
            <w:vAlign w:val="bottom"/>
            <w:hideMark/>
          </w:tcPr>
          <w:p w:rsidR="00CD5054" w:rsidRPr="00CD5054" w:rsidRDefault="00E91762" w:rsidP="00E91762">
            <w:pPr>
              <w:spacing w:after="0" w:line="240" w:lineRule="auto"/>
              <w:jc w:val="center"/>
              <w:rPr>
                <w:rFonts w:eastAsia="Times New Roman"/>
                <w:color w:val="000000"/>
                <w:sz w:val="20"/>
                <w:szCs w:val="20"/>
              </w:rPr>
            </w:pPr>
            <w:r>
              <w:rPr>
                <w:rFonts w:eastAsia="Times New Roman"/>
                <w:color w:val="000000"/>
                <w:sz w:val="20"/>
                <w:szCs w:val="20"/>
              </w:rPr>
              <w:t>-299.801</w:t>
            </w:r>
          </w:p>
        </w:tc>
        <w:tc>
          <w:tcPr>
            <w:tcW w:w="1816" w:type="dxa"/>
            <w:gridSpan w:val="2"/>
            <w:tcBorders>
              <w:top w:val="nil"/>
              <w:left w:val="nil"/>
              <w:bottom w:val="single" w:sz="4" w:space="0" w:color="auto"/>
              <w:right w:val="double" w:sz="6"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-313.33</w:t>
            </w:r>
            <w:r w:rsidR="00E91762">
              <w:rPr>
                <w:rFonts w:eastAsia="Times New Roman"/>
                <w:color w:val="000000"/>
                <w:sz w:val="20"/>
                <w:szCs w:val="20"/>
              </w:rPr>
              <w:t>3</w:t>
            </w:r>
          </w:p>
        </w:tc>
        <w:tc>
          <w:tcPr>
            <w:tcW w:w="1816" w:type="dxa"/>
            <w:gridSpan w:val="2"/>
            <w:tcBorders>
              <w:top w:val="nil"/>
              <w:left w:val="nil"/>
              <w:bottom w:val="single" w:sz="4" w:space="0" w:color="auto"/>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-277.650</w:t>
            </w:r>
          </w:p>
        </w:tc>
        <w:tc>
          <w:tcPr>
            <w:tcW w:w="1816" w:type="dxa"/>
            <w:gridSpan w:val="2"/>
            <w:tcBorders>
              <w:top w:val="nil"/>
              <w:left w:val="nil"/>
              <w:bottom w:val="single" w:sz="4" w:space="0" w:color="auto"/>
              <w:right w:val="single" w:sz="4" w:space="0" w:color="000000"/>
            </w:tcBorders>
            <w:shd w:val="clear" w:color="auto" w:fill="auto"/>
            <w:noWrap/>
            <w:vAlign w:val="bottom"/>
            <w:hideMark/>
          </w:tcPr>
          <w:p w:rsidR="00CD5054" w:rsidRPr="00CD5054" w:rsidRDefault="00CD5054" w:rsidP="00E91762">
            <w:pPr>
              <w:spacing w:after="0" w:line="240" w:lineRule="auto"/>
              <w:jc w:val="center"/>
              <w:rPr>
                <w:rFonts w:eastAsia="Times New Roman"/>
                <w:color w:val="000000"/>
                <w:sz w:val="20"/>
                <w:szCs w:val="20"/>
              </w:rPr>
            </w:pPr>
            <w:r w:rsidRPr="00CD5054">
              <w:rPr>
                <w:rFonts w:eastAsia="Times New Roman"/>
                <w:color w:val="000000"/>
                <w:sz w:val="20"/>
                <w:szCs w:val="20"/>
              </w:rPr>
              <w:t>-235.72</w:t>
            </w:r>
            <w:r w:rsidR="00E91762">
              <w:rPr>
                <w:rFonts w:eastAsia="Times New Roman"/>
                <w:color w:val="000000"/>
                <w:sz w:val="20"/>
                <w:szCs w:val="20"/>
              </w:rPr>
              <w:t>8</w:t>
            </w:r>
          </w:p>
        </w:tc>
        <w:tc>
          <w:tcPr>
            <w:tcW w:w="1816" w:type="dxa"/>
            <w:gridSpan w:val="2"/>
            <w:tcBorders>
              <w:top w:val="nil"/>
              <w:left w:val="nil"/>
              <w:bottom w:val="single" w:sz="4" w:space="0" w:color="auto"/>
              <w:right w:val="single" w:sz="4" w:space="0" w:color="000000"/>
            </w:tcBorders>
            <w:shd w:val="clear" w:color="auto" w:fill="auto"/>
            <w:noWrap/>
            <w:vAlign w:val="bottom"/>
            <w:hideMark/>
          </w:tcPr>
          <w:p w:rsidR="00CD5054" w:rsidRPr="00CD5054" w:rsidRDefault="00CD5054" w:rsidP="00CD5054">
            <w:pPr>
              <w:spacing w:after="0" w:line="240" w:lineRule="auto"/>
              <w:jc w:val="center"/>
              <w:rPr>
                <w:rFonts w:eastAsia="Times New Roman"/>
                <w:color w:val="000000"/>
                <w:sz w:val="20"/>
                <w:szCs w:val="20"/>
              </w:rPr>
            </w:pPr>
            <w:r w:rsidRPr="00CD5054">
              <w:rPr>
                <w:rFonts w:eastAsia="Times New Roman"/>
                <w:color w:val="000000"/>
                <w:sz w:val="20"/>
                <w:szCs w:val="20"/>
              </w:rPr>
              <w:t>-233.0406</w:t>
            </w:r>
          </w:p>
        </w:tc>
        <w:tc>
          <w:tcPr>
            <w:tcW w:w="2083" w:type="dxa"/>
            <w:gridSpan w:val="2"/>
            <w:tcBorders>
              <w:top w:val="nil"/>
              <w:left w:val="nil"/>
              <w:bottom w:val="single" w:sz="4" w:space="0" w:color="auto"/>
              <w:right w:val="single" w:sz="4" w:space="0" w:color="000000"/>
            </w:tcBorders>
            <w:shd w:val="clear" w:color="auto" w:fill="auto"/>
            <w:noWrap/>
            <w:vAlign w:val="bottom"/>
            <w:hideMark/>
          </w:tcPr>
          <w:p w:rsidR="00CD5054" w:rsidRPr="00CD5054" w:rsidRDefault="00E91762" w:rsidP="00CD5054">
            <w:pPr>
              <w:spacing w:after="0" w:line="240" w:lineRule="auto"/>
              <w:jc w:val="center"/>
              <w:rPr>
                <w:rFonts w:eastAsia="Times New Roman"/>
                <w:color w:val="000000"/>
                <w:sz w:val="20"/>
                <w:szCs w:val="20"/>
              </w:rPr>
            </w:pPr>
            <w:r>
              <w:rPr>
                <w:rFonts w:eastAsia="Times New Roman"/>
                <w:color w:val="000000"/>
                <w:sz w:val="20"/>
                <w:szCs w:val="20"/>
              </w:rPr>
              <w:t>-228.987</w:t>
            </w:r>
          </w:p>
        </w:tc>
      </w:tr>
    </w:tbl>
    <w:p w:rsidR="00944439" w:rsidRPr="005C0811" w:rsidRDefault="00944439" w:rsidP="00944439">
      <w:pPr>
        <w:jc w:val="both"/>
        <w:rPr>
          <w:sz w:val="18"/>
          <w:szCs w:val="18"/>
        </w:rPr>
      </w:pPr>
      <w:r w:rsidRPr="005C0811">
        <w:rPr>
          <w:sz w:val="18"/>
          <w:szCs w:val="18"/>
        </w:rPr>
        <w:t xml:space="preserve">Notes: Panel </w:t>
      </w:r>
      <w:r w:rsidR="00E91762">
        <w:rPr>
          <w:sz w:val="18"/>
          <w:szCs w:val="18"/>
        </w:rPr>
        <w:t>least squares</w:t>
      </w:r>
      <w:r w:rsidRPr="005C0811">
        <w:rPr>
          <w:sz w:val="18"/>
          <w:szCs w:val="18"/>
        </w:rPr>
        <w:t xml:space="preserve"> with</w:t>
      </w:r>
      <w:r w:rsidR="00136F39">
        <w:rPr>
          <w:sz w:val="18"/>
          <w:szCs w:val="18"/>
        </w:rPr>
        <w:t xml:space="preserve"> regio</w:t>
      </w:r>
      <w:r w:rsidR="006F0504">
        <w:rPr>
          <w:sz w:val="18"/>
          <w:szCs w:val="18"/>
        </w:rPr>
        <w:t xml:space="preserve">nal specific effects. </w:t>
      </w:r>
      <w:r w:rsidR="00136F39">
        <w:rPr>
          <w:sz w:val="18"/>
          <w:szCs w:val="18"/>
        </w:rPr>
        <w:t xml:space="preserve">Model </w:t>
      </w:r>
      <w:r w:rsidR="006F0504">
        <w:rPr>
          <w:sz w:val="18"/>
          <w:szCs w:val="18"/>
        </w:rPr>
        <w:t xml:space="preserve">8, </w:t>
      </w:r>
      <w:r w:rsidR="00136F39">
        <w:rPr>
          <w:sz w:val="18"/>
          <w:szCs w:val="18"/>
        </w:rPr>
        <w:t xml:space="preserve">9, 10 and 11 are estimated using both regional and time </w:t>
      </w:r>
      <w:r w:rsidR="00D23CF7">
        <w:rPr>
          <w:sz w:val="18"/>
          <w:szCs w:val="18"/>
        </w:rPr>
        <w:t>fixed effects</w:t>
      </w:r>
      <w:r w:rsidR="00136F39">
        <w:rPr>
          <w:sz w:val="18"/>
          <w:szCs w:val="18"/>
        </w:rPr>
        <w:t xml:space="preserve">. </w:t>
      </w:r>
      <w:r w:rsidR="007D21DE">
        <w:rPr>
          <w:sz w:val="18"/>
          <w:szCs w:val="18"/>
        </w:rPr>
        <w:t>Standard errors are robust</w:t>
      </w:r>
      <w:r w:rsidR="006F0504">
        <w:rPr>
          <w:sz w:val="18"/>
          <w:szCs w:val="18"/>
        </w:rPr>
        <w:t xml:space="preserve">. </w:t>
      </w:r>
      <w:r w:rsidR="00136F39" w:rsidRPr="005C0811">
        <w:rPr>
          <w:sz w:val="18"/>
          <w:szCs w:val="18"/>
        </w:rPr>
        <w:t xml:space="preserve">Dependent variable: </w:t>
      </w:r>
      <w:r w:rsidR="00136F39">
        <w:rPr>
          <w:sz w:val="18"/>
          <w:szCs w:val="18"/>
        </w:rPr>
        <w:t xml:space="preserve">income </w:t>
      </w:r>
      <w:r w:rsidR="0039413B">
        <w:rPr>
          <w:sz w:val="18"/>
          <w:szCs w:val="18"/>
        </w:rPr>
        <w:t>Gini</w:t>
      </w:r>
      <w:r w:rsidR="00136F39">
        <w:rPr>
          <w:sz w:val="18"/>
          <w:szCs w:val="18"/>
        </w:rPr>
        <w:t xml:space="preserve"> coefficient in percentage-points</w:t>
      </w:r>
      <w:r w:rsidRPr="005C0811">
        <w:rPr>
          <w:sz w:val="18"/>
          <w:szCs w:val="18"/>
        </w:rPr>
        <w:t xml:space="preserve">. </w:t>
      </w:r>
    </w:p>
    <w:p w:rsidR="00DA3FD1" w:rsidRDefault="00DA3FD1">
      <w:pPr>
        <w:sectPr w:rsidR="00DA3FD1" w:rsidSect="000F5E7D">
          <w:pgSz w:w="16840" w:h="11907" w:orient="landscape" w:code="9"/>
          <w:pgMar w:top="1418" w:right="1418" w:bottom="1418" w:left="1418" w:header="709" w:footer="709" w:gutter="0"/>
          <w:cols w:space="708"/>
          <w:docGrid w:linePitch="360"/>
        </w:sectPr>
      </w:pPr>
    </w:p>
    <w:p w:rsidR="00622E76" w:rsidRDefault="004E0015" w:rsidP="00622E76">
      <w:pPr>
        <w:spacing w:line="360" w:lineRule="auto"/>
        <w:jc w:val="both"/>
      </w:pPr>
      <w:proofErr w:type="gramStart"/>
      <w:r>
        <w:lastRenderedPageBreak/>
        <w:t>annual</w:t>
      </w:r>
      <w:proofErr w:type="gramEnd"/>
      <w:r>
        <w:t xml:space="preserve"> </w:t>
      </w:r>
      <w:r w:rsidR="00E80BB6">
        <w:t xml:space="preserve">growth </w:t>
      </w:r>
      <w:r w:rsidR="000611A1">
        <w:t xml:space="preserve">rate </w:t>
      </w:r>
      <w:r w:rsidR="00622E76">
        <w:t>of</w:t>
      </w:r>
      <w:r w:rsidR="00C4317F">
        <w:t xml:space="preserve"> the whole period of 19 years</w:t>
      </w:r>
      <w:r w:rsidR="00E80BB6">
        <w:t xml:space="preserve">. Table 6.3 shows the results. </w:t>
      </w:r>
      <w:r>
        <w:t xml:space="preserve">As is directly </w:t>
      </w:r>
      <w:r w:rsidR="00622E76">
        <w:t>evident</w:t>
      </w:r>
      <w:r>
        <w:t xml:space="preserve">, </w:t>
      </w:r>
      <w:r w:rsidR="00212659">
        <w:t xml:space="preserve">almost </w:t>
      </w:r>
      <w:r>
        <w:t xml:space="preserve">all specifications have low statistical power as all models cannot refute the F-Test </w:t>
      </w:r>
      <w:r w:rsidR="00212659">
        <w:t xml:space="preserve">convincingly </w:t>
      </w:r>
      <w:r>
        <w:t xml:space="preserve">that all coefficients are actually equal to zero. </w:t>
      </w:r>
      <w:r w:rsidR="006A263F">
        <w:t xml:space="preserve">Nevertheless, </w:t>
      </w:r>
      <w:r w:rsidR="000611A1">
        <w:t xml:space="preserve">several results are notable. First, although </w:t>
      </w:r>
      <w:r w:rsidR="00634664">
        <w:t>its effect is not</w:t>
      </w:r>
      <w:r w:rsidR="005108E2">
        <w:t xml:space="preserve"> significant</w:t>
      </w:r>
      <w:r w:rsidR="00634664">
        <w:t xml:space="preserve"> in all specifications</w:t>
      </w:r>
      <w:r w:rsidR="000611A1">
        <w:t xml:space="preserve">, the </w:t>
      </w:r>
      <w:r w:rsidR="005108E2">
        <w:t xml:space="preserve">log of </w:t>
      </w:r>
      <w:r w:rsidR="000611A1">
        <w:t xml:space="preserve">initial regional GDP </w:t>
      </w:r>
      <w:r w:rsidR="00634664">
        <w:t>is</w:t>
      </w:r>
      <w:r w:rsidR="000611A1">
        <w:t xml:space="preserve"> negatively related to regional economic growth, indicating a process of convergence. </w:t>
      </w:r>
      <w:r w:rsidR="009D0AC8">
        <w:t>The investment rate is positively related to regional economic growth, as is the human capital stock, except when the human capital Gini-coefficient is included as in model 7</w:t>
      </w:r>
      <w:r w:rsidR="00622E76">
        <w:t>,</w:t>
      </w:r>
      <w:r w:rsidR="009D0AC8">
        <w:t xml:space="preserve"> which turns the sign of the human capital stock.  Population and unemployment levels do not seem to have significant impact on the </w:t>
      </w:r>
      <w:r w:rsidR="005108E2">
        <w:t xml:space="preserve">long term </w:t>
      </w:r>
      <w:r w:rsidR="009D0AC8">
        <w:t>regional growth rate, with both switching signs when including different inequality indicators</w:t>
      </w:r>
      <w:r w:rsidR="00ED3CD6">
        <w:t xml:space="preserve">. Of the three regional income inequality indicators, the Gini-coefficient </w:t>
      </w:r>
      <w:r w:rsidR="005108E2">
        <w:t xml:space="preserve">of income shows </w:t>
      </w:r>
      <w:r w:rsidR="00622E76">
        <w:t xml:space="preserve">the </w:t>
      </w:r>
      <w:r w:rsidR="00212659">
        <w:t>weakest</w:t>
      </w:r>
      <w:r w:rsidR="005108E2">
        <w:t xml:space="preserve"> results, with changing signs when adding the top income inequality indicator (p9075) or the bottom inequality indicator (p5010) as in models 2,3 and 4. Bottom income inequality shows a negative relationship with long term growth, where top income inequality </w:t>
      </w:r>
      <w:r w:rsidR="004D66E5">
        <w:t xml:space="preserve">shows a positive relationship. These results are in line with </w:t>
      </w:r>
      <w:r w:rsidR="00622E76">
        <w:t>those</w:t>
      </w:r>
      <w:r w:rsidR="004D66E5">
        <w:t xml:space="preserve"> of Voitchovsky (2005), who states that this could be attributed to restrictions on investment in human capital, crime rates and suboptimal work effort resulting from the large disparities in the bo</w:t>
      </w:r>
      <w:r w:rsidR="00407202">
        <w:t xml:space="preserve">ttom of the income distribution, or </w:t>
      </w:r>
      <w:r w:rsidR="004D66E5">
        <w:t>by channels related to investment for the inequality in the top of the income distribution. Model 5,</w:t>
      </w:r>
      <w:r w:rsidR="00622E76">
        <w:t xml:space="preserve"> with only the bottom end inequality indicator included, seems to yield the </w:t>
      </w:r>
      <w:r w:rsidR="00407202">
        <w:t>strongest</w:t>
      </w:r>
      <w:r w:rsidR="00622E76">
        <w:t xml:space="preserve"> results, which could be an indication of the importance of bottom-end inequality in long-term Chilean regional economic growth. </w:t>
      </w:r>
    </w:p>
    <w:p w:rsidR="00E26623" w:rsidRDefault="00622E76" w:rsidP="00622E76">
      <w:pPr>
        <w:spacing w:line="360" w:lineRule="auto"/>
        <w:jc w:val="both"/>
        <w:sectPr w:rsidR="00E26623" w:rsidSect="000F5E7D">
          <w:pgSz w:w="11907" w:h="16840" w:code="9"/>
          <w:pgMar w:top="1417" w:right="1417" w:bottom="1417" w:left="1417" w:header="708" w:footer="708" w:gutter="0"/>
          <w:cols w:space="708"/>
          <w:docGrid w:linePitch="360"/>
        </w:sectPr>
      </w:pPr>
      <w:r>
        <w:t>Unfortunately, the results shown in table 6.3 are only estimated using 13 observations. Therefore, by shortening the growth periods, the number of observations can be increased and the effects of inequality on more short-term growth can be analyzed</w:t>
      </w:r>
      <w:r w:rsidR="00407202">
        <w:t xml:space="preserve">. </w:t>
      </w:r>
      <w:r>
        <w:t>With multiple observations per period the panel structure of the dataset can be utilized and the models can be estimated using time-invariant cross-section (in this case regional) fixed effects to control for the differences between regions not captured by variables included. It also allows for the inclusion of time fixed effects</w:t>
      </w:r>
      <w:r w:rsidR="00407202">
        <w:t>,</w:t>
      </w:r>
      <w:r>
        <w:t xml:space="preserve"> which take into consideration trends which are common to all regions at certain points in time. As mentioned before, the only other three available growth spell lengths are 6, 4 or 2 year periods</w:t>
      </w:r>
      <w:r>
        <w:rPr>
          <w:rStyle w:val="FootnoteReference"/>
        </w:rPr>
        <w:footnoteReference w:id="22"/>
      </w:r>
      <w:r>
        <w:t>. Table 6.4 represents the results when using the 6 year growth period which allows for 3 observations per region and includes regional and time fixed effects.</w:t>
      </w:r>
      <w:r>
        <w:rPr>
          <w:rStyle w:val="FootnoteReference"/>
        </w:rPr>
        <w:footnoteReference w:id="23"/>
      </w:r>
      <w:r>
        <w:t xml:space="preserve"> The results again show strong support for convergence as initial regional GDP has a negative effect on regional growth in all 8 models. Top income inequality has an overall negative impact on growth, while inequality in the lower part of the income distribution shows a positive relationship with regional growth, contrary to the results obtained using the 19-year period.</w:t>
      </w:r>
    </w:p>
    <w:p w:rsidR="00E91762" w:rsidRDefault="007A7F40" w:rsidP="00E26623">
      <w:pPr>
        <w:spacing w:line="360" w:lineRule="auto"/>
        <w:jc w:val="both"/>
        <w:rPr>
          <w:i/>
        </w:rPr>
      </w:pPr>
      <w:r>
        <w:rPr>
          <w:i/>
        </w:rPr>
        <w:lastRenderedPageBreak/>
        <w:t xml:space="preserve">   </w:t>
      </w:r>
    </w:p>
    <w:p w:rsidR="00E26623" w:rsidRDefault="007A7F40" w:rsidP="00E26623">
      <w:pPr>
        <w:spacing w:line="360" w:lineRule="auto"/>
        <w:jc w:val="both"/>
      </w:pPr>
      <w:r>
        <w:rPr>
          <w:i/>
        </w:rPr>
        <w:t xml:space="preserve">    </w:t>
      </w:r>
      <w:proofErr w:type="gramStart"/>
      <w:r w:rsidR="00E26623">
        <w:rPr>
          <w:i/>
        </w:rPr>
        <w:t>Table 6.3.</w:t>
      </w:r>
      <w:proofErr w:type="gramEnd"/>
      <w:r w:rsidR="00E26623">
        <w:rPr>
          <w:i/>
        </w:rPr>
        <w:t xml:space="preserve">  Ordinary Least Squares, </w:t>
      </w:r>
      <w:r w:rsidR="00C501B3">
        <w:rPr>
          <w:i/>
        </w:rPr>
        <w:t xml:space="preserve">cross-sectional </w:t>
      </w:r>
      <w:r w:rsidR="00E26623">
        <w:rPr>
          <w:i/>
        </w:rPr>
        <w:t>estimation of long run growth</w:t>
      </w:r>
    </w:p>
    <w:tbl>
      <w:tblPr>
        <w:tblW w:w="14967" w:type="dxa"/>
        <w:jc w:val="center"/>
        <w:tblInd w:w="93" w:type="dxa"/>
        <w:tblLook w:val="04A0" w:firstRow="1" w:lastRow="0" w:firstColumn="1" w:lastColumn="0" w:noHBand="0" w:noVBand="1"/>
      </w:tblPr>
      <w:tblGrid>
        <w:gridCol w:w="1461"/>
        <w:gridCol w:w="666"/>
        <w:gridCol w:w="184"/>
        <w:gridCol w:w="870"/>
        <w:gridCol w:w="831"/>
        <w:gridCol w:w="950"/>
        <w:gridCol w:w="746"/>
        <w:gridCol w:w="950"/>
        <w:gridCol w:w="745"/>
        <w:gridCol w:w="950"/>
        <w:gridCol w:w="746"/>
        <w:gridCol w:w="908"/>
        <w:gridCol w:w="745"/>
        <w:gridCol w:w="908"/>
        <w:gridCol w:w="746"/>
        <w:gridCol w:w="908"/>
        <w:gridCol w:w="745"/>
        <w:gridCol w:w="908"/>
      </w:tblGrid>
      <w:tr w:rsidR="00E26623" w:rsidRPr="00E26623" w:rsidTr="00AC4741">
        <w:trPr>
          <w:trHeight w:val="300"/>
          <w:jc w:val="center"/>
        </w:trPr>
        <w:tc>
          <w:tcPr>
            <w:tcW w:w="1461"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E26623" w:rsidRPr="00E26623" w:rsidRDefault="00E26623" w:rsidP="00E26623">
            <w:pPr>
              <w:spacing w:after="0" w:line="240" w:lineRule="auto"/>
              <w:rPr>
                <w:rFonts w:ascii="Calibri" w:eastAsia="Times New Roman" w:hAnsi="Calibri"/>
                <w:color w:val="000000"/>
              </w:rPr>
            </w:pPr>
            <w:r w:rsidRPr="00E26623">
              <w:rPr>
                <w:rFonts w:ascii="Calibri" w:eastAsia="Times New Roman" w:hAnsi="Calibri"/>
                <w:color w:val="000000"/>
              </w:rPr>
              <w:t> </w:t>
            </w:r>
          </w:p>
        </w:tc>
        <w:tc>
          <w:tcPr>
            <w:tcW w:w="13506" w:type="dxa"/>
            <w:gridSpan w:val="17"/>
            <w:tcBorders>
              <w:top w:val="single" w:sz="4" w:space="0" w:color="auto"/>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ascii="Calibri" w:eastAsia="Times New Roman" w:hAnsi="Calibri"/>
                <w:b/>
                <w:color w:val="000000"/>
              </w:rPr>
            </w:pPr>
            <w:r w:rsidRPr="00E26623">
              <w:rPr>
                <w:rFonts w:ascii="Calibri" w:eastAsia="Times New Roman" w:hAnsi="Calibri"/>
                <w:b/>
                <w:color w:val="000000"/>
              </w:rPr>
              <w:t>OLS</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 </w:t>
            </w:r>
          </w:p>
        </w:tc>
        <w:tc>
          <w:tcPr>
            <w:tcW w:w="1720" w:type="dxa"/>
            <w:gridSpan w:val="3"/>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1</w:t>
            </w:r>
          </w:p>
        </w:tc>
        <w:tc>
          <w:tcPr>
            <w:tcW w:w="831" w:type="dxa"/>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right"/>
              <w:rPr>
                <w:rFonts w:eastAsia="Times New Roman"/>
                <w:b/>
                <w:bCs/>
                <w:color w:val="000000"/>
                <w:sz w:val="20"/>
                <w:szCs w:val="20"/>
              </w:rPr>
            </w:pPr>
            <w:r w:rsidRPr="00E26623">
              <w:rPr>
                <w:rFonts w:eastAsia="Times New Roman"/>
                <w:b/>
                <w:bCs/>
                <w:color w:val="000000"/>
                <w:sz w:val="20"/>
                <w:szCs w:val="20"/>
              </w:rPr>
              <w:t>2</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E26623">
            <w:pPr>
              <w:spacing w:after="0" w:line="240" w:lineRule="auto"/>
              <w:rPr>
                <w:rFonts w:eastAsia="Times New Roman"/>
                <w:b/>
                <w:bCs/>
                <w:color w:val="000000"/>
                <w:sz w:val="20"/>
                <w:szCs w:val="20"/>
              </w:rPr>
            </w:pPr>
            <w:r w:rsidRPr="00E26623">
              <w:rPr>
                <w:rFonts w:eastAsia="Times New Roman"/>
                <w:b/>
                <w:bCs/>
                <w:color w:val="000000"/>
                <w:sz w:val="20"/>
                <w:szCs w:val="20"/>
              </w:rPr>
              <w:t> </w:t>
            </w:r>
          </w:p>
        </w:tc>
        <w:tc>
          <w:tcPr>
            <w:tcW w:w="746" w:type="dxa"/>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right"/>
              <w:rPr>
                <w:rFonts w:eastAsia="Times New Roman"/>
                <w:b/>
                <w:bCs/>
                <w:color w:val="000000"/>
                <w:sz w:val="20"/>
                <w:szCs w:val="20"/>
              </w:rPr>
            </w:pPr>
            <w:r w:rsidRPr="00E26623">
              <w:rPr>
                <w:rFonts w:eastAsia="Times New Roman"/>
                <w:b/>
                <w:bCs/>
                <w:color w:val="000000"/>
                <w:sz w:val="20"/>
                <w:szCs w:val="20"/>
              </w:rPr>
              <w:t>3</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E26623">
            <w:pPr>
              <w:spacing w:after="0" w:line="240" w:lineRule="auto"/>
              <w:rPr>
                <w:rFonts w:eastAsia="Times New Roman"/>
                <w:b/>
                <w:bCs/>
                <w:color w:val="000000"/>
                <w:sz w:val="20"/>
                <w:szCs w:val="20"/>
              </w:rPr>
            </w:pPr>
            <w:r w:rsidRPr="00E26623">
              <w:rPr>
                <w:rFonts w:eastAsia="Times New Roman"/>
                <w:b/>
                <w:bCs/>
                <w:color w:val="000000"/>
                <w:sz w:val="20"/>
                <w:szCs w:val="20"/>
              </w:rPr>
              <w:t> </w:t>
            </w:r>
          </w:p>
        </w:tc>
        <w:tc>
          <w:tcPr>
            <w:tcW w:w="745" w:type="dxa"/>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right"/>
              <w:rPr>
                <w:rFonts w:eastAsia="Times New Roman"/>
                <w:b/>
                <w:bCs/>
                <w:color w:val="000000"/>
                <w:sz w:val="20"/>
                <w:szCs w:val="20"/>
              </w:rPr>
            </w:pPr>
            <w:r w:rsidRPr="00E26623">
              <w:rPr>
                <w:rFonts w:eastAsia="Times New Roman"/>
                <w:b/>
                <w:bCs/>
                <w:color w:val="000000"/>
                <w:sz w:val="20"/>
                <w:szCs w:val="20"/>
              </w:rPr>
              <w:t>4</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E26623">
            <w:pPr>
              <w:spacing w:after="0" w:line="240" w:lineRule="auto"/>
              <w:rPr>
                <w:rFonts w:eastAsia="Times New Roman"/>
                <w:b/>
                <w:bCs/>
                <w:color w:val="000000"/>
                <w:sz w:val="20"/>
                <w:szCs w:val="20"/>
              </w:rPr>
            </w:pPr>
            <w:r w:rsidRPr="00E26623">
              <w:rPr>
                <w:rFonts w:eastAsia="Times New Roman"/>
                <w:b/>
                <w:bCs/>
                <w:color w:val="000000"/>
                <w:sz w:val="20"/>
                <w:szCs w:val="20"/>
              </w:rPr>
              <w:t> </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5</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6</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7</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8</w:t>
            </w:r>
          </w:p>
        </w:tc>
      </w:tr>
      <w:tr w:rsidR="00E26623" w:rsidRPr="00E26623" w:rsidTr="00AC4741">
        <w:trPr>
          <w:trHeight w:val="300"/>
          <w:jc w:val="center"/>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 </w:t>
            </w:r>
          </w:p>
        </w:tc>
        <w:tc>
          <w:tcPr>
            <w:tcW w:w="666"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831"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6"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5"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50"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6"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08"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5"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08"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6"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08"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c>
          <w:tcPr>
            <w:tcW w:w="745" w:type="dxa"/>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b</w:t>
            </w:r>
          </w:p>
        </w:tc>
        <w:tc>
          <w:tcPr>
            <w:tcW w:w="908" w:type="dxa"/>
            <w:tcBorders>
              <w:top w:val="nil"/>
              <w:left w:val="nil"/>
              <w:bottom w:val="single" w:sz="4" w:space="0" w:color="auto"/>
              <w:right w:val="single" w:sz="4" w:space="0" w:color="auto"/>
            </w:tcBorders>
            <w:shd w:val="clear" w:color="auto" w:fill="auto"/>
            <w:noWrap/>
            <w:vAlign w:val="bottom"/>
            <w:hideMark/>
          </w:tcPr>
          <w:p w:rsidR="00E26623" w:rsidRPr="00E26623" w:rsidRDefault="00E26623" w:rsidP="00E26623">
            <w:pPr>
              <w:spacing w:after="0" w:line="240" w:lineRule="auto"/>
              <w:jc w:val="center"/>
              <w:rPr>
                <w:rFonts w:eastAsia="Times New Roman"/>
                <w:b/>
                <w:bCs/>
                <w:color w:val="000000"/>
                <w:sz w:val="20"/>
                <w:szCs w:val="20"/>
              </w:rPr>
            </w:pPr>
            <w:r w:rsidRPr="00E26623">
              <w:rPr>
                <w:rFonts w:eastAsia="Times New Roman"/>
                <w:b/>
                <w:bCs/>
                <w:color w:val="000000"/>
                <w:sz w:val="20"/>
                <w:szCs w:val="20"/>
              </w:rPr>
              <w:t>p-value</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Constant</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0.232</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0.291</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0.305</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0.068</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0.273</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0.063</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0.197</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0.253</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0.279</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0.046</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0.186</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0.194</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0.390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0.234</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0.237</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0.061</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LnGDPpc</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-0.017</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0.192</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-0.018</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0.059</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-0.017</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0.052</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-0.016</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0.156</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-0.017</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0.042</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-0.016</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0.130</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-0.018</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0.119</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-0.015</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0.050</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Gini</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0.007</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0.938</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-0.034</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0.530</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0.238</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-0.016</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0.837</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HC Gini</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-0.002</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0.502</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P5010</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0.007</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-0.049</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0.010</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0.004</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-0.048</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0.005</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P9075</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0.038</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0.025</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0.077</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0.025</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0.045</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0.031</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HCStock</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0.009</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0.193</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0.008</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0.022</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0.009</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0.010</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0.133</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0.021</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0.006</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0.110</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0.936</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0.022</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0.006</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Investment</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0.050</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0.031</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0.080</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0.005</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0.075</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0.012</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0.045</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0.048</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0.079</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0.003</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0.045</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0.040</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0.060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0.034</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0.073</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0.007</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Population</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0.477</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0.482</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0.691</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-0.003</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0.231</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0.766</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-0.003</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0.239</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0.968</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0.460</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7A7F40" w:rsidP="00E26623">
            <w:pPr>
              <w:spacing w:after="0" w:line="240" w:lineRule="auto"/>
              <w:rPr>
                <w:rFonts w:eastAsia="Times New Roman"/>
                <w:color w:val="000000"/>
                <w:sz w:val="20"/>
                <w:szCs w:val="20"/>
              </w:rPr>
            </w:pPr>
            <w:r>
              <w:rPr>
                <w:rFonts w:eastAsia="Times New Roman"/>
                <w:color w:val="000000"/>
                <w:sz w:val="20"/>
                <w:szCs w:val="20"/>
              </w:rPr>
              <w:t>Unemployment</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0.607</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-0.002</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0.085</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0.222</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0.000</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0.961</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-0.002</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0.067</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0.954</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0.000</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0.698</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-0.001</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0.198</w:t>
            </w:r>
          </w:p>
        </w:tc>
      </w:tr>
      <w:tr w:rsidR="00E26623"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7A7F40" w:rsidP="00E26623">
            <w:pPr>
              <w:spacing w:after="0" w:line="240" w:lineRule="auto"/>
              <w:rPr>
                <w:rFonts w:eastAsia="Times New Roman"/>
                <w:color w:val="000000"/>
                <w:sz w:val="20"/>
                <w:szCs w:val="20"/>
              </w:rPr>
            </w:pPr>
            <w:r>
              <w:rPr>
                <w:rFonts w:eastAsia="Times New Roman"/>
                <w:color w:val="000000"/>
                <w:sz w:val="20"/>
                <w:szCs w:val="20"/>
              </w:rPr>
              <w:t>Urbanisation</w:t>
            </w:r>
          </w:p>
        </w:tc>
        <w:tc>
          <w:tcPr>
            <w:tcW w:w="850" w:type="dxa"/>
            <w:gridSpan w:val="2"/>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-0.018</w:t>
            </w:r>
          </w:p>
        </w:tc>
        <w:tc>
          <w:tcPr>
            <w:tcW w:w="870"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0.707</w:t>
            </w:r>
          </w:p>
        </w:tc>
        <w:tc>
          <w:tcPr>
            <w:tcW w:w="831" w:type="dxa"/>
            <w:tcBorders>
              <w:top w:val="nil"/>
              <w:left w:val="single" w:sz="4" w:space="0" w:color="auto"/>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-0.072</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0.080</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-0.083</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0.048</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-0.033</w:t>
            </w:r>
          </w:p>
        </w:tc>
        <w:tc>
          <w:tcPr>
            <w:tcW w:w="950"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0.372</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-0.072</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0.073</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-0.033</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0.367</w:t>
            </w:r>
          </w:p>
        </w:tc>
        <w:tc>
          <w:tcPr>
            <w:tcW w:w="746"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-0.017</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0.706</w:t>
            </w:r>
          </w:p>
        </w:tc>
        <w:tc>
          <w:tcPr>
            <w:tcW w:w="745" w:type="dxa"/>
            <w:tcBorders>
              <w:top w:val="nil"/>
              <w:left w:val="nil"/>
              <w:bottom w:val="nil"/>
              <w:right w:val="nil"/>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-0.082</w:t>
            </w:r>
          </w:p>
        </w:tc>
        <w:tc>
          <w:tcPr>
            <w:tcW w:w="908" w:type="dxa"/>
            <w:tcBorders>
              <w:top w:val="nil"/>
              <w:left w:val="nil"/>
              <w:bottom w:val="nil"/>
              <w:right w:val="single" w:sz="4" w:space="0" w:color="auto"/>
            </w:tcBorders>
            <w:shd w:val="clear" w:color="auto" w:fill="auto"/>
            <w:noWrap/>
            <w:vAlign w:val="bottom"/>
            <w:hideMark/>
          </w:tcPr>
          <w:p w:rsidR="00E26623" w:rsidRPr="00E26623" w:rsidRDefault="00E26623" w:rsidP="007A7F40">
            <w:pPr>
              <w:spacing w:after="0" w:line="240" w:lineRule="auto"/>
              <w:jc w:val="center"/>
              <w:rPr>
                <w:rFonts w:eastAsia="Times New Roman"/>
                <w:color w:val="000000"/>
                <w:sz w:val="20"/>
                <w:szCs w:val="20"/>
              </w:rPr>
            </w:pPr>
            <w:r w:rsidRPr="00E26623">
              <w:rPr>
                <w:rFonts w:eastAsia="Times New Roman"/>
                <w:color w:val="000000"/>
                <w:sz w:val="20"/>
                <w:szCs w:val="20"/>
              </w:rPr>
              <w:t>0.050</w:t>
            </w:r>
          </w:p>
        </w:tc>
      </w:tr>
      <w:tr w:rsidR="007A7F40"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Observations</w:t>
            </w:r>
          </w:p>
        </w:tc>
        <w:tc>
          <w:tcPr>
            <w:tcW w:w="1720" w:type="dxa"/>
            <w:gridSpan w:val="3"/>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781" w:type="dxa"/>
            <w:gridSpan w:val="2"/>
            <w:tcBorders>
              <w:top w:val="nil"/>
              <w:left w:val="single" w:sz="4" w:space="0" w:color="auto"/>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96"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95"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13</w:t>
            </w:r>
          </w:p>
        </w:tc>
      </w:tr>
      <w:tr w:rsidR="007A7F40"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R2 Adjusted</w:t>
            </w:r>
          </w:p>
        </w:tc>
        <w:tc>
          <w:tcPr>
            <w:tcW w:w="1720" w:type="dxa"/>
            <w:gridSpan w:val="3"/>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0.190</w:t>
            </w:r>
          </w:p>
        </w:tc>
        <w:tc>
          <w:tcPr>
            <w:tcW w:w="1781" w:type="dxa"/>
            <w:gridSpan w:val="2"/>
            <w:tcBorders>
              <w:top w:val="nil"/>
              <w:left w:val="single" w:sz="4" w:space="0" w:color="auto"/>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0.642</w:t>
            </w:r>
          </w:p>
        </w:tc>
        <w:tc>
          <w:tcPr>
            <w:tcW w:w="1696"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0.677</w:t>
            </w:r>
          </w:p>
        </w:tc>
        <w:tc>
          <w:tcPr>
            <w:tcW w:w="1695"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0.156</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0.705</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0.323</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0.239</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0.732</w:t>
            </w:r>
          </w:p>
        </w:tc>
      </w:tr>
      <w:tr w:rsidR="007A7F40"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F-Test</w:t>
            </w:r>
          </w:p>
        </w:tc>
        <w:tc>
          <w:tcPr>
            <w:tcW w:w="1720" w:type="dxa"/>
            <w:gridSpan w:val="3"/>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0.367</w:t>
            </w:r>
          </w:p>
        </w:tc>
        <w:tc>
          <w:tcPr>
            <w:tcW w:w="1781" w:type="dxa"/>
            <w:gridSpan w:val="2"/>
            <w:tcBorders>
              <w:top w:val="nil"/>
              <w:left w:val="single" w:sz="4" w:space="0" w:color="auto"/>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0.111</w:t>
            </w:r>
          </w:p>
        </w:tc>
        <w:tc>
          <w:tcPr>
            <w:tcW w:w="1696"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0.150</w:t>
            </w:r>
          </w:p>
        </w:tc>
        <w:tc>
          <w:tcPr>
            <w:tcW w:w="1695"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0.433</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0.046</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0.265</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0.328</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0.066</w:t>
            </w:r>
          </w:p>
        </w:tc>
      </w:tr>
      <w:tr w:rsidR="007A7F40" w:rsidRPr="00E26623" w:rsidTr="00AC4741">
        <w:trPr>
          <w:trHeight w:val="300"/>
          <w:jc w:val="center"/>
        </w:trPr>
        <w:tc>
          <w:tcPr>
            <w:tcW w:w="1461" w:type="dxa"/>
            <w:tcBorders>
              <w:top w:val="nil"/>
              <w:left w:val="single" w:sz="4" w:space="0" w:color="auto"/>
              <w:bottom w:val="nil"/>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Schwartz</w:t>
            </w:r>
          </w:p>
        </w:tc>
        <w:tc>
          <w:tcPr>
            <w:tcW w:w="1720" w:type="dxa"/>
            <w:gridSpan w:val="3"/>
            <w:tcBorders>
              <w:top w:val="nil"/>
              <w:left w:val="nil"/>
              <w:bottom w:val="nil"/>
              <w:right w:val="nil"/>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-5.794</w:t>
            </w:r>
          </w:p>
        </w:tc>
        <w:tc>
          <w:tcPr>
            <w:tcW w:w="1781" w:type="dxa"/>
            <w:gridSpan w:val="2"/>
            <w:tcBorders>
              <w:top w:val="nil"/>
              <w:left w:val="single" w:sz="4" w:space="0" w:color="auto"/>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-6.636</w:t>
            </w:r>
          </w:p>
        </w:tc>
        <w:tc>
          <w:tcPr>
            <w:tcW w:w="1696"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-6.829</w:t>
            </w:r>
          </w:p>
        </w:tc>
        <w:tc>
          <w:tcPr>
            <w:tcW w:w="1695"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-5.779</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-6.803</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-5.973</w:t>
            </w:r>
          </w:p>
        </w:tc>
        <w:tc>
          <w:tcPr>
            <w:tcW w:w="1654"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-5.857</w:t>
            </w:r>
          </w:p>
        </w:tc>
        <w:tc>
          <w:tcPr>
            <w:tcW w:w="1653" w:type="dxa"/>
            <w:gridSpan w:val="2"/>
            <w:tcBorders>
              <w:top w:val="nil"/>
              <w:left w:val="nil"/>
              <w:bottom w:val="nil"/>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-6.927</w:t>
            </w:r>
          </w:p>
        </w:tc>
      </w:tr>
      <w:tr w:rsidR="007A7F40" w:rsidRPr="00E26623" w:rsidTr="00AC4741">
        <w:trPr>
          <w:trHeight w:val="300"/>
          <w:jc w:val="center"/>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E26623" w:rsidRPr="00E26623" w:rsidRDefault="00E26623" w:rsidP="00E26623">
            <w:pPr>
              <w:spacing w:after="0" w:line="240" w:lineRule="auto"/>
              <w:rPr>
                <w:rFonts w:eastAsia="Times New Roman"/>
                <w:color w:val="000000"/>
                <w:sz w:val="20"/>
                <w:szCs w:val="20"/>
              </w:rPr>
            </w:pPr>
            <w:r w:rsidRPr="00E26623">
              <w:rPr>
                <w:rFonts w:eastAsia="Times New Roman"/>
                <w:color w:val="000000"/>
                <w:sz w:val="20"/>
                <w:szCs w:val="20"/>
              </w:rPr>
              <w:t>Log-likelihood</w:t>
            </w:r>
          </w:p>
        </w:tc>
        <w:tc>
          <w:tcPr>
            <w:tcW w:w="1720" w:type="dxa"/>
            <w:gridSpan w:val="3"/>
            <w:tcBorders>
              <w:top w:val="nil"/>
              <w:left w:val="nil"/>
              <w:bottom w:val="single" w:sz="4" w:space="0" w:color="auto"/>
              <w:right w:val="nil"/>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47.924</w:t>
            </w:r>
          </w:p>
        </w:tc>
        <w:tc>
          <w:tcPr>
            <w:tcW w:w="178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54.678</w:t>
            </w:r>
          </w:p>
        </w:tc>
        <w:tc>
          <w:tcPr>
            <w:tcW w:w="1696"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57.213</w:t>
            </w:r>
          </w:p>
        </w:tc>
        <w:tc>
          <w:tcPr>
            <w:tcW w:w="1695"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49.104</w:t>
            </w:r>
          </w:p>
        </w:tc>
        <w:tc>
          <w:tcPr>
            <w:tcW w:w="1654"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54.477</w:t>
            </w:r>
          </w:p>
        </w:tc>
        <w:tc>
          <w:tcPr>
            <w:tcW w:w="1653"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49.084</w:t>
            </w:r>
          </w:p>
        </w:tc>
        <w:tc>
          <w:tcPr>
            <w:tcW w:w="1654"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48.328</w:t>
            </w:r>
          </w:p>
        </w:tc>
        <w:tc>
          <w:tcPr>
            <w:tcW w:w="1653" w:type="dxa"/>
            <w:gridSpan w:val="2"/>
            <w:tcBorders>
              <w:top w:val="nil"/>
              <w:left w:val="nil"/>
              <w:bottom w:val="single" w:sz="4" w:space="0" w:color="auto"/>
              <w:right w:val="single" w:sz="4" w:space="0" w:color="000000"/>
            </w:tcBorders>
            <w:shd w:val="clear" w:color="auto" w:fill="auto"/>
            <w:noWrap/>
            <w:vAlign w:val="bottom"/>
            <w:hideMark/>
          </w:tcPr>
          <w:p w:rsidR="00E26623" w:rsidRPr="00E26623" w:rsidRDefault="00E26623" w:rsidP="00E26623">
            <w:pPr>
              <w:spacing w:after="0" w:line="240" w:lineRule="auto"/>
              <w:jc w:val="center"/>
              <w:rPr>
                <w:rFonts w:eastAsia="Times New Roman"/>
                <w:color w:val="000000"/>
                <w:sz w:val="20"/>
                <w:szCs w:val="20"/>
              </w:rPr>
            </w:pPr>
            <w:r w:rsidRPr="00E26623">
              <w:rPr>
                <w:rFonts w:eastAsia="Times New Roman"/>
                <w:color w:val="000000"/>
                <w:sz w:val="20"/>
                <w:szCs w:val="20"/>
              </w:rPr>
              <w:t>56.566</w:t>
            </w:r>
          </w:p>
        </w:tc>
      </w:tr>
    </w:tbl>
    <w:p w:rsidR="00E26623" w:rsidRDefault="00E26623" w:rsidP="007A7F40">
      <w:pPr>
        <w:ind w:firstLine="720"/>
        <w:sectPr w:rsidR="00E26623" w:rsidSect="00E26623">
          <w:pgSz w:w="16840" w:h="11907" w:orient="landscape" w:code="9"/>
          <w:pgMar w:top="1417" w:right="1417" w:bottom="1417" w:left="1417" w:header="708" w:footer="708" w:gutter="0"/>
          <w:cols w:space="708"/>
          <w:docGrid w:linePitch="360"/>
        </w:sectPr>
      </w:pPr>
      <w:r w:rsidRPr="005C0811">
        <w:rPr>
          <w:sz w:val="18"/>
          <w:szCs w:val="18"/>
        </w:rPr>
        <w:t>Notes</w:t>
      </w:r>
      <w:r>
        <w:rPr>
          <w:sz w:val="18"/>
          <w:szCs w:val="18"/>
        </w:rPr>
        <w:t xml:space="preserve">: Standard errors are robust. </w:t>
      </w:r>
      <w:r w:rsidRPr="005C0811">
        <w:rPr>
          <w:sz w:val="18"/>
          <w:szCs w:val="18"/>
        </w:rPr>
        <w:t xml:space="preserve">Dependent variable: </w:t>
      </w:r>
      <w:r>
        <w:rPr>
          <w:sz w:val="18"/>
          <w:szCs w:val="18"/>
        </w:rPr>
        <w:t xml:space="preserve">Average annual regional GDP growth from 1990-2009. Independent variables are all measured in 1990. </w:t>
      </w:r>
    </w:p>
    <w:p w:rsidR="00622E76" w:rsidRDefault="00622E76" w:rsidP="00622E76">
      <w:pPr>
        <w:spacing w:line="360" w:lineRule="auto"/>
        <w:ind w:firstLine="720"/>
        <w:jc w:val="both"/>
        <w:rPr>
          <w:i/>
        </w:rPr>
      </w:pPr>
      <w:proofErr w:type="gramStart"/>
      <w:r>
        <w:rPr>
          <w:i/>
        </w:rPr>
        <w:lastRenderedPageBreak/>
        <w:t>Table 6.4.</w:t>
      </w:r>
      <w:proofErr w:type="gramEnd"/>
      <w:r>
        <w:rPr>
          <w:i/>
        </w:rPr>
        <w:t xml:space="preserve">  Panel least squares with fixed effects, estimation of 6 year growth</w:t>
      </w:r>
    </w:p>
    <w:tbl>
      <w:tblPr>
        <w:tblW w:w="13653" w:type="dxa"/>
        <w:tblInd w:w="93" w:type="dxa"/>
        <w:tblLook w:val="04A0" w:firstRow="1" w:lastRow="0" w:firstColumn="1" w:lastColumn="0" w:noHBand="0" w:noVBand="1"/>
      </w:tblPr>
      <w:tblGrid>
        <w:gridCol w:w="1461"/>
        <w:gridCol w:w="833"/>
        <w:gridCol w:w="691"/>
        <w:gridCol w:w="833"/>
        <w:gridCol w:w="691"/>
        <w:gridCol w:w="833"/>
        <w:gridCol w:w="691"/>
        <w:gridCol w:w="833"/>
        <w:gridCol w:w="691"/>
        <w:gridCol w:w="833"/>
        <w:gridCol w:w="691"/>
        <w:gridCol w:w="833"/>
        <w:gridCol w:w="691"/>
        <w:gridCol w:w="833"/>
        <w:gridCol w:w="691"/>
        <w:gridCol w:w="833"/>
        <w:gridCol w:w="691"/>
      </w:tblGrid>
      <w:tr w:rsidR="00622E76" w:rsidRPr="0090686F" w:rsidTr="00B044C7">
        <w:trPr>
          <w:trHeight w:val="315"/>
        </w:trPr>
        <w:tc>
          <w:tcPr>
            <w:tcW w:w="1461"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 </w:t>
            </w:r>
          </w:p>
        </w:tc>
        <w:tc>
          <w:tcPr>
            <w:tcW w:w="12192"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 xml:space="preserve">Panel </w:t>
            </w:r>
            <w:r>
              <w:rPr>
                <w:rFonts w:eastAsia="Times New Roman"/>
                <w:b/>
                <w:bCs/>
                <w:color w:val="000000"/>
                <w:sz w:val="20"/>
                <w:szCs w:val="20"/>
              </w:rPr>
              <w:t>regional and time f</w:t>
            </w:r>
            <w:r w:rsidRPr="0090686F">
              <w:rPr>
                <w:rFonts w:eastAsia="Times New Roman"/>
                <w:b/>
                <w:bCs/>
                <w:color w:val="000000"/>
                <w:sz w:val="20"/>
                <w:szCs w:val="20"/>
              </w:rPr>
              <w:t xml:space="preserve">ixed </w:t>
            </w:r>
            <w:r>
              <w:rPr>
                <w:rFonts w:eastAsia="Times New Roman"/>
                <w:b/>
                <w:bCs/>
                <w:color w:val="000000"/>
                <w:sz w:val="20"/>
                <w:szCs w:val="20"/>
              </w:rPr>
              <w:t>e</w:t>
            </w:r>
            <w:r w:rsidRPr="0090686F">
              <w:rPr>
                <w:rFonts w:eastAsia="Times New Roman"/>
                <w:b/>
                <w:bCs/>
                <w:color w:val="000000"/>
                <w:sz w:val="20"/>
                <w:szCs w:val="20"/>
              </w:rPr>
              <w:t>ffects</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 </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1</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2</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3</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4</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5</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6</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7</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8</w:t>
            </w:r>
          </w:p>
        </w:tc>
      </w:tr>
      <w:tr w:rsidR="00622E76" w:rsidRPr="0090686F" w:rsidTr="00B044C7">
        <w:trPr>
          <w:trHeight w:val="300"/>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b/>
                <w:bCs/>
                <w:color w:val="000000"/>
                <w:sz w:val="20"/>
                <w:szCs w:val="20"/>
              </w:rPr>
            </w:pPr>
            <w:r w:rsidRPr="0090686F">
              <w:rPr>
                <w:rFonts w:eastAsia="Times New Roman"/>
                <w:b/>
                <w:bCs/>
                <w:color w:val="000000"/>
                <w:sz w:val="20"/>
                <w:szCs w:val="20"/>
              </w:rPr>
              <w:t>p-value</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Constant</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1.905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2.568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2.047</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1.503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3.029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1.511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0.008</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2.223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0.014</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2.065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LnGDPpc</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-0.099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-0.132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-0.155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-0.133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-0.123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-0.133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-0.093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-0.155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Gini</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-0.117</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-0.111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0.037</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0.803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-0.004</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0.929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HC Gini</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0.702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P5010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0.040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0.041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P9075</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-0.036</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HCStock</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0.089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-0.043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0.005</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0.250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-0.056</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0.189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Investment</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0.067</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0.073</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0.368</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0.034</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0.036</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0.043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0.034</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0.035</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0.076</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0.012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0.359</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Population</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0.652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-0.035</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0.539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0.582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0.480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-0.073</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0.217</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0.467</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-0.052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0.475</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0.020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0.584</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Unemployment</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0.591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0.521</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0.332</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0.387</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0.696</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0.387</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0.884</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0.336</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Urbanisation</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0.222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0.256</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0.005</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0.272</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0.248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0.229</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0.004</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0.248</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0.236</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0.039</w:t>
            </w:r>
          </w:p>
        </w:tc>
        <w:tc>
          <w:tcPr>
            <w:tcW w:w="833" w:type="dxa"/>
            <w:tcBorders>
              <w:top w:val="nil"/>
              <w:left w:val="nil"/>
              <w:bottom w:val="nil"/>
              <w:right w:val="nil"/>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0.270</w:t>
            </w:r>
          </w:p>
        </w:tc>
        <w:tc>
          <w:tcPr>
            <w:tcW w:w="691" w:type="dxa"/>
            <w:tcBorders>
              <w:top w:val="nil"/>
              <w:left w:val="nil"/>
              <w:bottom w:val="nil"/>
              <w:right w:val="single" w:sz="4" w:space="0" w:color="auto"/>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Observations</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39</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R2 Adjusted</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0.874</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0.895</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0.938</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0.926</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0.883</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0.930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0.854</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0.942</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F-Test</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0.000</w:t>
            </w:r>
          </w:p>
        </w:tc>
      </w:tr>
      <w:tr w:rsidR="00622E76" w:rsidRPr="0090686F" w:rsidTr="00B044C7">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Schwartz</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-5.515</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-5.665</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-6.167</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-6.013</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-5.591</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-6.107</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-5.372</w:t>
            </w:r>
          </w:p>
        </w:tc>
        <w:tc>
          <w:tcPr>
            <w:tcW w:w="1524" w:type="dxa"/>
            <w:gridSpan w:val="2"/>
            <w:tcBorders>
              <w:top w:val="nil"/>
              <w:left w:val="nil"/>
              <w:bottom w:val="nil"/>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-6.259</w:t>
            </w:r>
          </w:p>
        </w:tc>
      </w:tr>
      <w:tr w:rsidR="00622E76" w:rsidRPr="0090686F" w:rsidTr="00B044C7">
        <w:trPr>
          <w:trHeight w:val="300"/>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622E76" w:rsidRPr="0090686F" w:rsidRDefault="00622E76" w:rsidP="00B044C7">
            <w:pPr>
              <w:spacing w:after="0" w:line="240" w:lineRule="auto"/>
              <w:rPr>
                <w:rFonts w:eastAsia="Times New Roman"/>
                <w:color w:val="000000"/>
                <w:sz w:val="20"/>
                <w:szCs w:val="20"/>
              </w:rPr>
            </w:pPr>
            <w:r w:rsidRPr="0090686F">
              <w:rPr>
                <w:rFonts w:eastAsia="Times New Roman"/>
                <w:color w:val="000000"/>
                <w:sz w:val="20"/>
                <w:szCs w:val="20"/>
              </w:rPr>
              <w:t>Log-likelihood</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147.850</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152.605</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164.215</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159.393</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149.316</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159.388</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145.058</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622E76" w:rsidRPr="0090686F" w:rsidRDefault="00622E76" w:rsidP="00B044C7">
            <w:pPr>
              <w:spacing w:after="0" w:line="240" w:lineRule="auto"/>
              <w:jc w:val="center"/>
              <w:rPr>
                <w:rFonts w:eastAsia="Times New Roman"/>
                <w:color w:val="000000"/>
                <w:sz w:val="20"/>
                <w:szCs w:val="20"/>
              </w:rPr>
            </w:pPr>
            <w:r w:rsidRPr="0090686F">
              <w:rPr>
                <w:rFonts w:eastAsia="Times New Roman"/>
                <w:color w:val="000000"/>
                <w:sz w:val="20"/>
                <w:szCs w:val="20"/>
              </w:rPr>
              <w:t>164.174</w:t>
            </w:r>
          </w:p>
        </w:tc>
      </w:tr>
    </w:tbl>
    <w:p w:rsidR="00622E76" w:rsidRDefault="00622E76" w:rsidP="00622E76">
      <w:pPr>
        <w:spacing w:line="360" w:lineRule="auto"/>
        <w:ind w:left="135"/>
        <w:rPr>
          <w:sz w:val="18"/>
          <w:szCs w:val="18"/>
        </w:rPr>
      </w:pPr>
      <w:r w:rsidRPr="005C0811">
        <w:rPr>
          <w:sz w:val="18"/>
          <w:szCs w:val="18"/>
        </w:rPr>
        <w:t>Notes</w:t>
      </w:r>
      <w:r>
        <w:rPr>
          <w:sz w:val="18"/>
          <w:szCs w:val="18"/>
        </w:rPr>
        <w:t xml:space="preserve">: Standard errors are robust. </w:t>
      </w:r>
      <w:r w:rsidRPr="005C0811">
        <w:rPr>
          <w:sz w:val="18"/>
          <w:szCs w:val="18"/>
        </w:rPr>
        <w:t>Depe</w:t>
      </w:r>
      <w:r>
        <w:rPr>
          <w:sz w:val="18"/>
          <w:szCs w:val="18"/>
        </w:rPr>
        <w:t xml:space="preserve">ndent variable: average annual regional </w:t>
      </w:r>
      <w:r w:rsidRPr="005C0811">
        <w:rPr>
          <w:sz w:val="18"/>
          <w:szCs w:val="18"/>
        </w:rPr>
        <w:t>GDP growth from 199</w:t>
      </w:r>
      <w:r>
        <w:rPr>
          <w:sz w:val="18"/>
          <w:szCs w:val="18"/>
        </w:rPr>
        <w:t>6</w:t>
      </w:r>
      <w:r w:rsidRPr="005C0811">
        <w:rPr>
          <w:sz w:val="18"/>
          <w:szCs w:val="18"/>
        </w:rPr>
        <w:t xml:space="preserve">-1990, </w:t>
      </w:r>
      <w:r>
        <w:rPr>
          <w:sz w:val="18"/>
          <w:szCs w:val="18"/>
        </w:rPr>
        <w:t>2003</w:t>
      </w:r>
      <w:r w:rsidRPr="005C0811">
        <w:rPr>
          <w:sz w:val="18"/>
          <w:szCs w:val="18"/>
        </w:rPr>
        <w:t>-199</w:t>
      </w:r>
      <w:r>
        <w:rPr>
          <w:sz w:val="18"/>
          <w:szCs w:val="18"/>
        </w:rPr>
        <w:t>6</w:t>
      </w:r>
      <w:r w:rsidRPr="005C0811">
        <w:rPr>
          <w:sz w:val="18"/>
          <w:szCs w:val="18"/>
        </w:rPr>
        <w:t xml:space="preserve">, </w:t>
      </w:r>
      <w:r>
        <w:rPr>
          <w:sz w:val="18"/>
          <w:szCs w:val="18"/>
        </w:rPr>
        <w:t>2009-2003</w:t>
      </w:r>
      <w:r w:rsidRPr="005C0811">
        <w:rPr>
          <w:sz w:val="18"/>
          <w:szCs w:val="18"/>
        </w:rPr>
        <w:t>.</w:t>
      </w:r>
      <w:r>
        <w:rPr>
          <w:sz w:val="18"/>
          <w:szCs w:val="18"/>
        </w:rPr>
        <w:t xml:space="preserve"> Independent variables are all measured in the initial growth year. </w:t>
      </w:r>
      <w:proofErr w:type="gramStart"/>
      <w:r>
        <w:rPr>
          <w:sz w:val="18"/>
          <w:szCs w:val="18"/>
        </w:rPr>
        <w:t>Estimation with both cross-sectional and time fixed effects.</w:t>
      </w:r>
      <w:proofErr w:type="gramEnd"/>
    </w:p>
    <w:p w:rsidR="00622E76" w:rsidRDefault="00622E76">
      <w:pPr>
        <w:sectPr w:rsidR="00622E76" w:rsidSect="00622E76">
          <w:pgSz w:w="16840" w:h="11907" w:orient="landscape" w:code="9"/>
          <w:pgMar w:top="1417" w:right="1417" w:bottom="1417" w:left="1417" w:header="708" w:footer="708" w:gutter="0"/>
          <w:cols w:space="708"/>
          <w:docGrid w:linePitch="360"/>
        </w:sectPr>
      </w:pPr>
    </w:p>
    <w:p w:rsidR="004B0EC5" w:rsidRDefault="006F5AB4" w:rsidP="00B14A46">
      <w:pPr>
        <w:spacing w:line="360" w:lineRule="auto"/>
        <w:jc w:val="both"/>
      </w:pPr>
      <w:r>
        <w:lastRenderedPageBreak/>
        <w:t xml:space="preserve">Again, the partial income inequality indicators p9075 and p5010 </w:t>
      </w:r>
      <w:r w:rsidR="00B93473">
        <w:t xml:space="preserve">seem to </w:t>
      </w:r>
      <w:r w:rsidR="00407202">
        <w:t>be stronger</w:t>
      </w:r>
      <w:r w:rsidR="00B93473">
        <w:t xml:space="preserve"> determinants of economic growth than the income Gini-coefficient. Investment and urbanization levels have an overall significant positive impact on regional growth</w:t>
      </w:r>
      <w:r w:rsidR="00CD0BA9">
        <w:t>, while i</w:t>
      </w:r>
      <w:r w:rsidR="00B93473">
        <w:t>nequality in regional education levels (HC Gini) has no signif</w:t>
      </w:r>
      <w:r w:rsidR="00E63306">
        <w:t xml:space="preserve">icant impact on regional growth. </w:t>
      </w:r>
      <w:r w:rsidR="00E75DE6">
        <w:t>Inconsistent with generally accepted views regarding economic growth, the regional human capital stock has a negative influence on regional growth. Overall, model 8 seems to perform best at capturing the regional growth process</w:t>
      </w:r>
      <w:r w:rsidR="00F269F0">
        <w:t xml:space="preserve"> at 6 year intervals</w:t>
      </w:r>
      <w:r w:rsidR="00E75DE6">
        <w:t xml:space="preserve">, with both top and bottom inequality measures included. </w:t>
      </w:r>
    </w:p>
    <w:p w:rsidR="00622E76" w:rsidRDefault="00E75DE6" w:rsidP="00622E76">
      <w:pPr>
        <w:spacing w:line="360" w:lineRule="auto"/>
        <w:jc w:val="both"/>
      </w:pPr>
      <w:r>
        <w:t xml:space="preserve">Decreasing the amount of years per growth period to 4 years </w:t>
      </w:r>
      <w:r w:rsidR="002B10EF">
        <w:t>gives 4 observations per region with the data at hand</w:t>
      </w:r>
      <w:r w:rsidR="000E232C">
        <w:t>,</w:t>
      </w:r>
      <w:r w:rsidR="002B10EF">
        <w:t xml:space="preserve"> which brings the total amount of observations to 52. Similar to the 6-year growth period, estimating the models with only time fixed effects does not produce significant results, so only the results including time and regional fixed effects are reported in table 6.5. The lagged regional GDP </w:t>
      </w:r>
      <w:r w:rsidR="004D66E5">
        <w:t>variable enters all 8 models with a negative sign, again depicting a process of convergence in Chilean regions. The control variables behave similar to the estimation of 6 year growth, including the negative effect of the level of education on regional growth. All income inequality measures fit the model poorly. Although signs are similar to the 6 year model, none show a significant relationship to regional</w:t>
      </w:r>
      <w:r w:rsidR="00622E76">
        <w:t xml:space="preserve"> growth. The human capital inequality measure has a positive relationship with economic growth and model 7, with only the human capital Gini-coefficient as inequality measure included as a determinant, seems to be the model of best fit. </w:t>
      </w:r>
    </w:p>
    <w:p w:rsidR="00C501B3" w:rsidRDefault="00622E76" w:rsidP="00B14A46">
      <w:pPr>
        <w:spacing w:line="360" w:lineRule="auto"/>
        <w:jc w:val="both"/>
      </w:pPr>
      <w:r>
        <w:t>The shortest growth spell considered is that between each survey date which on average was held every two years. Results for my largest sample are shown in table 6.6 for the estimation using both time and regional fixed effects</w:t>
      </w:r>
      <w:r>
        <w:rPr>
          <w:rStyle w:val="FootnoteReference"/>
        </w:rPr>
        <w:footnoteReference w:id="24"/>
      </w:r>
      <w:r>
        <w:t xml:space="preserve">. Of the considered inequality measures, the bottom-end inequality measure is the only one that shows a significant influence on short-term growth. Just like the other inequality measures, p5010 shows a positive impact on regional growth, indicating that in the short run a wider income distribution contributes positively to economic growth. Control variables behave in the expected way: the human capital stock, investment and population size all increase regional growth rates. The negative sign of initial regional GDP confirms that the pattern of convergence between Chilean regions is also apparent in the short run. Model 5, including only </w:t>
      </w:r>
      <w:r w:rsidR="00407202">
        <w:t xml:space="preserve">the bottom inequality measure, is </w:t>
      </w:r>
      <w:r>
        <w:t xml:space="preserve">the </w:t>
      </w:r>
      <w:r w:rsidR="00407202">
        <w:t>best performing model.</w:t>
      </w:r>
    </w:p>
    <w:p w:rsidR="00622E76" w:rsidRDefault="00622E76" w:rsidP="00B14A46">
      <w:pPr>
        <w:spacing w:line="360" w:lineRule="auto"/>
        <w:jc w:val="both"/>
        <w:sectPr w:rsidR="00622E76" w:rsidSect="00622E76">
          <w:pgSz w:w="11907" w:h="16840" w:code="9"/>
          <w:pgMar w:top="1417" w:right="1417" w:bottom="1417" w:left="1417" w:header="708" w:footer="708" w:gutter="0"/>
          <w:cols w:space="708"/>
          <w:docGrid w:linePitch="360"/>
        </w:sectPr>
      </w:pPr>
      <w:r>
        <w:t xml:space="preserve">When overviewing the results of these growth regressions with inequality measures and comparing these with results obtained in the literature, several points can be made. First of all, evaluating all inequality measures, the Gini-coefficient does not seem to be related to economic growth, except for </w:t>
      </w:r>
    </w:p>
    <w:p w:rsidR="0090686F" w:rsidRDefault="00AC3934" w:rsidP="0090686F">
      <w:pPr>
        <w:spacing w:line="360" w:lineRule="auto"/>
        <w:ind w:firstLine="720"/>
        <w:jc w:val="both"/>
        <w:rPr>
          <w:i/>
        </w:rPr>
      </w:pPr>
      <w:proofErr w:type="gramStart"/>
      <w:r>
        <w:rPr>
          <w:i/>
        </w:rPr>
        <w:lastRenderedPageBreak/>
        <w:t>Table 6.5.</w:t>
      </w:r>
      <w:proofErr w:type="gramEnd"/>
      <w:r>
        <w:rPr>
          <w:i/>
        </w:rPr>
        <w:t xml:space="preserve">  Panel least s</w:t>
      </w:r>
      <w:r w:rsidR="0090686F">
        <w:rPr>
          <w:i/>
        </w:rPr>
        <w:t>quares with fixed effects, estimation of 4 year growth</w:t>
      </w:r>
    </w:p>
    <w:tbl>
      <w:tblPr>
        <w:tblW w:w="13653" w:type="dxa"/>
        <w:tblInd w:w="93" w:type="dxa"/>
        <w:tblLook w:val="04A0" w:firstRow="1" w:lastRow="0" w:firstColumn="1" w:lastColumn="0" w:noHBand="0" w:noVBand="1"/>
      </w:tblPr>
      <w:tblGrid>
        <w:gridCol w:w="1461"/>
        <w:gridCol w:w="833"/>
        <w:gridCol w:w="691"/>
        <w:gridCol w:w="833"/>
        <w:gridCol w:w="691"/>
        <w:gridCol w:w="833"/>
        <w:gridCol w:w="691"/>
        <w:gridCol w:w="833"/>
        <w:gridCol w:w="691"/>
        <w:gridCol w:w="833"/>
        <w:gridCol w:w="691"/>
        <w:gridCol w:w="833"/>
        <w:gridCol w:w="691"/>
        <w:gridCol w:w="833"/>
        <w:gridCol w:w="691"/>
        <w:gridCol w:w="833"/>
        <w:gridCol w:w="691"/>
      </w:tblGrid>
      <w:tr w:rsidR="00AC4741" w:rsidRPr="00AC4741" w:rsidTr="00AC4741">
        <w:trPr>
          <w:trHeight w:val="300"/>
        </w:trPr>
        <w:tc>
          <w:tcPr>
            <w:tcW w:w="1461"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 </w:t>
            </w:r>
          </w:p>
        </w:tc>
        <w:tc>
          <w:tcPr>
            <w:tcW w:w="12192"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AC4741" w:rsidRPr="00AC4741" w:rsidRDefault="00AC4741" w:rsidP="004D66E5">
            <w:pPr>
              <w:spacing w:after="0" w:line="240" w:lineRule="auto"/>
              <w:jc w:val="center"/>
              <w:rPr>
                <w:rFonts w:eastAsia="Times New Roman"/>
                <w:b/>
                <w:bCs/>
                <w:color w:val="000000"/>
                <w:sz w:val="20"/>
                <w:szCs w:val="20"/>
              </w:rPr>
            </w:pPr>
            <w:r w:rsidRPr="00AC4741">
              <w:rPr>
                <w:rFonts w:eastAsia="Times New Roman"/>
                <w:b/>
                <w:bCs/>
                <w:color w:val="000000"/>
                <w:sz w:val="20"/>
                <w:szCs w:val="20"/>
              </w:rPr>
              <w:t xml:space="preserve">Panel </w:t>
            </w:r>
            <w:r w:rsidR="004D66E5">
              <w:rPr>
                <w:rFonts w:eastAsia="Times New Roman"/>
                <w:b/>
                <w:bCs/>
                <w:color w:val="000000"/>
                <w:sz w:val="20"/>
                <w:szCs w:val="20"/>
              </w:rPr>
              <w:t>regional and time f</w:t>
            </w:r>
            <w:r w:rsidRPr="00AC4741">
              <w:rPr>
                <w:rFonts w:eastAsia="Times New Roman"/>
                <w:b/>
                <w:bCs/>
                <w:color w:val="000000"/>
                <w:sz w:val="20"/>
                <w:szCs w:val="20"/>
              </w:rPr>
              <w:t>ixed Effects</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 </w:t>
            </w:r>
          </w:p>
        </w:tc>
        <w:tc>
          <w:tcPr>
            <w:tcW w:w="1524" w:type="dxa"/>
            <w:gridSpan w:val="2"/>
            <w:tcBorders>
              <w:top w:val="single" w:sz="4" w:space="0" w:color="auto"/>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right"/>
              <w:rPr>
                <w:rFonts w:eastAsia="Times New Roman"/>
                <w:b/>
                <w:bCs/>
                <w:color w:val="000000"/>
                <w:sz w:val="20"/>
                <w:szCs w:val="20"/>
              </w:rPr>
            </w:pPr>
            <w:r w:rsidRPr="00AC4741">
              <w:rPr>
                <w:rFonts w:eastAsia="Times New Roman"/>
                <w:b/>
                <w:bCs/>
                <w:color w:val="000000"/>
                <w:sz w:val="20"/>
                <w:szCs w:val="20"/>
              </w:rPr>
              <w:t>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rPr>
                <w:rFonts w:eastAsia="Times New Roman"/>
                <w:b/>
                <w:bCs/>
                <w:color w:val="000000"/>
                <w:sz w:val="20"/>
                <w:szCs w:val="20"/>
              </w:rPr>
            </w:pPr>
            <w:r w:rsidRPr="00AC4741">
              <w:rPr>
                <w:rFonts w:eastAsia="Times New Roman"/>
                <w:b/>
                <w:bCs/>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right"/>
              <w:rPr>
                <w:rFonts w:eastAsia="Times New Roman"/>
                <w:b/>
                <w:bCs/>
                <w:color w:val="000000"/>
                <w:sz w:val="20"/>
                <w:szCs w:val="20"/>
              </w:rPr>
            </w:pPr>
            <w:r w:rsidRPr="00AC4741">
              <w:rPr>
                <w:rFonts w:eastAsia="Times New Roman"/>
                <w:b/>
                <w:bCs/>
                <w:color w:val="000000"/>
                <w:sz w:val="20"/>
                <w:szCs w:val="20"/>
              </w:rPr>
              <w:t>3</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rPr>
                <w:rFonts w:eastAsia="Times New Roman"/>
                <w:b/>
                <w:bCs/>
                <w:color w:val="000000"/>
                <w:sz w:val="20"/>
                <w:szCs w:val="20"/>
              </w:rPr>
            </w:pPr>
            <w:r w:rsidRPr="00AC4741">
              <w:rPr>
                <w:rFonts w:eastAsia="Times New Roman"/>
                <w:b/>
                <w:bCs/>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right"/>
              <w:rPr>
                <w:rFonts w:eastAsia="Times New Roman"/>
                <w:b/>
                <w:bCs/>
                <w:color w:val="000000"/>
                <w:sz w:val="20"/>
                <w:szCs w:val="20"/>
              </w:rPr>
            </w:pPr>
            <w:r w:rsidRPr="00AC4741">
              <w:rPr>
                <w:rFonts w:eastAsia="Times New Roman"/>
                <w:b/>
                <w:bCs/>
                <w:color w:val="000000"/>
                <w:sz w:val="20"/>
                <w:szCs w:val="20"/>
              </w:rPr>
              <w:t>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rPr>
                <w:rFonts w:eastAsia="Times New Roman"/>
                <w:b/>
                <w:bCs/>
                <w:color w:val="000000"/>
                <w:sz w:val="20"/>
                <w:szCs w:val="20"/>
              </w:rPr>
            </w:pPr>
            <w:r w:rsidRPr="00AC4741">
              <w:rPr>
                <w:rFonts w:eastAsia="Times New Roman"/>
                <w:b/>
                <w:bCs/>
                <w:color w:val="000000"/>
                <w:sz w:val="20"/>
                <w:szCs w:val="20"/>
              </w:rPr>
              <w:t> </w:t>
            </w:r>
          </w:p>
        </w:tc>
        <w:tc>
          <w:tcPr>
            <w:tcW w:w="1524" w:type="dxa"/>
            <w:gridSpan w:val="2"/>
            <w:tcBorders>
              <w:top w:val="single" w:sz="4" w:space="0" w:color="auto"/>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5</w:t>
            </w:r>
          </w:p>
        </w:tc>
        <w:tc>
          <w:tcPr>
            <w:tcW w:w="1524" w:type="dxa"/>
            <w:gridSpan w:val="2"/>
            <w:tcBorders>
              <w:top w:val="single" w:sz="4" w:space="0" w:color="auto"/>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6</w:t>
            </w:r>
          </w:p>
        </w:tc>
        <w:tc>
          <w:tcPr>
            <w:tcW w:w="1524" w:type="dxa"/>
            <w:gridSpan w:val="2"/>
            <w:tcBorders>
              <w:top w:val="single" w:sz="4" w:space="0" w:color="auto"/>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7</w:t>
            </w:r>
          </w:p>
        </w:tc>
        <w:tc>
          <w:tcPr>
            <w:tcW w:w="1524" w:type="dxa"/>
            <w:gridSpan w:val="2"/>
            <w:tcBorders>
              <w:top w:val="single" w:sz="4" w:space="0" w:color="auto"/>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8</w:t>
            </w:r>
          </w:p>
        </w:tc>
      </w:tr>
      <w:tr w:rsidR="00AC4741" w:rsidRPr="00AC4741" w:rsidTr="00AC4741">
        <w:trPr>
          <w:trHeight w:val="300"/>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c>
          <w:tcPr>
            <w:tcW w:w="833" w:type="dxa"/>
            <w:tcBorders>
              <w:top w:val="nil"/>
              <w:left w:val="nil"/>
              <w:bottom w:val="single" w:sz="4" w:space="0" w:color="auto"/>
              <w:right w:val="nil"/>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b</w:t>
            </w:r>
          </w:p>
        </w:tc>
        <w:tc>
          <w:tcPr>
            <w:tcW w:w="691" w:type="dxa"/>
            <w:tcBorders>
              <w:top w:val="nil"/>
              <w:left w:val="nil"/>
              <w:bottom w:val="single" w:sz="4" w:space="0" w:color="auto"/>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b/>
                <w:bCs/>
                <w:color w:val="000000"/>
                <w:sz w:val="20"/>
                <w:szCs w:val="20"/>
              </w:rPr>
            </w:pPr>
            <w:r w:rsidRPr="00AC4741">
              <w:rPr>
                <w:rFonts w:eastAsia="Times New Roman"/>
                <w:b/>
                <w:bCs/>
                <w:color w:val="000000"/>
                <w:sz w:val="20"/>
                <w:szCs w:val="20"/>
              </w:rPr>
              <w:t>p-value</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Constant</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0.762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0.397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0.830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0.370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0.642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0.504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0.579</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0.532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0.794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0.374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0.564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0.536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1.175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0.161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0.612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0.513</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LnGDPpc</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-0.145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-0.146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-0.158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-0.158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-0.149</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-0.161</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-0.138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-0.161</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Gini</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0.758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0.027</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0.668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0.054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0.386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0.443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HC Gini</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P5010</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0.010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0.567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0.648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0.009</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0.612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0.007</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0.723</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P9075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0.222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-0.027</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0.198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0.277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 </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-0.021</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0.320</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HCStock</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-0.023</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0.093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-0.023</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-0.023</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0.092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0.076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0.076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-0.015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0.264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-0.025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0.067</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Investment</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0.036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0.173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0.036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0.177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0.036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0.181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0.063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0.036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0.180</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Population</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0.106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0.128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0.161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0.129</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0.111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0.135</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0.107</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0.109</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0.140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0.065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0.058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0.318</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0.136</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0.086</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Pr>
                <w:rFonts w:eastAsia="Times New Roman"/>
                <w:color w:val="000000"/>
                <w:sz w:val="20"/>
                <w:szCs w:val="20"/>
              </w:rPr>
              <w:t>Unemployment</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0.932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0.994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0.935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0.873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0.967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0.837</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-0.001</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0.604</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0.879</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Pr>
                <w:rFonts w:eastAsia="Times New Roman"/>
                <w:color w:val="000000"/>
                <w:sz w:val="20"/>
                <w:szCs w:val="20"/>
              </w:rPr>
              <w:t>Urbananisation</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0.239</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0.101</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0.234</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0.112</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0.248</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0.085</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0.253</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0.076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0.247</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0.073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0.272</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0.043</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0.130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0.356</w:t>
            </w:r>
          </w:p>
        </w:tc>
        <w:tc>
          <w:tcPr>
            <w:tcW w:w="833" w:type="dxa"/>
            <w:tcBorders>
              <w:top w:val="nil"/>
              <w:left w:val="nil"/>
              <w:bottom w:val="nil"/>
              <w:right w:val="nil"/>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0.270</w:t>
            </w:r>
          </w:p>
        </w:tc>
        <w:tc>
          <w:tcPr>
            <w:tcW w:w="691" w:type="dxa"/>
            <w:tcBorders>
              <w:top w:val="nil"/>
              <w:left w:val="nil"/>
              <w:bottom w:val="nil"/>
              <w:right w:val="single" w:sz="4" w:space="0" w:color="auto"/>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0.044</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Observations</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52</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R2 Adjusted</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0.697</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0.688</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0.686</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0.695</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0.698</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0.703</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0.718</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0.694</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F-Test</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0.001</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0.000</w:t>
            </w:r>
          </w:p>
        </w:tc>
      </w:tr>
      <w:tr w:rsidR="00AC4741" w:rsidRPr="00AC4741" w:rsidTr="00AC4741">
        <w:trPr>
          <w:trHeight w:val="300"/>
        </w:trPr>
        <w:tc>
          <w:tcPr>
            <w:tcW w:w="1461" w:type="dxa"/>
            <w:tcBorders>
              <w:top w:val="nil"/>
              <w:left w:val="single" w:sz="4" w:space="0" w:color="auto"/>
              <w:bottom w:val="nil"/>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Schwartz</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-4.498</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-4.430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-4.382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-4.452</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-4.503</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-4.520</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-4.571</w:t>
            </w:r>
          </w:p>
        </w:tc>
        <w:tc>
          <w:tcPr>
            <w:tcW w:w="1524" w:type="dxa"/>
            <w:gridSpan w:val="2"/>
            <w:tcBorders>
              <w:top w:val="nil"/>
              <w:left w:val="nil"/>
              <w:bottom w:val="nil"/>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-4.447</w:t>
            </w:r>
          </w:p>
        </w:tc>
      </w:tr>
      <w:tr w:rsidR="00AC4741" w:rsidRPr="00AC4741" w:rsidTr="00AC4741">
        <w:trPr>
          <w:trHeight w:val="300"/>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AC4741" w:rsidRPr="00AC4741" w:rsidRDefault="00AC4741" w:rsidP="00AC4741">
            <w:pPr>
              <w:spacing w:after="0" w:line="240" w:lineRule="auto"/>
              <w:rPr>
                <w:rFonts w:eastAsia="Times New Roman"/>
                <w:color w:val="000000"/>
                <w:sz w:val="20"/>
                <w:szCs w:val="20"/>
              </w:rPr>
            </w:pPr>
            <w:r w:rsidRPr="00AC4741">
              <w:rPr>
                <w:rFonts w:eastAsia="Times New Roman"/>
                <w:color w:val="000000"/>
                <w:sz w:val="20"/>
                <w:szCs w:val="20"/>
              </w:rPr>
              <w:t>Log-likelihood</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Pr>
                <w:rFonts w:eastAsia="Times New Roman"/>
                <w:color w:val="000000"/>
                <w:sz w:val="20"/>
                <w:szCs w:val="20"/>
              </w:rPr>
              <w:t>162.394</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162.583</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163.312</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163.177</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162.506</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162.953</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164.282</w:t>
            </w:r>
          </w:p>
        </w:tc>
        <w:tc>
          <w:tcPr>
            <w:tcW w:w="1524" w:type="dxa"/>
            <w:gridSpan w:val="2"/>
            <w:tcBorders>
              <w:top w:val="nil"/>
              <w:left w:val="nil"/>
              <w:bottom w:val="single" w:sz="4" w:space="0" w:color="auto"/>
              <w:right w:val="single" w:sz="4" w:space="0" w:color="000000"/>
            </w:tcBorders>
            <w:shd w:val="clear" w:color="auto" w:fill="auto"/>
            <w:noWrap/>
            <w:vAlign w:val="bottom"/>
            <w:hideMark/>
          </w:tcPr>
          <w:p w:rsidR="00AC4741" w:rsidRPr="00AC4741" w:rsidRDefault="00AC4741" w:rsidP="00AC4741">
            <w:pPr>
              <w:spacing w:after="0" w:line="240" w:lineRule="auto"/>
              <w:jc w:val="center"/>
              <w:rPr>
                <w:rFonts w:eastAsia="Times New Roman"/>
                <w:color w:val="000000"/>
                <w:sz w:val="20"/>
                <w:szCs w:val="20"/>
              </w:rPr>
            </w:pPr>
            <w:r w:rsidRPr="00AC4741">
              <w:rPr>
                <w:rFonts w:eastAsia="Times New Roman"/>
                <w:color w:val="000000"/>
                <w:sz w:val="20"/>
                <w:szCs w:val="20"/>
              </w:rPr>
              <w:t>163.037</w:t>
            </w:r>
          </w:p>
        </w:tc>
      </w:tr>
    </w:tbl>
    <w:p w:rsidR="00AC4741" w:rsidRDefault="00AC4741" w:rsidP="00AC4741">
      <w:pPr>
        <w:spacing w:line="360" w:lineRule="auto"/>
        <w:ind w:left="135"/>
        <w:rPr>
          <w:sz w:val="18"/>
          <w:szCs w:val="18"/>
        </w:rPr>
      </w:pPr>
      <w:r w:rsidRPr="005C0811">
        <w:rPr>
          <w:sz w:val="18"/>
          <w:szCs w:val="18"/>
        </w:rPr>
        <w:t>Notes</w:t>
      </w:r>
      <w:r>
        <w:rPr>
          <w:sz w:val="18"/>
          <w:szCs w:val="18"/>
        </w:rPr>
        <w:t xml:space="preserve">: Standard errors are robust. </w:t>
      </w:r>
      <w:r w:rsidRPr="005C0811">
        <w:rPr>
          <w:sz w:val="18"/>
          <w:szCs w:val="18"/>
        </w:rPr>
        <w:t>Depe</w:t>
      </w:r>
      <w:r>
        <w:rPr>
          <w:sz w:val="18"/>
          <w:szCs w:val="18"/>
        </w:rPr>
        <w:t xml:space="preserve">ndent variable: average annual regional </w:t>
      </w:r>
      <w:r w:rsidRPr="005C0811">
        <w:rPr>
          <w:sz w:val="18"/>
          <w:szCs w:val="18"/>
        </w:rPr>
        <w:t>GDP growth from 199</w:t>
      </w:r>
      <w:r>
        <w:rPr>
          <w:sz w:val="18"/>
          <w:szCs w:val="18"/>
        </w:rPr>
        <w:t>4</w:t>
      </w:r>
      <w:r w:rsidRPr="005C0811">
        <w:rPr>
          <w:sz w:val="18"/>
          <w:szCs w:val="18"/>
        </w:rPr>
        <w:t xml:space="preserve">-1990, </w:t>
      </w:r>
      <w:r>
        <w:rPr>
          <w:sz w:val="18"/>
          <w:szCs w:val="18"/>
        </w:rPr>
        <w:t>1998</w:t>
      </w:r>
      <w:r w:rsidRPr="005C0811">
        <w:rPr>
          <w:sz w:val="18"/>
          <w:szCs w:val="18"/>
        </w:rPr>
        <w:t>-199</w:t>
      </w:r>
      <w:r>
        <w:rPr>
          <w:sz w:val="18"/>
          <w:szCs w:val="18"/>
        </w:rPr>
        <w:t>4</w:t>
      </w:r>
      <w:r w:rsidRPr="005C0811">
        <w:rPr>
          <w:sz w:val="18"/>
          <w:szCs w:val="18"/>
        </w:rPr>
        <w:t xml:space="preserve">, </w:t>
      </w:r>
      <w:r>
        <w:rPr>
          <w:sz w:val="18"/>
          <w:szCs w:val="18"/>
        </w:rPr>
        <w:t>2003-1998, 2009-2003</w:t>
      </w:r>
      <w:r w:rsidRPr="005C0811">
        <w:rPr>
          <w:sz w:val="18"/>
          <w:szCs w:val="18"/>
        </w:rPr>
        <w:t>.</w:t>
      </w:r>
      <w:r>
        <w:rPr>
          <w:sz w:val="18"/>
          <w:szCs w:val="18"/>
        </w:rPr>
        <w:t xml:space="preserve"> Independent variables are all measured in the initial growth year. </w:t>
      </w:r>
      <w:proofErr w:type="gramStart"/>
      <w:r>
        <w:rPr>
          <w:sz w:val="18"/>
          <w:szCs w:val="18"/>
        </w:rPr>
        <w:t>Estimation with both cross-sectional and time fixed effects.</w:t>
      </w:r>
      <w:proofErr w:type="gramEnd"/>
    </w:p>
    <w:p w:rsidR="0090686F" w:rsidRDefault="0090686F" w:rsidP="0090686F">
      <w:pPr>
        <w:spacing w:line="360" w:lineRule="auto"/>
        <w:ind w:left="135"/>
      </w:pPr>
    </w:p>
    <w:p w:rsidR="00622E76" w:rsidRDefault="00622E76" w:rsidP="0090686F">
      <w:pPr>
        <w:spacing w:line="360" w:lineRule="auto"/>
        <w:ind w:left="135"/>
      </w:pPr>
    </w:p>
    <w:p w:rsidR="00622E76" w:rsidRDefault="00622E76" w:rsidP="0090686F">
      <w:pPr>
        <w:spacing w:line="360" w:lineRule="auto"/>
        <w:ind w:left="135"/>
      </w:pPr>
    </w:p>
    <w:p w:rsidR="00622E76" w:rsidRDefault="00622E76" w:rsidP="00622E76">
      <w:pPr>
        <w:spacing w:line="360" w:lineRule="auto"/>
        <w:ind w:firstLine="720"/>
        <w:jc w:val="both"/>
        <w:rPr>
          <w:i/>
        </w:rPr>
      </w:pPr>
      <w:r w:rsidRPr="006F5136">
        <w:rPr>
          <w:i/>
        </w:rPr>
        <w:lastRenderedPageBreak/>
        <w:t xml:space="preserve">   </w:t>
      </w:r>
      <w:proofErr w:type="gramStart"/>
      <w:r>
        <w:rPr>
          <w:i/>
        </w:rPr>
        <w:t>Table 6.6.</w:t>
      </w:r>
      <w:proofErr w:type="gramEnd"/>
      <w:r>
        <w:rPr>
          <w:i/>
        </w:rPr>
        <w:t xml:space="preserve">  Panel least squares with fixed effects, estimation of 2 year growth</w:t>
      </w:r>
    </w:p>
    <w:tbl>
      <w:tblPr>
        <w:tblW w:w="14329" w:type="dxa"/>
        <w:jc w:val="center"/>
        <w:tblInd w:w="93" w:type="dxa"/>
        <w:tblLook w:val="04A0" w:firstRow="1" w:lastRow="0" w:firstColumn="1" w:lastColumn="0" w:noHBand="0" w:noVBand="1"/>
      </w:tblPr>
      <w:tblGrid>
        <w:gridCol w:w="1461"/>
        <w:gridCol w:w="793"/>
        <w:gridCol w:w="815"/>
        <w:gridCol w:w="793"/>
        <w:gridCol w:w="815"/>
        <w:gridCol w:w="793"/>
        <w:gridCol w:w="815"/>
        <w:gridCol w:w="793"/>
        <w:gridCol w:w="815"/>
        <w:gridCol w:w="793"/>
        <w:gridCol w:w="815"/>
        <w:gridCol w:w="793"/>
        <w:gridCol w:w="815"/>
        <w:gridCol w:w="793"/>
        <w:gridCol w:w="815"/>
        <w:gridCol w:w="793"/>
        <w:gridCol w:w="819"/>
      </w:tblGrid>
      <w:tr w:rsidR="00622E76" w:rsidRPr="0035292C" w:rsidTr="00B044C7">
        <w:trPr>
          <w:trHeight w:val="306"/>
          <w:jc w:val="center"/>
        </w:trPr>
        <w:tc>
          <w:tcPr>
            <w:tcW w:w="1461"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rPr>
            </w:pPr>
            <w:r w:rsidRPr="0035292C">
              <w:rPr>
                <w:rFonts w:eastAsia="Times New Roman"/>
                <w:color w:val="000000"/>
              </w:rPr>
              <w:t> </w:t>
            </w:r>
          </w:p>
        </w:tc>
        <w:tc>
          <w:tcPr>
            <w:tcW w:w="12868"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622E76" w:rsidRPr="009A67F0" w:rsidRDefault="00622E76" w:rsidP="00B044C7">
            <w:pPr>
              <w:spacing w:after="0" w:line="240" w:lineRule="auto"/>
              <w:jc w:val="center"/>
              <w:rPr>
                <w:rFonts w:eastAsia="Times New Roman"/>
                <w:b/>
                <w:color w:val="000000"/>
                <w:sz w:val="20"/>
                <w:szCs w:val="20"/>
              </w:rPr>
            </w:pPr>
            <w:r w:rsidRPr="009A67F0">
              <w:rPr>
                <w:rFonts w:eastAsia="Times New Roman"/>
                <w:b/>
                <w:color w:val="000000"/>
                <w:sz w:val="20"/>
                <w:szCs w:val="20"/>
              </w:rPr>
              <w:t xml:space="preserve">Panel </w:t>
            </w:r>
            <w:r>
              <w:rPr>
                <w:rFonts w:eastAsia="Times New Roman"/>
                <w:b/>
                <w:color w:val="000000"/>
                <w:sz w:val="20"/>
                <w:szCs w:val="20"/>
              </w:rPr>
              <w:t>regional and time f</w:t>
            </w:r>
            <w:r w:rsidRPr="009A67F0">
              <w:rPr>
                <w:rFonts w:eastAsia="Times New Roman"/>
                <w:b/>
                <w:color w:val="000000"/>
                <w:sz w:val="20"/>
                <w:szCs w:val="20"/>
              </w:rPr>
              <w:t>ixed Effects</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1</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b/>
                <w:bCs/>
                <w:color w:val="000000"/>
                <w:sz w:val="20"/>
                <w:szCs w:val="20"/>
              </w:rPr>
            </w:pPr>
            <w:r w:rsidRPr="0035292C">
              <w:rPr>
                <w:rFonts w:eastAsia="Times New Roman"/>
                <w:b/>
                <w:bCs/>
                <w:color w:val="000000"/>
                <w:sz w:val="20"/>
                <w:szCs w:val="20"/>
              </w:rPr>
              <w:t>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b/>
                <w:bCs/>
                <w:color w:val="000000"/>
                <w:sz w:val="20"/>
                <w:szCs w:val="20"/>
              </w:rPr>
            </w:pPr>
            <w:r w:rsidRPr="0035292C">
              <w:rPr>
                <w:rFonts w:eastAsia="Times New Roman"/>
                <w:b/>
                <w:bCs/>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b/>
                <w:bCs/>
                <w:color w:val="000000"/>
                <w:sz w:val="20"/>
                <w:szCs w:val="20"/>
              </w:rPr>
            </w:pPr>
            <w:r w:rsidRPr="0035292C">
              <w:rPr>
                <w:rFonts w:eastAsia="Times New Roman"/>
                <w:b/>
                <w:bCs/>
                <w:color w:val="000000"/>
                <w:sz w:val="20"/>
                <w:szCs w:val="20"/>
              </w:rPr>
              <w:t>3</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b/>
                <w:bCs/>
                <w:color w:val="000000"/>
                <w:sz w:val="20"/>
                <w:szCs w:val="20"/>
              </w:rPr>
            </w:pPr>
            <w:r w:rsidRPr="0035292C">
              <w:rPr>
                <w:rFonts w:eastAsia="Times New Roman"/>
                <w:b/>
                <w:bCs/>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b/>
                <w:bCs/>
                <w:color w:val="000000"/>
                <w:sz w:val="20"/>
                <w:szCs w:val="20"/>
              </w:rPr>
            </w:pPr>
            <w:r w:rsidRPr="0035292C">
              <w:rPr>
                <w:rFonts w:eastAsia="Times New Roman"/>
                <w:b/>
                <w:bCs/>
                <w:color w:val="000000"/>
                <w:sz w:val="20"/>
                <w:szCs w:val="20"/>
              </w:rPr>
              <w:t>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b/>
                <w:bCs/>
                <w:color w:val="000000"/>
                <w:sz w:val="20"/>
                <w:szCs w:val="20"/>
              </w:rPr>
            </w:pPr>
            <w:r w:rsidRPr="0035292C">
              <w:rPr>
                <w:rFonts w:eastAsia="Times New Roman"/>
                <w:b/>
                <w:bCs/>
                <w:color w:val="000000"/>
                <w:sz w:val="20"/>
                <w:szCs w:val="20"/>
              </w:rPr>
              <w:t> </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5</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6</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7</w:t>
            </w:r>
          </w:p>
        </w:tc>
        <w:tc>
          <w:tcPr>
            <w:tcW w:w="1612"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8</w:t>
            </w:r>
          </w:p>
        </w:tc>
      </w:tr>
      <w:tr w:rsidR="00622E76" w:rsidRPr="0035292C" w:rsidTr="00B044C7">
        <w:trPr>
          <w:trHeight w:val="306"/>
          <w:jc w:val="center"/>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5"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c>
          <w:tcPr>
            <w:tcW w:w="793" w:type="dxa"/>
            <w:tcBorders>
              <w:top w:val="nil"/>
              <w:left w:val="nil"/>
              <w:bottom w:val="single" w:sz="4" w:space="0" w:color="auto"/>
              <w:right w:val="nil"/>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b</w:t>
            </w:r>
          </w:p>
        </w:tc>
        <w:tc>
          <w:tcPr>
            <w:tcW w:w="819" w:type="dxa"/>
            <w:tcBorders>
              <w:top w:val="nil"/>
              <w:left w:val="nil"/>
              <w:bottom w:val="single" w:sz="4" w:space="0" w:color="auto"/>
              <w:right w:val="single" w:sz="4" w:space="0" w:color="auto"/>
            </w:tcBorders>
            <w:shd w:val="clear" w:color="auto" w:fill="auto"/>
            <w:noWrap/>
            <w:vAlign w:val="bottom"/>
            <w:hideMark/>
          </w:tcPr>
          <w:p w:rsidR="00622E76" w:rsidRPr="0035292C" w:rsidRDefault="00622E76" w:rsidP="00B044C7">
            <w:pPr>
              <w:spacing w:after="0" w:line="240" w:lineRule="auto"/>
              <w:jc w:val="center"/>
              <w:rPr>
                <w:rFonts w:eastAsia="Times New Roman"/>
                <w:b/>
                <w:bCs/>
                <w:color w:val="000000"/>
                <w:sz w:val="20"/>
                <w:szCs w:val="20"/>
              </w:rPr>
            </w:pPr>
            <w:r w:rsidRPr="0035292C">
              <w:rPr>
                <w:rFonts w:eastAsia="Times New Roman"/>
                <w:b/>
                <w:bCs/>
                <w:color w:val="000000"/>
                <w:sz w:val="20"/>
                <w:szCs w:val="20"/>
              </w:rPr>
              <w:t>p-value</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Constant</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-0.937</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0.450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-0.522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0.626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-0.514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0.639</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-0.925</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0.462</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-0.558</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0.602</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-0.938</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0.459</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-0.974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0.437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-0.519</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0.637</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LnGDPpc</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-0.180</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-0.195</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-0.195</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-0.180</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-0.198</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-0.181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-0.181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-0.195</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0.000</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Gini</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0.040</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0.461</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0.023</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0.687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0.020</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0.782</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0.036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0.634</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HC Gini</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0.653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P5010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0.049</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P9075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0.947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0.935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0.675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 </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0.004</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0.793</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HCStock</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0.085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0.583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0.608</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0.108</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0.523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0.105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0.024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0.045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0.006</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0.598</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Investment</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0.080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0.115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0.116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0.078</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0.065</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0.124</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0.079</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0.096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0.066</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0.117</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Population</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0.241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0.227</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0.007</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0.226</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0.240</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0.233</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0.243</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0.242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0.227</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0.010</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Pr>
                <w:rFonts w:eastAsia="Times New Roman"/>
                <w:color w:val="000000"/>
                <w:sz w:val="20"/>
                <w:szCs w:val="20"/>
              </w:rPr>
              <w:t>Unemployment</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0.643</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0.666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0.666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0.644</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0.676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0.658</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0.726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0.001</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0.675</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Pr>
                <w:rFonts w:eastAsia="Times New Roman"/>
                <w:color w:val="000000"/>
                <w:sz w:val="20"/>
                <w:szCs w:val="20"/>
              </w:rPr>
              <w:t>Urbanisation</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0.238</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0.081</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0.231</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0.076</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0.239</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0.090</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0.232</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0.065</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0.244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0.082</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0.214</w:t>
            </w:r>
          </w:p>
        </w:tc>
        <w:tc>
          <w:tcPr>
            <w:tcW w:w="815"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0.142</w:t>
            </w:r>
          </w:p>
        </w:tc>
        <w:tc>
          <w:tcPr>
            <w:tcW w:w="793" w:type="dxa"/>
            <w:tcBorders>
              <w:top w:val="nil"/>
              <w:left w:val="nil"/>
              <w:bottom w:val="nil"/>
              <w:right w:val="nil"/>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0.234</w:t>
            </w:r>
          </w:p>
        </w:tc>
        <w:tc>
          <w:tcPr>
            <w:tcW w:w="819" w:type="dxa"/>
            <w:tcBorders>
              <w:top w:val="nil"/>
              <w:left w:val="nil"/>
              <w:bottom w:val="nil"/>
              <w:right w:val="single" w:sz="4" w:space="0" w:color="auto"/>
            </w:tcBorders>
            <w:shd w:val="clear" w:color="auto" w:fill="auto"/>
            <w:noWrap/>
            <w:vAlign w:val="bottom"/>
            <w:hideMark/>
          </w:tcPr>
          <w:p w:rsidR="00622E76" w:rsidRPr="0035292C" w:rsidRDefault="00622E76" w:rsidP="00B044C7">
            <w:pPr>
              <w:spacing w:after="0" w:line="240" w:lineRule="auto"/>
              <w:jc w:val="right"/>
              <w:rPr>
                <w:rFonts w:eastAsia="Times New Roman"/>
                <w:color w:val="000000"/>
                <w:sz w:val="20"/>
                <w:szCs w:val="20"/>
              </w:rPr>
            </w:pPr>
            <w:r w:rsidRPr="0035292C">
              <w:rPr>
                <w:rFonts w:eastAsia="Times New Roman"/>
                <w:color w:val="000000"/>
                <w:sz w:val="20"/>
                <w:szCs w:val="20"/>
              </w:rPr>
              <w:t>0.070</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Observations</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c>
          <w:tcPr>
            <w:tcW w:w="1612"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104</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R2 Adjusted</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0.59</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0.62</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0.61</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0.58</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0.62</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0.59</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0.59</w:t>
            </w:r>
          </w:p>
        </w:tc>
        <w:tc>
          <w:tcPr>
            <w:tcW w:w="1612"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0.62</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F-Test</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c>
          <w:tcPr>
            <w:tcW w:w="1612"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0.00</w:t>
            </w:r>
          </w:p>
        </w:tc>
      </w:tr>
      <w:tr w:rsidR="00622E76" w:rsidRPr="0035292C" w:rsidTr="00B044C7">
        <w:trPr>
          <w:trHeight w:val="306"/>
          <w:jc w:val="center"/>
        </w:trPr>
        <w:tc>
          <w:tcPr>
            <w:tcW w:w="1461" w:type="dxa"/>
            <w:tcBorders>
              <w:top w:val="nil"/>
              <w:left w:val="single" w:sz="4" w:space="0" w:color="auto"/>
              <w:bottom w:val="nil"/>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Schwartz</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-4.05</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-4.09</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-4.05</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-4.00</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-4.14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-4.04</w:t>
            </w:r>
          </w:p>
        </w:tc>
        <w:tc>
          <w:tcPr>
            <w:tcW w:w="1608"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-4.05</w:t>
            </w:r>
          </w:p>
        </w:tc>
        <w:tc>
          <w:tcPr>
            <w:tcW w:w="1612" w:type="dxa"/>
            <w:gridSpan w:val="2"/>
            <w:tcBorders>
              <w:top w:val="nil"/>
              <w:left w:val="nil"/>
              <w:bottom w:val="nil"/>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-4.09</w:t>
            </w:r>
          </w:p>
        </w:tc>
      </w:tr>
      <w:tr w:rsidR="00622E76" w:rsidRPr="0035292C" w:rsidTr="00B044C7">
        <w:trPr>
          <w:trHeight w:val="306"/>
          <w:jc w:val="center"/>
        </w:trPr>
        <w:tc>
          <w:tcPr>
            <w:tcW w:w="1461" w:type="dxa"/>
            <w:tcBorders>
              <w:top w:val="nil"/>
              <w:left w:val="single" w:sz="4" w:space="0" w:color="auto"/>
              <w:bottom w:val="single" w:sz="4" w:space="0" w:color="auto"/>
              <w:right w:val="double" w:sz="6" w:space="0" w:color="auto"/>
            </w:tcBorders>
            <w:shd w:val="clear" w:color="auto" w:fill="auto"/>
            <w:noWrap/>
            <w:vAlign w:val="bottom"/>
            <w:hideMark/>
          </w:tcPr>
          <w:p w:rsidR="00622E76" w:rsidRPr="0035292C" w:rsidRDefault="00622E76" w:rsidP="00B044C7">
            <w:pPr>
              <w:spacing w:after="0" w:line="240" w:lineRule="auto"/>
              <w:rPr>
                <w:rFonts w:eastAsia="Times New Roman"/>
                <w:color w:val="000000"/>
                <w:sz w:val="20"/>
                <w:szCs w:val="20"/>
              </w:rPr>
            </w:pPr>
            <w:r w:rsidRPr="0035292C">
              <w:rPr>
                <w:rFonts w:eastAsia="Times New Roman"/>
                <w:color w:val="000000"/>
                <w:sz w:val="20"/>
                <w:szCs w:val="20"/>
              </w:rPr>
              <w:t>Log-likelihood</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273.11</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277.79</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277.79</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273.12</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277.73</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273.02</w:t>
            </w:r>
          </w:p>
        </w:tc>
        <w:tc>
          <w:tcPr>
            <w:tcW w:w="1608"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273.09</w:t>
            </w:r>
          </w:p>
        </w:tc>
        <w:tc>
          <w:tcPr>
            <w:tcW w:w="1612" w:type="dxa"/>
            <w:gridSpan w:val="2"/>
            <w:tcBorders>
              <w:top w:val="nil"/>
              <w:left w:val="nil"/>
              <w:bottom w:val="single" w:sz="4" w:space="0" w:color="auto"/>
              <w:right w:val="single" w:sz="4" w:space="0" w:color="000000"/>
            </w:tcBorders>
            <w:shd w:val="clear" w:color="auto" w:fill="auto"/>
            <w:noWrap/>
            <w:vAlign w:val="bottom"/>
            <w:hideMark/>
          </w:tcPr>
          <w:p w:rsidR="00622E76" w:rsidRPr="0035292C" w:rsidRDefault="00622E76" w:rsidP="00B044C7">
            <w:pPr>
              <w:spacing w:after="0" w:line="240" w:lineRule="auto"/>
              <w:jc w:val="center"/>
              <w:rPr>
                <w:rFonts w:eastAsia="Times New Roman"/>
                <w:color w:val="000000"/>
                <w:sz w:val="20"/>
                <w:szCs w:val="20"/>
              </w:rPr>
            </w:pPr>
            <w:r w:rsidRPr="0035292C">
              <w:rPr>
                <w:rFonts w:eastAsia="Times New Roman"/>
                <w:color w:val="000000"/>
                <w:sz w:val="20"/>
                <w:szCs w:val="20"/>
              </w:rPr>
              <w:t>277.76</w:t>
            </w:r>
          </w:p>
        </w:tc>
      </w:tr>
    </w:tbl>
    <w:p w:rsidR="00622E76" w:rsidRDefault="00622E76" w:rsidP="00622E76">
      <w:pPr>
        <w:spacing w:line="360" w:lineRule="auto"/>
        <w:rPr>
          <w:sz w:val="18"/>
          <w:szCs w:val="18"/>
        </w:rPr>
      </w:pPr>
      <w:r w:rsidRPr="005C0811">
        <w:rPr>
          <w:sz w:val="18"/>
          <w:szCs w:val="18"/>
        </w:rPr>
        <w:t>Notes</w:t>
      </w:r>
      <w:r>
        <w:rPr>
          <w:sz w:val="18"/>
          <w:szCs w:val="18"/>
        </w:rPr>
        <w:t xml:space="preserve">: Standard errors are robust. </w:t>
      </w:r>
      <w:r w:rsidRPr="005C0811">
        <w:rPr>
          <w:sz w:val="18"/>
          <w:szCs w:val="18"/>
        </w:rPr>
        <w:t>Depe</w:t>
      </w:r>
      <w:r>
        <w:rPr>
          <w:sz w:val="18"/>
          <w:szCs w:val="18"/>
        </w:rPr>
        <w:t xml:space="preserve">ndent variable: average annual regional </w:t>
      </w:r>
      <w:r w:rsidRPr="005C0811">
        <w:rPr>
          <w:sz w:val="18"/>
          <w:szCs w:val="18"/>
        </w:rPr>
        <w:t>GDP growth from 199</w:t>
      </w:r>
      <w:r>
        <w:rPr>
          <w:sz w:val="18"/>
          <w:szCs w:val="18"/>
        </w:rPr>
        <w:t>2</w:t>
      </w:r>
      <w:r w:rsidRPr="005C0811">
        <w:rPr>
          <w:sz w:val="18"/>
          <w:szCs w:val="18"/>
        </w:rPr>
        <w:t>-1990, 199</w:t>
      </w:r>
      <w:r>
        <w:rPr>
          <w:sz w:val="18"/>
          <w:szCs w:val="18"/>
        </w:rPr>
        <w:t>4</w:t>
      </w:r>
      <w:r w:rsidRPr="005C0811">
        <w:rPr>
          <w:sz w:val="18"/>
          <w:szCs w:val="18"/>
        </w:rPr>
        <w:t>-199</w:t>
      </w:r>
      <w:r>
        <w:rPr>
          <w:sz w:val="18"/>
          <w:szCs w:val="18"/>
        </w:rPr>
        <w:t>2</w:t>
      </w:r>
      <w:r w:rsidRPr="005C0811">
        <w:rPr>
          <w:sz w:val="18"/>
          <w:szCs w:val="18"/>
        </w:rPr>
        <w:t xml:space="preserve">, </w:t>
      </w:r>
      <w:r>
        <w:rPr>
          <w:sz w:val="18"/>
          <w:szCs w:val="18"/>
        </w:rPr>
        <w:t>1996-1994, 1998-1996, 2000-1998, 2003-2000, 2006-2003 and 2009-2006</w:t>
      </w:r>
      <w:r w:rsidRPr="005C0811">
        <w:rPr>
          <w:sz w:val="18"/>
          <w:szCs w:val="18"/>
        </w:rPr>
        <w:t>.</w:t>
      </w:r>
      <w:r>
        <w:rPr>
          <w:sz w:val="18"/>
          <w:szCs w:val="18"/>
        </w:rPr>
        <w:t xml:space="preserve"> Independent variables are all measured in 1990. Both cross-sectional and time fixed effects are included</w:t>
      </w:r>
    </w:p>
    <w:p w:rsidR="00622E76" w:rsidRDefault="00622E76" w:rsidP="00622E76">
      <w:pPr>
        <w:spacing w:line="360" w:lineRule="auto"/>
        <w:rPr>
          <w:sz w:val="18"/>
          <w:szCs w:val="18"/>
        </w:rPr>
      </w:pPr>
    </w:p>
    <w:p w:rsidR="00622E76" w:rsidRDefault="00622E76" w:rsidP="00622E76">
      <w:pPr>
        <w:spacing w:line="360" w:lineRule="auto"/>
        <w:sectPr w:rsidR="00622E76" w:rsidSect="0039182D">
          <w:pgSz w:w="16840" w:h="11907" w:orient="landscape" w:code="9"/>
          <w:pgMar w:top="1417" w:right="1417" w:bottom="1417" w:left="1417" w:header="708" w:footer="708" w:gutter="0"/>
          <w:cols w:space="708"/>
          <w:docGrid w:linePitch="360"/>
        </w:sectPr>
      </w:pPr>
    </w:p>
    <w:p w:rsidR="00407202" w:rsidRDefault="00622E76" w:rsidP="00407202">
      <w:pPr>
        <w:spacing w:line="360" w:lineRule="auto"/>
        <w:jc w:val="both"/>
      </w:pPr>
      <w:proofErr w:type="gramStart"/>
      <w:r>
        <w:lastRenderedPageBreak/>
        <w:t>the</w:t>
      </w:r>
      <w:proofErr w:type="gramEnd"/>
      <w:r>
        <w:t xml:space="preserve"> 6-year period. As suggested by Voitchovsky (2005) and also shown in chapter 3.2 for the Aysen region, this could be due to the fact that a sin</w:t>
      </w:r>
      <w:r w:rsidR="00407202">
        <w:t>gly inequality index, like the G</w:t>
      </w:r>
      <w:r>
        <w:t xml:space="preserve">ini-coefficient, captures the </w:t>
      </w:r>
      <w:r w:rsidR="00F81387">
        <w:t>average of the effect</w:t>
      </w:r>
      <w:r w:rsidR="00407202">
        <w:t>s</w:t>
      </w:r>
      <w:r w:rsidR="00F81387">
        <w:t xml:space="preserve"> of different parts of the income distribution.</w:t>
      </w:r>
      <w:r w:rsidR="006F5136">
        <w:t xml:space="preserve"> The human capital Gini-coefficient does not seem to have any stable impact on regional growth in the periods considered, contrary to Castello-Climent and Domenech (2002, 2008). </w:t>
      </w:r>
      <w:r w:rsidR="00F81387">
        <w:t xml:space="preserve"> </w:t>
      </w:r>
      <w:r w:rsidR="005826E3">
        <w:t xml:space="preserve">Bottom-end inequality seems to be the </w:t>
      </w:r>
      <w:r w:rsidR="00407202">
        <w:t>most reliable determinant of all considered</w:t>
      </w:r>
      <w:r w:rsidR="005826E3">
        <w:t xml:space="preserve"> inequality measures, </w:t>
      </w:r>
      <w:r w:rsidR="00D276E7">
        <w:t>with the model only including p5010 as inequality variable performing best in the short and long run. Bottom-end inequality shows</w:t>
      </w:r>
      <w:r w:rsidR="005826E3">
        <w:t xml:space="preserve"> a positive influence in the short and medium run and a negative in the longest growth period considered, which is opposite to the results found by Voitchovsky (2005). Further evaluation of the time periods considered reveal that </w:t>
      </w:r>
      <w:r w:rsidR="00F81387">
        <w:t>most inequality measures point to different effects between short term (2 and 4 years) and long term growth (6 and 19 years). In the short run inequality measures have an overall positive effect on regional growth, while in the long term</w:t>
      </w:r>
      <w:r w:rsidR="0093195B">
        <w:t xml:space="preserve"> these switch to negative effects, although this distinction is very sensitive to the different model specifications considered</w:t>
      </w:r>
      <w:r w:rsidR="005826E3">
        <w:t>, especially in long run</w:t>
      </w:r>
      <w:r w:rsidR="0093195B">
        <w:t>. S</w:t>
      </w:r>
      <w:r w:rsidR="004D66E5">
        <w:t xml:space="preserve">ince these results are not stable, no claims can be made regarding short and long term effects (also because of the limited amount </w:t>
      </w:r>
      <w:r w:rsidR="00407202">
        <w:t>of observations in the long run). I</w:t>
      </w:r>
      <w:r w:rsidR="004D66E5">
        <w:t>f any, they seem to be in accordance with e.g. Forbes (2000), who also found similar effects for the short run. Finally, there are clear signs of</w:t>
      </w:r>
      <w:r w:rsidR="00407202">
        <w:t xml:space="preserve"> convergence between Chilean regions in all time spans considered, and next to initial GDP levels, investment is found to be the most important determinant of regional growth. </w:t>
      </w:r>
    </w:p>
    <w:p w:rsidR="00407202" w:rsidRPr="00D276E7" w:rsidRDefault="00407202" w:rsidP="00407202">
      <w:pPr>
        <w:spacing w:line="360" w:lineRule="auto"/>
        <w:jc w:val="both"/>
        <w:rPr>
          <w:b/>
        </w:rPr>
      </w:pPr>
    </w:p>
    <w:p w:rsidR="00407202" w:rsidRPr="006F5136" w:rsidRDefault="00407202" w:rsidP="00407202">
      <w:pPr>
        <w:pStyle w:val="ListParagraph"/>
        <w:numPr>
          <w:ilvl w:val="0"/>
          <w:numId w:val="34"/>
        </w:numPr>
        <w:spacing w:line="360" w:lineRule="auto"/>
        <w:jc w:val="both"/>
        <w:rPr>
          <w:b/>
          <w:lang w:val="nl-NL"/>
        </w:rPr>
      </w:pPr>
      <w:r w:rsidRPr="006F5136">
        <w:rPr>
          <w:b/>
          <w:lang w:val="nl-NL"/>
        </w:rPr>
        <w:t>Conclusion</w:t>
      </w:r>
    </w:p>
    <w:p w:rsidR="00CD5054" w:rsidRDefault="00407202" w:rsidP="00984262">
      <w:pPr>
        <w:spacing w:line="360" w:lineRule="auto"/>
        <w:jc w:val="both"/>
      </w:pPr>
      <w:r w:rsidRPr="00AC3934">
        <w:t xml:space="preserve">This research has focused on the </w:t>
      </w:r>
      <w:r>
        <w:t xml:space="preserve">possible </w:t>
      </w:r>
      <w:r w:rsidRPr="00AC3934">
        <w:t xml:space="preserve">relationship between </w:t>
      </w:r>
      <w:r>
        <w:t xml:space="preserve">the </w:t>
      </w:r>
      <w:proofErr w:type="gramStart"/>
      <w:r w:rsidR="00CE6BCB">
        <w:t>growth</w:t>
      </w:r>
      <w:proofErr w:type="gramEnd"/>
      <w:r>
        <w:t xml:space="preserve"> of </w:t>
      </w:r>
      <w:r w:rsidRPr="00A51350">
        <w:t xml:space="preserve">Chilean regions </w:t>
      </w:r>
      <w:r>
        <w:t xml:space="preserve">in the period 1990-2009 the regional income distribution. The theories </w:t>
      </w:r>
      <w:r w:rsidR="00CE6BCB">
        <w:t xml:space="preserve">and empirical results </w:t>
      </w:r>
      <w:r>
        <w:t xml:space="preserve">discussed regarding this relationship show that economists have not yet agreed on whether this relationship is relevant for either growth or inequality </w:t>
      </w:r>
      <w:r w:rsidR="00CE6BCB">
        <w:t>and which</w:t>
      </w:r>
      <w:r>
        <w:t xml:space="preserve"> econometric techniques </w:t>
      </w:r>
      <w:r w:rsidR="00CE6BCB">
        <w:t>should be employed</w:t>
      </w:r>
      <w:r>
        <w:t>. Chilean regions</w:t>
      </w:r>
      <w:r w:rsidR="00CE6BCB">
        <w:t xml:space="preserve"> </w:t>
      </w:r>
      <w:r w:rsidRPr="00A51350">
        <w:t>have exhibited very different growth patterns during t</w:t>
      </w:r>
      <w:r>
        <w:t xml:space="preserve">he last decades and they also show great variation in inequality levels over time and across regions. There seems to have been a catching-up process of poorer regions in Chile in the period studied as there are clear signs </w:t>
      </w:r>
      <w:r w:rsidR="00CE6BCB">
        <w:t xml:space="preserve">of regional GDP convergence. Also, </w:t>
      </w:r>
      <w:r>
        <w:t xml:space="preserve">average income levels have almost doubled in the past 20 year resulting in significant poverty reduction. </w:t>
      </w:r>
      <w:r w:rsidR="00CE6BCB">
        <w:t>M</w:t>
      </w:r>
      <w:r>
        <w:t>ost regions exhibit lower Gini-coefficient levels in 2009 than in 1990, but focusing on a single</w:t>
      </w:r>
      <w:r w:rsidR="00CE6BCB">
        <w:t xml:space="preserve"> inequality</w:t>
      </w:r>
      <w:r>
        <w:t xml:space="preserve"> index could</w:t>
      </w:r>
      <w:r w:rsidR="00CE6BCB">
        <w:t xml:space="preserve"> be misleading. Therefore, also </w:t>
      </w:r>
      <w:r>
        <w:t>measures of top and bottom inequality have been analyzed. Since the inequality-growth debate started with Kuznets’s claim that inequality follow</w:t>
      </w:r>
      <w:r w:rsidR="00CE6BCB">
        <w:t>s</w:t>
      </w:r>
      <w:r>
        <w:t xml:space="preserve"> an inverted-U </w:t>
      </w:r>
      <w:r w:rsidR="00AB0F4F">
        <w:t>pattern and empirical results have not yet been conclusive on whether this pattern can be detected in the data, my first hypothesis as stated below was aimed at detecting if this relationship could be detected in the data at hand for Chile on a regional level.</w:t>
      </w:r>
    </w:p>
    <w:p w:rsidR="00CD5054" w:rsidRPr="00CD5054" w:rsidRDefault="00CD5054" w:rsidP="00CD5054">
      <w:pPr>
        <w:spacing w:line="360" w:lineRule="auto"/>
        <w:jc w:val="both"/>
        <w:rPr>
          <w:i/>
        </w:rPr>
      </w:pPr>
      <w:r>
        <w:rPr>
          <w:i/>
        </w:rPr>
        <w:lastRenderedPageBreak/>
        <w:t>H1.</w:t>
      </w:r>
      <w:r>
        <w:rPr>
          <w:i/>
        </w:rPr>
        <w:tab/>
      </w:r>
      <w:r w:rsidRPr="00CD5054">
        <w:rPr>
          <w:i/>
        </w:rPr>
        <w:t>Regional economic development and regional income inequality within Chile during 1990-</w:t>
      </w:r>
      <w:r>
        <w:rPr>
          <w:i/>
        </w:rPr>
        <w:tab/>
      </w:r>
      <w:r w:rsidRPr="00CD5054">
        <w:rPr>
          <w:i/>
        </w:rPr>
        <w:t>2009 can be characterized as part of an inverted-U-shaped pattern.</w:t>
      </w:r>
    </w:p>
    <w:p w:rsidR="00984262" w:rsidRDefault="00AB0F4F" w:rsidP="00984262">
      <w:pPr>
        <w:spacing w:line="360" w:lineRule="auto"/>
        <w:jc w:val="both"/>
      </w:pPr>
      <w:r>
        <w:t>This first hypothesis cannot be accepted as m</w:t>
      </w:r>
      <w:r w:rsidR="00A51350">
        <w:t>y estimations of a possible Kuznets curve do not point to the existence of such a curve during the last two decades. If anything, they point to the existence of a U-</w:t>
      </w:r>
      <w:r w:rsidR="00CE6BCB">
        <w:t>shaped pattern</w:t>
      </w:r>
      <w:r w:rsidR="00984262">
        <w:t xml:space="preserve"> with inequality</w:t>
      </w:r>
      <w:r>
        <w:t xml:space="preserve"> rising again in the </w:t>
      </w:r>
      <w:r w:rsidR="00CE6BCB">
        <w:t>final</w:t>
      </w:r>
      <w:r>
        <w:t xml:space="preserve"> years</w:t>
      </w:r>
      <w:r w:rsidR="00CE6BCB">
        <w:t xml:space="preserve"> of my sample</w:t>
      </w:r>
      <w:r>
        <w:t xml:space="preserve">, </w:t>
      </w:r>
      <w:r w:rsidR="00CE6BCB">
        <w:t>something</w:t>
      </w:r>
      <w:r>
        <w:t xml:space="preserve"> also detected in for example the Unite</w:t>
      </w:r>
      <w:r w:rsidR="00DA4CB3">
        <w:t xml:space="preserve">d States and the United Kingdom during the last decades. </w:t>
      </w:r>
      <w:r w:rsidR="00984262">
        <w:t xml:space="preserve">Numerous factors could </w:t>
      </w:r>
      <w:r>
        <w:t xml:space="preserve">be the </w:t>
      </w:r>
      <w:r w:rsidR="00984262">
        <w:t xml:space="preserve">cause </w:t>
      </w:r>
      <w:r>
        <w:t xml:space="preserve">of </w:t>
      </w:r>
      <w:r w:rsidR="00984262">
        <w:t>this lack of pattern between inequality and development. One reason could be the fact that Kuznets described a process of migration from the countryside to urban regions, while this process seems nearly ‘completed’ in the period considered in Chile, with urbanization rates of over 80%. Another reason could be that my data do not contain enough cross-sectional observations as well as long enough time series t</w:t>
      </w:r>
      <w:r w:rsidR="00CE6BCB">
        <w:t>o detect this pattern. P</w:t>
      </w:r>
      <w:r>
        <w:t>ossibly</w:t>
      </w:r>
      <w:r w:rsidR="00CE6BCB">
        <w:t>, the process described by Kuznets took place earlier</w:t>
      </w:r>
      <w:r w:rsidR="00DA4CB3">
        <w:t xml:space="preserve"> in the last century, but this cannot be </w:t>
      </w:r>
      <w:r w:rsidR="00CE6BCB">
        <w:t>shown</w:t>
      </w:r>
      <w:r w:rsidR="00DA4CB3">
        <w:t xml:space="preserve"> with the regional data available.</w:t>
      </w:r>
      <w:r>
        <w:t xml:space="preserve"> </w:t>
      </w:r>
    </w:p>
    <w:p w:rsidR="00CD5054" w:rsidRDefault="00984262" w:rsidP="00984262">
      <w:pPr>
        <w:spacing w:line="360" w:lineRule="auto"/>
        <w:jc w:val="both"/>
      </w:pPr>
      <w:r>
        <w:t xml:space="preserve">This lack of observations also seems to trouble my growth estimates and therefore one has to be cautious in </w:t>
      </w:r>
      <w:r w:rsidR="005A601E">
        <w:t>drawing conclusion</w:t>
      </w:r>
      <w:r w:rsidR="00DA4CB3">
        <w:t>s</w:t>
      </w:r>
      <w:r w:rsidR="005A601E">
        <w:t xml:space="preserve"> on possible causal connections from these results. </w:t>
      </w:r>
      <w:r w:rsidR="00CD5054">
        <w:t>My second hypoth</w:t>
      </w:r>
      <w:r w:rsidR="00DA4CB3">
        <w:t>esis, regarding the effect of inequality in the income distribution on economic growth, also has to be rejected</w:t>
      </w:r>
      <w:r w:rsidR="00CD5054">
        <w:t xml:space="preserve">. </w:t>
      </w:r>
    </w:p>
    <w:p w:rsidR="00CD5054" w:rsidRPr="00CD5054" w:rsidRDefault="00CD5054" w:rsidP="00CD5054">
      <w:pPr>
        <w:spacing w:line="360" w:lineRule="auto"/>
        <w:jc w:val="both"/>
        <w:rPr>
          <w:i/>
        </w:rPr>
      </w:pPr>
      <w:r>
        <w:rPr>
          <w:i/>
        </w:rPr>
        <w:t xml:space="preserve">H2. </w:t>
      </w:r>
      <w:r>
        <w:rPr>
          <w:i/>
        </w:rPr>
        <w:tab/>
      </w:r>
      <w:r w:rsidRPr="00CD5054">
        <w:rPr>
          <w:i/>
        </w:rPr>
        <w:t xml:space="preserve">Regional income inequality in Chile has had a negative effect on regional </w:t>
      </w:r>
      <w:r w:rsidRPr="00CD5054">
        <w:rPr>
          <w:i/>
        </w:rPr>
        <w:tab/>
      </w:r>
      <w:r w:rsidRPr="00CD5054">
        <w:rPr>
          <w:i/>
        </w:rPr>
        <w:tab/>
        <w:t>economic growth during 1990-2009.</w:t>
      </w:r>
    </w:p>
    <w:p w:rsidR="00AF6671" w:rsidRDefault="00DA4CB3" w:rsidP="00984262">
      <w:pPr>
        <w:spacing w:line="360" w:lineRule="auto"/>
        <w:jc w:val="both"/>
      </w:pPr>
      <w:r>
        <w:t>Changing signs or estimat</w:t>
      </w:r>
      <w:r w:rsidR="00CE6BCB">
        <w:t>ion</w:t>
      </w:r>
      <w:r>
        <w:t>s that are sensiti</w:t>
      </w:r>
      <w:r w:rsidR="00CE6BCB">
        <w:t xml:space="preserve">ve to the functional form used </w:t>
      </w:r>
      <w:r>
        <w:t xml:space="preserve">do not result in a clear negative sign of the relationship as hypothesized. </w:t>
      </w:r>
      <w:r w:rsidR="005A601E">
        <w:t xml:space="preserve">The traditional growth variables </w:t>
      </w:r>
      <w:r>
        <w:t>included</w:t>
      </w:r>
      <w:r w:rsidR="00CE6BCB">
        <w:t>,</w:t>
      </w:r>
      <w:r>
        <w:t xml:space="preserve"> suc</w:t>
      </w:r>
      <w:r w:rsidR="00785547">
        <w:t>h as investment levels and lagged</w:t>
      </w:r>
      <w:r>
        <w:t xml:space="preserve"> regional GDP </w:t>
      </w:r>
      <w:proofErr w:type="gramStart"/>
      <w:r>
        <w:t>levels</w:t>
      </w:r>
      <w:r w:rsidR="00CE6BCB">
        <w:t>,</w:t>
      </w:r>
      <w:proofErr w:type="gramEnd"/>
      <w:r>
        <w:t xml:space="preserve"> do </w:t>
      </w:r>
      <w:r w:rsidR="00785547">
        <w:t>show the expected signs as common in the literature, both i</w:t>
      </w:r>
      <w:r w:rsidR="00CE6BCB">
        <w:t>n the short and long term. T</w:t>
      </w:r>
      <w:r w:rsidR="00785547">
        <w:t xml:space="preserve">here seem to be different effects for the long and short term when comparing the effects of the inequality measures on regional growth, with positive effects of inequality in the short term and negative in the long term, although these results are not very stable. As suggested by Voitchovsky (2005), focusing on different inequality indicators for parts of the income distribution seems to provide more stable results, but I find the opposite results for the effect of bottom and top-end inequality levels. </w:t>
      </w:r>
      <w:r w:rsidR="00CE6BCB">
        <w:t>Of all the inequality measures considered, the b</w:t>
      </w:r>
      <w:r w:rsidR="00785547">
        <w:t xml:space="preserve">ottom-end inequality </w:t>
      </w:r>
      <w:r w:rsidR="00CE6BCB">
        <w:t xml:space="preserve">measure </w:t>
      </w:r>
      <w:r w:rsidR="00785547">
        <w:t>seems to be the most relevant in determining regional growth in Chile for this period. Overall, m</w:t>
      </w:r>
      <w:r w:rsidR="005A601E">
        <w:t xml:space="preserve">y results provide no </w:t>
      </w:r>
      <w:r w:rsidR="00785547">
        <w:t xml:space="preserve">clear </w:t>
      </w:r>
      <w:r w:rsidR="005A601E">
        <w:t>indication that inequality is systematically related to growth or economic d</w:t>
      </w:r>
      <w:r w:rsidR="00785547">
        <w:t>evelopment as hypothesized.</w:t>
      </w:r>
      <w:r w:rsidR="005A601E">
        <w:t xml:space="preserve"> </w:t>
      </w:r>
    </w:p>
    <w:p w:rsidR="00CD5054" w:rsidRDefault="00CD5054" w:rsidP="00984262">
      <w:pPr>
        <w:spacing w:line="360" w:lineRule="auto"/>
        <w:jc w:val="both"/>
      </w:pPr>
      <w:r>
        <w:t xml:space="preserve">As for my third hypothesis, changing </w:t>
      </w:r>
      <w:r w:rsidR="00481473">
        <w:t xml:space="preserve">the </w:t>
      </w:r>
      <w:r w:rsidR="00534071">
        <w:t>ine</w:t>
      </w:r>
      <w:r w:rsidR="00481473">
        <w:t xml:space="preserve">quality variable to reflect </w:t>
      </w:r>
      <w:r w:rsidR="00534071">
        <w:t>educational ineq</w:t>
      </w:r>
      <w:r w:rsidR="00481473">
        <w:t xml:space="preserve">uality does not yield </w:t>
      </w:r>
      <w:r w:rsidR="00CE6BCB">
        <w:t xml:space="preserve">significant </w:t>
      </w:r>
      <w:r w:rsidR="00534071">
        <w:t>results. Therefore, my hypothesis as listed below cannot be confirmed</w:t>
      </w:r>
      <w:r w:rsidR="00CE6BCB">
        <w:t>.</w:t>
      </w:r>
    </w:p>
    <w:p w:rsidR="00534071" w:rsidRDefault="00534071" w:rsidP="00984262">
      <w:pPr>
        <w:spacing w:line="360" w:lineRule="auto"/>
        <w:jc w:val="both"/>
      </w:pPr>
      <w:r>
        <w:rPr>
          <w:i/>
        </w:rPr>
        <w:t xml:space="preserve">H3. </w:t>
      </w:r>
      <w:r>
        <w:rPr>
          <w:i/>
        </w:rPr>
        <w:tab/>
      </w:r>
      <w:r w:rsidRPr="00220A38">
        <w:rPr>
          <w:i/>
        </w:rPr>
        <w:t>Regional educational in</w:t>
      </w:r>
      <w:r>
        <w:rPr>
          <w:i/>
        </w:rPr>
        <w:t>equality in Chile has had</w:t>
      </w:r>
      <w:r w:rsidR="00CE6BCB">
        <w:rPr>
          <w:i/>
        </w:rPr>
        <w:t xml:space="preserve"> a negative effect on </w:t>
      </w:r>
      <w:r w:rsidR="00CE6BCB">
        <w:rPr>
          <w:i/>
        </w:rPr>
        <w:tab/>
        <w:t xml:space="preserve">regional </w:t>
      </w:r>
      <w:r w:rsidRPr="00220A38">
        <w:rPr>
          <w:i/>
        </w:rPr>
        <w:t xml:space="preserve">economic </w:t>
      </w:r>
      <w:r>
        <w:rPr>
          <w:i/>
        </w:rPr>
        <w:tab/>
      </w:r>
      <w:r w:rsidRPr="00220A38">
        <w:rPr>
          <w:i/>
        </w:rPr>
        <w:t>growth during 1990-20</w:t>
      </w:r>
      <w:r>
        <w:rPr>
          <w:i/>
        </w:rPr>
        <w:t>09</w:t>
      </w:r>
      <w:r w:rsidRPr="00220A38">
        <w:rPr>
          <w:i/>
        </w:rPr>
        <w:t>.</w:t>
      </w:r>
    </w:p>
    <w:p w:rsidR="00481473" w:rsidRDefault="00481473" w:rsidP="00DC439D">
      <w:pPr>
        <w:spacing w:line="360" w:lineRule="auto"/>
        <w:jc w:val="both"/>
      </w:pPr>
      <w:r>
        <w:lastRenderedPageBreak/>
        <w:t>The finding of Castello-Climent and Domenech (2002, 2008)</w:t>
      </w:r>
      <w:r w:rsidR="00C306DB">
        <w:t>,</w:t>
      </w:r>
      <w:r>
        <w:t xml:space="preserve"> that an inequality measure based on the distribution of education in a society is a more relevant determinant of econom</w:t>
      </w:r>
      <w:r w:rsidR="00CE6BCB">
        <w:t>ic growth than income inequality</w:t>
      </w:r>
      <w:r w:rsidR="00C306DB">
        <w:t xml:space="preserve">, </w:t>
      </w:r>
      <w:r>
        <w:t xml:space="preserve">does not hold for Chilean regions in the period studied. The four different </w:t>
      </w:r>
      <w:r w:rsidR="00C306DB">
        <w:t>growth spell lengths</w:t>
      </w:r>
      <w:r>
        <w:t xml:space="preserve"> considered yield no confirmation of any significant and stable impact </w:t>
      </w:r>
      <w:r w:rsidR="00C306DB">
        <w:t xml:space="preserve">of </w:t>
      </w:r>
      <w:r>
        <w:t xml:space="preserve">the equality of education levels on regional growth.  </w:t>
      </w:r>
    </w:p>
    <w:p w:rsidR="00BD5216" w:rsidRDefault="00B818C3" w:rsidP="00DC439D">
      <w:pPr>
        <w:spacing w:line="360" w:lineRule="auto"/>
        <w:jc w:val="both"/>
      </w:pPr>
      <w:r>
        <w:t xml:space="preserve">Future research on the subject could be directed in many ways. </w:t>
      </w:r>
      <w:r w:rsidR="00481473">
        <w:t xml:space="preserve">Since my research focused on the subnational level, </w:t>
      </w:r>
      <w:r>
        <w:t xml:space="preserve">it can be argued that defining which subnational level should be studied is an arbitrary choice. </w:t>
      </w:r>
      <w:r w:rsidR="00C306DB">
        <w:t xml:space="preserve">Analyzing </w:t>
      </w:r>
      <w:r>
        <w:t>a lower aggregate level such as counties as for example in Rooth and Stenberg (2012), or focusing solely on urban and rural differences in growth patterns such as Fallah and Partridge (2007)</w:t>
      </w:r>
      <w:r w:rsidR="00C306DB">
        <w:t>, could</w:t>
      </w:r>
      <w:r>
        <w:t xml:space="preserve"> show different and more robust effects of inequality on growth. </w:t>
      </w:r>
      <w:r w:rsidR="00C306DB">
        <w:t>Furthermore, t</w:t>
      </w:r>
      <w:r w:rsidR="00BD5216">
        <w:t xml:space="preserve">he effects of inequality in different parts of the income distribution </w:t>
      </w:r>
      <w:r w:rsidR="00C306DB">
        <w:t>on economic growth could also be used in future research in the field, to see if the findings of Voitchovsky (2005) could be reproduced using other datasets.</w:t>
      </w:r>
    </w:p>
    <w:p w:rsidR="00C306DB" w:rsidRDefault="00BD5216" w:rsidP="00DC439D">
      <w:pPr>
        <w:spacing w:line="360" w:lineRule="auto"/>
        <w:jc w:val="both"/>
      </w:pPr>
      <w:r>
        <w:t>Also, t</w:t>
      </w:r>
      <w:r w:rsidR="005A601E">
        <w:t>he surrounding theories regardi</w:t>
      </w:r>
      <w:r w:rsidR="00481473">
        <w:t>ng for example credit market imperfections and political instability</w:t>
      </w:r>
      <w:r w:rsidR="005A601E">
        <w:t xml:space="preserve"> remain interesting to </w:t>
      </w:r>
      <w:r w:rsidR="00481473">
        <w:t xml:space="preserve">be </w:t>
      </w:r>
      <w:r w:rsidR="005A601E">
        <w:t>explore</w:t>
      </w:r>
      <w:r w:rsidR="00481473">
        <w:t>d in more detail</w:t>
      </w:r>
      <w:r w:rsidR="005A601E">
        <w:t>. The specification used in my setup as in most setups in the</w:t>
      </w:r>
      <w:r w:rsidR="00C306DB">
        <w:t>empirical</w:t>
      </w:r>
      <w:r w:rsidR="005A601E">
        <w:t xml:space="preserve"> literature is not very informative regarding the different channels through which i</w:t>
      </w:r>
      <w:r w:rsidR="00481473">
        <w:t xml:space="preserve">nequality might affect income. </w:t>
      </w:r>
      <w:r w:rsidR="00B818C3">
        <w:t>Possibly taking the</w:t>
      </w:r>
      <w:r w:rsidR="005A601E">
        <w:t xml:space="preserve"> different channels into </w:t>
      </w:r>
      <w:r w:rsidR="00B818C3">
        <w:t xml:space="preserve">more detailed </w:t>
      </w:r>
      <w:r w:rsidR="005A601E">
        <w:t>consideration instead of estimating an overall relationship</w:t>
      </w:r>
      <w:r w:rsidR="00B818C3">
        <w:t xml:space="preserve"> could shed new lights as to how different channels function and under what circumstances these theories depict economic reality</w:t>
      </w:r>
      <w:r w:rsidR="005A601E">
        <w:t xml:space="preserve">. </w:t>
      </w:r>
    </w:p>
    <w:p w:rsidR="00A51350" w:rsidRPr="00A51350" w:rsidRDefault="00B818C3" w:rsidP="00DC439D">
      <w:pPr>
        <w:spacing w:line="360" w:lineRule="auto"/>
        <w:jc w:val="both"/>
      </w:pPr>
      <w:r>
        <w:t xml:space="preserve">Comparing </w:t>
      </w:r>
      <w:r w:rsidR="00C306DB">
        <w:t xml:space="preserve">subnational </w:t>
      </w:r>
      <w:r>
        <w:t xml:space="preserve">regions across nations could also be an interesting avenue for future research, although data comparability issues then do play a role when drawing conclusions regarding possible relationships. Initiatives such as the Luxembourg Income Studies, which tries to </w:t>
      </w:r>
      <w:r w:rsidR="00BD5216">
        <w:t xml:space="preserve">compile comparable inequality variables from different </w:t>
      </w:r>
      <w:r w:rsidR="00C306DB">
        <w:t>sources,</w:t>
      </w:r>
      <w:r w:rsidR="00BD5216">
        <w:t xml:space="preserve"> could have a similar impact on the study of the relationship between inequality and growth as the Deininger and Squire </w:t>
      </w:r>
      <w:proofErr w:type="gramStart"/>
      <w:r w:rsidR="00BD5216">
        <w:t>dataset</w:t>
      </w:r>
      <w:proofErr w:type="gramEnd"/>
      <w:r w:rsidR="00BD5216">
        <w:t xml:space="preserve"> had in 1996. Other interesting research questions su</w:t>
      </w:r>
      <w:r w:rsidR="00C306DB">
        <w:t>rrounding inequality and growth</w:t>
      </w:r>
      <w:r w:rsidR="00BD5216">
        <w:t xml:space="preserve">, such as what the effect of redistributional policies is on growth and inequality and if there are differences between poor and rich countries </w:t>
      </w:r>
      <w:r w:rsidR="00C306DB">
        <w:t xml:space="preserve">or </w:t>
      </w:r>
      <w:r w:rsidR="00BD5216">
        <w:t xml:space="preserve">regions, </w:t>
      </w:r>
      <w:r w:rsidR="00C306DB">
        <w:t xml:space="preserve">also </w:t>
      </w:r>
      <w:r w:rsidR="00BD5216">
        <w:t xml:space="preserve">remain to be explored.   </w:t>
      </w:r>
      <w:r w:rsidR="00AF6671">
        <w:t xml:space="preserve">  </w:t>
      </w:r>
    </w:p>
    <w:p w:rsidR="005A601E" w:rsidRPr="00220A38" w:rsidRDefault="005A601E" w:rsidP="005A601E">
      <w:pPr>
        <w:jc w:val="both"/>
      </w:pPr>
    </w:p>
    <w:p w:rsidR="00B112E1" w:rsidRPr="00F009DC" w:rsidRDefault="00B112E1" w:rsidP="00B11094">
      <w:pPr>
        <w:spacing w:line="360" w:lineRule="auto"/>
        <w:jc w:val="both"/>
        <w:rPr>
          <w:b/>
        </w:rPr>
      </w:pPr>
    </w:p>
    <w:p w:rsidR="00490FD4" w:rsidRPr="00F009DC" w:rsidRDefault="00490FD4" w:rsidP="00B11094">
      <w:pPr>
        <w:spacing w:line="360" w:lineRule="auto"/>
        <w:jc w:val="both"/>
        <w:rPr>
          <w:b/>
        </w:rPr>
      </w:pPr>
    </w:p>
    <w:p w:rsidR="00490FD4" w:rsidRPr="00F009DC" w:rsidRDefault="00490FD4" w:rsidP="00B11094">
      <w:pPr>
        <w:spacing w:line="360" w:lineRule="auto"/>
        <w:jc w:val="both"/>
        <w:rPr>
          <w:b/>
        </w:rPr>
      </w:pPr>
    </w:p>
    <w:p w:rsidR="00490FD4" w:rsidRPr="00F009DC" w:rsidRDefault="00490FD4" w:rsidP="00B11094">
      <w:pPr>
        <w:spacing w:line="360" w:lineRule="auto"/>
        <w:jc w:val="both"/>
        <w:rPr>
          <w:b/>
        </w:rPr>
      </w:pPr>
    </w:p>
    <w:p w:rsidR="005F6B5C" w:rsidRPr="00F009DC" w:rsidRDefault="005F6B5C" w:rsidP="00142112">
      <w:pPr>
        <w:jc w:val="both"/>
        <w:rPr>
          <w:b/>
        </w:rPr>
      </w:pPr>
      <w:r w:rsidRPr="00F009DC">
        <w:rPr>
          <w:b/>
        </w:rPr>
        <w:lastRenderedPageBreak/>
        <w:t>References</w:t>
      </w:r>
    </w:p>
    <w:p w:rsidR="00787BC5" w:rsidRPr="00220A38" w:rsidRDefault="00787BC5" w:rsidP="008C54C4">
      <w:pPr>
        <w:pStyle w:val="NoSpacing"/>
        <w:spacing w:line="276" w:lineRule="auto"/>
        <w:jc w:val="both"/>
      </w:pPr>
      <w:r w:rsidRPr="00220A38">
        <w:rPr>
          <w:bCs/>
        </w:rPr>
        <w:t>Adelman, I. and Robinson, S. (</w:t>
      </w:r>
      <w:r w:rsidRPr="00220A38">
        <w:t>1989), “Inco</w:t>
      </w:r>
      <w:r w:rsidR="007917DB" w:rsidRPr="00220A38">
        <w:t>me Distribution and Development</w:t>
      </w:r>
      <w:r w:rsidRPr="00220A38">
        <w:t>”</w:t>
      </w:r>
      <w:r w:rsidR="007917DB" w:rsidRPr="00220A38">
        <w:t>,</w:t>
      </w:r>
      <w:r w:rsidR="008C54C4">
        <w:t xml:space="preserve"> in H. Chenery and</w:t>
      </w:r>
      <w:r w:rsidR="008C54C4">
        <w:tab/>
        <w:t xml:space="preserve"> T.N. </w:t>
      </w:r>
      <w:r w:rsidRPr="00220A38">
        <w:t xml:space="preserve">Srinivasan (Eds.), </w:t>
      </w:r>
      <w:r w:rsidRPr="00220A38">
        <w:rPr>
          <w:i/>
        </w:rPr>
        <w:t>Handbook of Development Economics</w:t>
      </w:r>
      <w:r w:rsidRPr="00220A38">
        <w:t xml:space="preserve">, </w:t>
      </w:r>
      <w:r w:rsidRPr="00220A38">
        <w:rPr>
          <w:i/>
        </w:rPr>
        <w:t>Volume 2</w:t>
      </w:r>
      <w:r w:rsidR="008C54C4">
        <w:t>, (Amsterdam:</w:t>
      </w:r>
      <w:r w:rsidR="008C54C4">
        <w:tab/>
      </w:r>
      <w:r w:rsidR="008C54C4">
        <w:tab/>
        <w:t xml:space="preserve"> Elsevier </w:t>
      </w:r>
      <w:r w:rsidRPr="00220A38">
        <w:t>Science).</w:t>
      </w:r>
    </w:p>
    <w:p w:rsidR="00787BC5" w:rsidRDefault="00787BC5" w:rsidP="008C54C4">
      <w:pPr>
        <w:pStyle w:val="NoSpacing"/>
        <w:spacing w:line="276" w:lineRule="auto"/>
        <w:jc w:val="both"/>
      </w:pPr>
      <w:r w:rsidRPr="00220A38">
        <w:t>Aghion, P. and Bolton, P. (1997), “A Theory of Trickle-Down Growth and Development”</w:t>
      </w:r>
      <w:r w:rsidR="007917DB" w:rsidRPr="00220A38">
        <w:t>,</w:t>
      </w:r>
      <w:r w:rsidRPr="00220A38">
        <w:t xml:space="preserve"> </w:t>
      </w:r>
      <w:proofErr w:type="gramStart"/>
      <w:r w:rsidRPr="00220A38">
        <w:rPr>
          <w:i/>
        </w:rPr>
        <w:t>The</w:t>
      </w:r>
      <w:proofErr w:type="gramEnd"/>
      <w:r w:rsidRPr="00220A38">
        <w:rPr>
          <w:i/>
        </w:rPr>
        <w:t xml:space="preserve"> Review</w:t>
      </w:r>
      <w:r w:rsidR="008C54C4">
        <w:rPr>
          <w:i/>
        </w:rPr>
        <w:tab/>
      </w:r>
      <w:r w:rsidRPr="00220A38">
        <w:rPr>
          <w:i/>
        </w:rPr>
        <w:t xml:space="preserve"> of</w:t>
      </w:r>
      <w:r w:rsidR="008C54C4">
        <w:rPr>
          <w:i/>
        </w:rPr>
        <w:t xml:space="preserve"> </w:t>
      </w:r>
      <w:r w:rsidRPr="00220A38">
        <w:rPr>
          <w:i/>
        </w:rPr>
        <w:t>Economic Studies</w:t>
      </w:r>
      <w:r w:rsidRPr="00220A38">
        <w:t>, 64 (2), 151-172.</w:t>
      </w:r>
    </w:p>
    <w:p w:rsidR="00787BC5" w:rsidRPr="00220A38" w:rsidRDefault="00787BC5" w:rsidP="008C54C4">
      <w:pPr>
        <w:pStyle w:val="NoSpacing"/>
        <w:spacing w:line="276" w:lineRule="auto"/>
        <w:jc w:val="both"/>
      </w:pPr>
      <w:r w:rsidRPr="00220A38">
        <w:t>Aghion, P. Caroli, E. and Garcia-Penalosa, C. (1999), “Ine</w:t>
      </w:r>
      <w:r w:rsidR="008C54C4">
        <w:t>quality and Economic Growth: The</w:t>
      </w:r>
      <w:r w:rsidRPr="00220A38">
        <w:t xml:space="preserve"> </w:t>
      </w:r>
      <w:r w:rsidR="008C54C4">
        <w:tab/>
      </w:r>
      <w:r w:rsidRPr="00220A38">
        <w:t>Perspect</w:t>
      </w:r>
      <w:r w:rsidR="007917DB" w:rsidRPr="00220A38">
        <w:t>ive of the New Growth Theories</w:t>
      </w:r>
      <w:r w:rsidRPr="00220A38">
        <w:t>”</w:t>
      </w:r>
      <w:r w:rsidR="007917DB" w:rsidRPr="00220A38">
        <w:t>,</w:t>
      </w:r>
      <w:r w:rsidRPr="00220A38">
        <w:t xml:space="preserve"> </w:t>
      </w:r>
      <w:r w:rsidRPr="00220A38">
        <w:rPr>
          <w:i/>
        </w:rPr>
        <w:t>Journal of Economic Literature</w:t>
      </w:r>
      <w:r w:rsidRPr="00220A38">
        <w:t>, 37(4), 1615</w:t>
      </w:r>
      <w:r w:rsidR="008C54C4">
        <w:tab/>
      </w:r>
      <w:r w:rsidRPr="00220A38">
        <w:t>-</w:t>
      </w:r>
      <w:r w:rsidR="008C54C4">
        <w:tab/>
      </w:r>
      <w:r w:rsidRPr="00220A38">
        <w:t>1660.</w:t>
      </w:r>
    </w:p>
    <w:p w:rsidR="00787BC5" w:rsidRPr="00220A38" w:rsidRDefault="00787BC5" w:rsidP="008C54C4">
      <w:pPr>
        <w:pStyle w:val="NoSpacing"/>
        <w:spacing w:line="276" w:lineRule="auto"/>
        <w:jc w:val="both"/>
      </w:pPr>
      <w:r w:rsidRPr="00220A38">
        <w:t>Agostini, C.A., Brown, P.H. (2010), “Inequality at Low</w:t>
      </w:r>
      <w:r w:rsidR="007917DB" w:rsidRPr="00220A38">
        <w:t xml:space="preserve"> Levels of Aggregation in Chile</w:t>
      </w:r>
      <w:r w:rsidRPr="00220A38">
        <w:t>”</w:t>
      </w:r>
      <w:r w:rsidR="007917DB" w:rsidRPr="00220A38">
        <w:t>,</w:t>
      </w:r>
      <w:r w:rsidRPr="00220A38">
        <w:t xml:space="preserve"> </w:t>
      </w:r>
      <w:r w:rsidRPr="00220A38">
        <w:rPr>
          <w:i/>
        </w:rPr>
        <w:t xml:space="preserve">Review of </w:t>
      </w:r>
      <w:r w:rsidRPr="00220A38">
        <w:rPr>
          <w:i/>
        </w:rPr>
        <w:tab/>
        <w:t>Development Economics</w:t>
      </w:r>
      <w:r w:rsidRPr="00220A38">
        <w:t>, 14, 213-226.</w:t>
      </w:r>
    </w:p>
    <w:p w:rsidR="00787BC5" w:rsidRPr="00220A38" w:rsidRDefault="00787BC5" w:rsidP="008C54C4">
      <w:pPr>
        <w:pStyle w:val="NoSpacing"/>
        <w:spacing w:line="276" w:lineRule="auto"/>
        <w:jc w:val="both"/>
      </w:pPr>
      <w:r w:rsidRPr="00220A38">
        <w:t>Ahluwalia, M.S. (1976), “Income Distribution and D</w:t>
      </w:r>
      <w:r w:rsidR="007917DB" w:rsidRPr="00220A38">
        <w:t>evelopment: Some Stylized Facts</w:t>
      </w:r>
      <w:r w:rsidRPr="00220A38">
        <w:t>”</w:t>
      </w:r>
      <w:r w:rsidR="007917DB" w:rsidRPr="00220A38">
        <w:t>,</w:t>
      </w:r>
      <w:r w:rsidRPr="00220A38">
        <w:t xml:space="preserve"> </w:t>
      </w:r>
      <w:r w:rsidRPr="00220A38">
        <w:rPr>
          <w:i/>
        </w:rPr>
        <w:t xml:space="preserve">American </w:t>
      </w:r>
      <w:r w:rsidRPr="00220A38">
        <w:rPr>
          <w:i/>
        </w:rPr>
        <w:tab/>
        <w:t>Economic Review,</w:t>
      </w:r>
      <w:r w:rsidRPr="00220A38">
        <w:t xml:space="preserve"> 66, 128–135.</w:t>
      </w:r>
    </w:p>
    <w:p w:rsidR="00787BC5" w:rsidRPr="00220A38" w:rsidRDefault="00787BC5" w:rsidP="008C54C4">
      <w:pPr>
        <w:pStyle w:val="NoSpacing"/>
        <w:spacing w:line="276" w:lineRule="auto"/>
        <w:jc w:val="both"/>
      </w:pPr>
      <w:r w:rsidRPr="00220A38">
        <w:t>Alesina, A. and Perotti, R. (1996), “Income Distribution, Polit</w:t>
      </w:r>
      <w:r w:rsidR="007917DB" w:rsidRPr="00220A38">
        <w:t>ical Instability and Investment</w:t>
      </w:r>
      <w:r w:rsidRPr="00220A38">
        <w:t>”</w:t>
      </w:r>
      <w:r w:rsidR="007917DB" w:rsidRPr="00220A38">
        <w:t>,</w:t>
      </w:r>
      <w:r w:rsidRPr="00220A38">
        <w:t xml:space="preserve"> </w:t>
      </w:r>
      <w:r w:rsidR="008C54C4">
        <w:tab/>
      </w:r>
      <w:r w:rsidRPr="00220A38">
        <w:rPr>
          <w:i/>
        </w:rPr>
        <w:t>European</w:t>
      </w:r>
      <w:r w:rsidR="008C54C4">
        <w:rPr>
          <w:i/>
        </w:rPr>
        <w:t xml:space="preserve"> </w:t>
      </w:r>
      <w:r w:rsidRPr="00220A38">
        <w:rPr>
          <w:i/>
        </w:rPr>
        <w:t>Economic Review</w:t>
      </w:r>
      <w:r w:rsidRPr="00220A38">
        <w:t>, 81 (5), 1170-1189.</w:t>
      </w:r>
    </w:p>
    <w:p w:rsidR="00787BC5" w:rsidRPr="00220A38" w:rsidRDefault="00787BC5" w:rsidP="008C54C4">
      <w:pPr>
        <w:pStyle w:val="NoSpacing"/>
        <w:spacing w:line="276" w:lineRule="auto"/>
        <w:jc w:val="both"/>
      </w:pPr>
      <w:r w:rsidRPr="00220A38">
        <w:t>Alesina, A. and Rodrik, D. (1994), “Distributive Politics and Economic Growth”</w:t>
      </w:r>
      <w:r w:rsidR="007917DB" w:rsidRPr="00220A38">
        <w:t>,</w:t>
      </w:r>
      <w:r w:rsidRPr="00220A38">
        <w:t xml:space="preserve"> </w:t>
      </w:r>
      <w:r w:rsidRPr="00220A38">
        <w:rPr>
          <w:i/>
        </w:rPr>
        <w:t xml:space="preserve">Quarterly Journal of </w:t>
      </w:r>
      <w:r w:rsidRPr="00220A38">
        <w:rPr>
          <w:i/>
        </w:rPr>
        <w:tab/>
        <w:t>Economics,</w:t>
      </w:r>
      <w:r w:rsidRPr="00220A38">
        <w:t xml:space="preserve"> 109(2), 465-490.</w:t>
      </w:r>
    </w:p>
    <w:p w:rsidR="00787BC5" w:rsidRPr="00220A38" w:rsidRDefault="00787BC5" w:rsidP="008C54C4">
      <w:pPr>
        <w:pStyle w:val="NoSpacing"/>
        <w:spacing w:line="276" w:lineRule="auto"/>
        <w:jc w:val="both"/>
      </w:pPr>
      <w:r w:rsidRPr="00220A38">
        <w:t>Anand, S. and Kanbur, S.M.R. (1993), “The Kuznets Process and the Inequ</w:t>
      </w:r>
      <w:r w:rsidR="007917DB" w:rsidRPr="00220A38">
        <w:t xml:space="preserve">ality-Development </w:t>
      </w:r>
      <w:r w:rsidR="007917DB" w:rsidRPr="00220A38">
        <w:tab/>
        <w:t>Relationship</w:t>
      </w:r>
      <w:r w:rsidRPr="00220A38">
        <w:t>”</w:t>
      </w:r>
      <w:r w:rsidR="007917DB" w:rsidRPr="00220A38">
        <w:t>,</w:t>
      </w:r>
      <w:r w:rsidRPr="00220A38">
        <w:t xml:space="preserve"> </w:t>
      </w:r>
      <w:r w:rsidRPr="00220A38">
        <w:rPr>
          <w:i/>
        </w:rPr>
        <w:t>Journal of Development Economics,</w:t>
      </w:r>
      <w:r w:rsidRPr="00220A38">
        <w:t xml:space="preserve"> 6, 40-52.</w:t>
      </w:r>
    </w:p>
    <w:p w:rsidR="00C56DC7" w:rsidRPr="00220A38" w:rsidRDefault="00C56DC7" w:rsidP="008C54C4">
      <w:pPr>
        <w:pStyle w:val="NoSpacing"/>
        <w:spacing w:line="276" w:lineRule="auto"/>
        <w:jc w:val="both"/>
      </w:pPr>
      <w:r w:rsidRPr="00220A38">
        <w:t>Ando, A. and Modigliani, F. (1963), “The Life Cycle Hypothesis of Saving: Aggregate Implications</w:t>
      </w:r>
      <w:r w:rsidR="008C54C4">
        <w:tab/>
      </w:r>
      <w:r w:rsidRPr="00220A38">
        <w:t>and</w:t>
      </w:r>
      <w:r w:rsidR="008C54C4">
        <w:t xml:space="preserve"> </w:t>
      </w:r>
      <w:r w:rsidRPr="00220A38">
        <w:t xml:space="preserve">Tests”, </w:t>
      </w:r>
      <w:r w:rsidRPr="00220A38">
        <w:rPr>
          <w:i/>
        </w:rPr>
        <w:t>American Economic Review</w:t>
      </w:r>
      <w:r w:rsidRPr="00220A38">
        <w:t>, 53 (1), 55-84)</w:t>
      </w:r>
      <w:r w:rsidR="003D4FD0" w:rsidRPr="00220A38">
        <w:t>.</w:t>
      </w:r>
    </w:p>
    <w:p w:rsidR="00DC1631" w:rsidRPr="00220A38" w:rsidRDefault="00DC1631" w:rsidP="008C54C4">
      <w:pPr>
        <w:pStyle w:val="NoSpacing"/>
        <w:spacing w:line="276" w:lineRule="auto"/>
        <w:jc w:val="both"/>
      </w:pPr>
      <w:r w:rsidRPr="00220A38">
        <w:t>Atkinson, A.B. and Brandolini, A</w:t>
      </w:r>
      <w:proofErr w:type="gramStart"/>
      <w:r w:rsidRPr="00220A38">
        <w:t>.(</w:t>
      </w:r>
      <w:proofErr w:type="gramEnd"/>
      <w:r w:rsidRPr="00220A38">
        <w:t xml:space="preserve">2001) “Promise and Pitfall in the Use of ‘Secondary’ Data-Sets: </w:t>
      </w:r>
      <w:r w:rsidRPr="00220A38">
        <w:tab/>
        <w:t>Income Inequality in OECD Countries as a Case Study”, Jou</w:t>
      </w:r>
      <w:r w:rsidR="008C54C4">
        <w:t xml:space="preserve">rnal of Economic Literature, 39 </w:t>
      </w:r>
      <w:r w:rsidR="008C54C4">
        <w:tab/>
        <w:t>(3),</w:t>
      </w:r>
      <w:r w:rsidRPr="00220A38">
        <w:t xml:space="preserve"> 771-799. </w:t>
      </w:r>
    </w:p>
    <w:p w:rsidR="003D4FD0" w:rsidRPr="00220A38" w:rsidRDefault="003D4FD0" w:rsidP="008C54C4">
      <w:pPr>
        <w:pStyle w:val="NoSpacing"/>
        <w:spacing w:line="276" w:lineRule="auto"/>
        <w:jc w:val="both"/>
      </w:pPr>
      <w:r w:rsidRPr="00220A38">
        <w:t>Banco Central de Chile (2012), Statistics Database, accessed at 20-08-2012, online available at</w:t>
      </w:r>
      <w:r w:rsidRPr="00220A38">
        <w:tab/>
      </w:r>
      <w:r w:rsidRPr="00220A38">
        <w:tab/>
      </w:r>
      <w:hyperlink r:id="rId23" w:history="1">
        <w:r w:rsidRPr="00220A38">
          <w:rPr>
            <w:rStyle w:val="Hyperlink"/>
          </w:rPr>
          <w:t>http://si3.bcentral.cl/Siete/secure/cuadros/home.aspx</w:t>
        </w:r>
      </w:hyperlink>
      <w:r w:rsidRPr="00220A38">
        <w:t xml:space="preserve">. </w:t>
      </w:r>
    </w:p>
    <w:p w:rsidR="00787BC5" w:rsidRPr="00220A38" w:rsidRDefault="00787BC5" w:rsidP="008C54C4">
      <w:pPr>
        <w:pStyle w:val="NoSpacing"/>
        <w:spacing w:line="276" w:lineRule="auto"/>
        <w:jc w:val="both"/>
      </w:pPr>
      <w:r w:rsidRPr="00220A38">
        <w:t>Banerjee, A. and Duflo, E. (2003), “Inequality and Growth: W</w:t>
      </w:r>
      <w:r w:rsidR="007917DB" w:rsidRPr="00220A38">
        <w:t>hat Can the Data Say?</w:t>
      </w:r>
      <w:proofErr w:type="gramStart"/>
      <w:r w:rsidRPr="00220A38">
        <w:t>”</w:t>
      </w:r>
      <w:r w:rsidR="007917DB" w:rsidRPr="00220A38">
        <w:t>,</w:t>
      </w:r>
      <w:proofErr w:type="gramEnd"/>
      <w:r w:rsidRPr="00220A38">
        <w:t xml:space="preserve"> </w:t>
      </w:r>
      <w:r w:rsidRPr="00220A38">
        <w:rPr>
          <w:i/>
        </w:rPr>
        <w:t xml:space="preserve">Journal of </w:t>
      </w:r>
      <w:r w:rsidRPr="00220A38">
        <w:rPr>
          <w:i/>
        </w:rPr>
        <w:tab/>
        <w:t>Economic Growth</w:t>
      </w:r>
      <w:r w:rsidRPr="00220A38">
        <w:t>, 8, 267-299.</w:t>
      </w:r>
    </w:p>
    <w:p w:rsidR="00787BC5" w:rsidRPr="00220A38" w:rsidRDefault="00787BC5" w:rsidP="008C54C4">
      <w:pPr>
        <w:pStyle w:val="NoSpacing"/>
        <w:spacing w:line="276" w:lineRule="auto"/>
        <w:jc w:val="both"/>
      </w:pPr>
      <w:r w:rsidRPr="00220A38">
        <w:t>Banerjee, A. and Newman, A. (1993), “Occupational Choice and the Process of Development”</w:t>
      </w:r>
      <w:r w:rsidR="007917DB" w:rsidRPr="00220A38">
        <w:t>,</w:t>
      </w:r>
      <w:r w:rsidRPr="00220A38">
        <w:t xml:space="preserve"> </w:t>
      </w:r>
      <w:r w:rsidR="008C54C4">
        <w:tab/>
      </w:r>
      <w:r w:rsidR="008C54C4">
        <w:rPr>
          <w:i/>
        </w:rPr>
        <w:t xml:space="preserve">Journal of </w:t>
      </w:r>
      <w:r w:rsidRPr="00220A38">
        <w:rPr>
          <w:i/>
        </w:rPr>
        <w:t>Political Economy,</w:t>
      </w:r>
      <w:r w:rsidRPr="00220A38">
        <w:t xml:space="preserve"> 101(2), 274-298.</w:t>
      </w:r>
    </w:p>
    <w:p w:rsidR="00787BC5" w:rsidRPr="00220A38" w:rsidRDefault="00787BC5" w:rsidP="008C54C4">
      <w:pPr>
        <w:pStyle w:val="NoSpacing"/>
        <w:spacing w:line="276" w:lineRule="auto"/>
        <w:jc w:val="both"/>
      </w:pPr>
      <w:r w:rsidRPr="00220A38">
        <w:t>Barro, R. (1991), “Economic Growth in a Cross-Section of Countries”</w:t>
      </w:r>
      <w:r w:rsidR="007917DB" w:rsidRPr="00220A38">
        <w:t>,</w:t>
      </w:r>
      <w:r w:rsidRPr="00220A38">
        <w:t xml:space="preserve"> </w:t>
      </w:r>
      <w:r w:rsidRPr="00220A38">
        <w:rPr>
          <w:i/>
        </w:rPr>
        <w:t>Quarterly Journal of</w:t>
      </w:r>
      <w:r w:rsidR="008C54C4">
        <w:rPr>
          <w:i/>
        </w:rPr>
        <w:tab/>
        <w:t>Economics</w:t>
      </w:r>
      <w:proofErr w:type="gramStart"/>
      <w:r w:rsidR="008C54C4">
        <w:rPr>
          <w:i/>
        </w:rPr>
        <w:t>,</w:t>
      </w:r>
      <w:r w:rsidRPr="00220A38">
        <w:t>106</w:t>
      </w:r>
      <w:proofErr w:type="gramEnd"/>
      <w:r w:rsidRPr="00220A38">
        <w:t>, 407-44.</w:t>
      </w:r>
    </w:p>
    <w:p w:rsidR="00787BC5" w:rsidRPr="00220A38" w:rsidRDefault="00787BC5" w:rsidP="008C54C4">
      <w:pPr>
        <w:pStyle w:val="NoSpacing"/>
        <w:spacing w:line="276" w:lineRule="auto"/>
        <w:jc w:val="both"/>
      </w:pPr>
      <w:r w:rsidRPr="00220A38">
        <w:t>Barro, R. (2000), “Inequality and Growth in a Panel of Countries</w:t>
      </w:r>
      <w:r w:rsidRPr="00220A38">
        <w:rPr>
          <w:i/>
        </w:rPr>
        <w:t>”</w:t>
      </w:r>
      <w:r w:rsidR="007917DB" w:rsidRPr="00220A38">
        <w:rPr>
          <w:i/>
        </w:rPr>
        <w:t>,</w:t>
      </w:r>
      <w:r w:rsidRPr="00220A38">
        <w:rPr>
          <w:i/>
        </w:rPr>
        <w:t xml:space="preserve"> Journal of Economic Growth</w:t>
      </w:r>
      <w:r w:rsidRPr="00220A38">
        <w:t>, 5</w:t>
      </w:r>
      <w:r w:rsidR="008C54C4">
        <w:tab/>
      </w:r>
      <w:r w:rsidRPr="00220A38">
        <w:t>(1), 5-32.</w:t>
      </w:r>
    </w:p>
    <w:p w:rsidR="00787BC5" w:rsidRDefault="00787BC5" w:rsidP="008C54C4">
      <w:pPr>
        <w:pStyle w:val="NoSpacing"/>
        <w:spacing w:line="276" w:lineRule="auto"/>
        <w:jc w:val="both"/>
      </w:pPr>
      <w:r w:rsidRPr="00220A38">
        <w:t xml:space="preserve">Barro, R. (2008), “Inequality and Growth Revisited”, </w:t>
      </w:r>
      <w:r w:rsidRPr="00220A38">
        <w:rPr>
          <w:i/>
        </w:rPr>
        <w:t>Asian Development Bank Wor</w:t>
      </w:r>
      <w:r w:rsidR="008C54C4">
        <w:rPr>
          <w:i/>
        </w:rPr>
        <w:t>king Paper Series</w:t>
      </w:r>
      <w:r w:rsidR="008C54C4">
        <w:rPr>
          <w:i/>
        </w:rPr>
        <w:tab/>
        <w:t xml:space="preserve"> </w:t>
      </w:r>
      <w:r w:rsidRPr="00220A38">
        <w:rPr>
          <w:i/>
        </w:rPr>
        <w:t>on</w:t>
      </w:r>
      <w:r w:rsidR="008C54C4">
        <w:rPr>
          <w:i/>
        </w:rPr>
        <w:t xml:space="preserve"> </w:t>
      </w:r>
      <w:r w:rsidRPr="00220A38">
        <w:rPr>
          <w:i/>
        </w:rPr>
        <w:t>Regional Economic Integration</w:t>
      </w:r>
      <w:r w:rsidRPr="00220A38">
        <w:t xml:space="preserve">, 11. </w:t>
      </w:r>
    </w:p>
    <w:p w:rsidR="00715F64" w:rsidRPr="00220A38" w:rsidRDefault="00715F64" w:rsidP="008C54C4">
      <w:pPr>
        <w:pStyle w:val="NoSpacing"/>
        <w:spacing w:line="276" w:lineRule="auto"/>
        <w:jc w:val="both"/>
      </w:pPr>
      <w:r>
        <w:t xml:space="preserve">Barro, R., Sala-I-Martin, X. </w:t>
      </w:r>
      <w:r w:rsidRPr="00220A38">
        <w:t>(</w:t>
      </w:r>
      <w:r>
        <w:t>1991</w:t>
      </w:r>
      <w:r w:rsidRPr="00220A38">
        <w:t xml:space="preserve">), </w:t>
      </w:r>
      <w:r>
        <w:rPr>
          <w:i/>
        </w:rPr>
        <w:t>Economic Growth</w:t>
      </w:r>
      <w:r w:rsidRPr="00220A38">
        <w:t xml:space="preserve"> (</w:t>
      </w:r>
      <w:r>
        <w:t>New York</w:t>
      </w:r>
      <w:r w:rsidRPr="00220A38">
        <w:t xml:space="preserve">: </w:t>
      </w:r>
      <w:r>
        <w:t>Mc Graw-Hill</w:t>
      </w:r>
      <w:r w:rsidRPr="00220A38">
        <w:t>).</w:t>
      </w:r>
    </w:p>
    <w:p w:rsidR="00787BC5" w:rsidRPr="00220A38" w:rsidRDefault="00787BC5" w:rsidP="008C54C4">
      <w:pPr>
        <w:pStyle w:val="NoSpacing"/>
        <w:spacing w:line="276" w:lineRule="auto"/>
        <w:jc w:val="both"/>
      </w:pPr>
      <w:r w:rsidRPr="00220A38">
        <w:t>Benabou, R.</w:t>
      </w:r>
      <w:r w:rsidR="007917DB" w:rsidRPr="00220A38">
        <w:t xml:space="preserve"> (1996), “Inequality and Growth</w:t>
      </w:r>
      <w:r w:rsidRPr="00220A38">
        <w:t>”</w:t>
      </w:r>
      <w:r w:rsidR="007917DB" w:rsidRPr="00220A38">
        <w:t>,</w:t>
      </w:r>
      <w:r w:rsidRPr="00220A38">
        <w:t xml:space="preserve"> in B. S. Bernanke and J.J. Rotemborg (Eds.), </w:t>
      </w:r>
      <w:r w:rsidRPr="00220A38">
        <w:rPr>
          <w:i/>
        </w:rPr>
        <w:t xml:space="preserve">NBER </w:t>
      </w:r>
      <w:r w:rsidRPr="00220A38">
        <w:rPr>
          <w:i/>
        </w:rPr>
        <w:tab/>
        <w:t>Macroeconomics Annual</w:t>
      </w:r>
      <w:r w:rsidRPr="00220A38">
        <w:t>, (Cambridge, MA: MIT Press)</w:t>
      </w:r>
      <w:r w:rsidR="008965CC">
        <w:t>.</w:t>
      </w:r>
      <w:r w:rsidRPr="00220A38">
        <w:t xml:space="preserve"> </w:t>
      </w:r>
    </w:p>
    <w:p w:rsidR="007917DB" w:rsidRPr="00220A38" w:rsidRDefault="007917DB" w:rsidP="008C54C4">
      <w:pPr>
        <w:autoSpaceDE w:val="0"/>
        <w:autoSpaceDN w:val="0"/>
        <w:adjustRightInd w:val="0"/>
        <w:spacing w:after="0"/>
        <w:jc w:val="both"/>
      </w:pPr>
      <w:r w:rsidRPr="00220A38">
        <w:t xml:space="preserve">Bourguignon, F. (1981), “Pareto Superiority of Unegalitarian Equilibria in Stiglitz’ Model of Wealth </w:t>
      </w:r>
      <w:r w:rsidRPr="00220A38">
        <w:tab/>
        <w:t xml:space="preserve">Distribution with Convex Saving Function”, </w:t>
      </w:r>
      <w:r w:rsidRPr="00220A38">
        <w:rPr>
          <w:i/>
          <w:iCs/>
        </w:rPr>
        <w:t>Econometrica</w:t>
      </w:r>
      <w:r w:rsidRPr="00220A38">
        <w:t>, 49, 1469–75.</w:t>
      </w:r>
    </w:p>
    <w:p w:rsidR="00787BC5" w:rsidRPr="00220A38" w:rsidRDefault="00787BC5" w:rsidP="008C54C4">
      <w:pPr>
        <w:pStyle w:val="NoSpacing"/>
        <w:spacing w:line="276" w:lineRule="auto"/>
        <w:jc w:val="both"/>
      </w:pPr>
      <w:r w:rsidRPr="00220A38">
        <w:t>Bourguignon, F. (2004), “The Poverty-Growth-Inequality Tr</w:t>
      </w:r>
      <w:r w:rsidR="007917DB" w:rsidRPr="00220A38">
        <w:t>iangle</w:t>
      </w:r>
      <w:r w:rsidRPr="00220A38">
        <w:t>”</w:t>
      </w:r>
      <w:r w:rsidR="007917DB" w:rsidRPr="00220A38">
        <w:t>,</w:t>
      </w:r>
      <w:r w:rsidR="008C54C4">
        <w:t xml:space="preserve"> paper presented at the Indian</w:t>
      </w:r>
      <w:r w:rsidR="008C54C4">
        <w:tab/>
      </w:r>
      <w:r w:rsidR="008C54C4">
        <w:tab/>
      </w:r>
      <w:r w:rsidRPr="00220A38">
        <w:t>Council</w:t>
      </w:r>
      <w:r w:rsidR="008C54C4">
        <w:t xml:space="preserve"> </w:t>
      </w:r>
      <w:r w:rsidRPr="00220A38">
        <w:t>for Research on International Economic Relations, New Delhi.</w:t>
      </w:r>
    </w:p>
    <w:p w:rsidR="003D4FD0" w:rsidRPr="00220A38" w:rsidRDefault="00CF2E4F" w:rsidP="008C54C4">
      <w:pPr>
        <w:pStyle w:val="NoSpacing"/>
        <w:spacing w:line="276" w:lineRule="auto"/>
        <w:jc w:val="both"/>
      </w:pPr>
      <w:r>
        <w:t>CASEN</w:t>
      </w:r>
      <w:r w:rsidR="00886BEC" w:rsidRPr="00220A38">
        <w:t xml:space="preserve"> Household Survey, 1990-</w:t>
      </w:r>
      <w:r w:rsidR="008965CC">
        <w:t>2009, d</w:t>
      </w:r>
      <w:r w:rsidR="00855674" w:rsidRPr="00220A38">
        <w:t>atabase and user manual for various years, Santiago.</w:t>
      </w:r>
    </w:p>
    <w:p w:rsidR="00CC399C" w:rsidRPr="00220A38" w:rsidRDefault="00CC399C" w:rsidP="008C54C4">
      <w:pPr>
        <w:pStyle w:val="NoSpacing"/>
        <w:spacing w:line="276" w:lineRule="auto"/>
        <w:jc w:val="both"/>
      </w:pPr>
      <w:r w:rsidRPr="00220A38">
        <w:t>Castello-Climent, A. (2004), “A Reassessment of the Relationship</w:t>
      </w:r>
      <w:r w:rsidR="008C54C4">
        <w:t xml:space="preserve"> Between Inequality and Growth:</w:t>
      </w:r>
      <w:r w:rsidR="008C54C4">
        <w:tab/>
        <w:t xml:space="preserve"> What Can </w:t>
      </w:r>
      <w:r w:rsidRPr="00220A38">
        <w:t>Human Capital Inequality Data Say?</w:t>
      </w:r>
      <w:proofErr w:type="gramStart"/>
      <w:r w:rsidRPr="00220A38">
        <w:t>”,</w:t>
      </w:r>
      <w:proofErr w:type="gramEnd"/>
      <w:r w:rsidRPr="00220A38">
        <w:t xml:space="preserve"> </w:t>
      </w:r>
      <w:r w:rsidRPr="00220A38">
        <w:rPr>
          <w:i/>
        </w:rPr>
        <w:t>Economic Journal</w:t>
      </w:r>
      <w:r w:rsidRPr="00220A38">
        <w:t>, 112, 187-200</w:t>
      </w:r>
      <w:r w:rsidR="008965CC">
        <w:t>.</w:t>
      </w:r>
    </w:p>
    <w:p w:rsidR="00787BC5" w:rsidRPr="00220A38" w:rsidRDefault="00787BC5" w:rsidP="008C54C4">
      <w:pPr>
        <w:pStyle w:val="NoSpacing"/>
        <w:spacing w:line="276" w:lineRule="auto"/>
        <w:jc w:val="both"/>
      </w:pPr>
      <w:proofErr w:type="gramStart"/>
      <w:r w:rsidRPr="00220A38">
        <w:lastRenderedPageBreak/>
        <w:t>Castello-Climent, A. (2010), “Channels Through Which Human Capital Inequal</w:t>
      </w:r>
      <w:r w:rsidR="008965CC">
        <w:t>ity Influences</w:t>
      </w:r>
      <w:r w:rsidR="008965CC">
        <w:tab/>
      </w:r>
      <w:r w:rsidR="008965CC">
        <w:tab/>
        <w:t xml:space="preserve">Economic </w:t>
      </w:r>
      <w:r w:rsidR="007917DB" w:rsidRPr="00220A38">
        <w:t>Growth</w:t>
      </w:r>
      <w:r w:rsidRPr="00220A38">
        <w:t>”</w:t>
      </w:r>
      <w:r w:rsidR="007917DB" w:rsidRPr="00220A38">
        <w:t>,</w:t>
      </w:r>
      <w:r w:rsidRPr="00220A38">
        <w:t xml:space="preserve"> </w:t>
      </w:r>
      <w:r w:rsidRPr="00220A38">
        <w:rPr>
          <w:i/>
        </w:rPr>
        <w:t>Journal of Human Capital</w:t>
      </w:r>
      <w:r w:rsidRPr="00220A38">
        <w:t>, 4 (4), 394-450.</w:t>
      </w:r>
      <w:proofErr w:type="gramEnd"/>
    </w:p>
    <w:p w:rsidR="003509C1" w:rsidRPr="00220A38" w:rsidRDefault="003509C1" w:rsidP="008C54C4">
      <w:pPr>
        <w:pStyle w:val="NoSpacing"/>
        <w:spacing w:line="276" w:lineRule="auto"/>
        <w:jc w:val="both"/>
      </w:pPr>
      <w:r w:rsidRPr="00220A38">
        <w:t xml:space="preserve">Castello-Climent, A. and Domenech, R. (2002), “Human Capital Inequality and Economic Growth: </w:t>
      </w:r>
      <w:r w:rsidR="008965CC">
        <w:tab/>
        <w:t xml:space="preserve">Some </w:t>
      </w:r>
      <w:r w:rsidRPr="00220A38">
        <w:t xml:space="preserve">New Evidence”, </w:t>
      </w:r>
      <w:r w:rsidRPr="00220A38">
        <w:rPr>
          <w:i/>
        </w:rPr>
        <w:t>Economic Journal</w:t>
      </w:r>
      <w:r w:rsidRPr="00220A38">
        <w:t xml:space="preserve">, 112 (478), 187-200. </w:t>
      </w:r>
    </w:p>
    <w:p w:rsidR="00787BC5" w:rsidRPr="00220A38" w:rsidRDefault="00787BC5" w:rsidP="008C54C4">
      <w:pPr>
        <w:pStyle w:val="NoSpacing"/>
        <w:spacing w:line="276" w:lineRule="auto"/>
        <w:jc w:val="both"/>
      </w:pPr>
      <w:r w:rsidRPr="00220A38">
        <w:t xml:space="preserve">Castello-Climent, A. and Domenech, R. (2008), “Human Capital Inequality, Life </w:t>
      </w:r>
      <w:r w:rsidR="007917DB" w:rsidRPr="00220A38">
        <w:t xml:space="preserve">Expectancy and </w:t>
      </w:r>
      <w:r w:rsidR="007917DB" w:rsidRPr="00220A38">
        <w:tab/>
        <w:t>Economic Growth</w:t>
      </w:r>
      <w:r w:rsidRPr="00220A38">
        <w:t>”</w:t>
      </w:r>
      <w:r w:rsidR="007917DB" w:rsidRPr="00220A38">
        <w:t>,</w:t>
      </w:r>
      <w:r w:rsidRPr="00220A38">
        <w:t xml:space="preserve"> </w:t>
      </w:r>
      <w:r w:rsidRPr="00220A38">
        <w:rPr>
          <w:i/>
        </w:rPr>
        <w:t>Economic Journal</w:t>
      </w:r>
      <w:r w:rsidRPr="00220A38">
        <w:t>, 118 (528), 653-677.</w:t>
      </w:r>
    </w:p>
    <w:p w:rsidR="0001406D" w:rsidRPr="00220A38" w:rsidRDefault="0001406D" w:rsidP="008965CC">
      <w:pPr>
        <w:pStyle w:val="NoSpacing"/>
        <w:spacing w:line="276" w:lineRule="auto"/>
        <w:jc w:val="both"/>
      </w:pPr>
      <w:r w:rsidRPr="00220A38">
        <w:t>Chambers, D. (2007), “Trading Places: Does Past Growth Impact Inequality?</w:t>
      </w:r>
      <w:proofErr w:type="gramStart"/>
      <w:r w:rsidR="00DC6C6A" w:rsidRPr="00220A38">
        <w:t>”,</w:t>
      </w:r>
      <w:proofErr w:type="gramEnd"/>
      <w:r w:rsidRPr="00220A38">
        <w:t xml:space="preserve"> </w:t>
      </w:r>
      <w:r w:rsidR="008965CC">
        <w:rPr>
          <w:i/>
        </w:rPr>
        <w:t>Journal</w:t>
      </w:r>
      <w:r w:rsidRPr="00220A38">
        <w:rPr>
          <w:i/>
        </w:rPr>
        <w:t xml:space="preserve"> </w:t>
      </w:r>
      <w:r w:rsidR="008965CC">
        <w:rPr>
          <w:i/>
        </w:rPr>
        <w:t>of</w:t>
      </w:r>
      <w:r w:rsidR="008965CC">
        <w:rPr>
          <w:i/>
        </w:rPr>
        <w:tab/>
      </w:r>
      <w:r w:rsidR="008965CC">
        <w:rPr>
          <w:i/>
        </w:rPr>
        <w:tab/>
      </w:r>
      <w:r w:rsidRPr="00220A38">
        <w:rPr>
          <w:i/>
        </w:rPr>
        <w:t>Development Economics</w:t>
      </w:r>
      <w:r w:rsidR="00DC6C6A" w:rsidRPr="00220A38">
        <w:t xml:space="preserve">, 82, 257-266. </w:t>
      </w:r>
    </w:p>
    <w:p w:rsidR="00787BC5" w:rsidRPr="00220A38" w:rsidRDefault="00787BC5" w:rsidP="008C54C4">
      <w:pPr>
        <w:pStyle w:val="NoSpacing"/>
        <w:spacing w:line="276" w:lineRule="auto"/>
        <w:jc w:val="both"/>
      </w:pPr>
      <w:r w:rsidRPr="00220A38">
        <w:t xml:space="preserve">Chen, S. and Ravallion, M. (1997), “What Can New Survey Data Tell Us About Recent Changes in </w:t>
      </w:r>
      <w:r w:rsidRPr="00220A38">
        <w:tab/>
        <w:t>Distributi</w:t>
      </w:r>
      <w:r w:rsidR="007917DB" w:rsidRPr="00220A38">
        <w:t>on and Poverty</w:t>
      </w:r>
      <w:r w:rsidRPr="00220A38">
        <w:t>”</w:t>
      </w:r>
      <w:r w:rsidR="007917DB" w:rsidRPr="00220A38">
        <w:t>,</w:t>
      </w:r>
      <w:r w:rsidRPr="00220A38">
        <w:t xml:space="preserve"> </w:t>
      </w:r>
      <w:r w:rsidRPr="00220A38">
        <w:rPr>
          <w:i/>
        </w:rPr>
        <w:t>The World Bank Economic Review</w:t>
      </w:r>
      <w:r w:rsidRPr="00220A38">
        <w:t>, 11 (2), 357-382.</w:t>
      </w:r>
    </w:p>
    <w:p w:rsidR="00F11DB7" w:rsidRPr="00220A38" w:rsidRDefault="00F11DB7" w:rsidP="008C54C4">
      <w:pPr>
        <w:pStyle w:val="NoSpacing"/>
        <w:spacing w:line="276" w:lineRule="auto"/>
        <w:jc w:val="both"/>
      </w:pPr>
      <w:proofErr w:type="gramStart"/>
      <w:r w:rsidRPr="00220A38">
        <w:t>Chusseau, N. and Hellier, J. (2012), “Education, Intergener</w:t>
      </w:r>
      <w:r w:rsidR="007917DB" w:rsidRPr="00220A38">
        <w:t>ational Mobility and Inequality</w:t>
      </w:r>
      <w:r w:rsidRPr="00220A38">
        <w:t>”</w:t>
      </w:r>
      <w:r w:rsidR="007917DB" w:rsidRPr="00220A38">
        <w:t>,</w:t>
      </w:r>
      <w:r w:rsidRPr="00220A38">
        <w:t xml:space="preserve"> in J.</w:t>
      </w:r>
      <w:proofErr w:type="gramEnd"/>
      <w:r w:rsidRPr="00220A38">
        <w:t xml:space="preserve"> </w:t>
      </w:r>
      <w:r w:rsidR="008965CC">
        <w:tab/>
      </w:r>
      <w:r w:rsidRPr="00220A38">
        <w:t xml:space="preserve">Hellier </w:t>
      </w:r>
      <w:r w:rsidR="00F442E6" w:rsidRPr="00220A38">
        <w:tab/>
      </w:r>
      <w:r w:rsidRPr="00220A38">
        <w:t xml:space="preserve">and N. Chusseau (Eds.), </w:t>
      </w:r>
      <w:r w:rsidRPr="00220A38">
        <w:rPr>
          <w:i/>
        </w:rPr>
        <w:t>Growing Income Inequalities, Economic Analyses</w:t>
      </w:r>
      <w:r w:rsidRPr="00220A38">
        <w:t xml:space="preserve">, </w:t>
      </w:r>
      <w:r w:rsidR="008965CC">
        <w:tab/>
      </w:r>
      <w:r w:rsidRPr="00220A38">
        <w:t xml:space="preserve">(Basingstoke, </w:t>
      </w:r>
      <w:proofErr w:type="gramStart"/>
      <w:r w:rsidRPr="00220A38">
        <w:t>UK</w:t>
      </w:r>
      <w:r w:rsidR="00F442E6" w:rsidRPr="00220A38">
        <w:t xml:space="preserve"> </w:t>
      </w:r>
      <w:r w:rsidRPr="00220A38">
        <w:t>:</w:t>
      </w:r>
      <w:proofErr w:type="gramEnd"/>
      <w:r w:rsidR="00F442E6" w:rsidRPr="00220A38">
        <w:t xml:space="preserve"> </w:t>
      </w:r>
      <w:r w:rsidRPr="00220A38">
        <w:t>Palgrave MacMillan)</w:t>
      </w:r>
    </w:p>
    <w:p w:rsidR="00CC399C" w:rsidRPr="00220A38" w:rsidRDefault="00CC399C" w:rsidP="008C54C4">
      <w:pPr>
        <w:pStyle w:val="NoSpacing"/>
        <w:spacing w:line="276" w:lineRule="auto"/>
        <w:jc w:val="both"/>
      </w:pPr>
      <w:r w:rsidRPr="00220A38">
        <w:t xml:space="preserve">Clarke, G.R.G. (1995), “More Evidence on </w:t>
      </w:r>
      <w:r w:rsidR="00C56DC7" w:rsidRPr="00220A38">
        <w:t xml:space="preserve">Income Distribution and Growth”, Journal of Development </w:t>
      </w:r>
      <w:r w:rsidR="00C56DC7" w:rsidRPr="00220A38">
        <w:tab/>
        <w:t>Economics, 47, 403-27</w:t>
      </w:r>
    </w:p>
    <w:p w:rsidR="00787BC5" w:rsidRPr="00220A38" w:rsidRDefault="00787BC5" w:rsidP="008C54C4">
      <w:pPr>
        <w:pStyle w:val="NoSpacing"/>
        <w:spacing w:line="276" w:lineRule="auto"/>
        <w:jc w:val="both"/>
      </w:pPr>
      <w:r w:rsidRPr="00220A38">
        <w:t>Collier, P. and Hoeffler, A. (2002), “On the I</w:t>
      </w:r>
      <w:r w:rsidR="007917DB" w:rsidRPr="00220A38">
        <w:t>ncidence of Civil War in Africa</w:t>
      </w:r>
      <w:r w:rsidRPr="00220A38">
        <w:t>”</w:t>
      </w:r>
      <w:r w:rsidR="007917DB" w:rsidRPr="00220A38">
        <w:t>,</w:t>
      </w:r>
      <w:r w:rsidRPr="00220A38">
        <w:t xml:space="preserve"> </w:t>
      </w:r>
      <w:r w:rsidRPr="00220A38">
        <w:rPr>
          <w:i/>
        </w:rPr>
        <w:t xml:space="preserve">Journal of Conflict </w:t>
      </w:r>
      <w:r w:rsidRPr="00220A38">
        <w:rPr>
          <w:i/>
        </w:rPr>
        <w:tab/>
        <w:t>Resolution</w:t>
      </w:r>
      <w:r w:rsidRPr="00220A38">
        <w:t>, 46, 13-28.</w:t>
      </w:r>
    </w:p>
    <w:p w:rsidR="00787BC5" w:rsidRPr="00220A38" w:rsidRDefault="00787BC5" w:rsidP="008C54C4">
      <w:pPr>
        <w:pStyle w:val="NoSpacing"/>
        <w:spacing w:line="276" w:lineRule="auto"/>
        <w:jc w:val="both"/>
      </w:pPr>
      <w:r w:rsidRPr="00220A38">
        <w:t xml:space="preserve">Contreras, D. (2001), “Economic Growth and Poverty Reduction by Region: Chile 1990-96”, </w:t>
      </w:r>
      <w:r w:rsidRPr="00220A38">
        <w:tab/>
      </w:r>
      <w:r w:rsidRPr="00220A38">
        <w:rPr>
          <w:i/>
        </w:rPr>
        <w:t>Development Policy Review</w:t>
      </w:r>
      <w:r w:rsidRPr="00220A38">
        <w:t>, 19 (3), 291-302.</w:t>
      </w:r>
    </w:p>
    <w:p w:rsidR="00787BC5" w:rsidRPr="00220A38" w:rsidRDefault="00787BC5" w:rsidP="008C54C4">
      <w:pPr>
        <w:pStyle w:val="NoSpacing"/>
        <w:spacing w:line="276" w:lineRule="auto"/>
        <w:jc w:val="both"/>
      </w:pPr>
      <w:r w:rsidRPr="00220A38">
        <w:t>Contreras, D. (2002)</w:t>
      </w:r>
      <w:proofErr w:type="gramStart"/>
      <w:r w:rsidRPr="00220A38">
        <w:t>, ”</w:t>
      </w:r>
      <w:proofErr w:type="gramEnd"/>
      <w:r w:rsidRPr="00220A38">
        <w:t xml:space="preserve">Explaining Wage Inequality in Chile: Does Education Really Matter?”, </w:t>
      </w:r>
      <w:r w:rsidRPr="00220A38">
        <w:rPr>
          <w:i/>
        </w:rPr>
        <w:t>Journal</w:t>
      </w:r>
      <w:r w:rsidR="008965CC">
        <w:rPr>
          <w:i/>
        </w:rPr>
        <w:tab/>
      </w:r>
      <w:r w:rsidRPr="00220A38">
        <w:rPr>
          <w:i/>
        </w:rPr>
        <w:t xml:space="preserve"> of</w:t>
      </w:r>
      <w:r w:rsidR="008965CC">
        <w:rPr>
          <w:i/>
        </w:rPr>
        <w:t xml:space="preserve"> </w:t>
      </w:r>
      <w:r w:rsidRPr="00220A38">
        <w:rPr>
          <w:i/>
        </w:rPr>
        <w:t>Income Distribution</w:t>
      </w:r>
      <w:r w:rsidRPr="00220A38">
        <w:t>, 2, 23-37.</w:t>
      </w:r>
    </w:p>
    <w:p w:rsidR="00787BC5" w:rsidRPr="00220A38" w:rsidRDefault="00787BC5" w:rsidP="008C54C4">
      <w:pPr>
        <w:pStyle w:val="NoSpacing"/>
        <w:spacing w:line="276" w:lineRule="auto"/>
        <w:jc w:val="both"/>
      </w:pPr>
      <w:r w:rsidRPr="00220A38">
        <w:t xml:space="preserve">Contreras, D. (2003), “Poverty and Inequality in a Rapid </w:t>
      </w:r>
      <w:r w:rsidR="007917DB" w:rsidRPr="00220A38">
        <w:t>Growth Economy: Chile 1990-1996”</w:t>
      </w:r>
      <w:r w:rsidRPr="00220A38">
        <w:t xml:space="preserve">, </w:t>
      </w:r>
      <w:r w:rsidR="008965CC">
        <w:tab/>
      </w:r>
      <w:r w:rsidRPr="00220A38">
        <w:rPr>
          <w:i/>
        </w:rPr>
        <w:t>Journal of Development Studies</w:t>
      </w:r>
      <w:r w:rsidRPr="00220A38">
        <w:t>, 39 (3): 181-200.</w:t>
      </w:r>
    </w:p>
    <w:p w:rsidR="00855674" w:rsidRPr="00220A38" w:rsidRDefault="00855674" w:rsidP="008C54C4">
      <w:pPr>
        <w:pStyle w:val="NoSpacing"/>
        <w:spacing w:line="276" w:lineRule="auto"/>
        <w:jc w:val="both"/>
      </w:pPr>
      <w:r w:rsidRPr="00220A38">
        <w:t xml:space="preserve">Contreras, D. and Ffrench-Davis, R. (2012), “Policy Regimes, Inequality, Poverty and Growth: the </w:t>
      </w:r>
      <w:r w:rsidRPr="00220A38">
        <w:tab/>
        <w:t xml:space="preserve">Chilean Experience, 1973-2010”, </w:t>
      </w:r>
      <w:r w:rsidRPr="00220A38">
        <w:rPr>
          <w:i/>
        </w:rPr>
        <w:t>UNU-WIDER Working Paper</w:t>
      </w:r>
      <w:r w:rsidRPr="00220A38">
        <w:t xml:space="preserve"> No 2012/04. </w:t>
      </w:r>
    </w:p>
    <w:p w:rsidR="00787BC5" w:rsidRPr="00220A38" w:rsidRDefault="00787BC5" w:rsidP="008C54C4">
      <w:pPr>
        <w:pStyle w:val="NoSpacing"/>
        <w:spacing w:line="276" w:lineRule="auto"/>
        <w:jc w:val="both"/>
      </w:pPr>
      <w:r w:rsidRPr="00220A38">
        <w:t xml:space="preserve">De Dominicis, L., Florax, R., and De Groot, H. (2008), “A Meta-Analysis on the Relationship between </w:t>
      </w:r>
      <w:r w:rsidRPr="00220A38">
        <w:tab/>
        <w:t>Income</w:t>
      </w:r>
      <w:r w:rsidR="007917DB" w:rsidRPr="00220A38">
        <w:t xml:space="preserve"> Inequality and Economic Growth</w:t>
      </w:r>
      <w:r w:rsidRPr="00220A38">
        <w:t>”</w:t>
      </w:r>
      <w:r w:rsidR="007917DB" w:rsidRPr="00220A38">
        <w:t>,</w:t>
      </w:r>
      <w:r w:rsidRPr="00220A38">
        <w:t xml:space="preserve"> </w:t>
      </w:r>
      <w:r w:rsidRPr="00220A38">
        <w:rPr>
          <w:i/>
        </w:rPr>
        <w:t>Scottish Journal of Political Economy</w:t>
      </w:r>
      <w:r w:rsidRPr="00220A38">
        <w:t xml:space="preserve">, 55 (5), </w:t>
      </w:r>
      <w:r w:rsidR="008965CC">
        <w:tab/>
      </w:r>
      <w:r w:rsidRPr="00220A38">
        <w:t>654-682.</w:t>
      </w:r>
    </w:p>
    <w:p w:rsidR="00787BC5" w:rsidRPr="00220A38" w:rsidRDefault="00787BC5" w:rsidP="008C54C4">
      <w:pPr>
        <w:pStyle w:val="NoSpacing"/>
        <w:spacing w:line="276" w:lineRule="auto"/>
        <w:jc w:val="both"/>
      </w:pPr>
      <w:r w:rsidRPr="00220A38">
        <w:t>De La Croix, D. and Doepke, M. (2003), “Inequality and Growth: Why</w:t>
      </w:r>
      <w:r w:rsidR="007917DB" w:rsidRPr="00220A38">
        <w:t xml:space="preserve"> Differential Fertility Matters</w:t>
      </w:r>
      <w:r w:rsidRPr="00220A38">
        <w:t>”</w:t>
      </w:r>
      <w:r w:rsidR="007917DB" w:rsidRPr="00220A38">
        <w:t>,</w:t>
      </w:r>
      <w:r w:rsidRPr="00220A38">
        <w:t xml:space="preserve"> </w:t>
      </w:r>
      <w:r w:rsidRPr="00220A38">
        <w:tab/>
      </w:r>
      <w:r w:rsidRPr="00220A38">
        <w:rPr>
          <w:i/>
        </w:rPr>
        <w:t>American Economic Review</w:t>
      </w:r>
      <w:r w:rsidRPr="00220A38">
        <w:t>, 93 (4), 1091-13.</w:t>
      </w:r>
    </w:p>
    <w:p w:rsidR="0078766B" w:rsidRPr="00220A38" w:rsidRDefault="0078766B" w:rsidP="008C54C4">
      <w:pPr>
        <w:pStyle w:val="NoSpacing"/>
        <w:spacing w:line="276" w:lineRule="auto"/>
        <w:jc w:val="both"/>
      </w:pPr>
      <w:r w:rsidRPr="00220A38">
        <w:t xml:space="preserve">Deaton, </w:t>
      </w:r>
      <w:r w:rsidR="00E44C1F" w:rsidRPr="00220A38">
        <w:t xml:space="preserve">A. (1997), </w:t>
      </w:r>
      <w:proofErr w:type="gramStart"/>
      <w:r w:rsidR="00E44C1F" w:rsidRPr="00220A38">
        <w:rPr>
          <w:i/>
        </w:rPr>
        <w:t>The</w:t>
      </w:r>
      <w:proofErr w:type="gramEnd"/>
      <w:r w:rsidR="00E44C1F" w:rsidRPr="00220A38">
        <w:rPr>
          <w:i/>
        </w:rPr>
        <w:t xml:space="preserve"> Analysis of Household Surveys: A Microec</w:t>
      </w:r>
      <w:r w:rsidR="008965CC">
        <w:rPr>
          <w:i/>
        </w:rPr>
        <w:t>onomic Approach to Development</w:t>
      </w:r>
      <w:r w:rsidR="008965CC">
        <w:rPr>
          <w:i/>
        </w:rPr>
        <w:tab/>
      </w:r>
      <w:r w:rsidR="00E44C1F" w:rsidRPr="00220A38">
        <w:rPr>
          <w:i/>
        </w:rPr>
        <w:t xml:space="preserve"> Policy</w:t>
      </w:r>
      <w:r w:rsidR="00E44C1F" w:rsidRPr="00220A38">
        <w:t>, (Baltimore, Maryland: Johns Hopkins University Press)</w:t>
      </w:r>
      <w:r w:rsidR="008965CC">
        <w:t>.</w:t>
      </w:r>
      <w:r w:rsidR="00E44C1F" w:rsidRPr="00220A38">
        <w:t xml:space="preserve"> </w:t>
      </w:r>
    </w:p>
    <w:p w:rsidR="00787BC5" w:rsidRPr="00220A38" w:rsidRDefault="00787BC5" w:rsidP="008C54C4">
      <w:pPr>
        <w:pStyle w:val="NoSpacing"/>
        <w:spacing w:line="276" w:lineRule="auto"/>
        <w:jc w:val="both"/>
      </w:pPr>
      <w:proofErr w:type="gramStart"/>
      <w:r w:rsidRPr="00220A38">
        <w:t>Deininger, K. and Squire, L. (1996), “A New Dataset Measuring Income Inequality”</w:t>
      </w:r>
      <w:r w:rsidR="007917DB" w:rsidRPr="00220A38">
        <w:t>,</w:t>
      </w:r>
      <w:r w:rsidRPr="00220A38">
        <w:t xml:space="preserve"> </w:t>
      </w:r>
      <w:r w:rsidRPr="00220A38">
        <w:rPr>
          <w:i/>
        </w:rPr>
        <w:t xml:space="preserve">World Bank </w:t>
      </w:r>
      <w:r w:rsidRPr="00220A38">
        <w:rPr>
          <w:i/>
        </w:rPr>
        <w:tab/>
        <w:t>Economic Review</w:t>
      </w:r>
      <w:r w:rsidRPr="00220A38">
        <w:t>, 10 (3), 563-591.</w:t>
      </w:r>
      <w:proofErr w:type="gramEnd"/>
    </w:p>
    <w:p w:rsidR="00787BC5" w:rsidRPr="00220A38" w:rsidRDefault="00787BC5" w:rsidP="008C54C4">
      <w:pPr>
        <w:pStyle w:val="NoSpacing"/>
        <w:spacing w:line="276" w:lineRule="auto"/>
        <w:jc w:val="both"/>
      </w:pPr>
      <w:r w:rsidRPr="00220A38">
        <w:t>Deininger, K. and Squire, L. (1998), “New Ways of Looking at Old Issues: Inequality and Growth”</w:t>
      </w:r>
      <w:r w:rsidR="007917DB" w:rsidRPr="00220A38">
        <w:t>,</w:t>
      </w:r>
      <w:r w:rsidRPr="00220A38">
        <w:t xml:space="preserve"> </w:t>
      </w:r>
      <w:r w:rsidRPr="00220A38">
        <w:tab/>
      </w:r>
      <w:r w:rsidRPr="00220A38">
        <w:rPr>
          <w:i/>
        </w:rPr>
        <w:t>Journal of Development Economics</w:t>
      </w:r>
      <w:r w:rsidRPr="00220A38">
        <w:t>, 57, 259-87.</w:t>
      </w:r>
    </w:p>
    <w:p w:rsidR="00787BC5" w:rsidRPr="00220A38" w:rsidRDefault="00787BC5" w:rsidP="008C54C4">
      <w:pPr>
        <w:pStyle w:val="NoSpacing"/>
        <w:spacing w:line="276" w:lineRule="auto"/>
        <w:jc w:val="both"/>
      </w:pPr>
      <w:proofErr w:type="gramStart"/>
      <w:r w:rsidRPr="00220A38">
        <w:t>Dollar, D. and Kraay, A. (2002</w:t>
      </w:r>
      <w:r w:rsidR="007917DB" w:rsidRPr="00220A38">
        <w:t>), “Growth is Good for the Poor</w:t>
      </w:r>
      <w:r w:rsidRPr="00220A38">
        <w:t>”</w:t>
      </w:r>
      <w:r w:rsidR="007917DB" w:rsidRPr="00220A38">
        <w:t>,</w:t>
      </w:r>
      <w:r w:rsidRPr="00220A38">
        <w:t xml:space="preserve"> </w:t>
      </w:r>
      <w:r w:rsidRPr="00220A38">
        <w:rPr>
          <w:i/>
        </w:rPr>
        <w:t>Journal of Economic Growth</w:t>
      </w:r>
      <w:r w:rsidRPr="00220A38">
        <w:t>, 7 (3),</w:t>
      </w:r>
      <w:r w:rsidR="008965CC">
        <w:tab/>
      </w:r>
      <w:r w:rsidRPr="00220A38">
        <w:t>195-225.</w:t>
      </w:r>
      <w:proofErr w:type="gramEnd"/>
    </w:p>
    <w:p w:rsidR="00787BC5" w:rsidRPr="00220A38" w:rsidRDefault="00787BC5" w:rsidP="008C54C4">
      <w:pPr>
        <w:pStyle w:val="NoSpacing"/>
        <w:spacing w:line="276" w:lineRule="auto"/>
        <w:jc w:val="both"/>
      </w:pPr>
      <w:r w:rsidRPr="00220A38">
        <w:t>Durlauf, S.N., Johnson, P.A. and Temple, R.W. (2005), “Growth Econometrics”</w:t>
      </w:r>
      <w:r w:rsidR="007917DB" w:rsidRPr="00220A38">
        <w:t>,</w:t>
      </w:r>
      <w:r w:rsidRPr="00220A38">
        <w:t xml:space="preserve"> in P. Aghion and</w:t>
      </w:r>
      <w:r w:rsidR="008965CC">
        <w:tab/>
      </w:r>
      <w:r w:rsidRPr="00220A38">
        <w:t>S.N.</w:t>
      </w:r>
      <w:r w:rsidR="008965CC">
        <w:t xml:space="preserve"> </w:t>
      </w:r>
      <w:r w:rsidRPr="00220A38">
        <w:t xml:space="preserve">Durlauf (Eds.), </w:t>
      </w:r>
      <w:r w:rsidRPr="00220A38">
        <w:rPr>
          <w:i/>
        </w:rPr>
        <w:t>Handbook of Economic Growth</w:t>
      </w:r>
      <w:r w:rsidRPr="00220A38">
        <w:t xml:space="preserve"> </w:t>
      </w:r>
      <w:r w:rsidRPr="00220A38">
        <w:rPr>
          <w:i/>
        </w:rPr>
        <w:t>Vol. 1</w:t>
      </w:r>
      <w:r w:rsidRPr="00220A38">
        <w:t xml:space="preserve">, (Amsterdam and Oxford: Elsevier </w:t>
      </w:r>
      <w:r w:rsidRPr="00220A38">
        <w:tab/>
        <w:t>Science).</w:t>
      </w:r>
    </w:p>
    <w:p w:rsidR="00787BC5" w:rsidRPr="00220A38" w:rsidRDefault="00787BC5" w:rsidP="008965CC">
      <w:pPr>
        <w:pStyle w:val="NoSpacing"/>
        <w:spacing w:line="276" w:lineRule="auto"/>
        <w:jc w:val="both"/>
      </w:pPr>
      <w:proofErr w:type="gramStart"/>
      <w:r w:rsidRPr="00220A38">
        <w:t>Easterly, W. (2001), “The Middle Class Consensus and Ec</w:t>
      </w:r>
      <w:r w:rsidR="007917DB" w:rsidRPr="00220A38">
        <w:t>onomic Development</w:t>
      </w:r>
      <w:r w:rsidRPr="00220A38">
        <w:t>”</w:t>
      </w:r>
      <w:r w:rsidR="007917DB" w:rsidRPr="00220A38">
        <w:t>,</w:t>
      </w:r>
      <w:r w:rsidRPr="00220A38">
        <w:t xml:space="preserve"> </w:t>
      </w:r>
      <w:r w:rsidRPr="00220A38">
        <w:rPr>
          <w:i/>
        </w:rPr>
        <w:t>Journal of</w:t>
      </w:r>
      <w:r w:rsidR="008965CC">
        <w:rPr>
          <w:i/>
        </w:rPr>
        <w:tab/>
      </w:r>
      <w:r w:rsidR="008965CC">
        <w:rPr>
          <w:i/>
        </w:rPr>
        <w:tab/>
      </w:r>
      <w:r w:rsidRPr="00220A38">
        <w:rPr>
          <w:i/>
        </w:rPr>
        <w:t xml:space="preserve"> Economic</w:t>
      </w:r>
      <w:r w:rsidR="008965CC">
        <w:rPr>
          <w:i/>
        </w:rPr>
        <w:t xml:space="preserve"> </w:t>
      </w:r>
      <w:r w:rsidRPr="00220A38">
        <w:rPr>
          <w:i/>
        </w:rPr>
        <w:t>Growth</w:t>
      </w:r>
      <w:r w:rsidRPr="00220A38">
        <w:t>, 6, 317-35.</w:t>
      </w:r>
      <w:proofErr w:type="gramEnd"/>
    </w:p>
    <w:p w:rsidR="009650B2" w:rsidRPr="00220A38" w:rsidRDefault="009650B2" w:rsidP="008C54C4">
      <w:pPr>
        <w:pStyle w:val="NoSpacing"/>
        <w:spacing w:line="276" w:lineRule="auto"/>
        <w:jc w:val="both"/>
      </w:pPr>
      <w:r w:rsidRPr="00220A38">
        <w:t xml:space="preserve">Ezcurra, R. (2007), “Is Income Inequality Harmful for Regional Growth? Evidence from the European </w:t>
      </w:r>
      <w:r w:rsidRPr="00220A38">
        <w:tab/>
        <w:t xml:space="preserve">Union”, </w:t>
      </w:r>
      <w:r w:rsidRPr="00220A38">
        <w:rPr>
          <w:i/>
        </w:rPr>
        <w:t>Urban Studies</w:t>
      </w:r>
      <w:r w:rsidRPr="00220A38">
        <w:t>, 44, 1953-1971.</w:t>
      </w:r>
    </w:p>
    <w:p w:rsidR="00787BC5" w:rsidRPr="00220A38" w:rsidRDefault="00787BC5" w:rsidP="008C54C4">
      <w:pPr>
        <w:pStyle w:val="NoSpacing"/>
        <w:spacing w:line="276" w:lineRule="auto"/>
        <w:jc w:val="both"/>
      </w:pPr>
      <w:r w:rsidRPr="00220A38">
        <w:t xml:space="preserve">Fallah, B.N. and Partridge, M.D. (2007), “The Elusive Inequality-Economic Growth Relationship: Are </w:t>
      </w:r>
      <w:r w:rsidRPr="00220A38">
        <w:tab/>
        <w:t>There Differences between Cities and the Countryside”</w:t>
      </w:r>
      <w:r w:rsidR="007917DB" w:rsidRPr="00220A38">
        <w:t>,</w:t>
      </w:r>
      <w:r w:rsidRPr="00220A38">
        <w:t xml:space="preserve"> </w:t>
      </w:r>
      <w:proofErr w:type="gramStart"/>
      <w:r w:rsidRPr="00220A38">
        <w:rPr>
          <w:i/>
        </w:rPr>
        <w:t>The</w:t>
      </w:r>
      <w:proofErr w:type="gramEnd"/>
      <w:r w:rsidRPr="00220A38">
        <w:rPr>
          <w:i/>
        </w:rPr>
        <w:t xml:space="preserve"> Annals of Regional Science</w:t>
      </w:r>
      <w:r w:rsidRPr="00220A38">
        <w:t>,</w:t>
      </w:r>
      <w:r w:rsidR="008965CC">
        <w:tab/>
      </w:r>
      <w:r w:rsidR="008965CC">
        <w:tab/>
      </w:r>
      <w:r w:rsidRPr="00220A38">
        <w:t>41(2),</w:t>
      </w:r>
      <w:r w:rsidR="008965CC">
        <w:t xml:space="preserve"> </w:t>
      </w:r>
      <w:r w:rsidRPr="00220A38">
        <w:t>375-400.</w:t>
      </w:r>
    </w:p>
    <w:p w:rsidR="00787BC5" w:rsidRPr="00220A38" w:rsidRDefault="00787BC5" w:rsidP="008C54C4">
      <w:pPr>
        <w:pStyle w:val="NoSpacing"/>
        <w:spacing w:line="276" w:lineRule="auto"/>
        <w:jc w:val="both"/>
      </w:pPr>
      <w:r w:rsidRPr="00220A38">
        <w:lastRenderedPageBreak/>
        <w:t xml:space="preserve">Fei, J.C.H. and Ranis, G. (1964), </w:t>
      </w:r>
      <w:r w:rsidRPr="00220A38">
        <w:rPr>
          <w:i/>
        </w:rPr>
        <w:t>Development of the Labor Surplus Economy: Theory and Policy</w:t>
      </w:r>
      <w:r w:rsidRPr="00220A38">
        <w:t xml:space="preserve"> </w:t>
      </w:r>
      <w:r w:rsidRPr="00220A38">
        <w:tab/>
        <w:t>(Homewood, Illinois: Richard D. Irwin).</w:t>
      </w:r>
    </w:p>
    <w:p w:rsidR="00787BC5" w:rsidRPr="00220A38" w:rsidRDefault="00787BC5" w:rsidP="008C54C4">
      <w:pPr>
        <w:pStyle w:val="NoSpacing"/>
        <w:spacing w:line="276" w:lineRule="auto"/>
        <w:jc w:val="both"/>
      </w:pPr>
      <w:r w:rsidRPr="00220A38">
        <w:t>Fei, J.C.H., Ranis, G. and Kuo, S.W.Y. (1979</w:t>
      </w:r>
      <w:r w:rsidRPr="00220A38">
        <w:rPr>
          <w:i/>
        </w:rPr>
        <w:t>), Growth with Equity: The Taiwan Case</w:t>
      </w:r>
      <w:r w:rsidRPr="00220A38">
        <w:t xml:space="preserve"> (New York: </w:t>
      </w:r>
      <w:r w:rsidRPr="00220A38">
        <w:tab/>
        <w:t>Oxford University Press).</w:t>
      </w:r>
    </w:p>
    <w:p w:rsidR="00787BC5" w:rsidRPr="00220A38" w:rsidRDefault="00787BC5" w:rsidP="008C54C4">
      <w:pPr>
        <w:pStyle w:val="NoSpacing"/>
        <w:spacing w:line="276" w:lineRule="auto"/>
        <w:jc w:val="both"/>
      </w:pPr>
      <w:r w:rsidRPr="00220A38">
        <w:t>Foellmi, R. and Oechslin, M. (2008), “Why Progressive R</w:t>
      </w:r>
      <w:r w:rsidR="00777093" w:rsidRPr="00220A38">
        <w:t>edistribution Can Hurt the Poor</w:t>
      </w:r>
      <w:r w:rsidRPr="00220A38">
        <w:t>”</w:t>
      </w:r>
      <w:r w:rsidR="00777093" w:rsidRPr="00220A38">
        <w:t>,</w:t>
      </w:r>
      <w:r w:rsidRPr="00220A38">
        <w:t xml:space="preserve"> </w:t>
      </w:r>
      <w:r w:rsidRPr="00220A38">
        <w:rPr>
          <w:i/>
        </w:rPr>
        <w:t xml:space="preserve">Journal of </w:t>
      </w:r>
      <w:r w:rsidRPr="00220A38">
        <w:rPr>
          <w:i/>
        </w:rPr>
        <w:tab/>
        <w:t>Public Economics</w:t>
      </w:r>
      <w:r w:rsidRPr="00220A38">
        <w:t>, 92 (3-4), 738-747.</w:t>
      </w:r>
    </w:p>
    <w:p w:rsidR="00787BC5" w:rsidRPr="00220A38" w:rsidRDefault="00787BC5" w:rsidP="008C54C4">
      <w:pPr>
        <w:pStyle w:val="NoSpacing"/>
        <w:spacing w:line="276" w:lineRule="auto"/>
        <w:jc w:val="both"/>
      </w:pPr>
      <w:r w:rsidRPr="00220A38">
        <w:t>Forbes, K.J. (2000), “A Reassessment of the Relationship between</w:t>
      </w:r>
      <w:r w:rsidR="00777093" w:rsidRPr="00220A38">
        <w:t xml:space="preserve"> Inequality and Economic Growth</w:t>
      </w:r>
      <w:r w:rsidRPr="00220A38">
        <w:t>”</w:t>
      </w:r>
      <w:r w:rsidR="00777093" w:rsidRPr="00220A38">
        <w:t>,</w:t>
      </w:r>
      <w:r w:rsidRPr="00220A38">
        <w:t xml:space="preserve"> </w:t>
      </w:r>
      <w:r w:rsidRPr="00220A38">
        <w:tab/>
      </w:r>
      <w:r w:rsidRPr="00220A38">
        <w:rPr>
          <w:i/>
        </w:rPr>
        <w:t>American Economic Review</w:t>
      </w:r>
      <w:r w:rsidRPr="00220A38">
        <w:t xml:space="preserve"> 90 (4), 869-887.</w:t>
      </w:r>
    </w:p>
    <w:p w:rsidR="007E24ED" w:rsidRPr="00220A38" w:rsidRDefault="007E24ED" w:rsidP="008C54C4">
      <w:pPr>
        <w:pStyle w:val="NoSpacing"/>
        <w:spacing w:line="276" w:lineRule="auto"/>
        <w:jc w:val="both"/>
      </w:pPr>
      <w:r w:rsidRPr="00220A38">
        <w:t xml:space="preserve">Frank, </w:t>
      </w:r>
      <w:r w:rsidR="009650B2" w:rsidRPr="00220A38">
        <w:t xml:space="preserve">M.W. (2009), “Inequality and growth in the United-States: Evidence from a New State-level </w:t>
      </w:r>
      <w:r w:rsidR="008965CC">
        <w:tab/>
      </w:r>
      <w:r w:rsidR="009650B2" w:rsidRPr="00220A38">
        <w:t>Panel</w:t>
      </w:r>
      <w:r w:rsidR="008965CC">
        <w:t xml:space="preserve"> </w:t>
      </w:r>
      <w:r w:rsidR="009650B2" w:rsidRPr="00220A38">
        <w:t xml:space="preserve">of Income Inequality Measures”, </w:t>
      </w:r>
      <w:r w:rsidR="009650B2" w:rsidRPr="00220A38">
        <w:rPr>
          <w:i/>
        </w:rPr>
        <w:t>Economic Inquiry</w:t>
      </w:r>
      <w:r w:rsidR="009650B2" w:rsidRPr="00220A38">
        <w:t>, 47 (1), 55-68.</w:t>
      </w:r>
    </w:p>
    <w:p w:rsidR="00C56DC7" w:rsidRPr="00220A38" w:rsidRDefault="00C56DC7" w:rsidP="008C54C4">
      <w:pPr>
        <w:pStyle w:val="NoSpacing"/>
        <w:spacing w:line="276" w:lineRule="auto"/>
        <w:jc w:val="both"/>
      </w:pPr>
      <w:r w:rsidRPr="00220A38">
        <w:t xml:space="preserve">Friedman, M. (1957), </w:t>
      </w:r>
      <w:proofErr w:type="gramStart"/>
      <w:r w:rsidRPr="00220A38">
        <w:rPr>
          <w:i/>
        </w:rPr>
        <w:t>A</w:t>
      </w:r>
      <w:proofErr w:type="gramEnd"/>
      <w:r w:rsidRPr="00220A38">
        <w:rPr>
          <w:i/>
        </w:rPr>
        <w:t xml:space="preserve"> Theory of Consumption Function</w:t>
      </w:r>
      <w:r w:rsidRPr="00220A38">
        <w:t>, (Princeton: Princeton University Press)</w:t>
      </w:r>
      <w:r w:rsidR="001475DD">
        <w:t>.</w:t>
      </w:r>
    </w:p>
    <w:p w:rsidR="00C56DC7" w:rsidRPr="00220A38" w:rsidRDefault="00C56DC7" w:rsidP="008C54C4">
      <w:pPr>
        <w:pStyle w:val="NoSpacing"/>
        <w:spacing w:line="276" w:lineRule="auto"/>
        <w:jc w:val="both"/>
      </w:pPr>
      <w:proofErr w:type="gramStart"/>
      <w:r w:rsidRPr="00220A38">
        <w:t xml:space="preserve">Galor, O. (2011), “Inequality, Human Capital Formation and the Process of Development”, </w:t>
      </w:r>
      <w:r w:rsidRPr="00220A38">
        <w:rPr>
          <w:i/>
        </w:rPr>
        <w:t xml:space="preserve">NBER </w:t>
      </w:r>
      <w:r w:rsidRPr="00220A38">
        <w:rPr>
          <w:i/>
        </w:rPr>
        <w:tab/>
        <w:t>Working Paper</w:t>
      </w:r>
      <w:r w:rsidRPr="00220A38">
        <w:t>, 17058.</w:t>
      </w:r>
      <w:proofErr w:type="gramEnd"/>
    </w:p>
    <w:p w:rsidR="00C56DC7" w:rsidRPr="00220A38" w:rsidRDefault="00C56DC7" w:rsidP="008C54C4">
      <w:pPr>
        <w:pStyle w:val="NoSpacing"/>
        <w:spacing w:line="276" w:lineRule="auto"/>
        <w:jc w:val="both"/>
      </w:pPr>
      <w:r w:rsidRPr="00220A38">
        <w:t xml:space="preserve">Galor, O. and Moav, O. (2004), “From Physical to Human Capital Accumulation: Inequality and the </w:t>
      </w:r>
      <w:r w:rsidRPr="00220A38">
        <w:tab/>
        <w:t xml:space="preserve">Process of Development”, </w:t>
      </w:r>
      <w:r w:rsidRPr="00220A38">
        <w:rPr>
          <w:i/>
        </w:rPr>
        <w:t>Review of Economic Studies</w:t>
      </w:r>
      <w:r w:rsidRPr="00220A38">
        <w:t>, 71 (4), 1001-26</w:t>
      </w:r>
      <w:r w:rsidR="008965CC">
        <w:t>.</w:t>
      </w:r>
    </w:p>
    <w:p w:rsidR="00787BC5" w:rsidRPr="00220A38" w:rsidRDefault="00787BC5" w:rsidP="008C54C4">
      <w:pPr>
        <w:pStyle w:val="NoSpacing"/>
        <w:spacing w:line="276" w:lineRule="auto"/>
        <w:jc w:val="both"/>
      </w:pPr>
      <w:r w:rsidRPr="00220A38">
        <w:t xml:space="preserve">Galor, O. and Zang, H. (1997), “Fertility, Income Distribution and Economic Growth: Theory and </w:t>
      </w:r>
      <w:r w:rsidR="008965CC">
        <w:tab/>
      </w:r>
      <w:r w:rsidRPr="00220A38">
        <w:t>Cross-Country Evidence”</w:t>
      </w:r>
      <w:r w:rsidR="00777093" w:rsidRPr="00220A38">
        <w:t>,</w:t>
      </w:r>
      <w:r w:rsidRPr="00220A38">
        <w:t xml:space="preserve"> </w:t>
      </w:r>
      <w:r w:rsidRPr="00220A38">
        <w:rPr>
          <w:i/>
        </w:rPr>
        <w:t>Japan and the World Economy</w:t>
      </w:r>
      <w:r w:rsidRPr="00220A38">
        <w:t>, 9 (2) 197-229.</w:t>
      </w:r>
    </w:p>
    <w:p w:rsidR="00787BC5" w:rsidRPr="00220A38" w:rsidRDefault="00787BC5" w:rsidP="008965CC">
      <w:pPr>
        <w:pStyle w:val="NoSpacing"/>
        <w:spacing w:line="276" w:lineRule="auto"/>
        <w:jc w:val="both"/>
      </w:pPr>
      <w:r w:rsidRPr="00220A38">
        <w:t>Galor, O. and Zeira, J. (1993), “Income Distribution and Ma</w:t>
      </w:r>
      <w:r w:rsidR="00777093" w:rsidRPr="00220A38">
        <w:t>croeconomics</w:t>
      </w:r>
      <w:r w:rsidRPr="00220A38">
        <w:t>”</w:t>
      </w:r>
      <w:r w:rsidR="00777093" w:rsidRPr="00220A38">
        <w:t>,</w:t>
      </w:r>
      <w:r w:rsidRPr="00220A38">
        <w:t xml:space="preserve"> </w:t>
      </w:r>
      <w:r w:rsidRPr="00220A38">
        <w:rPr>
          <w:i/>
        </w:rPr>
        <w:t>Review of Economic</w:t>
      </w:r>
      <w:r w:rsidR="008965CC">
        <w:rPr>
          <w:i/>
        </w:rPr>
        <w:tab/>
      </w:r>
      <w:r w:rsidR="008965CC">
        <w:rPr>
          <w:i/>
        </w:rPr>
        <w:tab/>
      </w:r>
      <w:r w:rsidRPr="00220A38">
        <w:rPr>
          <w:i/>
        </w:rPr>
        <w:t xml:space="preserve"> Studies</w:t>
      </w:r>
      <w:r w:rsidR="003B2E40" w:rsidRPr="00220A38">
        <w:t>, 60 (1), 35-52.</w:t>
      </w:r>
    </w:p>
    <w:p w:rsidR="00F442E6" w:rsidRPr="00220A38" w:rsidRDefault="00F442E6" w:rsidP="008965CC">
      <w:pPr>
        <w:pStyle w:val="NoSpacing"/>
        <w:spacing w:line="276" w:lineRule="auto"/>
        <w:jc w:val="both"/>
      </w:pPr>
      <w:r w:rsidRPr="00220A38">
        <w:t>Glomm, G. (1997), “Whatever happened to the Kuznets Curve? Is It Really Upside Down?</w:t>
      </w:r>
      <w:r w:rsidR="00777093" w:rsidRPr="00220A38">
        <w:t xml:space="preserve"> ”,</w:t>
      </w:r>
      <w:r w:rsidRPr="00220A38">
        <w:t xml:space="preserve"> </w:t>
      </w:r>
      <w:r w:rsidRPr="00220A38">
        <w:rPr>
          <w:i/>
        </w:rPr>
        <w:t>Journal</w:t>
      </w:r>
      <w:r w:rsidR="008965CC">
        <w:rPr>
          <w:i/>
        </w:rPr>
        <w:tab/>
      </w:r>
      <w:r w:rsidRPr="00220A38">
        <w:rPr>
          <w:i/>
        </w:rPr>
        <w:t xml:space="preserve"> of</w:t>
      </w:r>
      <w:r w:rsidR="008965CC">
        <w:rPr>
          <w:i/>
        </w:rPr>
        <w:t xml:space="preserve"> </w:t>
      </w:r>
      <w:r w:rsidRPr="00220A38">
        <w:rPr>
          <w:i/>
        </w:rPr>
        <w:t>Income Distribution</w:t>
      </w:r>
      <w:r w:rsidRPr="00220A38">
        <w:t>, 7 (1) 63-87.</w:t>
      </w:r>
    </w:p>
    <w:p w:rsidR="00CF1DAF" w:rsidRPr="00220A38" w:rsidRDefault="00CF1DAF" w:rsidP="008C54C4">
      <w:pPr>
        <w:pStyle w:val="NoSpacing"/>
        <w:spacing w:line="276" w:lineRule="auto"/>
        <w:jc w:val="both"/>
      </w:pPr>
      <w:r w:rsidRPr="00220A38">
        <w:t>Glomm, G. and Ravikumar, B. (</w:t>
      </w:r>
      <w:r w:rsidR="008965CC">
        <w:t>1998), “Increasing Returns, Huma</w:t>
      </w:r>
      <w:r w:rsidRPr="00220A38">
        <w:t xml:space="preserve">n Capital, and the Kuznets Curve”, </w:t>
      </w:r>
      <w:r w:rsidR="008965CC">
        <w:tab/>
      </w:r>
      <w:r w:rsidRPr="00220A38">
        <w:t>Journal of Development Economics, 55 (2), 353-367.</w:t>
      </w:r>
    </w:p>
    <w:p w:rsidR="00B77AB9" w:rsidRPr="00220A38" w:rsidRDefault="00B77AB9" w:rsidP="008C54C4">
      <w:pPr>
        <w:pStyle w:val="NoSpacing"/>
        <w:spacing w:line="276" w:lineRule="auto"/>
        <w:jc w:val="both"/>
      </w:pPr>
      <w:r w:rsidRPr="00220A38">
        <w:t>Hellier, J. and Lambrecht, S. (2012), “Inequality, Growth and Welfare: The Main Links</w:t>
      </w:r>
      <w:r w:rsidR="00777093" w:rsidRPr="00220A38">
        <w:t>”,</w:t>
      </w:r>
      <w:r w:rsidRPr="00220A38">
        <w:t xml:space="preserve"> </w:t>
      </w:r>
      <w:r w:rsidR="003B2E40" w:rsidRPr="00220A38">
        <w:rPr>
          <w:i/>
        </w:rPr>
        <w:t xml:space="preserve">Society for </w:t>
      </w:r>
      <w:r w:rsidR="008965CC">
        <w:rPr>
          <w:i/>
        </w:rPr>
        <w:tab/>
      </w:r>
      <w:r w:rsidR="003B2E40" w:rsidRPr="00220A38">
        <w:rPr>
          <w:i/>
        </w:rPr>
        <w:t>the</w:t>
      </w:r>
      <w:r w:rsidR="008965CC">
        <w:rPr>
          <w:i/>
        </w:rPr>
        <w:t xml:space="preserve"> </w:t>
      </w:r>
      <w:r w:rsidR="003B2E40" w:rsidRPr="00220A38">
        <w:rPr>
          <w:i/>
        </w:rPr>
        <w:t xml:space="preserve">Study of Economic </w:t>
      </w:r>
      <w:proofErr w:type="gramStart"/>
      <w:r w:rsidR="003B2E40" w:rsidRPr="00220A38">
        <w:rPr>
          <w:i/>
        </w:rPr>
        <w:t xml:space="preserve">Inequality  </w:t>
      </w:r>
      <w:r w:rsidR="003B2E40" w:rsidRPr="00220A38">
        <w:t>(</w:t>
      </w:r>
      <w:proofErr w:type="gramEnd"/>
      <w:r w:rsidR="00EC489F" w:rsidRPr="00220A38">
        <w:rPr>
          <w:i/>
        </w:rPr>
        <w:t>ECINEQ</w:t>
      </w:r>
      <w:r w:rsidR="003B2E40" w:rsidRPr="00220A38">
        <w:rPr>
          <w:i/>
        </w:rPr>
        <w:t>)</w:t>
      </w:r>
      <w:r w:rsidR="00EC489F" w:rsidRPr="00220A38">
        <w:rPr>
          <w:i/>
        </w:rPr>
        <w:t>Wo</w:t>
      </w:r>
      <w:r w:rsidR="003B2E40" w:rsidRPr="00220A38">
        <w:rPr>
          <w:i/>
        </w:rPr>
        <w:t>r</w:t>
      </w:r>
      <w:r w:rsidR="00EC489F" w:rsidRPr="00220A38">
        <w:rPr>
          <w:i/>
        </w:rPr>
        <w:t>king Paper</w:t>
      </w:r>
      <w:r w:rsidR="00EC489F" w:rsidRPr="00220A38">
        <w:t>, 258.</w:t>
      </w:r>
    </w:p>
    <w:p w:rsidR="00787BC5" w:rsidRPr="00220A38" w:rsidRDefault="00787BC5" w:rsidP="008C54C4">
      <w:pPr>
        <w:pStyle w:val="NoSpacing"/>
        <w:spacing w:line="276" w:lineRule="auto"/>
        <w:jc w:val="both"/>
      </w:pPr>
      <w:r w:rsidRPr="00220A38">
        <w:t>Kaldor, N. (1956 a), “Alternative theories of distribution</w:t>
      </w:r>
      <w:r w:rsidR="00777093" w:rsidRPr="00220A38">
        <w:t>”,</w:t>
      </w:r>
      <w:r w:rsidRPr="00220A38">
        <w:t xml:space="preserve"> </w:t>
      </w:r>
      <w:r w:rsidRPr="00220A38">
        <w:rPr>
          <w:i/>
        </w:rPr>
        <w:t>Review of Economic Studies</w:t>
      </w:r>
      <w:r w:rsidRPr="00220A38">
        <w:t>, 23 (2), 83-</w:t>
      </w:r>
      <w:r w:rsidR="008965CC">
        <w:tab/>
      </w:r>
      <w:r w:rsidRPr="00220A38">
        <w:t>100.</w:t>
      </w:r>
    </w:p>
    <w:p w:rsidR="00787BC5" w:rsidRPr="00220A38" w:rsidRDefault="00787BC5" w:rsidP="008C54C4">
      <w:pPr>
        <w:pStyle w:val="NoSpacing"/>
        <w:spacing w:line="276" w:lineRule="auto"/>
        <w:jc w:val="both"/>
      </w:pPr>
      <w:proofErr w:type="gramStart"/>
      <w:r w:rsidRPr="00220A38">
        <w:t xml:space="preserve">Kaldor, N. (1956 b), “Economic problems of Chile”, </w:t>
      </w:r>
      <w:r w:rsidRPr="00220A38">
        <w:rPr>
          <w:i/>
        </w:rPr>
        <w:t>ECLA</w:t>
      </w:r>
      <w:r w:rsidRPr="00220A38">
        <w:t>, mimeo.</w:t>
      </w:r>
      <w:proofErr w:type="gramEnd"/>
      <w:r w:rsidRPr="00220A38">
        <w:t xml:space="preserve"> </w:t>
      </w:r>
      <w:proofErr w:type="gramStart"/>
      <w:r w:rsidRPr="00220A38">
        <w:t xml:space="preserve">Also in </w:t>
      </w:r>
      <w:r w:rsidRPr="00220A38">
        <w:rPr>
          <w:i/>
        </w:rPr>
        <w:t>El Trimestre Economico</w:t>
      </w:r>
      <w:r w:rsidRPr="00220A38">
        <w:t xml:space="preserve">, </w:t>
      </w:r>
      <w:r w:rsidRPr="00220A38">
        <w:tab/>
        <w:t>April-June 1959.</w:t>
      </w:r>
      <w:proofErr w:type="gramEnd"/>
    </w:p>
    <w:p w:rsidR="00787BC5" w:rsidRPr="00220A38" w:rsidRDefault="00787BC5" w:rsidP="008C54C4">
      <w:pPr>
        <w:pStyle w:val="NoSpacing"/>
        <w:spacing w:line="276" w:lineRule="auto"/>
        <w:jc w:val="both"/>
      </w:pPr>
      <w:r w:rsidRPr="00220A38">
        <w:t>Kanbur, R. (2000</w:t>
      </w:r>
      <w:proofErr w:type="gramStart"/>
      <w:r w:rsidRPr="00220A38">
        <w:t>) ,</w:t>
      </w:r>
      <w:proofErr w:type="gramEnd"/>
      <w:r w:rsidRPr="00220A38">
        <w:t xml:space="preserve"> “Income Distribution and Development</w:t>
      </w:r>
      <w:r w:rsidR="00777093" w:rsidRPr="00220A38">
        <w:t>”,</w:t>
      </w:r>
      <w:r w:rsidRPr="00220A38">
        <w:t xml:space="preserve">  in A.B. Atkinson and F. Bourguignon </w:t>
      </w:r>
      <w:r w:rsidRPr="00220A38">
        <w:tab/>
        <w:t xml:space="preserve">(Eds.), </w:t>
      </w:r>
      <w:r w:rsidRPr="00220A38">
        <w:rPr>
          <w:i/>
        </w:rPr>
        <w:t>Handbook of Income Distribution</w:t>
      </w:r>
      <w:r w:rsidRPr="00220A38">
        <w:t xml:space="preserve"> (Amsterdam and Oxford: Elsevier Science).</w:t>
      </w:r>
    </w:p>
    <w:p w:rsidR="00787BC5" w:rsidRPr="00220A38" w:rsidRDefault="00787BC5" w:rsidP="008C54C4">
      <w:pPr>
        <w:pStyle w:val="NoSpacing"/>
        <w:spacing w:line="276" w:lineRule="auto"/>
        <w:jc w:val="both"/>
      </w:pPr>
      <w:r w:rsidRPr="00220A38">
        <w:t xml:space="preserve">Keynes, J.M. (1971, Original 1920), </w:t>
      </w:r>
      <w:proofErr w:type="gramStart"/>
      <w:r w:rsidRPr="00220A38">
        <w:rPr>
          <w:i/>
        </w:rPr>
        <w:t>The</w:t>
      </w:r>
      <w:proofErr w:type="gramEnd"/>
      <w:r w:rsidRPr="00220A38">
        <w:rPr>
          <w:i/>
        </w:rPr>
        <w:t xml:space="preserve"> Economic Consequences of Peace</w:t>
      </w:r>
      <w:r w:rsidRPr="00220A38">
        <w:t xml:space="preserve"> (London; Macmillan).</w:t>
      </w:r>
    </w:p>
    <w:p w:rsidR="00787BC5" w:rsidRPr="00220A38" w:rsidRDefault="00787BC5" w:rsidP="008965CC">
      <w:pPr>
        <w:pStyle w:val="NoSpacing"/>
        <w:spacing w:line="276" w:lineRule="auto"/>
        <w:jc w:val="both"/>
      </w:pPr>
      <w:r w:rsidRPr="00220A38">
        <w:t>Knowles, S. (2005), “Inequality and Economic Growth: The Empirical Relationship Reconsidered in</w:t>
      </w:r>
      <w:r w:rsidR="008965CC">
        <w:tab/>
      </w:r>
      <w:r w:rsidRPr="00220A38">
        <w:t>the</w:t>
      </w:r>
      <w:r w:rsidR="008965CC">
        <w:t xml:space="preserve"> </w:t>
      </w:r>
      <w:r w:rsidRPr="00220A38">
        <w:t>Light of Comparable Data</w:t>
      </w:r>
      <w:r w:rsidR="00777093" w:rsidRPr="00220A38">
        <w:t>”,</w:t>
      </w:r>
      <w:r w:rsidRPr="00220A38">
        <w:t xml:space="preserve"> </w:t>
      </w:r>
      <w:r w:rsidRPr="00220A38">
        <w:rPr>
          <w:i/>
        </w:rPr>
        <w:t>Journal of Development Studies</w:t>
      </w:r>
      <w:r w:rsidRPr="00220A38">
        <w:t>, 41, 135-59.</w:t>
      </w:r>
    </w:p>
    <w:p w:rsidR="00787BC5" w:rsidRPr="00220A38" w:rsidRDefault="00787BC5" w:rsidP="008C54C4">
      <w:pPr>
        <w:pStyle w:val="NoSpacing"/>
        <w:spacing w:line="276" w:lineRule="auto"/>
        <w:jc w:val="both"/>
      </w:pPr>
      <w:r w:rsidRPr="00220A38">
        <w:t>Kuznets, S. (1955), “Economic Growth and Income Inequality</w:t>
      </w:r>
      <w:r w:rsidR="00777093" w:rsidRPr="00220A38">
        <w:t>”,</w:t>
      </w:r>
      <w:r w:rsidRPr="00220A38">
        <w:t xml:space="preserve"> </w:t>
      </w:r>
      <w:r w:rsidRPr="00220A38">
        <w:rPr>
          <w:i/>
        </w:rPr>
        <w:t>American Economic Review,</w:t>
      </w:r>
      <w:r w:rsidRPr="00220A38">
        <w:t xml:space="preserve"> 65 (1), </w:t>
      </w:r>
      <w:r w:rsidR="008965CC">
        <w:tab/>
      </w:r>
      <w:r w:rsidRPr="00220A38">
        <w:t>1-29.</w:t>
      </w:r>
    </w:p>
    <w:p w:rsidR="00787BC5" w:rsidRPr="00220A38" w:rsidRDefault="00787BC5" w:rsidP="008C54C4">
      <w:pPr>
        <w:pStyle w:val="NoSpacing"/>
        <w:spacing w:line="276" w:lineRule="auto"/>
        <w:jc w:val="both"/>
      </w:pPr>
      <w:proofErr w:type="gramStart"/>
      <w:r w:rsidRPr="00220A38">
        <w:t>Leoni, T. and Pollan, W. (2003), “The impact of Inequality on Economic Growth</w:t>
      </w:r>
      <w:r w:rsidR="00777093" w:rsidRPr="00220A38">
        <w:t>”,</w:t>
      </w:r>
      <w:r w:rsidRPr="00220A38">
        <w:t xml:space="preserve"> </w:t>
      </w:r>
      <w:r w:rsidRPr="00220A38">
        <w:rPr>
          <w:i/>
        </w:rPr>
        <w:t xml:space="preserve">WIFO Working </w:t>
      </w:r>
      <w:r w:rsidRPr="00220A38">
        <w:rPr>
          <w:i/>
        </w:rPr>
        <w:tab/>
        <w:t>Papers</w:t>
      </w:r>
      <w:r w:rsidRPr="00220A38">
        <w:t>, 211.</w:t>
      </w:r>
      <w:proofErr w:type="gramEnd"/>
    </w:p>
    <w:p w:rsidR="00787BC5" w:rsidRPr="00220A38" w:rsidRDefault="00787BC5" w:rsidP="008C54C4">
      <w:pPr>
        <w:pStyle w:val="NoSpacing"/>
        <w:spacing w:line="276" w:lineRule="auto"/>
        <w:jc w:val="both"/>
      </w:pPr>
      <w:r w:rsidRPr="00220A38">
        <w:t>Lewis, W.A. (1954), “Economic Development with Unlimited Supply of Labor</w:t>
      </w:r>
      <w:r w:rsidR="00777093" w:rsidRPr="00220A38">
        <w:t>”,</w:t>
      </w:r>
      <w:r w:rsidRPr="00220A38">
        <w:t xml:space="preserve"> </w:t>
      </w:r>
      <w:r w:rsidRPr="00220A38">
        <w:rPr>
          <w:i/>
        </w:rPr>
        <w:t>The Manchester</w:t>
      </w:r>
      <w:r w:rsidR="008965CC">
        <w:rPr>
          <w:i/>
        </w:rPr>
        <w:tab/>
      </w:r>
      <w:r w:rsidR="008965CC">
        <w:rPr>
          <w:i/>
        </w:rPr>
        <w:tab/>
      </w:r>
      <w:r w:rsidRPr="00220A38">
        <w:rPr>
          <w:i/>
        </w:rPr>
        <w:t xml:space="preserve"> School </w:t>
      </w:r>
      <w:r w:rsidRPr="00220A38">
        <w:rPr>
          <w:i/>
        </w:rPr>
        <w:tab/>
        <w:t>of Economic and Social Studies</w:t>
      </w:r>
      <w:r w:rsidRPr="00220A38">
        <w:t>, 22(2): 139-191.</w:t>
      </w:r>
    </w:p>
    <w:p w:rsidR="00787BC5" w:rsidRPr="00220A38" w:rsidRDefault="00787BC5" w:rsidP="008C54C4">
      <w:pPr>
        <w:pStyle w:val="NoSpacing"/>
        <w:spacing w:line="276" w:lineRule="auto"/>
        <w:jc w:val="both"/>
      </w:pPr>
      <w:r w:rsidRPr="00220A38">
        <w:t>Lucas, R. (1988), “</w:t>
      </w:r>
      <w:proofErr w:type="gramStart"/>
      <w:r w:rsidRPr="00220A38">
        <w:t>On  the</w:t>
      </w:r>
      <w:proofErr w:type="gramEnd"/>
      <w:r w:rsidRPr="00220A38">
        <w:t xml:space="preserve"> Mechanics of Economic Development</w:t>
      </w:r>
      <w:r w:rsidR="00777093" w:rsidRPr="00220A38">
        <w:t>”,</w:t>
      </w:r>
      <w:r w:rsidRPr="00220A38">
        <w:t xml:space="preserve"> </w:t>
      </w:r>
      <w:r w:rsidRPr="00220A38">
        <w:rPr>
          <w:i/>
        </w:rPr>
        <w:t>Journal of Monetary Economics</w:t>
      </w:r>
      <w:r w:rsidRPr="00220A38">
        <w:t>,</w:t>
      </w:r>
      <w:r w:rsidR="008965CC">
        <w:tab/>
      </w:r>
      <w:r w:rsidRPr="00220A38">
        <w:t>22,</w:t>
      </w:r>
      <w:r w:rsidR="008965CC">
        <w:t xml:space="preserve"> </w:t>
      </w:r>
      <w:r w:rsidRPr="00220A38">
        <w:t>3-42.</w:t>
      </w:r>
    </w:p>
    <w:p w:rsidR="00787BC5" w:rsidRDefault="00787BC5" w:rsidP="008C54C4">
      <w:pPr>
        <w:pStyle w:val="NoSpacing"/>
        <w:spacing w:line="276" w:lineRule="auto"/>
        <w:jc w:val="both"/>
      </w:pPr>
      <w:r w:rsidRPr="00220A38">
        <w:t>Mahy, B., Rycx, F. and Volral, M. (2011), “Does Wage Dispersion Make All Firms Productive</w:t>
      </w:r>
      <w:proofErr w:type="gramStart"/>
      <w:r w:rsidRPr="00220A38">
        <w:t>?</w:t>
      </w:r>
      <w:r w:rsidR="008965CC">
        <w:t xml:space="preserve"> ”</w:t>
      </w:r>
      <w:proofErr w:type="gramEnd"/>
      <w:r w:rsidR="008965CC">
        <w:t>,</w:t>
      </w:r>
      <w:r w:rsidR="008965CC">
        <w:tab/>
      </w:r>
      <w:r w:rsidR="00777093" w:rsidRPr="00220A38">
        <w:rPr>
          <w:i/>
        </w:rPr>
        <w:t xml:space="preserve">Scottish </w:t>
      </w:r>
      <w:r w:rsidRPr="00220A38">
        <w:rPr>
          <w:i/>
        </w:rPr>
        <w:t>Journal of Political Economy</w:t>
      </w:r>
      <w:r w:rsidRPr="00220A38">
        <w:t>, 113 (487), 326-44.</w:t>
      </w:r>
    </w:p>
    <w:p w:rsidR="008D757B" w:rsidRPr="00220A38" w:rsidRDefault="008D757B" w:rsidP="008C54C4">
      <w:pPr>
        <w:pStyle w:val="NoSpacing"/>
        <w:spacing w:line="276" w:lineRule="auto"/>
        <w:jc w:val="both"/>
      </w:pPr>
      <w:r>
        <w:t xml:space="preserve">Mattear, A. (2007), “Equity in Education: Tensions between Policy and Practice”, </w:t>
      </w:r>
      <w:r w:rsidRPr="008D757B">
        <w:rPr>
          <w:i/>
        </w:rPr>
        <w:t>International</w:t>
      </w:r>
      <w:r w:rsidR="008965CC">
        <w:rPr>
          <w:i/>
        </w:rPr>
        <w:tab/>
      </w:r>
      <w:r w:rsidR="008965CC">
        <w:rPr>
          <w:i/>
        </w:rPr>
        <w:tab/>
      </w:r>
      <w:r w:rsidRPr="008D757B">
        <w:rPr>
          <w:i/>
        </w:rPr>
        <w:t xml:space="preserve"> Journal of Educational Development</w:t>
      </w:r>
      <w:r>
        <w:t>, 27, 101-112.</w:t>
      </w:r>
    </w:p>
    <w:p w:rsidR="00787BC5" w:rsidRPr="00220A38" w:rsidRDefault="00787BC5" w:rsidP="008C54C4">
      <w:pPr>
        <w:pStyle w:val="NoSpacing"/>
        <w:spacing w:line="276" w:lineRule="auto"/>
        <w:jc w:val="both"/>
      </w:pPr>
      <w:r w:rsidRPr="00220A38">
        <w:t>Mirlees, J.A. (1971), “Exploration in Theory of Optimum Income Taxation</w:t>
      </w:r>
      <w:r w:rsidR="00777093" w:rsidRPr="00220A38">
        <w:t>”,</w:t>
      </w:r>
      <w:r w:rsidRPr="00220A38">
        <w:t xml:space="preserve"> Review of Economic </w:t>
      </w:r>
      <w:r w:rsidRPr="00220A38">
        <w:tab/>
        <w:t>Studies, 38 (114), 175-208.</w:t>
      </w:r>
    </w:p>
    <w:p w:rsidR="00787BC5" w:rsidRPr="00220A38" w:rsidRDefault="00787BC5" w:rsidP="001475DD">
      <w:pPr>
        <w:pStyle w:val="NoSpacing"/>
        <w:spacing w:line="276" w:lineRule="auto"/>
        <w:jc w:val="both"/>
      </w:pPr>
      <w:r w:rsidRPr="00220A38">
        <w:lastRenderedPageBreak/>
        <w:t>Moav, O. (2005), “Cheap Children and the Persistence of Poverty</w:t>
      </w:r>
      <w:r w:rsidR="00777093" w:rsidRPr="00220A38">
        <w:t>”,</w:t>
      </w:r>
      <w:r w:rsidRPr="00220A38">
        <w:t xml:space="preserve"> </w:t>
      </w:r>
      <w:r w:rsidRPr="00220A38">
        <w:rPr>
          <w:i/>
        </w:rPr>
        <w:t>Economic Journal</w:t>
      </w:r>
      <w:r w:rsidRPr="00220A38">
        <w:t>, 115, 88-110.</w:t>
      </w:r>
    </w:p>
    <w:p w:rsidR="00787BC5" w:rsidRPr="00220A38" w:rsidRDefault="00787BC5" w:rsidP="001475DD">
      <w:pPr>
        <w:pStyle w:val="NoSpacing"/>
        <w:spacing w:line="276" w:lineRule="auto"/>
        <w:jc w:val="both"/>
      </w:pPr>
      <w:r w:rsidRPr="00220A38">
        <w:t xml:space="preserve">Moran, T.P. (2005), “Kuznets’s Inverted U-Curve Hypothesis: The Rise, Demise and Continued </w:t>
      </w:r>
      <w:r w:rsidRPr="00220A38">
        <w:tab/>
        <w:t>Relevance of a Socioeconomic Law</w:t>
      </w:r>
      <w:r w:rsidR="00777093" w:rsidRPr="00220A38">
        <w:t>”,</w:t>
      </w:r>
      <w:r w:rsidRPr="00220A38">
        <w:t xml:space="preserve"> </w:t>
      </w:r>
      <w:r w:rsidRPr="00220A38">
        <w:rPr>
          <w:i/>
        </w:rPr>
        <w:t>Sociological Forum</w:t>
      </w:r>
      <w:r w:rsidRPr="00220A38">
        <w:t>, 20 (2), 209-44.</w:t>
      </w:r>
    </w:p>
    <w:p w:rsidR="00787BC5" w:rsidRPr="00220A38" w:rsidRDefault="00787BC5" w:rsidP="001475DD">
      <w:pPr>
        <w:pStyle w:val="NoSpacing"/>
        <w:spacing w:line="276" w:lineRule="auto"/>
        <w:jc w:val="both"/>
      </w:pPr>
      <w:r w:rsidRPr="00220A38">
        <w:t>Nunez, J.I. and Miranda, L. (2010), “Intergenerational Income Mobility in a Less-Developed, High-</w:t>
      </w:r>
      <w:r w:rsidRPr="00220A38">
        <w:tab/>
        <w:t xml:space="preserve">Inequality Context: The Case of Chile”, </w:t>
      </w:r>
      <w:r w:rsidRPr="00220A38">
        <w:rPr>
          <w:i/>
        </w:rPr>
        <w:t>B.E. Journal of Economic Analysis and Policy</w:t>
      </w:r>
      <w:r w:rsidRPr="00220A38">
        <w:t>, 10 (1),</w:t>
      </w:r>
      <w:r w:rsidR="008965CC">
        <w:tab/>
      </w:r>
      <w:r w:rsidRPr="00220A38">
        <w:t>33.</w:t>
      </w:r>
    </w:p>
    <w:p w:rsidR="00787BC5" w:rsidRPr="00220A38" w:rsidRDefault="00787BC5" w:rsidP="001475DD">
      <w:pPr>
        <w:pStyle w:val="NoSpacing"/>
        <w:spacing w:line="276" w:lineRule="auto"/>
        <w:jc w:val="both"/>
      </w:pPr>
      <w:r w:rsidRPr="00220A38">
        <w:t xml:space="preserve">OECD (2011), </w:t>
      </w:r>
      <w:r w:rsidRPr="00220A38">
        <w:rPr>
          <w:i/>
        </w:rPr>
        <w:t xml:space="preserve">Maintaining </w:t>
      </w:r>
      <w:r w:rsidR="005746D2" w:rsidRPr="00220A38">
        <w:rPr>
          <w:i/>
        </w:rPr>
        <w:t>Momentum: OECD Perspectives on Policy C</w:t>
      </w:r>
      <w:r w:rsidRPr="00220A38">
        <w:rPr>
          <w:i/>
        </w:rPr>
        <w:t>hallenges in Chile</w:t>
      </w:r>
      <w:r w:rsidRPr="00220A38">
        <w:t xml:space="preserve"> (</w:t>
      </w:r>
      <w:r w:rsidR="008965CC">
        <w:t>Paris</w:t>
      </w:r>
      <w:r w:rsidR="0090147E">
        <w:t>:</w:t>
      </w:r>
      <w:r w:rsidR="008965CC">
        <w:tab/>
      </w:r>
      <w:r w:rsidRPr="00220A38">
        <w:t>OECD</w:t>
      </w:r>
      <w:r w:rsidRPr="00220A38">
        <w:tab/>
        <w:t>Publishing).</w:t>
      </w:r>
    </w:p>
    <w:p w:rsidR="0090147E" w:rsidRDefault="00D471CC" w:rsidP="001475DD">
      <w:pPr>
        <w:pStyle w:val="NoSpacing"/>
        <w:spacing w:line="276" w:lineRule="auto"/>
        <w:jc w:val="both"/>
      </w:pPr>
      <w:r w:rsidRPr="00220A38">
        <w:t xml:space="preserve">OECD </w:t>
      </w:r>
      <w:r w:rsidR="005746D2" w:rsidRPr="00220A38">
        <w:t xml:space="preserve">(2009), </w:t>
      </w:r>
      <w:r w:rsidR="005746D2" w:rsidRPr="00220A38">
        <w:rPr>
          <w:i/>
        </w:rPr>
        <w:t>OECD Territorial Reviews: Chile</w:t>
      </w:r>
      <w:r w:rsidR="005746D2" w:rsidRPr="00220A38">
        <w:t xml:space="preserve"> </w:t>
      </w:r>
      <w:r w:rsidR="008965CC">
        <w:t>(Paris</w:t>
      </w:r>
      <w:r w:rsidR="0090147E">
        <w:t xml:space="preserve">: </w:t>
      </w:r>
      <w:r w:rsidR="0090147E" w:rsidRPr="00220A38">
        <w:t>OECD</w:t>
      </w:r>
      <w:r w:rsidR="008965CC">
        <w:t xml:space="preserve"> </w:t>
      </w:r>
      <w:r w:rsidR="0090147E" w:rsidRPr="00220A38">
        <w:tab/>
        <w:t>Publishing)</w:t>
      </w:r>
    </w:p>
    <w:p w:rsidR="00787BC5" w:rsidRPr="00220A38" w:rsidRDefault="00787BC5" w:rsidP="001475DD">
      <w:pPr>
        <w:pStyle w:val="NoSpacing"/>
        <w:spacing w:line="276" w:lineRule="auto"/>
        <w:jc w:val="both"/>
      </w:pPr>
      <w:r w:rsidRPr="00220A38">
        <w:t>Panizza, U.  (2002), “Income Inequality and Economic Growth: Evidence from American Data</w:t>
      </w:r>
      <w:r w:rsidR="00777093" w:rsidRPr="00220A38">
        <w:t>”,</w:t>
      </w:r>
      <w:r w:rsidR="008965CC">
        <w:tab/>
      </w:r>
      <w:r w:rsidRPr="00220A38">
        <w:rPr>
          <w:i/>
        </w:rPr>
        <w:t>Journal</w:t>
      </w:r>
      <w:r w:rsidR="008965CC">
        <w:rPr>
          <w:i/>
        </w:rPr>
        <w:t xml:space="preserve"> </w:t>
      </w:r>
      <w:r w:rsidR="00C56DC7" w:rsidRPr="00220A38">
        <w:rPr>
          <w:i/>
        </w:rPr>
        <w:t xml:space="preserve">of </w:t>
      </w:r>
      <w:r w:rsidRPr="00220A38">
        <w:rPr>
          <w:i/>
        </w:rPr>
        <w:t>Economic Growth</w:t>
      </w:r>
      <w:r w:rsidRPr="00220A38">
        <w:t>, 7 (1), 25-41.</w:t>
      </w:r>
    </w:p>
    <w:p w:rsidR="00787BC5" w:rsidRPr="00220A38" w:rsidRDefault="00787BC5" w:rsidP="001475DD">
      <w:pPr>
        <w:pStyle w:val="NoSpacing"/>
        <w:spacing w:line="276" w:lineRule="auto"/>
        <w:jc w:val="both"/>
      </w:pPr>
      <w:r w:rsidRPr="00220A38">
        <w:t>Partridge, M.D. (1997), “Is Inequality Harmful for Growth? Comment</w:t>
      </w:r>
      <w:r w:rsidR="00777093" w:rsidRPr="00220A38">
        <w:t>”,</w:t>
      </w:r>
      <w:r w:rsidRPr="00220A38">
        <w:t xml:space="preserve"> </w:t>
      </w:r>
      <w:proofErr w:type="gramStart"/>
      <w:r w:rsidRPr="00220A38">
        <w:rPr>
          <w:i/>
        </w:rPr>
        <w:t>The</w:t>
      </w:r>
      <w:proofErr w:type="gramEnd"/>
      <w:r w:rsidRPr="00220A38">
        <w:rPr>
          <w:i/>
        </w:rPr>
        <w:t xml:space="preserve"> American Economic</w:t>
      </w:r>
      <w:r w:rsidR="008965CC">
        <w:rPr>
          <w:i/>
        </w:rPr>
        <w:tab/>
      </w:r>
      <w:r w:rsidRPr="00220A38">
        <w:rPr>
          <w:i/>
        </w:rPr>
        <w:t>Review</w:t>
      </w:r>
      <w:r w:rsidRPr="00220A38">
        <w:t>,</w:t>
      </w:r>
      <w:r w:rsidR="008965CC">
        <w:t xml:space="preserve"> </w:t>
      </w:r>
      <w:r w:rsidRPr="00220A38">
        <w:t>87 (5), 1019-1032.</w:t>
      </w:r>
    </w:p>
    <w:p w:rsidR="00787BC5" w:rsidRPr="00220A38" w:rsidRDefault="00787BC5" w:rsidP="001475DD">
      <w:pPr>
        <w:pStyle w:val="NoSpacing"/>
        <w:spacing w:line="276" w:lineRule="auto"/>
        <w:jc w:val="both"/>
      </w:pPr>
      <w:r w:rsidRPr="00220A38">
        <w:t>Partridge, M.D. (2005),” Does income distribution affect US State economic growth?</w:t>
      </w:r>
      <w:r w:rsidR="00777093" w:rsidRPr="00220A38">
        <w:t xml:space="preserve"> ”,</w:t>
      </w:r>
      <w:r w:rsidRPr="00220A38">
        <w:t xml:space="preserve"> </w:t>
      </w:r>
      <w:r w:rsidRPr="00220A38">
        <w:rPr>
          <w:i/>
        </w:rPr>
        <w:t xml:space="preserve">Journal of </w:t>
      </w:r>
      <w:r w:rsidRPr="00220A38">
        <w:rPr>
          <w:i/>
        </w:rPr>
        <w:tab/>
        <w:t>Regional Science</w:t>
      </w:r>
      <w:r w:rsidRPr="00220A38">
        <w:t>, 45, 363-394.</w:t>
      </w:r>
    </w:p>
    <w:p w:rsidR="00787BC5" w:rsidRDefault="00787BC5" w:rsidP="001475DD">
      <w:pPr>
        <w:pStyle w:val="NoSpacing"/>
        <w:spacing w:line="276" w:lineRule="auto"/>
        <w:jc w:val="both"/>
      </w:pPr>
      <w:r w:rsidRPr="00220A38">
        <w:t>Persson, T. and Tabellini, G. (1994), “Is Inequality Harmful for Growth</w:t>
      </w:r>
      <w:r w:rsidR="00777093" w:rsidRPr="00220A38">
        <w:t>”,</w:t>
      </w:r>
      <w:r w:rsidRPr="00220A38">
        <w:t xml:space="preserve"> </w:t>
      </w:r>
      <w:r w:rsidRPr="00220A38">
        <w:rPr>
          <w:i/>
        </w:rPr>
        <w:t>American Economic Review</w:t>
      </w:r>
      <w:r w:rsidR="008965CC">
        <w:t>,</w:t>
      </w:r>
      <w:r w:rsidR="008965CC">
        <w:tab/>
        <w:t xml:space="preserve">84, </w:t>
      </w:r>
      <w:r w:rsidRPr="00220A38">
        <w:t>600-621.</w:t>
      </w:r>
    </w:p>
    <w:p w:rsidR="00BE7359" w:rsidRPr="00220A38" w:rsidRDefault="00BE7359" w:rsidP="001475DD">
      <w:pPr>
        <w:pStyle w:val="NoSpacing"/>
        <w:spacing w:line="276" w:lineRule="auto"/>
        <w:jc w:val="both"/>
      </w:pPr>
      <w:r>
        <w:t xml:space="preserve">Pindyck, R.S. and Rubinfeld, D.L. (1998), </w:t>
      </w:r>
      <w:r>
        <w:rPr>
          <w:i/>
        </w:rPr>
        <w:t>Econometric Models and Economic Forecasts</w:t>
      </w:r>
      <w:r w:rsidRPr="00220A38">
        <w:rPr>
          <w:i/>
        </w:rPr>
        <w:t xml:space="preserve">, </w:t>
      </w:r>
      <w:r w:rsidRPr="00220A38">
        <w:t>(</w:t>
      </w:r>
      <w:r>
        <w:t>Singapore</w:t>
      </w:r>
      <w:r w:rsidRPr="00220A38">
        <w:t>:</w:t>
      </w:r>
      <w:r w:rsidR="008965CC">
        <w:tab/>
      </w:r>
      <w:r>
        <w:t>McGraw-Hill</w:t>
      </w:r>
      <w:r w:rsidRPr="00220A38">
        <w:t>).</w:t>
      </w:r>
    </w:p>
    <w:p w:rsidR="00787BC5" w:rsidRPr="00220A38" w:rsidRDefault="00787BC5" w:rsidP="001475DD">
      <w:pPr>
        <w:pStyle w:val="NoSpacing"/>
        <w:spacing w:line="276" w:lineRule="auto"/>
        <w:jc w:val="both"/>
      </w:pPr>
      <w:proofErr w:type="gramStart"/>
      <w:r w:rsidRPr="00220A38">
        <w:t>Pizzolito, G. (2005</w:t>
      </w:r>
      <w:r w:rsidR="00761EAC" w:rsidRPr="00220A38">
        <w:t>a</w:t>
      </w:r>
      <w:r w:rsidRPr="00220A38">
        <w:t xml:space="preserve">), “Monitoring Socio-Economic Conditions in Chile”, </w:t>
      </w:r>
      <w:r w:rsidRPr="00220A38">
        <w:rPr>
          <w:i/>
        </w:rPr>
        <w:t>CEDLAS (World Bank)</w:t>
      </w:r>
      <w:r w:rsidR="00761EAC" w:rsidRPr="00220A38">
        <w:rPr>
          <w:i/>
        </w:rPr>
        <w:tab/>
      </w:r>
      <w:r w:rsidRPr="00220A38">
        <w:rPr>
          <w:i/>
        </w:rPr>
        <w:t>Working Paper</w:t>
      </w:r>
      <w:r w:rsidRPr="00220A38">
        <w:t>, 24.</w:t>
      </w:r>
      <w:proofErr w:type="gramEnd"/>
    </w:p>
    <w:p w:rsidR="00787BC5" w:rsidRPr="00220A38" w:rsidRDefault="00787BC5" w:rsidP="001475DD">
      <w:pPr>
        <w:pStyle w:val="NoSpacing"/>
        <w:spacing w:line="276" w:lineRule="auto"/>
        <w:jc w:val="both"/>
      </w:pPr>
      <w:r w:rsidRPr="00220A38">
        <w:t>Pizzolito, G. (2005</w:t>
      </w:r>
      <w:r w:rsidR="00761EAC" w:rsidRPr="00220A38">
        <w:t>b</w:t>
      </w:r>
      <w:r w:rsidRPr="00220A38">
        <w:t>), “Poverty and Inequality in Chile: Methodological Issues and a Literature</w:t>
      </w:r>
      <w:r w:rsidR="008965CC">
        <w:tab/>
      </w:r>
      <w:r w:rsidRPr="00220A38">
        <w:t>R</w:t>
      </w:r>
      <w:r w:rsidR="00802A19" w:rsidRPr="00220A38">
        <w:t>eview</w:t>
      </w:r>
      <w:r w:rsidR="00777093" w:rsidRPr="00220A38">
        <w:t>”,</w:t>
      </w:r>
      <w:r w:rsidR="008965CC">
        <w:t xml:space="preserve"> </w:t>
      </w:r>
      <w:r w:rsidRPr="00220A38">
        <w:t>CEDLAS (World Bank) Working paper, 22.</w:t>
      </w:r>
    </w:p>
    <w:p w:rsidR="00660067" w:rsidRPr="00220A38" w:rsidRDefault="00660067" w:rsidP="001475DD">
      <w:pPr>
        <w:pStyle w:val="NoSpacing"/>
        <w:spacing w:line="276" w:lineRule="auto"/>
        <w:jc w:val="both"/>
        <w:rPr>
          <w:i/>
        </w:rPr>
      </w:pPr>
      <w:r w:rsidRPr="00220A38">
        <w:t>Ravallion, M. (1995), “Growth and Poverty: Evidence for Developing Countries in the 1980’s”,</w:t>
      </w:r>
      <w:r w:rsidR="008965CC">
        <w:tab/>
      </w:r>
      <w:r w:rsidRPr="00220A38">
        <w:rPr>
          <w:i/>
        </w:rPr>
        <w:t xml:space="preserve">Economics Letters, </w:t>
      </w:r>
      <w:r w:rsidRPr="00220A38">
        <w:t>48, 411-417</w:t>
      </w:r>
    </w:p>
    <w:p w:rsidR="00787BC5" w:rsidRPr="00220A38" w:rsidRDefault="00787BC5" w:rsidP="001475DD">
      <w:pPr>
        <w:pStyle w:val="NoSpacing"/>
        <w:spacing w:line="276" w:lineRule="auto"/>
        <w:jc w:val="both"/>
      </w:pPr>
      <w:r w:rsidRPr="00220A38">
        <w:t xml:space="preserve">Ricardo, D. (1965, Original 1817), </w:t>
      </w:r>
      <w:proofErr w:type="gramStart"/>
      <w:r w:rsidRPr="00220A38">
        <w:rPr>
          <w:i/>
        </w:rPr>
        <w:t>The</w:t>
      </w:r>
      <w:proofErr w:type="gramEnd"/>
      <w:r w:rsidRPr="00220A38">
        <w:rPr>
          <w:i/>
        </w:rPr>
        <w:t xml:space="preserve"> Principles of Economy and Taxation, </w:t>
      </w:r>
      <w:r w:rsidRPr="00220A38">
        <w:t xml:space="preserve">(London: J.M. Dent and </w:t>
      </w:r>
      <w:r w:rsidRPr="00220A38">
        <w:tab/>
        <w:t>Sons).</w:t>
      </w:r>
    </w:p>
    <w:p w:rsidR="00787BC5" w:rsidRPr="00220A38" w:rsidRDefault="00787BC5" w:rsidP="001475DD">
      <w:pPr>
        <w:pStyle w:val="NoSpacing"/>
        <w:spacing w:line="276" w:lineRule="auto"/>
        <w:jc w:val="both"/>
      </w:pPr>
      <w:r w:rsidRPr="00220A38">
        <w:t>Robinson, S. (1976</w:t>
      </w:r>
      <w:proofErr w:type="gramStart"/>
      <w:r w:rsidRPr="00220A38">
        <w:t>) ,</w:t>
      </w:r>
      <w:proofErr w:type="gramEnd"/>
      <w:r w:rsidRPr="00220A38">
        <w:t xml:space="preserve"> “A Note on the U-Hypothesis Relating Income Inequality and Economic </w:t>
      </w:r>
      <w:r w:rsidRPr="00220A38">
        <w:tab/>
        <w:t>Development</w:t>
      </w:r>
      <w:r w:rsidR="00777093" w:rsidRPr="00220A38">
        <w:t>”,</w:t>
      </w:r>
      <w:r w:rsidRPr="00220A38">
        <w:t xml:space="preserve"> </w:t>
      </w:r>
      <w:r w:rsidRPr="00220A38">
        <w:rPr>
          <w:i/>
        </w:rPr>
        <w:t>American Economic Review</w:t>
      </w:r>
      <w:r w:rsidRPr="00220A38">
        <w:t>, 66, 437-440.</w:t>
      </w:r>
    </w:p>
    <w:p w:rsidR="00787BC5" w:rsidRPr="00220A38" w:rsidRDefault="00787BC5" w:rsidP="001475DD">
      <w:pPr>
        <w:pStyle w:val="NoSpacing"/>
        <w:spacing w:line="276" w:lineRule="auto"/>
        <w:jc w:val="both"/>
      </w:pPr>
      <w:r w:rsidRPr="00220A38">
        <w:t xml:space="preserve">Rodriquez, C. (2000), “An Empirical Test of the Institutionalist View on Income Inequality: Economic </w:t>
      </w:r>
      <w:r w:rsidRPr="00220A38">
        <w:tab/>
        <w:t>Growth in the United States</w:t>
      </w:r>
      <w:r w:rsidR="00777093" w:rsidRPr="00220A38">
        <w:t>”,</w:t>
      </w:r>
      <w:r w:rsidRPr="00220A38">
        <w:t xml:space="preserve"> </w:t>
      </w:r>
      <w:r w:rsidRPr="00220A38">
        <w:rPr>
          <w:i/>
        </w:rPr>
        <w:t>American Journal of Economics and Sociology</w:t>
      </w:r>
      <w:r w:rsidRPr="00220A38">
        <w:t>,</w:t>
      </w:r>
      <w:r w:rsidR="001475DD">
        <w:t xml:space="preserve"> 59 (2), 30</w:t>
      </w:r>
      <w:r w:rsidRPr="00220A38">
        <w:t>3</w:t>
      </w:r>
      <w:r w:rsidR="008965CC">
        <w:tab/>
      </w:r>
      <w:r w:rsidR="001475DD">
        <w:t>-</w:t>
      </w:r>
      <w:r w:rsidR="001475DD">
        <w:tab/>
        <w:t>3</w:t>
      </w:r>
      <w:r w:rsidRPr="00220A38">
        <w:t>13.</w:t>
      </w:r>
    </w:p>
    <w:p w:rsidR="00787BC5" w:rsidRPr="00220A38" w:rsidRDefault="00787BC5" w:rsidP="001475DD">
      <w:pPr>
        <w:pStyle w:val="NoSpacing"/>
        <w:spacing w:line="276" w:lineRule="auto"/>
        <w:jc w:val="both"/>
      </w:pPr>
      <w:r w:rsidRPr="00220A38">
        <w:t>Romer, P. (1986), “Increasing Returns and Long-Run Growth</w:t>
      </w:r>
      <w:r w:rsidR="00777093" w:rsidRPr="00220A38">
        <w:t>”,</w:t>
      </w:r>
      <w:r w:rsidRPr="00220A38">
        <w:t xml:space="preserve"> </w:t>
      </w:r>
      <w:r w:rsidRPr="00220A38">
        <w:rPr>
          <w:i/>
        </w:rPr>
        <w:t>Journal of Political Economy</w:t>
      </w:r>
      <w:r w:rsidRPr="00220A38">
        <w:t>, 94,</w:t>
      </w:r>
      <w:r w:rsidR="001475DD">
        <w:tab/>
      </w:r>
      <w:r w:rsidRPr="00220A38">
        <w:t>1002-1037.</w:t>
      </w:r>
    </w:p>
    <w:p w:rsidR="00787BC5" w:rsidRPr="00220A38" w:rsidRDefault="00787BC5" w:rsidP="001475DD">
      <w:pPr>
        <w:pStyle w:val="NoSpacing"/>
        <w:spacing w:line="276" w:lineRule="auto"/>
        <w:jc w:val="both"/>
      </w:pPr>
      <w:r w:rsidRPr="00220A38">
        <w:t xml:space="preserve">Rooth, D. and Stenberg, A. (2012), “The Shape of the Income Distribution and Economic Growth: </w:t>
      </w:r>
      <w:r w:rsidRPr="00220A38">
        <w:tab/>
        <w:t>Evidence from Swedish Labor Market Regions</w:t>
      </w:r>
      <w:r w:rsidR="00777093" w:rsidRPr="00220A38">
        <w:t>”,</w:t>
      </w:r>
      <w:r w:rsidRPr="00220A38">
        <w:t xml:space="preserve"> </w:t>
      </w:r>
      <w:r w:rsidRPr="00220A38">
        <w:rPr>
          <w:i/>
        </w:rPr>
        <w:t>Scottish Journal of Political Economy</w:t>
      </w:r>
      <w:r w:rsidRPr="00220A38">
        <w:t>, 59</w:t>
      </w:r>
      <w:r w:rsidR="008965CC">
        <w:tab/>
      </w:r>
      <w:r w:rsidRPr="00220A38">
        <w:t>(2), 196-223.</w:t>
      </w:r>
    </w:p>
    <w:p w:rsidR="009650B2" w:rsidRPr="00220A38" w:rsidRDefault="009650B2" w:rsidP="001475DD">
      <w:pPr>
        <w:pStyle w:val="NoSpacing"/>
        <w:spacing w:line="276" w:lineRule="auto"/>
        <w:jc w:val="both"/>
      </w:pPr>
      <w:r w:rsidRPr="00220A38">
        <w:t>Rodriguez-Pose, A., Tselios, V. (2010), “Inequalities in Income and Education and Regional Growth</w:t>
      </w:r>
      <w:r w:rsidR="008965CC">
        <w:tab/>
      </w:r>
      <w:r w:rsidRPr="00220A38">
        <w:t xml:space="preserve">in Western Europe”, </w:t>
      </w:r>
      <w:r w:rsidRPr="00220A38">
        <w:rPr>
          <w:i/>
        </w:rPr>
        <w:t>Annals of Regional Science</w:t>
      </w:r>
      <w:r w:rsidRPr="00220A38">
        <w:t>, 44, 349-375</w:t>
      </w:r>
      <w:r w:rsidR="00AF391D" w:rsidRPr="00220A38">
        <w:t>.</w:t>
      </w:r>
    </w:p>
    <w:p w:rsidR="00C56DC7" w:rsidRPr="00220A38" w:rsidRDefault="00C56DC7" w:rsidP="001475DD">
      <w:pPr>
        <w:pStyle w:val="NoSpacing"/>
        <w:spacing w:line="276" w:lineRule="auto"/>
        <w:jc w:val="both"/>
      </w:pPr>
      <w:r w:rsidRPr="00220A38">
        <w:t>Sachs, J., McArthur, J., Scmidt-Traub, G., Kruk, M., Bahadur,</w:t>
      </w:r>
      <w:r w:rsidR="001475DD">
        <w:t xml:space="preserve"> C., Faye, M., McCord, G. (2004),</w:t>
      </w:r>
      <w:r w:rsidR="008965CC">
        <w:tab/>
      </w:r>
      <w:r w:rsidRPr="00220A38">
        <w:t xml:space="preserve">“Ending </w:t>
      </w:r>
      <w:r w:rsidR="004705F5">
        <w:t>Africa’</w:t>
      </w:r>
      <w:r w:rsidRPr="00220A38">
        <w:t xml:space="preserve">s Poverty Trap”, </w:t>
      </w:r>
      <w:r w:rsidRPr="00220A38">
        <w:rPr>
          <w:i/>
        </w:rPr>
        <w:t>Brooking Papers of Economic Activity</w:t>
      </w:r>
      <w:r w:rsidRPr="00220A38">
        <w:t>, 1, 117-240.</w:t>
      </w:r>
    </w:p>
    <w:p w:rsidR="00787BC5" w:rsidRPr="00220A38" w:rsidRDefault="00787BC5" w:rsidP="001475DD">
      <w:pPr>
        <w:pStyle w:val="NoSpacing"/>
        <w:spacing w:line="276" w:lineRule="auto"/>
        <w:jc w:val="both"/>
      </w:pPr>
      <w:r w:rsidRPr="00220A38">
        <w:t xml:space="preserve">Smith, A. (2003, Original 1776), </w:t>
      </w:r>
      <w:proofErr w:type="gramStart"/>
      <w:r w:rsidRPr="00220A38">
        <w:rPr>
          <w:i/>
        </w:rPr>
        <w:t>The</w:t>
      </w:r>
      <w:proofErr w:type="gramEnd"/>
      <w:r w:rsidRPr="00220A38">
        <w:rPr>
          <w:i/>
        </w:rPr>
        <w:t xml:space="preserve"> Wealth of Nations</w:t>
      </w:r>
      <w:r w:rsidRPr="00220A38">
        <w:t>, (New York: Bantam).</w:t>
      </w:r>
    </w:p>
    <w:p w:rsidR="00787BC5" w:rsidRPr="00220A38" w:rsidRDefault="00787BC5" w:rsidP="001475DD">
      <w:pPr>
        <w:pStyle w:val="NoSpacing"/>
        <w:spacing w:line="276" w:lineRule="auto"/>
        <w:jc w:val="both"/>
      </w:pPr>
      <w:proofErr w:type="gramStart"/>
      <w:r w:rsidRPr="00220A38">
        <w:t>Soto, R. and Torche, A. (2004), “Spatial Inequality, Migration an</w:t>
      </w:r>
      <w:r w:rsidR="001475DD">
        <w:t xml:space="preserve">d Economic Growth in Chile”, </w:t>
      </w:r>
      <w:r w:rsidR="004705F5">
        <w:tab/>
      </w:r>
      <w:r w:rsidRPr="00220A38">
        <w:rPr>
          <w:i/>
        </w:rPr>
        <w:t>Cuadernos de Economia</w:t>
      </w:r>
      <w:r w:rsidRPr="00220A38">
        <w:t>, 41, 401-424</w:t>
      </w:r>
      <w:r w:rsidR="00AF391D" w:rsidRPr="00220A38">
        <w:t>.</w:t>
      </w:r>
      <w:proofErr w:type="gramEnd"/>
    </w:p>
    <w:p w:rsidR="00337585" w:rsidRPr="00220A38" w:rsidRDefault="00337585" w:rsidP="001475DD">
      <w:pPr>
        <w:pStyle w:val="NoSpacing"/>
        <w:spacing w:line="276" w:lineRule="auto"/>
        <w:jc w:val="both"/>
      </w:pPr>
      <w:proofErr w:type="gramStart"/>
      <w:r w:rsidRPr="00220A38">
        <w:t>Stiglitz, J.E. (1969), “The distribution of income and wealth among individuals</w:t>
      </w:r>
      <w:r w:rsidR="00777093" w:rsidRPr="00220A38">
        <w:t>”,</w:t>
      </w:r>
      <w:r w:rsidRPr="00220A38">
        <w:t xml:space="preserve"> </w:t>
      </w:r>
      <w:r w:rsidRPr="00220A38">
        <w:rPr>
          <w:i/>
        </w:rPr>
        <w:t>Econometrica</w:t>
      </w:r>
      <w:r w:rsidR="004705F5">
        <w:t>, 37,</w:t>
      </w:r>
      <w:r w:rsidR="004705F5">
        <w:tab/>
        <w:t>382-</w:t>
      </w:r>
      <w:r w:rsidRPr="00220A38">
        <w:t>397</w:t>
      </w:r>
      <w:r w:rsidR="00AF391D" w:rsidRPr="00220A38">
        <w:t>.</w:t>
      </w:r>
      <w:proofErr w:type="gramEnd"/>
    </w:p>
    <w:p w:rsidR="00787BC5" w:rsidRPr="00220A38" w:rsidRDefault="00787BC5" w:rsidP="008C54C4">
      <w:pPr>
        <w:pStyle w:val="NoSpacing"/>
        <w:spacing w:line="276" w:lineRule="auto"/>
        <w:jc w:val="both"/>
      </w:pPr>
      <w:r w:rsidRPr="00220A38">
        <w:lastRenderedPageBreak/>
        <w:t>UNDP (2010</w:t>
      </w:r>
      <w:r w:rsidRPr="00220A38">
        <w:rPr>
          <w:i/>
        </w:rPr>
        <w:t>), Regional Human Development Report for Latin America</w:t>
      </w:r>
      <w:r w:rsidR="004705F5">
        <w:rPr>
          <w:i/>
        </w:rPr>
        <w:t xml:space="preserve"> and the Caribbean 2010:</w:t>
      </w:r>
      <w:r w:rsidR="004705F5">
        <w:rPr>
          <w:i/>
        </w:rPr>
        <w:tab/>
        <w:t>Actin</w:t>
      </w:r>
      <w:r w:rsidR="00BA6009">
        <w:rPr>
          <w:i/>
        </w:rPr>
        <w:t xml:space="preserve">g </w:t>
      </w:r>
      <w:r w:rsidRPr="00220A38">
        <w:rPr>
          <w:i/>
        </w:rPr>
        <w:t>on the Future, Breaking the Intergenerational Transmission of Inequality</w:t>
      </w:r>
      <w:r w:rsidRPr="00220A38">
        <w:t xml:space="preserve"> (San Jose,</w:t>
      </w:r>
      <w:r w:rsidR="004705F5">
        <w:tab/>
      </w:r>
      <w:r w:rsidRPr="00220A38">
        <w:t>Costa Rica:</w:t>
      </w:r>
      <w:r w:rsidR="004705F5">
        <w:t xml:space="preserve"> </w:t>
      </w:r>
      <w:r w:rsidRPr="00220A38">
        <w:t>Editorama)</w:t>
      </w:r>
      <w:r w:rsidR="00AF391D" w:rsidRPr="00220A38">
        <w:t>.</w:t>
      </w:r>
    </w:p>
    <w:p w:rsidR="00787BC5" w:rsidRPr="00220A38" w:rsidRDefault="00787BC5" w:rsidP="008C54C4">
      <w:pPr>
        <w:pStyle w:val="NoSpacing"/>
        <w:spacing w:line="276" w:lineRule="auto"/>
        <w:jc w:val="both"/>
      </w:pPr>
      <w:r w:rsidRPr="00220A38">
        <w:t>Voitchovsky</w:t>
      </w:r>
      <w:r w:rsidR="003B2E40" w:rsidRPr="00220A38">
        <w:t>, S.</w:t>
      </w:r>
      <w:r w:rsidRPr="00220A38">
        <w:t xml:space="preserve"> (2009), “Inequality and Economic Growth</w:t>
      </w:r>
      <w:r w:rsidR="00777093" w:rsidRPr="00220A38">
        <w:t>”,</w:t>
      </w:r>
      <w:r w:rsidRPr="00220A38">
        <w:t xml:space="preserve"> in W. Salverda, B. Nolan and</w:t>
      </w:r>
      <w:r w:rsidR="004705F5">
        <w:tab/>
        <w:t xml:space="preserve">T.Smeeding </w:t>
      </w:r>
      <w:r w:rsidRPr="00220A38">
        <w:t xml:space="preserve">(Eds.), </w:t>
      </w:r>
      <w:proofErr w:type="gramStart"/>
      <w:r w:rsidRPr="00220A38">
        <w:rPr>
          <w:i/>
        </w:rPr>
        <w:t>The</w:t>
      </w:r>
      <w:proofErr w:type="gramEnd"/>
      <w:r w:rsidRPr="00220A38">
        <w:rPr>
          <w:i/>
        </w:rPr>
        <w:t xml:space="preserve"> Oxford Handbook of Economic Inequality</w:t>
      </w:r>
      <w:r w:rsidRPr="00220A38">
        <w:t xml:space="preserve"> (Oxfor</w:t>
      </w:r>
      <w:r w:rsidR="00F442E6" w:rsidRPr="00220A38">
        <w:t>d, UK: Oxford</w:t>
      </w:r>
      <w:r w:rsidR="004705F5">
        <w:tab/>
      </w:r>
      <w:r w:rsidR="00F442E6" w:rsidRPr="00220A38">
        <w:t>University Press), 549-574</w:t>
      </w:r>
      <w:r w:rsidR="00AF391D" w:rsidRPr="00220A38">
        <w:t>.</w:t>
      </w:r>
    </w:p>
    <w:p w:rsidR="00787BC5" w:rsidRPr="00220A38" w:rsidRDefault="00787BC5" w:rsidP="008C54C4">
      <w:pPr>
        <w:pStyle w:val="NoSpacing"/>
        <w:spacing w:line="276" w:lineRule="auto"/>
        <w:jc w:val="both"/>
      </w:pPr>
      <w:r w:rsidRPr="00220A38">
        <w:t>Voitchovsky, S. (2005), “Does the Profile of Income Inequality Matter for Economic Growth?</w:t>
      </w:r>
      <w:proofErr w:type="gramStart"/>
      <w:r w:rsidR="00777093" w:rsidRPr="00220A38">
        <w:t>”,</w:t>
      </w:r>
      <w:proofErr w:type="gramEnd"/>
      <w:r w:rsidRPr="00220A38">
        <w:t xml:space="preserve"> </w:t>
      </w:r>
      <w:r w:rsidR="004705F5">
        <w:tab/>
      </w:r>
      <w:r w:rsidRPr="00220A38">
        <w:rPr>
          <w:i/>
        </w:rPr>
        <w:t>Journal</w:t>
      </w:r>
      <w:r w:rsidR="004705F5">
        <w:rPr>
          <w:i/>
        </w:rPr>
        <w:t xml:space="preserve"> </w:t>
      </w:r>
      <w:r w:rsidRPr="00220A38">
        <w:rPr>
          <w:i/>
        </w:rPr>
        <w:t>of Economic Growth</w:t>
      </w:r>
      <w:r w:rsidRPr="00220A38">
        <w:t>, 10, 273-96</w:t>
      </w:r>
      <w:r w:rsidR="00AF391D" w:rsidRPr="00220A38">
        <w:t>.</w:t>
      </w:r>
      <w:r w:rsidRPr="00220A38">
        <w:t xml:space="preserve"> </w:t>
      </w:r>
    </w:p>
    <w:p w:rsidR="00AF391D" w:rsidRPr="00220A38" w:rsidRDefault="00787BC5" w:rsidP="008C54C4">
      <w:pPr>
        <w:pStyle w:val="NoSpacing"/>
        <w:spacing w:line="276" w:lineRule="auto"/>
        <w:jc w:val="both"/>
        <w:rPr>
          <w:rStyle w:val="Hyperlink"/>
        </w:rPr>
      </w:pPr>
      <w:r w:rsidRPr="00220A38">
        <w:t>World Bank</w:t>
      </w:r>
      <w:r w:rsidR="00EE4719" w:rsidRPr="00220A38">
        <w:t xml:space="preserve"> (2012)</w:t>
      </w:r>
      <w:r w:rsidRPr="00220A38">
        <w:t>, “World Bank Development Indicators Database 2011”</w:t>
      </w:r>
      <w:r w:rsidR="004705F5">
        <w:t>, online available</w:t>
      </w:r>
      <w:r w:rsidRPr="00220A38">
        <w:t xml:space="preserve"> at</w:t>
      </w:r>
      <w:r w:rsidR="004705F5">
        <w:tab/>
      </w:r>
      <w:r w:rsidR="004705F5">
        <w:tab/>
      </w:r>
      <w:hyperlink r:id="rId24" w:history="1">
        <w:r w:rsidRPr="00220A38">
          <w:rPr>
            <w:rStyle w:val="Hyperlink"/>
          </w:rPr>
          <w:t>http://data.worldbank.org/</w:t>
        </w:r>
      </w:hyperlink>
    </w:p>
    <w:p w:rsidR="00AF391D" w:rsidRPr="00220A38" w:rsidRDefault="00AF391D" w:rsidP="008C54C4">
      <w:pPr>
        <w:pStyle w:val="NoSpacing"/>
        <w:spacing w:line="276" w:lineRule="auto"/>
        <w:jc w:val="both"/>
        <w:rPr>
          <w:rStyle w:val="Hyperlink"/>
          <w:color w:val="auto"/>
          <w:u w:val="none"/>
        </w:rPr>
      </w:pPr>
      <w:r w:rsidRPr="00220A38">
        <w:rPr>
          <w:rStyle w:val="Hyperlink"/>
          <w:color w:val="auto"/>
          <w:u w:val="none"/>
        </w:rPr>
        <w:t>World Bank (2002)</w:t>
      </w:r>
      <w:proofErr w:type="gramStart"/>
      <w:r w:rsidRPr="00220A38">
        <w:rPr>
          <w:rStyle w:val="Hyperlink"/>
          <w:color w:val="auto"/>
          <w:u w:val="none"/>
        </w:rPr>
        <w:t xml:space="preserve">,  </w:t>
      </w:r>
      <w:r w:rsidRPr="00220A38">
        <w:rPr>
          <w:rStyle w:val="Hyperlink"/>
          <w:i/>
          <w:color w:val="auto"/>
          <w:u w:val="none"/>
        </w:rPr>
        <w:t>High</w:t>
      </w:r>
      <w:proofErr w:type="gramEnd"/>
      <w:r w:rsidRPr="00220A38">
        <w:rPr>
          <w:rStyle w:val="Hyperlink"/>
          <w:i/>
          <w:color w:val="auto"/>
          <w:u w:val="none"/>
        </w:rPr>
        <w:t xml:space="preserve"> Growth Economy: Poverty and Income Distribution</w:t>
      </w:r>
      <w:r w:rsidRPr="00220A38">
        <w:rPr>
          <w:rStyle w:val="Hyperlink"/>
          <w:color w:val="auto"/>
          <w:u w:val="none"/>
        </w:rPr>
        <w:t>, 1987-1998, (World</w:t>
      </w:r>
      <w:r w:rsidR="004705F5">
        <w:rPr>
          <w:rStyle w:val="Hyperlink"/>
          <w:color w:val="auto"/>
          <w:u w:val="none"/>
        </w:rPr>
        <w:tab/>
      </w:r>
      <w:r w:rsidRPr="00220A38">
        <w:rPr>
          <w:rStyle w:val="Hyperlink"/>
          <w:color w:val="auto"/>
          <w:u w:val="none"/>
        </w:rPr>
        <w:t>Bank:</w:t>
      </w:r>
      <w:r w:rsidR="004705F5">
        <w:rPr>
          <w:rStyle w:val="Hyperlink"/>
          <w:color w:val="auto"/>
          <w:u w:val="none"/>
        </w:rPr>
        <w:t xml:space="preserve"> </w:t>
      </w:r>
      <w:r w:rsidRPr="00220A38">
        <w:rPr>
          <w:rStyle w:val="Hyperlink"/>
          <w:color w:val="auto"/>
          <w:u w:val="none"/>
        </w:rPr>
        <w:t>Washington DC).</w:t>
      </w:r>
    </w:p>
    <w:p w:rsidR="008036FF" w:rsidRPr="00220A38" w:rsidRDefault="008036FF" w:rsidP="008C54C4">
      <w:pPr>
        <w:pStyle w:val="NoSpacing"/>
        <w:spacing w:line="276" w:lineRule="auto"/>
        <w:jc w:val="both"/>
        <w:rPr>
          <w:rStyle w:val="Hyperlink"/>
          <w:color w:val="auto"/>
          <w:u w:val="none"/>
        </w:rPr>
      </w:pPr>
      <w:r w:rsidRPr="00220A38">
        <w:rPr>
          <w:rStyle w:val="Hyperlink"/>
          <w:color w:val="auto"/>
          <w:u w:val="none"/>
        </w:rPr>
        <w:t xml:space="preserve">Yitzhaki, S. (1998), </w:t>
      </w:r>
      <w:r w:rsidR="00DA3E77" w:rsidRPr="00220A38">
        <w:rPr>
          <w:rStyle w:val="Hyperlink"/>
          <w:color w:val="auto"/>
          <w:u w:val="none"/>
        </w:rPr>
        <w:t>“</w:t>
      </w:r>
      <w:r w:rsidRPr="00220A38">
        <w:rPr>
          <w:rStyle w:val="Hyperlink"/>
          <w:color w:val="auto"/>
          <w:u w:val="none"/>
        </w:rPr>
        <w:t xml:space="preserve">More than a Dozen Alternative Ways of Spelling </w:t>
      </w:r>
      <w:r w:rsidR="0039413B">
        <w:rPr>
          <w:rStyle w:val="Hyperlink"/>
          <w:color w:val="auto"/>
          <w:u w:val="none"/>
        </w:rPr>
        <w:t>Gini</w:t>
      </w:r>
      <w:r w:rsidR="00DA3E77" w:rsidRPr="00220A38">
        <w:rPr>
          <w:rStyle w:val="Hyperlink"/>
          <w:color w:val="auto"/>
          <w:u w:val="none"/>
        </w:rPr>
        <w:t>”</w:t>
      </w:r>
      <w:r w:rsidRPr="00220A38">
        <w:rPr>
          <w:rStyle w:val="Hyperlink"/>
          <w:color w:val="auto"/>
          <w:u w:val="none"/>
        </w:rPr>
        <w:t xml:space="preserve">, </w:t>
      </w:r>
      <w:r w:rsidR="00DA3E77" w:rsidRPr="00220A38">
        <w:rPr>
          <w:rStyle w:val="Hyperlink"/>
          <w:color w:val="auto"/>
          <w:u w:val="none"/>
        </w:rPr>
        <w:t xml:space="preserve">in D.J. Slottje (ed.), </w:t>
      </w:r>
      <w:r w:rsidR="00DA3E77" w:rsidRPr="00220A38">
        <w:rPr>
          <w:rStyle w:val="Hyperlink"/>
          <w:color w:val="auto"/>
          <w:u w:val="none"/>
        </w:rPr>
        <w:tab/>
      </w:r>
      <w:r w:rsidR="00DA3E77" w:rsidRPr="00220A38">
        <w:rPr>
          <w:rStyle w:val="Hyperlink"/>
          <w:i/>
          <w:color w:val="auto"/>
          <w:u w:val="none"/>
        </w:rPr>
        <w:t>Research on Economic Inequality</w:t>
      </w:r>
      <w:r w:rsidR="00DA3E77" w:rsidRPr="00220A38">
        <w:rPr>
          <w:rStyle w:val="Hyperlink"/>
          <w:color w:val="auto"/>
          <w:u w:val="none"/>
        </w:rPr>
        <w:t xml:space="preserve">, Stamford, Connecticut: JAI Press, 13-30. </w:t>
      </w:r>
    </w:p>
    <w:p w:rsidR="008A67CC" w:rsidRPr="00220A38" w:rsidRDefault="008A67CC" w:rsidP="008C54C4">
      <w:pPr>
        <w:jc w:val="both"/>
        <w:rPr>
          <w:rStyle w:val="Hyperlink"/>
          <w:color w:val="auto"/>
          <w:u w:val="none"/>
        </w:rPr>
      </w:pPr>
      <w:r w:rsidRPr="00220A38">
        <w:rPr>
          <w:rStyle w:val="Hyperlink"/>
          <w:color w:val="auto"/>
          <w:u w:val="none"/>
        </w:rPr>
        <w:br w:type="page"/>
      </w:r>
    </w:p>
    <w:p w:rsidR="00944439" w:rsidRDefault="00944439" w:rsidP="008C54C4">
      <w:pPr>
        <w:jc w:val="both"/>
        <w:rPr>
          <w:rStyle w:val="Hyperlink"/>
          <w:color w:val="auto"/>
          <w:u w:val="none"/>
        </w:rPr>
        <w:sectPr w:rsidR="00944439" w:rsidSect="00C501B3">
          <w:pgSz w:w="11907" w:h="16840" w:code="9"/>
          <w:pgMar w:top="1417" w:right="1417" w:bottom="1417" w:left="1417" w:header="708" w:footer="708" w:gutter="0"/>
          <w:cols w:space="708"/>
          <w:docGrid w:linePitch="360"/>
        </w:sectPr>
      </w:pPr>
    </w:p>
    <w:p w:rsidR="00AC0B1C" w:rsidRPr="00220A38" w:rsidRDefault="00AC0B1C" w:rsidP="00944439">
      <w:pPr>
        <w:jc w:val="both"/>
        <w:rPr>
          <w:rStyle w:val="Hyperlink"/>
          <w:color w:val="auto"/>
          <w:u w:val="none"/>
        </w:rPr>
      </w:pPr>
      <w:proofErr w:type="gramStart"/>
      <w:r w:rsidRPr="00220A38">
        <w:rPr>
          <w:rStyle w:val="Hyperlink"/>
          <w:b/>
          <w:color w:val="auto"/>
          <w:u w:val="none"/>
        </w:rPr>
        <w:lastRenderedPageBreak/>
        <w:t xml:space="preserve">Appendix </w:t>
      </w:r>
      <w:r w:rsidR="00C50BF3">
        <w:rPr>
          <w:rStyle w:val="Hyperlink"/>
          <w:b/>
          <w:color w:val="auto"/>
          <w:u w:val="none"/>
        </w:rPr>
        <w:t>1</w:t>
      </w:r>
      <w:r w:rsidRPr="00220A38">
        <w:rPr>
          <w:rStyle w:val="Hyperlink"/>
          <w:b/>
          <w:color w:val="auto"/>
          <w:u w:val="none"/>
        </w:rPr>
        <w:t>.</w:t>
      </w:r>
      <w:proofErr w:type="gramEnd"/>
      <w:r w:rsidRPr="00220A38">
        <w:rPr>
          <w:rStyle w:val="Hyperlink"/>
          <w:b/>
          <w:color w:val="auto"/>
          <w:u w:val="none"/>
        </w:rPr>
        <w:t xml:space="preserve"> </w:t>
      </w:r>
      <w:r w:rsidR="00BB3A73" w:rsidRPr="00220A38">
        <w:rPr>
          <w:rStyle w:val="Hyperlink"/>
          <w:b/>
          <w:color w:val="auto"/>
          <w:u w:val="none"/>
        </w:rPr>
        <w:t xml:space="preserve">Map of </w:t>
      </w:r>
      <w:r w:rsidRPr="00220A38">
        <w:rPr>
          <w:rStyle w:val="Hyperlink"/>
          <w:b/>
          <w:color w:val="auto"/>
          <w:u w:val="none"/>
        </w:rPr>
        <w:t>Chilean regions</w:t>
      </w:r>
    </w:p>
    <w:p w:rsidR="000A611D" w:rsidRDefault="000A611D" w:rsidP="00142112">
      <w:pPr>
        <w:pStyle w:val="Default"/>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Map of Chilean r</w:t>
      </w:r>
      <w:r w:rsidR="00AC0B1C" w:rsidRPr="00220A38">
        <w:rPr>
          <w:rFonts w:ascii="Times New Roman" w:hAnsi="Times New Roman" w:cs="Times New Roman"/>
          <w:sz w:val="22"/>
          <w:szCs w:val="22"/>
          <w:lang w:val="en-US"/>
        </w:rPr>
        <w:t>egions, numbers are the same as in earlier figures, R.M. stand</w:t>
      </w:r>
      <w:r w:rsidR="00C50BF3">
        <w:rPr>
          <w:rFonts w:ascii="Times New Roman" w:hAnsi="Times New Roman" w:cs="Times New Roman"/>
          <w:sz w:val="22"/>
          <w:szCs w:val="22"/>
          <w:lang w:val="en-US"/>
        </w:rPr>
        <w:t>s</w:t>
      </w:r>
      <w:r w:rsidR="00AC0B1C" w:rsidRPr="00220A38">
        <w:rPr>
          <w:rFonts w:ascii="Times New Roman" w:hAnsi="Times New Roman" w:cs="Times New Roman"/>
          <w:sz w:val="22"/>
          <w:szCs w:val="22"/>
          <w:lang w:val="en-US"/>
        </w:rPr>
        <w:t xml:space="preserve"> for Region Metropolitana</w:t>
      </w:r>
      <w:r w:rsidR="00944439">
        <w:rPr>
          <w:rFonts w:ascii="Times New Roman" w:hAnsi="Times New Roman" w:cs="Times New Roman"/>
          <w:sz w:val="22"/>
          <w:szCs w:val="22"/>
          <w:lang w:val="en-US"/>
        </w:rPr>
        <w:t xml:space="preserve"> </w:t>
      </w:r>
      <w:r w:rsidR="00AC0B1C" w:rsidRPr="00220A38">
        <w:rPr>
          <w:rFonts w:ascii="Times New Roman" w:hAnsi="Times New Roman" w:cs="Times New Roman"/>
          <w:sz w:val="22"/>
          <w:szCs w:val="22"/>
          <w:lang w:val="en-US"/>
        </w:rPr>
        <w:t xml:space="preserve">and is equal to Region </w:t>
      </w:r>
      <w:r w:rsidR="00C50BF3">
        <w:rPr>
          <w:rFonts w:ascii="Times New Roman" w:hAnsi="Times New Roman" w:cs="Times New Roman"/>
          <w:sz w:val="22"/>
          <w:szCs w:val="22"/>
          <w:lang w:val="en-US"/>
        </w:rPr>
        <w:t>13</w:t>
      </w:r>
      <w:r w:rsidR="00AC0B1C" w:rsidRPr="00220A38">
        <w:rPr>
          <w:rFonts w:ascii="Times New Roman" w:hAnsi="Times New Roman" w:cs="Times New Roman"/>
          <w:sz w:val="22"/>
          <w:szCs w:val="22"/>
          <w:lang w:val="en-US"/>
        </w:rPr>
        <w:t xml:space="preserve"> in </w:t>
      </w:r>
      <w:r w:rsidR="00944439">
        <w:rPr>
          <w:rFonts w:ascii="Times New Roman" w:hAnsi="Times New Roman" w:cs="Times New Roman"/>
          <w:sz w:val="22"/>
          <w:szCs w:val="22"/>
          <w:lang w:val="en-US"/>
        </w:rPr>
        <w:t>the</w:t>
      </w:r>
      <w:r w:rsidR="00AC0B1C" w:rsidRPr="00220A38">
        <w:rPr>
          <w:rFonts w:ascii="Times New Roman" w:hAnsi="Times New Roman" w:cs="Times New Roman"/>
          <w:sz w:val="22"/>
          <w:szCs w:val="22"/>
          <w:lang w:val="en-US"/>
        </w:rPr>
        <w:t xml:space="preserve"> data. </w:t>
      </w:r>
    </w:p>
    <w:p w:rsidR="000A611D" w:rsidRDefault="000A611D" w:rsidP="00142112">
      <w:pPr>
        <w:pStyle w:val="Default"/>
        <w:spacing w:line="360" w:lineRule="auto"/>
        <w:jc w:val="both"/>
        <w:rPr>
          <w:rFonts w:ascii="Times New Roman" w:hAnsi="Times New Roman" w:cs="Times New Roman"/>
          <w:sz w:val="22"/>
          <w:szCs w:val="22"/>
          <w:lang w:val="en-US"/>
        </w:rPr>
      </w:pPr>
    </w:p>
    <w:p w:rsidR="00AC0B1C" w:rsidRPr="00220A38" w:rsidRDefault="00AC0B1C" w:rsidP="000A611D">
      <w:pPr>
        <w:pStyle w:val="Default"/>
        <w:spacing w:line="360" w:lineRule="auto"/>
        <w:rPr>
          <w:rFonts w:ascii="Times New Roman" w:hAnsi="Times New Roman" w:cs="Times New Roman"/>
          <w:sz w:val="22"/>
          <w:szCs w:val="22"/>
          <w:lang w:val="en-US"/>
        </w:rPr>
      </w:pPr>
      <w:r w:rsidRPr="00220A38">
        <w:rPr>
          <w:rFonts w:ascii="Times New Roman" w:hAnsi="Times New Roman" w:cs="Times New Roman"/>
          <w:sz w:val="22"/>
          <w:szCs w:val="22"/>
          <w:lang w:val="en-US"/>
        </w:rPr>
        <w:t xml:space="preserve">Source: Wikipedia Online Encyclopedia, accessible at: </w:t>
      </w:r>
      <w:hyperlink r:id="rId25" w:history="1">
        <w:r w:rsidR="00D77D21" w:rsidRPr="00220A38">
          <w:rPr>
            <w:rStyle w:val="Hyperlink"/>
            <w:rFonts w:ascii="Times New Roman" w:hAnsi="Times New Roman" w:cs="Times New Roman"/>
            <w:sz w:val="22"/>
            <w:szCs w:val="22"/>
            <w:lang w:val="en-US"/>
          </w:rPr>
          <w:t>http://upload.wikimedia.org/wikipedia/commons/archive/6/61/20071014112837!ChileRegions.png</w:t>
        </w:r>
      </w:hyperlink>
    </w:p>
    <w:p w:rsidR="00D77D21" w:rsidRPr="00220A38" w:rsidRDefault="00D77D21" w:rsidP="00142112">
      <w:pPr>
        <w:pStyle w:val="Default"/>
        <w:spacing w:line="360" w:lineRule="auto"/>
        <w:jc w:val="both"/>
        <w:rPr>
          <w:rFonts w:ascii="Times New Roman" w:hAnsi="Times New Roman" w:cs="Times New Roman"/>
          <w:sz w:val="22"/>
          <w:szCs w:val="22"/>
          <w:lang w:val="en-US"/>
        </w:rPr>
      </w:pP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 xml:space="preserve">I: </w:t>
      </w:r>
      <w:r w:rsidRPr="00220A38">
        <w:rPr>
          <w:rFonts w:ascii="Times New Roman" w:hAnsi="Times New Roman" w:cs="Times New Roman"/>
          <w:sz w:val="22"/>
          <w:szCs w:val="22"/>
          <w:lang w:val="en-US"/>
        </w:rPr>
        <w:tab/>
        <w:t>Tarapacá</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II:</w:t>
      </w:r>
      <w:r w:rsidRPr="00220A38">
        <w:rPr>
          <w:rFonts w:ascii="Times New Roman" w:hAnsi="Times New Roman" w:cs="Times New Roman"/>
          <w:sz w:val="22"/>
          <w:szCs w:val="22"/>
          <w:lang w:val="en-US"/>
        </w:rPr>
        <w:tab/>
        <w:t>Antofagasta</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III:</w:t>
      </w:r>
      <w:r w:rsidRPr="00220A38">
        <w:rPr>
          <w:rFonts w:ascii="Times New Roman" w:hAnsi="Times New Roman" w:cs="Times New Roman"/>
          <w:sz w:val="22"/>
          <w:szCs w:val="22"/>
          <w:lang w:val="en-US"/>
        </w:rPr>
        <w:tab/>
        <w:t>Atacama</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IV:</w:t>
      </w:r>
      <w:r w:rsidRPr="00220A38">
        <w:rPr>
          <w:rFonts w:ascii="Times New Roman" w:hAnsi="Times New Roman" w:cs="Times New Roman"/>
          <w:sz w:val="22"/>
          <w:szCs w:val="22"/>
          <w:lang w:val="en-US"/>
        </w:rPr>
        <w:tab/>
        <w:t>Coquimbo</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V:</w:t>
      </w:r>
      <w:r w:rsidRPr="00220A38">
        <w:rPr>
          <w:rFonts w:ascii="Times New Roman" w:hAnsi="Times New Roman" w:cs="Times New Roman"/>
          <w:sz w:val="22"/>
          <w:szCs w:val="22"/>
          <w:lang w:val="en-US"/>
        </w:rPr>
        <w:tab/>
        <w:t>Valparaíso</w:t>
      </w:r>
    </w:p>
    <w:p w:rsidR="00D77D21" w:rsidRPr="00220A38" w:rsidRDefault="00D77D21" w:rsidP="00944439">
      <w:pPr>
        <w:pStyle w:val="Default"/>
        <w:spacing w:line="360" w:lineRule="auto"/>
        <w:ind w:left="720" w:hanging="720"/>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VI:</w:t>
      </w:r>
      <w:r w:rsidRPr="00220A38">
        <w:rPr>
          <w:rFonts w:ascii="Times New Roman" w:hAnsi="Times New Roman" w:cs="Times New Roman"/>
          <w:sz w:val="22"/>
          <w:szCs w:val="22"/>
          <w:lang w:val="en-US"/>
        </w:rPr>
        <w:tab/>
        <w:t>Libertador General Bernardo O’Higgins</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VII:</w:t>
      </w:r>
      <w:r w:rsidRPr="00220A38">
        <w:rPr>
          <w:rFonts w:ascii="Times New Roman" w:hAnsi="Times New Roman" w:cs="Times New Roman"/>
          <w:sz w:val="22"/>
          <w:szCs w:val="22"/>
          <w:lang w:val="en-US"/>
        </w:rPr>
        <w:tab/>
        <w:t>Maule</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VIII:</w:t>
      </w:r>
      <w:r w:rsidRPr="00220A38">
        <w:rPr>
          <w:rFonts w:ascii="Times New Roman" w:hAnsi="Times New Roman" w:cs="Times New Roman"/>
          <w:sz w:val="22"/>
          <w:szCs w:val="22"/>
          <w:lang w:val="en-US"/>
        </w:rPr>
        <w:tab/>
        <w:t>Bío-Bío</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IX:</w:t>
      </w:r>
      <w:r w:rsidRPr="00220A38">
        <w:rPr>
          <w:rFonts w:ascii="Times New Roman" w:hAnsi="Times New Roman" w:cs="Times New Roman"/>
          <w:sz w:val="22"/>
          <w:szCs w:val="22"/>
          <w:lang w:val="en-US"/>
        </w:rPr>
        <w:tab/>
        <w:t>Araucanía</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X:</w:t>
      </w:r>
      <w:r w:rsidRPr="00220A38">
        <w:rPr>
          <w:rFonts w:ascii="Times New Roman" w:hAnsi="Times New Roman" w:cs="Times New Roman"/>
          <w:sz w:val="22"/>
          <w:szCs w:val="22"/>
          <w:lang w:val="en-US"/>
        </w:rPr>
        <w:tab/>
        <w:t>Los Lagos</w:t>
      </w:r>
    </w:p>
    <w:p w:rsidR="00D77D21" w:rsidRPr="00220A38" w:rsidRDefault="00D77D21" w:rsidP="00D77D21">
      <w:pPr>
        <w:pStyle w:val="Default"/>
        <w:spacing w:line="360" w:lineRule="auto"/>
        <w:ind w:left="720" w:hanging="720"/>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XI:</w:t>
      </w:r>
      <w:r w:rsidRPr="00220A38">
        <w:rPr>
          <w:rFonts w:ascii="Times New Roman" w:hAnsi="Times New Roman" w:cs="Times New Roman"/>
          <w:sz w:val="22"/>
          <w:szCs w:val="22"/>
          <w:lang w:val="en-US"/>
        </w:rPr>
        <w:tab/>
        <w:t xml:space="preserve">Aysén </w:t>
      </w:r>
      <w:proofErr w:type="gramStart"/>
      <w:r w:rsidRPr="00220A38">
        <w:rPr>
          <w:rFonts w:ascii="Times New Roman" w:hAnsi="Times New Roman" w:cs="Times New Roman"/>
          <w:sz w:val="22"/>
          <w:szCs w:val="22"/>
          <w:lang w:val="en-US"/>
        </w:rPr>
        <w:t>del</w:t>
      </w:r>
      <w:proofErr w:type="gramEnd"/>
      <w:r w:rsidRPr="00220A38">
        <w:rPr>
          <w:rFonts w:ascii="Times New Roman" w:hAnsi="Times New Roman" w:cs="Times New Roman"/>
          <w:sz w:val="22"/>
          <w:szCs w:val="22"/>
          <w:lang w:val="en-US"/>
        </w:rPr>
        <w:t xml:space="preserve"> General Carlos Ibáñez del Campo</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XII:</w:t>
      </w:r>
      <w:r w:rsidRPr="00220A38">
        <w:rPr>
          <w:rFonts w:ascii="Times New Roman" w:hAnsi="Times New Roman" w:cs="Times New Roman"/>
          <w:sz w:val="22"/>
          <w:szCs w:val="22"/>
          <w:lang w:val="en-US"/>
        </w:rPr>
        <w:tab/>
        <w:t>Magallanes y la Antártica Chilena</w:t>
      </w:r>
    </w:p>
    <w:p w:rsidR="00D77D21" w:rsidRPr="00220A38" w:rsidRDefault="00D77D21" w:rsidP="00142112">
      <w:pPr>
        <w:pStyle w:val="Default"/>
        <w:spacing w:line="360" w:lineRule="auto"/>
        <w:jc w:val="both"/>
        <w:rPr>
          <w:rFonts w:ascii="Times New Roman" w:hAnsi="Times New Roman" w:cs="Times New Roman"/>
          <w:sz w:val="22"/>
          <w:szCs w:val="22"/>
          <w:lang w:val="en-US"/>
        </w:rPr>
      </w:pPr>
      <w:r w:rsidRPr="00220A38">
        <w:rPr>
          <w:rFonts w:ascii="Times New Roman" w:hAnsi="Times New Roman" w:cs="Times New Roman"/>
          <w:sz w:val="22"/>
          <w:szCs w:val="22"/>
          <w:lang w:val="en-US"/>
        </w:rPr>
        <w:t>R.M.:</w:t>
      </w:r>
      <w:r w:rsidRPr="00220A38">
        <w:rPr>
          <w:rFonts w:ascii="Times New Roman" w:hAnsi="Times New Roman" w:cs="Times New Roman"/>
          <w:sz w:val="22"/>
          <w:szCs w:val="22"/>
          <w:lang w:val="en-US"/>
        </w:rPr>
        <w:tab/>
        <w:t>Región Metropolitana</w:t>
      </w:r>
    </w:p>
    <w:p w:rsidR="00D77D21" w:rsidRPr="00220A38" w:rsidRDefault="00D77D21" w:rsidP="00142112">
      <w:pPr>
        <w:pStyle w:val="Default"/>
        <w:spacing w:line="360" w:lineRule="auto"/>
        <w:jc w:val="both"/>
        <w:rPr>
          <w:rFonts w:ascii="Times New Roman" w:hAnsi="Times New Roman" w:cs="Times New Roman"/>
          <w:sz w:val="22"/>
          <w:szCs w:val="22"/>
          <w:lang w:val="en-US"/>
        </w:rPr>
      </w:pPr>
    </w:p>
    <w:p w:rsidR="000D57BA" w:rsidRPr="000A611D" w:rsidRDefault="000D57BA" w:rsidP="00142112">
      <w:pPr>
        <w:pStyle w:val="Default"/>
        <w:spacing w:line="360" w:lineRule="auto"/>
        <w:jc w:val="both"/>
        <w:rPr>
          <w:rFonts w:ascii="Times New Roman" w:hAnsi="Times New Roman" w:cs="Times New Roman"/>
          <w:sz w:val="22"/>
          <w:szCs w:val="22"/>
          <w:lang w:val="en-US"/>
        </w:rPr>
      </w:pPr>
      <w:r w:rsidRPr="000A611D">
        <w:rPr>
          <w:rFonts w:ascii="Times New Roman" w:hAnsi="Times New Roman" w:cs="Times New Roman"/>
          <w:sz w:val="22"/>
          <w:szCs w:val="22"/>
          <w:lang w:val="en-US"/>
        </w:rPr>
        <w:t>(Since 2007 there is also a Region XIV ‘Los Rios’, comprised of the northern part of Region X ‘Los Lagos’ and a Region XV ‘Arica &amp; Parinacota’, located between the border of Peru and Region I ‘Tarapaca’.)</w:t>
      </w:r>
    </w:p>
    <w:p w:rsidR="00E91762" w:rsidRDefault="00AC0B1C" w:rsidP="000A611D">
      <w:pPr>
        <w:pStyle w:val="Default"/>
        <w:spacing w:line="360" w:lineRule="auto"/>
        <w:jc w:val="center"/>
        <w:rPr>
          <w:rFonts w:ascii="Times New Roman" w:hAnsi="Times New Roman" w:cs="Times New Roman"/>
          <w:sz w:val="22"/>
          <w:szCs w:val="22"/>
          <w:lang w:val="en-US"/>
        </w:rPr>
        <w:sectPr w:rsidR="00E91762" w:rsidSect="000F5E7D">
          <w:pgSz w:w="11907" w:h="16840" w:code="9"/>
          <w:pgMar w:top="1417" w:right="1417" w:bottom="1417" w:left="1417" w:header="708" w:footer="708" w:gutter="0"/>
          <w:cols w:num="2" w:space="708"/>
          <w:docGrid w:linePitch="360"/>
        </w:sectPr>
      </w:pPr>
      <w:r w:rsidRPr="00220A38">
        <w:rPr>
          <w:rFonts w:ascii="Times New Roman" w:hAnsi="Times New Roman" w:cs="Times New Roman"/>
          <w:noProof/>
          <w:lang w:val="en-US"/>
        </w:rPr>
        <w:lastRenderedPageBreak/>
        <w:drawing>
          <wp:inline distT="0" distB="0" distL="0" distR="0" wp14:anchorId="7C2EE9CB" wp14:editId="2ECC0F00">
            <wp:extent cx="1569493" cy="72999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75770" cy="7329165"/>
                    </a:xfrm>
                    <a:prstGeom prst="rect">
                      <a:avLst/>
                    </a:prstGeom>
                  </pic:spPr>
                </pic:pic>
              </a:graphicData>
            </a:graphic>
          </wp:inline>
        </w:drawing>
      </w:r>
    </w:p>
    <w:p w:rsidR="00DA3FD1" w:rsidRPr="00944439" w:rsidRDefault="00DA3FD1" w:rsidP="000A611D">
      <w:pPr>
        <w:rPr>
          <w:b/>
        </w:rPr>
      </w:pPr>
      <w:proofErr w:type="gramStart"/>
      <w:r w:rsidRPr="00944439">
        <w:rPr>
          <w:b/>
        </w:rPr>
        <w:lastRenderedPageBreak/>
        <w:t xml:space="preserve">Appendix </w:t>
      </w:r>
      <w:r w:rsidR="00C50BF3">
        <w:rPr>
          <w:b/>
        </w:rPr>
        <w:t>2</w:t>
      </w:r>
      <w:r w:rsidRPr="00944439">
        <w:rPr>
          <w:b/>
        </w:rPr>
        <w:t>.</w:t>
      </w:r>
      <w:proofErr w:type="gramEnd"/>
      <w:r w:rsidR="000A611D">
        <w:rPr>
          <w:b/>
        </w:rPr>
        <w:t xml:space="preserve"> Additional Results</w:t>
      </w:r>
    </w:p>
    <w:p w:rsidR="00E91762" w:rsidRDefault="004D66E5" w:rsidP="00BD5216">
      <w:pPr>
        <w:spacing w:line="360" w:lineRule="auto"/>
        <w:ind w:firstLine="720"/>
        <w:jc w:val="center"/>
        <w:rPr>
          <w:i/>
        </w:rPr>
      </w:pPr>
      <w:r>
        <w:rPr>
          <w:i/>
        </w:rPr>
        <w:t>Panel least s</w:t>
      </w:r>
      <w:r w:rsidR="00E91762">
        <w:rPr>
          <w:i/>
        </w:rPr>
        <w:t>quares with time fixed effects, estimation of 2 year growth</w:t>
      </w:r>
    </w:p>
    <w:tbl>
      <w:tblPr>
        <w:tblW w:w="13822" w:type="dxa"/>
        <w:tblInd w:w="93" w:type="dxa"/>
        <w:tblLook w:val="04A0" w:firstRow="1" w:lastRow="0" w:firstColumn="1" w:lastColumn="0" w:noHBand="0" w:noVBand="1"/>
      </w:tblPr>
      <w:tblGrid>
        <w:gridCol w:w="1519"/>
        <w:gridCol w:w="745"/>
        <w:gridCol w:w="672"/>
        <w:gridCol w:w="787"/>
        <w:gridCol w:w="672"/>
        <w:gridCol w:w="796"/>
        <w:gridCol w:w="672"/>
        <w:gridCol w:w="833"/>
        <w:gridCol w:w="335"/>
        <w:gridCol w:w="672"/>
        <w:gridCol w:w="988"/>
        <w:gridCol w:w="672"/>
        <w:gridCol w:w="805"/>
        <w:gridCol w:w="672"/>
        <w:gridCol w:w="805"/>
        <w:gridCol w:w="672"/>
        <w:gridCol w:w="833"/>
        <w:gridCol w:w="672"/>
      </w:tblGrid>
      <w:tr w:rsidR="00E91762" w:rsidRPr="007A7F40" w:rsidTr="00E91762">
        <w:trPr>
          <w:trHeight w:val="300"/>
        </w:trPr>
        <w:tc>
          <w:tcPr>
            <w:tcW w:w="1519"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 </w:t>
            </w:r>
          </w:p>
        </w:tc>
        <w:tc>
          <w:tcPr>
            <w:tcW w:w="12303" w:type="dxa"/>
            <w:gridSpan w:val="17"/>
            <w:tcBorders>
              <w:top w:val="single" w:sz="4" w:space="0" w:color="auto"/>
              <w:left w:val="nil"/>
              <w:bottom w:val="single" w:sz="4" w:space="0" w:color="auto"/>
              <w:right w:val="single" w:sz="4" w:space="0" w:color="000000"/>
            </w:tcBorders>
            <w:shd w:val="clear" w:color="auto" w:fill="auto"/>
            <w:noWrap/>
            <w:vAlign w:val="bottom"/>
            <w:hideMark/>
          </w:tcPr>
          <w:p w:rsidR="00E91762" w:rsidRPr="007A7F40" w:rsidRDefault="004D66E5" w:rsidP="00E91762">
            <w:pPr>
              <w:spacing w:after="0" w:line="240" w:lineRule="auto"/>
              <w:jc w:val="center"/>
              <w:rPr>
                <w:rFonts w:eastAsia="Times New Roman"/>
                <w:b/>
                <w:bCs/>
                <w:color w:val="000000"/>
                <w:sz w:val="20"/>
                <w:szCs w:val="20"/>
              </w:rPr>
            </w:pPr>
            <w:r>
              <w:rPr>
                <w:rFonts w:eastAsia="Times New Roman"/>
                <w:b/>
                <w:bCs/>
                <w:color w:val="000000"/>
                <w:sz w:val="20"/>
                <w:szCs w:val="20"/>
              </w:rPr>
              <w:t>Panel with time fixed e</w:t>
            </w:r>
            <w:r w:rsidR="00E91762">
              <w:rPr>
                <w:rFonts w:eastAsia="Times New Roman"/>
                <w:b/>
                <w:bCs/>
                <w:color w:val="000000"/>
                <w:sz w:val="20"/>
                <w:szCs w:val="20"/>
              </w:rPr>
              <w:t>ffects</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 </w:t>
            </w:r>
          </w:p>
        </w:tc>
        <w:tc>
          <w:tcPr>
            <w:tcW w:w="1417" w:type="dxa"/>
            <w:gridSpan w:val="2"/>
            <w:tcBorders>
              <w:top w:val="nil"/>
              <w:left w:val="nil"/>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1</w:t>
            </w:r>
          </w:p>
        </w:tc>
        <w:tc>
          <w:tcPr>
            <w:tcW w:w="787"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right"/>
              <w:rPr>
                <w:rFonts w:eastAsia="Times New Roman"/>
                <w:b/>
                <w:bCs/>
                <w:color w:val="000000"/>
                <w:sz w:val="20"/>
                <w:szCs w:val="20"/>
              </w:rPr>
            </w:pPr>
            <w:r w:rsidRPr="007A7F40">
              <w:rPr>
                <w:rFonts w:eastAsia="Times New Roman"/>
                <w:b/>
                <w:bCs/>
                <w:color w:val="000000"/>
                <w:sz w:val="20"/>
                <w:szCs w:val="20"/>
              </w:rPr>
              <w:t>2</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rPr>
                <w:rFonts w:eastAsia="Times New Roman"/>
                <w:b/>
                <w:bCs/>
                <w:color w:val="000000"/>
                <w:sz w:val="20"/>
                <w:szCs w:val="20"/>
              </w:rPr>
            </w:pPr>
            <w:r w:rsidRPr="007A7F40">
              <w:rPr>
                <w:rFonts w:eastAsia="Times New Roman"/>
                <w:b/>
                <w:bCs/>
                <w:color w:val="000000"/>
                <w:sz w:val="20"/>
                <w:szCs w:val="20"/>
              </w:rPr>
              <w:t> </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right"/>
              <w:rPr>
                <w:rFonts w:eastAsia="Times New Roman"/>
                <w:b/>
                <w:bCs/>
                <w:color w:val="000000"/>
                <w:sz w:val="20"/>
                <w:szCs w:val="20"/>
              </w:rPr>
            </w:pPr>
            <w:r w:rsidRPr="007A7F40">
              <w:rPr>
                <w:rFonts w:eastAsia="Times New Roman"/>
                <w:b/>
                <w:bCs/>
                <w:color w:val="000000"/>
                <w:sz w:val="20"/>
                <w:szCs w:val="20"/>
              </w:rPr>
              <w:t>3</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rPr>
                <w:rFonts w:eastAsia="Times New Roman"/>
                <w:b/>
                <w:bCs/>
                <w:color w:val="000000"/>
                <w:sz w:val="20"/>
                <w:szCs w:val="20"/>
              </w:rPr>
            </w:pPr>
            <w:r w:rsidRPr="007A7F40">
              <w:rPr>
                <w:rFonts w:eastAsia="Times New Roman"/>
                <w:b/>
                <w:bCs/>
                <w:color w:val="000000"/>
                <w:sz w:val="20"/>
                <w:szCs w:val="20"/>
              </w:rPr>
              <w:t> </w:t>
            </w:r>
          </w:p>
        </w:tc>
        <w:tc>
          <w:tcPr>
            <w:tcW w:w="833"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right"/>
              <w:rPr>
                <w:rFonts w:eastAsia="Times New Roman"/>
                <w:b/>
                <w:bCs/>
                <w:color w:val="000000"/>
                <w:sz w:val="20"/>
                <w:szCs w:val="20"/>
              </w:rPr>
            </w:pPr>
            <w:r>
              <w:rPr>
                <w:rFonts w:eastAsia="Times New Roman"/>
                <w:b/>
                <w:bCs/>
                <w:color w:val="000000"/>
                <w:sz w:val="20"/>
                <w:szCs w:val="20"/>
              </w:rPr>
              <w:t xml:space="preserve">       </w:t>
            </w:r>
            <w:r w:rsidRPr="007A7F40">
              <w:rPr>
                <w:rFonts w:eastAsia="Times New Roman"/>
                <w:b/>
                <w:bCs/>
                <w:color w:val="000000"/>
                <w:sz w:val="20"/>
                <w:szCs w:val="20"/>
              </w:rPr>
              <w:t>4</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rPr>
                <w:rFonts w:eastAsia="Times New Roman"/>
                <w:b/>
                <w:bCs/>
                <w:color w:val="000000"/>
                <w:sz w:val="20"/>
                <w:szCs w:val="20"/>
              </w:rPr>
            </w:pPr>
            <w:r w:rsidRPr="007A7F40">
              <w:rPr>
                <w:rFonts w:eastAsia="Times New Roman"/>
                <w:b/>
                <w:bCs/>
                <w:color w:val="000000"/>
                <w:sz w:val="20"/>
                <w:szCs w:val="20"/>
              </w:rPr>
              <w:t> </w:t>
            </w:r>
          </w:p>
        </w:tc>
        <w:tc>
          <w:tcPr>
            <w:tcW w:w="1660" w:type="dxa"/>
            <w:gridSpan w:val="2"/>
            <w:tcBorders>
              <w:top w:val="nil"/>
              <w:left w:val="nil"/>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5</w:t>
            </w:r>
          </w:p>
        </w:tc>
        <w:tc>
          <w:tcPr>
            <w:tcW w:w="1477" w:type="dxa"/>
            <w:gridSpan w:val="2"/>
            <w:tcBorders>
              <w:top w:val="nil"/>
              <w:left w:val="nil"/>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6</w:t>
            </w:r>
          </w:p>
        </w:tc>
        <w:tc>
          <w:tcPr>
            <w:tcW w:w="1477" w:type="dxa"/>
            <w:gridSpan w:val="2"/>
            <w:tcBorders>
              <w:top w:val="nil"/>
              <w:left w:val="nil"/>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7</w:t>
            </w:r>
          </w:p>
        </w:tc>
        <w:tc>
          <w:tcPr>
            <w:tcW w:w="1505" w:type="dxa"/>
            <w:gridSpan w:val="2"/>
            <w:tcBorders>
              <w:top w:val="nil"/>
              <w:left w:val="nil"/>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8</w:t>
            </w:r>
          </w:p>
        </w:tc>
      </w:tr>
      <w:tr w:rsidR="00E91762" w:rsidRPr="007A7F40" w:rsidTr="00E91762">
        <w:trPr>
          <w:trHeight w:val="300"/>
        </w:trPr>
        <w:tc>
          <w:tcPr>
            <w:tcW w:w="1519" w:type="dxa"/>
            <w:tcBorders>
              <w:top w:val="nil"/>
              <w:left w:val="single" w:sz="4" w:space="0" w:color="auto"/>
              <w:bottom w:val="single" w:sz="4" w:space="0" w:color="auto"/>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 </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787"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1168"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c>
          <w:tcPr>
            <w:tcW w:w="833"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b</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b/>
                <w:bCs/>
                <w:color w:val="000000"/>
                <w:sz w:val="20"/>
                <w:szCs w:val="20"/>
              </w:rPr>
            </w:pPr>
            <w:r w:rsidRPr="007A7F40">
              <w:rPr>
                <w:rFonts w:eastAsia="Times New Roman"/>
                <w:b/>
                <w:bCs/>
                <w:color w:val="000000"/>
                <w:sz w:val="20"/>
                <w:szCs w:val="20"/>
              </w:rPr>
              <w:t>p-value</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Constant</w:t>
            </w:r>
          </w:p>
        </w:tc>
        <w:tc>
          <w:tcPr>
            <w:tcW w:w="745"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0.131</w:t>
            </w:r>
          </w:p>
        </w:tc>
        <w:tc>
          <w:tcPr>
            <w:tcW w:w="672"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0.251</w:t>
            </w:r>
          </w:p>
        </w:tc>
        <w:tc>
          <w:tcPr>
            <w:tcW w:w="787" w:type="dxa"/>
            <w:tcBorders>
              <w:top w:val="single" w:sz="4" w:space="0" w:color="auto"/>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0.055</w:t>
            </w:r>
          </w:p>
        </w:tc>
        <w:tc>
          <w:tcPr>
            <w:tcW w:w="672" w:type="dxa"/>
            <w:tcBorders>
              <w:top w:val="single" w:sz="4" w:space="0" w:color="auto"/>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0.669</w:t>
            </w:r>
          </w:p>
        </w:tc>
        <w:tc>
          <w:tcPr>
            <w:tcW w:w="796"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0.046</w:t>
            </w:r>
          </w:p>
        </w:tc>
        <w:tc>
          <w:tcPr>
            <w:tcW w:w="672"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0.712</w:t>
            </w:r>
          </w:p>
        </w:tc>
        <w:tc>
          <w:tcPr>
            <w:tcW w:w="833" w:type="dxa"/>
            <w:tcBorders>
              <w:top w:val="single" w:sz="4" w:space="0" w:color="auto"/>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0.125</w:t>
            </w:r>
          </w:p>
        </w:tc>
        <w:tc>
          <w:tcPr>
            <w:tcW w:w="1007" w:type="dxa"/>
            <w:gridSpan w:val="2"/>
            <w:tcBorders>
              <w:top w:val="single" w:sz="4" w:space="0" w:color="auto"/>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0.241</w:t>
            </w:r>
          </w:p>
        </w:tc>
        <w:tc>
          <w:tcPr>
            <w:tcW w:w="988"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0.077</w:t>
            </w:r>
          </w:p>
        </w:tc>
        <w:tc>
          <w:tcPr>
            <w:tcW w:w="672"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0.549</w:t>
            </w:r>
          </w:p>
        </w:tc>
        <w:tc>
          <w:tcPr>
            <w:tcW w:w="805" w:type="dxa"/>
            <w:tcBorders>
              <w:top w:val="single" w:sz="4" w:space="0" w:color="auto"/>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0.140</w:t>
            </w:r>
          </w:p>
        </w:tc>
        <w:tc>
          <w:tcPr>
            <w:tcW w:w="672" w:type="dxa"/>
            <w:tcBorders>
              <w:top w:val="single" w:sz="4" w:space="0" w:color="auto"/>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0.166</w:t>
            </w:r>
          </w:p>
        </w:tc>
        <w:tc>
          <w:tcPr>
            <w:tcW w:w="805"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0.059</w:t>
            </w:r>
          </w:p>
        </w:tc>
        <w:tc>
          <w:tcPr>
            <w:tcW w:w="672" w:type="dxa"/>
            <w:tcBorders>
              <w:top w:val="single" w:sz="4" w:space="0" w:color="auto"/>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0.741</w:t>
            </w:r>
          </w:p>
        </w:tc>
        <w:tc>
          <w:tcPr>
            <w:tcW w:w="833" w:type="dxa"/>
            <w:tcBorders>
              <w:top w:val="single" w:sz="4" w:space="0" w:color="auto"/>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0.047</w:t>
            </w:r>
          </w:p>
        </w:tc>
        <w:tc>
          <w:tcPr>
            <w:tcW w:w="672" w:type="dxa"/>
            <w:tcBorders>
              <w:top w:val="single" w:sz="4" w:space="0" w:color="auto"/>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0.705</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LnGDPpc</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0.093</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-0.012</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0.140</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-0.012</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0.148</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-0.014</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0.092</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-0.013</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0.110</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-0.015</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0.061</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0.085</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-0.012</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0.138</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Gini</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0.057</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0.291</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0.031</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0.585</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0.972</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0.037</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0.744</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HC Gini</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0.001</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0.439</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P5010</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0.034</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0.053</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0.035</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0.052</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0.036</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0.039</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0.035</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0.045</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P9075</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 </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0.690</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0.007</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0.784</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0.013</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0.294</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0.010</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0.379</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HCStock</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-0.002</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0.770</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-0.006</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0.346</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-0.005</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0.345</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-0.002</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0.778</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-0.006</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0.287</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-0.002</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0.742</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0.639</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-0.006</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0.338</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Investment</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0.191</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0.181</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0.183</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0.192</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0.181</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0.194</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0.187</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0.183</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Population</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0.119</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0.005</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0.110</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0.005</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0.115</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0.119</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0.005</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0.035</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0.061</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0.004</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0.098</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0.005</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0.077</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Pr>
                <w:rFonts w:eastAsia="Times New Roman"/>
                <w:color w:val="000000"/>
                <w:sz w:val="20"/>
                <w:szCs w:val="20"/>
              </w:rPr>
              <w:t>Unemployment</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0.706</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0.752</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0.698</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0.667</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0.823</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0.695</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0.837</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0.697</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Pr>
                <w:rFonts w:eastAsia="Times New Roman"/>
                <w:color w:val="000000"/>
                <w:sz w:val="20"/>
                <w:szCs w:val="20"/>
              </w:rPr>
              <w:t>Urbanisation</w:t>
            </w:r>
          </w:p>
        </w:tc>
        <w:tc>
          <w:tcPr>
            <w:tcW w:w="74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0.316</w:t>
            </w:r>
          </w:p>
        </w:tc>
        <w:tc>
          <w:tcPr>
            <w:tcW w:w="787"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0.032</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0.314</w:t>
            </w:r>
          </w:p>
        </w:tc>
        <w:tc>
          <w:tcPr>
            <w:tcW w:w="796"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0.030</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0.324</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0.029</w:t>
            </w:r>
          </w:p>
        </w:tc>
        <w:tc>
          <w:tcPr>
            <w:tcW w:w="1007" w:type="dxa"/>
            <w:gridSpan w:val="2"/>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0.324</w:t>
            </w:r>
          </w:p>
        </w:tc>
        <w:tc>
          <w:tcPr>
            <w:tcW w:w="988"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0.037</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0.242</w:t>
            </w:r>
          </w:p>
        </w:tc>
        <w:tc>
          <w:tcPr>
            <w:tcW w:w="805"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0.031</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0.309</w:t>
            </w:r>
          </w:p>
        </w:tc>
        <w:tc>
          <w:tcPr>
            <w:tcW w:w="805"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0.032</w:t>
            </w:r>
          </w:p>
        </w:tc>
        <w:tc>
          <w:tcPr>
            <w:tcW w:w="672" w:type="dxa"/>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0.300</w:t>
            </w:r>
          </w:p>
        </w:tc>
        <w:tc>
          <w:tcPr>
            <w:tcW w:w="833" w:type="dxa"/>
            <w:tcBorders>
              <w:top w:val="nil"/>
              <w:left w:val="single" w:sz="4" w:space="0" w:color="auto"/>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0.031</w:t>
            </w:r>
          </w:p>
        </w:tc>
        <w:tc>
          <w:tcPr>
            <w:tcW w:w="672" w:type="dxa"/>
            <w:tcBorders>
              <w:top w:val="nil"/>
              <w:left w:val="nil"/>
              <w:bottom w:val="nil"/>
              <w:right w:val="single" w:sz="4" w:space="0" w:color="auto"/>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0.323</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Observations</w:t>
            </w:r>
          </w:p>
        </w:tc>
        <w:tc>
          <w:tcPr>
            <w:tcW w:w="141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459"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468"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840" w:type="dxa"/>
            <w:gridSpan w:val="3"/>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660"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477"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47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c>
          <w:tcPr>
            <w:tcW w:w="1505"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104</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R2 Adjusted</w:t>
            </w:r>
          </w:p>
        </w:tc>
        <w:tc>
          <w:tcPr>
            <w:tcW w:w="141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0.471</w:t>
            </w:r>
          </w:p>
        </w:tc>
        <w:tc>
          <w:tcPr>
            <w:tcW w:w="1459"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0.487</w:t>
            </w:r>
          </w:p>
        </w:tc>
        <w:tc>
          <w:tcPr>
            <w:tcW w:w="1468"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0.482</w:t>
            </w:r>
          </w:p>
        </w:tc>
        <w:tc>
          <w:tcPr>
            <w:tcW w:w="1840" w:type="dxa"/>
            <w:gridSpan w:val="3"/>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0.466</w:t>
            </w:r>
          </w:p>
        </w:tc>
        <w:tc>
          <w:tcPr>
            <w:tcW w:w="1660"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0.492</w:t>
            </w:r>
          </w:p>
        </w:tc>
        <w:tc>
          <w:tcPr>
            <w:tcW w:w="1477"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0.471</w:t>
            </w:r>
          </w:p>
        </w:tc>
        <w:tc>
          <w:tcPr>
            <w:tcW w:w="147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0.470</w:t>
            </w:r>
          </w:p>
        </w:tc>
        <w:tc>
          <w:tcPr>
            <w:tcW w:w="1505"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0.488</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F-Test</w:t>
            </w:r>
          </w:p>
        </w:tc>
        <w:tc>
          <w:tcPr>
            <w:tcW w:w="141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w:t>
            </w:r>
            <w:r>
              <w:rPr>
                <w:rFonts w:eastAsia="Times New Roman"/>
                <w:color w:val="000000"/>
                <w:sz w:val="20"/>
                <w:szCs w:val="20"/>
              </w:rPr>
              <w:t>.000</w:t>
            </w:r>
          </w:p>
        </w:tc>
        <w:tc>
          <w:tcPr>
            <w:tcW w:w="1459"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468"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840" w:type="dxa"/>
            <w:gridSpan w:val="3"/>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660"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477"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47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c>
          <w:tcPr>
            <w:tcW w:w="1505"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0.000</w:t>
            </w:r>
          </w:p>
        </w:tc>
      </w:tr>
      <w:tr w:rsidR="00E91762" w:rsidRPr="007A7F40" w:rsidTr="00E91762">
        <w:trPr>
          <w:trHeight w:val="300"/>
        </w:trPr>
        <w:tc>
          <w:tcPr>
            <w:tcW w:w="1519" w:type="dxa"/>
            <w:tcBorders>
              <w:top w:val="nil"/>
              <w:left w:val="single" w:sz="4" w:space="0" w:color="auto"/>
              <w:bottom w:val="nil"/>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Schwartz</w:t>
            </w:r>
          </w:p>
        </w:tc>
        <w:tc>
          <w:tcPr>
            <w:tcW w:w="141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Pr>
                <w:rFonts w:eastAsia="Times New Roman"/>
                <w:color w:val="000000"/>
                <w:sz w:val="20"/>
                <w:szCs w:val="20"/>
              </w:rPr>
              <w:t>-4.191</w:t>
            </w:r>
          </w:p>
        </w:tc>
        <w:tc>
          <w:tcPr>
            <w:tcW w:w="1459"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-4.187</w:t>
            </w:r>
          </w:p>
        </w:tc>
        <w:tc>
          <w:tcPr>
            <w:tcW w:w="1468"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-4.145</w:t>
            </w:r>
          </w:p>
        </w:tc>
        <w:tc>
          <w:tcPr>
            <w:tcW w:w="1840" w:type="dxa"/>
            <w:gridSpan w:val="3"/>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-4.147</w:t>
            </w:r>
          </w:p>
        </w:tc>
        <w:tc>
          <w:tcPr>
            <w:tcW w:w="1660"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-4.230</w:t>
            </w:r>
          </w:p>
        </w:tc>
        <w:tc>
          <w:tcPr>
            <w:tcW w:w="1477"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-4.190</w:t>
            </w:r>
          </w:p>
        </w:tc>
        <w:tc>
          <w:tcPr>
            <w:tcW w:w="1477" w:type="dxa"/>
            <w:gridSpan w:val="2"/>
            <w:tcBorders>
              <w:top w:val="nil"/>
              <w:left w:val="nil"/>
              <w:bottom w:val="nil"/>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-4.187</w:t>
            </w:r>
          </w:p>
        </w:tc>
        <w:tc>
          <w:tcPr>
            <w:tcW w:w="1505" w:type="dxa"/>
            <w:gridSpan w:val="2"/>
            <w:tcBorders>
              <w:top w:val="nil"/>
              <w:left w:val="single" w:sz="4" w:space="0" w:color="auto"/>
              <w:bottom w:val="nil"/>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-4.190</w:t>
            </w:r>
          </w:p>
        </w:tc>
      </w:tr>
      <w:tr w:rsidR="00E91762" w:rsidRPr="007A7F40" w:rsidTr="00E91762">
        <w:trPr>
          <w:trHeight w:val="300"/>
        </w:trPr>
        <w:tc>
          <w:tcPr>
            <w:tcW w:w="1519" w:type="dxa"/>
            <w:tcBorders>
              <w:top w:val="nil"/>
              <w:left w:val="single" w:sz="4" w:space="0" w:color="auto"/>
              <w:bottom w:val="single" w:sz="4" w:space="0" w:color="auto"/>
              <w:right w:val="double" w:sz="6" w:space="0" w:color="auto"/>
            </w:tcBorders>
            <w:shd w:val="clear" w:color="auto" w:fill="auto"/>
            <w:noWrap/>
            <w:vAlign w:val="bottom"/>
            <w:hideMark/>
          </w:tcPr>
          <w:p w:rsidR="00E91762" w:rsidRPr="007A7F40" w:rsidRDefault="00E91762" w:rsidP="00E91762">
            <w:pPr>
              <w:spacing w:after="0" w:line="240" w:lineRule="auto"/>
              <w:rPr>
                <w:rFonts w:eastAsia="Times New Roman"/>
                <w:color w:val="000000"/>
                <w:sz w:val="20"/>
                <w:szCs w:val="20"/>
              </w:rPr>
            </w:pPr>
            <w:r w:rsidRPr="007A7F40">
              <w:rPr>
                <w:rFonts w:eastAsia="Times New Roman"/>
                <w:color w:val="000000"/>
                <w:sz w:val="20"/>
                <w:szCs w:val="20"/>
              </w:rPr>
              <w:t>Log-likelihood</w:t>
            </w:r>
          </w:p>
        </w:tc>
        <w:tc>
          <w:tcPr>
            <w:tcW w:w="1417" w:type="dxa"/>
            <w:gridSpan w:val="2"/>
            <w:tcBorders>
              <w:top w:val="nil"/>
              <w:left w:val="nil"/>
              <w:bottom w:val="single" w:sz="4" w:space="0" w:color="auto"/>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252.7498</w:t>
            </w:r>
          </w:p>
        </w:tc>
        <w:tc>
          <w:tcPr>
            <w:tcW w:w="1459"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254.892</w:t>
            </w:r>
          </w:p>
        </w:tc>
        <w:tc>
          <w:tcPr>
            <w:tcW w:w="1468" w:type="dxa"/>
            <w:gridSpan w:val="2"/>
            <w:tcBorders>
              <w:top w:val="nil"/>
              <w:left w:val="nil"/>
              <w:bottom w:val="single" w:sz="4" w:space="0" w:color="auto"/>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255.016</w:t>
            </w:r>
          </w:p>
        </w:tc>
        <w:tc>
          <w:tcPr>
            <w:tcW w:w="184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252.814</w:t>
            </w:r>
          </w:p>
        </w:tc>
        <w:tc>
          <w:tcPr>
            <w:tcW w:w="1660" w:type="dxa"/>
            <w:gridSpan w:val="2"/>
            <w:tcBorders>
              <w:top w:val="nil"/>
              <w:left w:val="nil"/>
              <w:bottom w:val="single" w:sz="4" w:space="0" w:color="auto"/>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254.779</w:t>
            </w:r>
          </w:p>
        </w:tc>
        <w:tc>
          <w:tcPr>
            <w:tcW w:w="147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252.721</w:t>
            </w:r>
          </w:p>
        </w:tc>
        <w:tc>
          <w:tcPr>
            <w:tcW w:w="1477" w:type="dxa"/>
            <w:gridSpan w:val="2"/>
            <w:tcBorders>
              <w:top w:val="nil"/>
              <w:left w:val="nil"/>
              <w:bottom w:val="single" w:sz="4" w:space="0" w:color="auto"/>
              <w:right w:val="nil"/>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252.577</w:t>
            </w:r>
          </w:p>
        </w:tc>
        <w:tc>
          <w:tcPr>
            <w:tcW w:w="1505"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91762" w:rsidRPr="007A7F40" w:rsidRDefault="00E91762" w:rsidP="00E91762">
            <w:pPr>
              <w:spacing w:after="0" w:line="240" w:lineRule="auto"/>
              <w:jc w:val="center"/>
              <w:rPr>
                <w:rFonts w:eastAsia="Times New Roman"/>
                <w:color w:val="000000"/>
                <w:sz w:val="20"/>
                <w:szCs w:val="20"/>
              </w:rPr>
            </w:pPr>
            <w:r w:rsidRPr="007A7F40">
              <w:rPr>
                <w:rFonts w:eastAsia="Times New Roman"/>
                <w:color w:val="000000"/>
                <w:sz w:val="20"/>
                <w:szCs w:val="20"/>
              </w:rPr>
              <w:t>255.014</w:t>
            </w:r>
          </w:p>
        </w:tc>
      </w:tr>
    </w:tbl>
    <w:p w:rsidR="00E91762" w:rsidRDefault="00E91762" w:rsidP="00E91762">
      <w:pPr>
        <w:spacing w:line="360" w:lineRule="auto"/>
        <w:ind w:left="135"/>
      </w:pPr>
      <w:r w:rsidRPr="005C0811">
        <w:rPr>
          <w:sz w:val="18"/>
          <w:szCs w:val="18"/>
        </w:rPr>
        <w:t>Notes</w:t>
      </w:r>
      <w:r>
        <w:rPr>
          <w:sz w:val="18"/>
          <w:szCs w:val="18"/>
        </w:rPr>
        <w:t xml:space="preserve">: Standard errors are robust. </w:t>
      </w:r>
      <w:r w:rsidRPr="005C0811">
        <w:rPr>
          <w:sz w:val="18"/>
          <w:szCs w:val="18"/>
        </w:rPr>
        <w:t>Depe</w:t>
      </w:r>
      <w:r>
        <w:rPr>
          <w:sz w:val="18"/>
          <w:szCs w:val="18"/>
        </w:rPr>
        <w:t xml:space="preserve">ndent variable: average annual regional </w:t>
      </w:r>
      <w:r w:rsidRPr="005C0811">
        <w:rPr>
          <w:sz w:val="18"/>
          <w:szCs w:val="18"/>
        </w:rPr>
        <w:t>GDP growth from 199</w:t>
      </w:r>
      <w:r>
        <w:rPr>
          <w:sz w:val="18"/>
          <w:szCs w:val="18"/>
        </w:rPr>
        <w:t>2</w:t>
      </w:r>
      <w:r w:rsidRPr="005C0811">
        <w:rPr>
          <w:sz w:val="18"/>
          <w:szCs w:val="18"/>
        </w:rPr>
        <w:t>-1990, 199</w:t>
      </w:r>
      <w:r>
        <w:rPr>
          <w:sz w:val="18"/>
          <w:szCs w:val="18"/>
        </w:rPr>
        <w:t>4</w:t>
      </w:r>
      <w:r w:rsidRPr="005C0811">
        <w:rPr>
          <w:sz w:val="18"/>
          <w:szCs w:val="18"/>
        </w:rPr>
        <w:t>-199</w:t>
      </w:r>
      <w:r>
        <w:rPr>
          <w:sz w:val="18"/>
          <w:szCs w:val="18"/>
        </w:rPr>
        <w:t>2</w:t>
      </w:r>
      <w:r w:rsidRPr="005C0811">
        <w:rPr>
          <w:sz w:val="18"/>
          <w:szCs w:val="18"/>
        </w:rPr>
        <w:t xml:space="preserve">, </w:t>
      </w:r>
      <w:r>
        <w:rPr>
          <w:sz w:val="18"/>
          <w:szCs w:val="18"/>
        </w:rPr>
        <w:t>1996-1994, 1998-1996, 2000-1998, 2003-2000, 2006-2003 and 2009-2006</w:t>
      </w:r>
      <w:r w:rsidRPr="005C0811">
        <w:rPr>
          <w:sz w:val="18"/>
          <w:szCs w:val="18"/>
        </w:rPr>
        <w:t>.</w:t>
      </w:r>
      <w:r>
        <w:rPr>
          <w:sz w:val="18"/>
          <w:szCs w:val="18"/>
        </w:rPr>
        <w:t xml:space="preserve"> Independent variables are all measured in the initial growth year. Estimation with time fixed effects.</w:t>
      </w:r>
    </w:p>
    <w:p w:rsidR="00E91762" w:rsidRDefault="00E91762" w:rsidP="00E91762">
      <w:pPr>
        <w:spacing w:line="360" w:lineRule="auto"/>
        <w:jc w:val="both"/>
      </w:pPr>
    </w:p>
    <w:p w:rsidR="00E91762" w:rsidRDefault="00E91762" w:rsidP="00E91762">
      <w:pPr>
        <w:spacing w:line="360" w:lineRule="auto"/>
        <w:jc w:val="both"/>
      </w:pPr>
    </w:p>
    <w:sectPr w:rsidR="00E91762" w:rsidSect="00E91762">
      <w:pgSz w:w="16840" w:h="11907"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2C" w:rsidRDefault="0030772C" w:rsidP="00DE024D">
      <w:pPr>
        <w:spacing w:after="0" w:line="240" w:lineRule="auto"/>
      </w:pPr>
      <w:r>
        <w:separator/>
      </w:r>
    </w:p>
  </w:endnote>
  <w:endnote w:type="continuationSeparator" w:id="0">
    <w:p w:rsidR="0030772C" w:rsidRDefault="0030772C" w:rsidP="00DE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imes">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917617"/>
      <w:docPartObj>
        <w:docPartGallery w:val="Page Numbers (Bottom of Page)"/>
        <w:docPartUnique/>
      </w:docPartObj>
    </w:sdtPr>
    <w:sdtEndPr>
      <w:rPr>
        <w:noProof/>
      </w:rPr>
    </w:sdtEndPr>
    <w:sdtContent>
      <w:p w:rsidR="00B044C7" w:rsidRDefault="00B044C7">
        <w:pPr>
          <w:pStyle w:val="Footer"/>
          <w:jc w:val="right"/>
        </w:pPr>
        <w:r>
          <w:fldChar w:fldCharType="begin"/>
        </w:r>
        <w:r>
          <w:instrText xml:space="preserve"> PAGE   \* MERGEFORMAT </w:instrText>
        </w:r>
        <w:r>
          <w:fldChar w:fldCharType="separate"/>
        </w:r>
        <w:r w:rsidR="00232A65">
          <w:rPr>
            <w:noProof/>
          </w:rPr>
          <w:t>1</w:t>
        </w:r>
        <w:r>
          <w:rPr>
            <w:noProof/>
          </w:rPr>
          <w:fldChar w:fldCharType="end"/>
        </w:r>
      </w:p>
    </w:sdtContent>
  </w:sdt>
  <w:p w:rsidR="00B044C7" w:rsidRDefault="00B04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C7" w:rsidRDefault="00B044C7">
    <w:pPr>
      <w:pStyle w:val="Footer"/>
      <w:jc w:val="right"/>
    </w:pPr>
  </w:p>
  <w:p w:rsidR="00B044C7" w:rsidRDefault="00B04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2C" w:rsidRDefault="0030772C" w:rsidP="00DE024D">
      <w:pPr>
        <w:spacing w:after="0" w:line="240" w:lineRule="auto"/>
      </w:pPr>
      <w:r>
        <w:separator/>
      </w:r>
    </w:p>
  </w:footnote>
  <w:footnote w:type="continuationSeparator" w:id="0">
    <w:p w:rsidR="0030772C" w:rsidRDefault="0030772C" w:rsidP="00DE024D">
      <w:pPr>
        <w:spacing w:after="0" w:line="240" w:lineRule="auto"/>
      </w:pPr>
      <w:r>
        <w:continuationSeparator/>
      </w:r>
    </w:p>
  </w:footnote>
  <w:footnote w:id="1">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source for all GDP data and related growth rates in my thesis is the Chilean Central Bank’s statistical database (unless stated otherwise), accessible at </w:t>
      </w:r>
      <w:hyperlink r:id="rId1" w:history="1">
        <w:r w:rsidRPr="004D66E5">
          <w:rPr>
            <w:rStyle w:val="Hyperlink"/>
            <w:lang w:val="en-US"/>
          </w:rPr>
          <w:t>http://www.bcentral.cl/bde/index.htm</w:t>
        </w:r>
      </w:hyperlink>
      <w:r w:rsidRPr="004D66E5">
        <w:rPr>
          <w:lang w:val="en-US"/>
        </w:rPr>
        <w:t xml:space="preserve">. </w:t>
      </w:r>
    </w:p>
    <w:p w:rsidR="00B044C7" w:rsidRPr="004D66E5" w:rsidRDefault="00B044C7" w:rsidP="004D66E5">
      <w:pPr>
        <w:pStyle w:val="FootnoteText"/>
        <w:jc w:val="both"/>
        <w:rPr>
          <w:lang w:val="en-US"/>
        </w:rPr>
      </w:pPr>
    </w:p>
  </w:footnote>
  <w:footnote w:id="2">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source for all Gini-coefficients and other inequality measures related to Chile and its regions are based on own calculations derived from the CASEN household surveys from 1990-2009. See chapter 3 for more on this data source and methods used to derive these inequality measures. </w:t>
      </w:r>
    </w:p>
  </w:footnote>
  <w:footnote w:id="3">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See Anand and Kanbur (1993) for a detailed derivation of this specification. Their paper also includes functional forms for 5 other inequality measures. Deininger and Squire (1998) utilize the functional form of Anand and Kanbur (1993) but state that utilizing the quadratic specification gives similar results. Note that now an inverted-U emerges if both </w:t>
      </w:r>
      <m:oMath>
        <m:sSub>
          <m:sSubPr>
            <m:ctrlPr>
              <w:rPr>
                <w:rFonts w:ascii="Cambria Math" w:hAnsi="Cambria Math"/>
                <w:i/>
              </w:rPr>
            </m:ctrlPr>
          </m:sSubPr>
          <m:e>
            <m:r>
              <w:rPr>
                <w:rFonts w:ascii="Cambria Math" w:hAnsi="Cambria Math"/>
              </w:rPr>
              <m:t>α</m:t>
            </m:r>
          </m:e>
          <m:sub>
            <m:r>
              <w:rPr>
                <w:rFonts w:ascii="Cambria Math" w:hAnsi="Cambria Math"/>
                <w:lang w:val="en-US"/>
              </w:rPr>
              <m:t>1</m:t>
            </m:r>
          </m:sub>
        </m:sSub>
        <m:r>
          <w:rPr>
            <w:rFonts w:ascii="Cambria Math" w:hAnsi="Cambria Math"/>
            <w:lang w:val="en-US"/>
          </w:rPr>
          <m:t>&lt;0</m:t>
        </m:r>
      </m:oMath>
      <w:r w:rsidRPr="004D66E5">
        <w:rPr>
          <w:rFonts w:eastAsiaTheme="minorEastAsia"/>
          <w:lang w:val="en-US"/>
        </w:rPr>
        <w:t xml:space="preserve"> </w:t>
      </w:r>
      <w:proofErr w:type="gramStart"/>
      <w:r w:rsidRPr="004D66E5">
        <w:rPr>
          <w:rFonts w:eastAsiaTheme="minorEastAsia"/>
          <w:lang w:val="en-US"/>
        </w:rPr>
        <w:t xml:space="preserve">and </w:t>
      </w:r>
      <w:proofErr w:type="gramEnd"/>
      <m:oMath>
        <m:sSub>
          <m:sSubPr>
            <m:ctrlPr>
              <w:rPr>
                <w:rFonts w:ascii="Cambria Math" w:hAnsi="Cambria Math"/>
                <w:i/>
              </w:rPr>
            </m:ctrlPr>
          </m:sSubPr>
          <m:e>
            <m:r>
              <w:rPr>
                <w:rFonts w:ascii="Cambria Math" w:hAnsi="Cambria Math"/>
              </w:rPr>
              <m:t>α</m:t>
            </m:r>
          </m:e>
          <m:sub>
            <m:r>
              <w:rPr>
                <w:rFonts w:ascii="Cambria Math" w:hAnsi="Cambria Math"/>
                <w:lang w:val="en-US"/>
              </w:rPr>
              <m:t>2</m:t>
            </m:r>
          </m:sub>
        </m:sSub>
        <m:r>
          <w:rPr>
            <w:rFonts w:ascii="Cambria Math" w:hAnsi="Cambria Math"/>
            <w:lang w:val="en-US"/>
          </w:rPr>
          <m:t>&lt;0</m:t>
        </m:r>
      </m:oMath>
      <w:r w:rsidRPr="004D66E5">
        <w:rPr>
          <w:rFonts w:eastAsiaTheme="minorEastAsia"/>
          <w:lang w:val="en-US"/>
        </w:rPr>
        <w:t xml:space="preserve">.  </w:t>
      </w:r>
    </w:p>
  </w:footnote>
  <w:footnote w:id="4">
    <w:p w:rsidR="00B044C7" w:rsidRPr="004D66E5" w:rsidRDefault="00B044C7" w:rsidP="004D66E5">
      <w:pPr>
        <w:autoSpaceDE w:val="0"/>
        <w:autoSpaceDN w:val="0"/>
        <w:adjustRightInd w:val="0"/>
        <w:spacing w:after="0" w:line="240" w:lineRule="auto"/>
        <w:jc w:val="both"/>
        <w:rPr>
          <w:sz w:val="20"/>
          <w:szCs w:val="20"/>
        </w:rPr>
      </w:pPr>
      <w:r w:rsidRPr="004D66E5">
        <w:rPr>
          <w:rStyle w:val="FootnoteReference"/>
          <w:sz w:val="20"/>
          <w:szCs w:val="20"/>
        </w:rPr>
        <w:footnoteRef/>
      </w:r>
      <w:r w:rsidRPr="004D66E5">
        <w:rPr>
          <w:sz w:val="20"/>
          <w:szCs w:val="20"/>
        </w:rPr>
        <w:t xml:space="preserve"> Kuznets was very cautious regarding his results, stressing that his dataset was incomplete and causality could be through different channels. “The paper is perhaps 5 per cent empirical information and 95 per cent speculation, some of it possibly tainted by wishful thinking” (Kuznets, 1955, p.23). See Moran (2005) and Kanbur (2000) </w:t>
      </w:r>
      <w:r w:rsidRPr="004D66E5">
        <w:rPr>
          <w:bCs/>
          <w:sz w:val="20"/>
          <w:szCs w:val="20"/>
        </w:rPr>
        <w:t>for more on the subject.</w:t>
      </w:r>
    </w:p>
  </w:footnote>
  <w:footnote w:id="5">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See for more thorough surveys of the literature Aghion </w:t>
      </w:r>
      <w:r w:rsidRPr="004D66E5">
        <w:rPr>
          <w:i/>
          <w:lang w:val="en-US"/>
        </w:rPr>
        <w:t>et al</w:t>
      </w:r>
      <w:r w:rsidRPr="004D66E5">
        <w:rPr>
          <w:lang w:val="en-US"/>
        </w:rPr>
        <w:t>. (1999), Barro (2000), Bourguignon (2004), Galor (2011), Leoni and Pollan (2003) or Voitchovsky (2009).</w:t>
      </w:r>
    </w:p>
  </w:footnote>
  <w:footnote w:id="6">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See for example Barro (1991, 2000) for more on growth regressions. </w:t>
      </w:r>
    </w:p>
  </w:footnote>
  <w:footnote w:id="7">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See Benabou (1996) for a review of this early literature.</w:t>
      </w:r>
    </w:p>
  </w:footnote>
  <w:footnote w:id="8">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Convergence stands for the process of less wealthy countries (or regions for that matter) catching up with wealthier countries. In growth regressions this usually is tested by including a gdp-level term on the right hand side which is expected to have a negative sign. See for example Barro and Sala-i-Martin (1991) or any textbook on economic growth for more on this subject.</w:t>
      </w:r>
    </w:p>
  </w:footnote>
  <w:footnote w:id="9">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See for example Voitchovsky (2009) for an overview of the main results, estimation techniques and samples used.</w:t>
      </w:r>
    </w:p>
  </w:footnote>
  <w:footnote w:id="10">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w:t>
      </w:r>
      <w:r>
        <w:rPr>
          <w:lang w:val="en-US"/>
        </w:rPr>
        <w:t>‘</w:t>
      </w:r>
      <w:r w:rsidRPr="004D66E5">
        <w:rPr>
          <w:lang w:val="en-US"/>
        </w:rPr>
        <w:t>Regional</w:t>
      </w:r>
      <w:r>
        <w:rPr>
          <w:lang w:val="en-US"/>
        </w:rPr>
        <w:t>’ refers</w:t>
      </w:r>
      <w:r w:rsidRPr="004D66E5">
        <w:rPr>
          <w:lang w:val="en-US"/>
        </w:rPr>
        <w:t xml:space="preserve"> to subnational levels, not an aggregation of countries. </w:t>
      </w:r>
    </w:p>
  </w:footnote>
  <w:footnote w:id="11">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survey was also held in 1985 and 1987, but these are not strictly comparable with the other surveys, due to different methodological setup (Contreras, 2001; World Bank, 2002; Pizzolito, 2005a). The 2011 results of the survey have just been released, but since other (macro-economic) variables are not yet available for 2011, I will not use these in my thesis.</w:t>
      </w:r>
    </w:p>
  </w:footnote>
  <w:footnote w:id="12">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For more details regarding the subsequent surveys, sampling procedure, ECLAC’s adjustments and a discussion of the main critiques regarding survey setup and usability, see Worldbank (2002), Pizzolito (2005a) or Contreras (2001). Unfortunately, there is no comparison possible between raw and adjusted data, as raw data are not made available for analysis. </w:t>
      </w:r>
    </w:p>
  </w:footnote>
  <w:footnote w:id="13">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specific base year (2003) was dictated by data availability regarding other variables such as GDP. </w:t>
      </w:r>
    </w:p>
  </w:footnote>
  <w:footnote w:id="14">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calculation of an (relative) inequality measure at a regional level will of course not be affected by regional price adjustments, but on a national scale (with incomes adjusted per region) they are relevant.</w:t>
      </w:r>
    </w:p>
  </w:footnote>
  <w:footnote w:id="15">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There are various ways to derive the Gini-coefficient. This method seems the most practical given the data structure. See Yitzhaki (1998) for more on the subject. </w:t>
      </w:r>
    </w:p>
  </w:footnote>
  <w:footnote w:id="16">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For developing countries, the human-capital stock is usually measured over the population ranging from 15-65 years old, contrary to the measure for developed countries, where the range of 25-65 years old is usually used, see e.g. Castello-Ciment and Domenech (2002). </w:t>
      </w:r>
    </w:p>
  </w:footnote>
  <w:footnote w:id="17">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This could also be due to the fact that the urbanization rate according to the CASEN Household Survey is above 80% which also results in fewer observations from rural areas. Therefore, a few wealthy households residing in rural areas and participating in the survey could lift the observed mean income in these areas, not giving an adequate representation of the mean income of the whole population.</w:t>
      </w:r>
    </w:p>
  </w:footnote>
  <w:footnote w:id="18">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As of 2007, the country is divided in 15 regions, 52 provinces and 345 comunas. Since all data from 2007-2009 is available in both the old and new setup, while the data before 2007 do not permit analysis based on the new regional setup, I will ignore this administrat</w:t>
      </w:r>
      <w:r>
        <w:rPr>
          <w:lang w:val="en-US"/>
        </w:rPr>
        <w:t>ive change in my thesis, and utilize</w:t>
      </w:r>
      <w:r w:rsidRPr="004D66E5">
        <w:rPr>
          <w:lang w:val="en-US"/>
        </w:rPr>
        <w:t xml:space="preserve"> the regional structure </w:t>
      </w:r>
      <w:r>
        <w:rPr>
          <w:lang w:val="en-US"/>
        </w:rPr>
        <w:t xml:space="preserve">as it was </w:t>
      </w:r>
      <w:r w:rsidRPr="004D66E5">
        <w:rPr>
          <w:lang w:val="en-US"/>
        </w:rPr>
        <w:t>before 2007. See appendix 2 for a map of the Chilean regions.</w:t>
      </w:r>
    </w:p>
  </w:footnote>
  <w:footnote w:id="19">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The high level of rural inequality in region 12 stems from the fact that only a few hundred observations are available to make up this Gini-coefficient, because rural dwellings are far apart in this immense southern region. Correcting for this factor would only be arbitrary so no corrections have been made and rural Gini’s will not be used in estimating regressions.</w:t>
      </w:r>
    </w:p>
  </w:footnote>
  <w:footnote w:id="20">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A System GMM as for example employed by Voitchovsky (2005) is not feasible with the limited amount of observations that are available, so it is not considered here.</w:t>
      </w:r>
    </w:p>
  </w:footnote>
  <w:footnote w:id="21">
    <w:p w:rsidR="00B044C7" w:rsidRPr="004D66E5" w:rsidRDefault="00B044C7" w:rsidP="004D66E5">
      <w:pPr>
        <w:pStyle w:val="FootnoteText"/>
        <w:jc w:val="both"/>
        <w:rPr>
          <w:lang w:val="en-US"/>
        </w:rPr>
      </w:pPr>
      <w:r w:rsidRPr="004D66E5">
        <w:rPr>
          <w:rStyle w:val="FootnoteReference"/>
        </w:rPr>
        <w:footnoteRef/>
      </w:r>
      <w:r w:rsidRPr="004D66E5">
        <w:rPr>
          <w:lang w:val="en-US"/>
        </w:rPr>
        <w:t xml:space="preserve"> Fixed effects are deemed more appropriate due to the Hausman Test, which, for all models mentioned, rejected </w:t>
      </w:r>
      <w:r>
        <w:rPr>
          <w:lang w:val="en-US"/>
        </w:rPr>
        <w:t>H0</w:t>
      </w:r>
      <w:r w:rsidRPr="004D66E5">
        <w:rPr>
          <w:lang w:val="en-US"/>
        </w:rPr>
        <w:t xml:space="preserve"> that the Random Effects estimator is more efficient. </w:t>
      </w:r>
    </w:p>
  </w:footnote>
  <w:footnote w:id="22">
    <w:p w:rsidR="00B044C7" w:rsidRPr="004D66E5" w:rsidRDefault="00B044C7" w:rsidP="00622E76">
      <w:pPr>
        <w:pStyle w:val="FootnoteText"/>
        <w:jc w:val="both"/>
        <w:rPr>
          <w:lang w:val="en-US"/>
        </w:rPr>
      </w:pPr>
      <w:r w:rsidRPr="004D66E5">
        <w:rPr>
          <w:rStyle w:val="FootnoteReference"/>
        </w:rPr>
        <w:footnoteRef/>
      </w:r>
      <w:r w:rsidRPr="004D66E5">
        <w:rPr>
          <w:lang w:val="en-US"/>
        </w:rPr>
        <w:t xml:space="preserve"> Due to the switch in 2000 in the CASEN survey</w:t>
      </w:r>
      <w:r>
        <w:rPr>
          <w:lang w:val="en-US"/>
        </w:rPr>
        <w:t>’s</w:t>
      </w:r>
      <w:r w:rsidRPr="004D66E5">
        <w:rPr>
          <w:lang w:val="en-US"/>
        </w:rPr>
        <w:t xml:space="preserve"> frequency from every two to every three years, ‘6 year’ growth spell represents two 6-year periods and one 7-year period, ‘4 year’ spell represents two 4-year, one 5-year and one 6-year period and ‘2 year’ spell represents five 2-year pe</w:t>
      </w:r>
      <w:r>
        <w:rPr>
          <w:lang w:val="en-US"/>
        </w:rPr>
        <w:t xml:space="preserve">riods and three 3-year periods. </w:t>
      </w:r>
      <w:proofErr w:type="gramStart"/>
      <w:r>
        <w:rPr>
          <w:lang w:val="en-US"/>
        </w:rPr>
        <w:t xml:space="preserve">See section </w:t>
      </w:r>
      <w:r w:rsidRPr="004D66E5">
        <w:rPr>
          <w:lang w:val="en-US"/>
        </w:rPr>
        <w:t>5.2 for the exact years used.</w:t>
      </w:r>
      <w:proofErr w:type="gramEnd"/>
    </w:p>
  </w:footnote>
  <w:footnote w:id="23">
    <w:p w:rsidR="00B044C7" w:rsidRPr="004D66E5" w:rsidRDefault="00B044C7" w:rsidP="00622E76">
      <w:pPr>
        <w:pStyle w:val="FootnoteText"/>
        <w:jc w:val="both"/>
        <w:rPr>
          <w:lang w:val="en-US"/>
        </w:rPr>
      </w:pPr>
      <w:r w:rsidRPr="004D66E5">
        <w:rPr>
          <w:rStyle w:val="FootnoteReference"/>
        </w:rPr>
        <w:footnoteRef/>
      </w:r>
      <w:r w:rsidRPr="004D66E5">
        <w:rPr>
          <w:lang w:val="en-US"/>
        </w:rPr>
        <w:t xml:space="preserve"> Using only time fixed effects (or time-dummies) does not yield notable results and these results are therefore not reported. </w:t>
      </w:r>
    </w:p>
  </w:footnote>
  <w:footnote w:id="24">
    <w:p w:rsidR="00B044C7" w:rsidRPr="004D66E5" w:rsidRDefault="00B044C7" w:rsidP="00622E76">
      <w:pPr>
        <w:pStyle w:val="FootnoteText"/>
        <w:jc w:val="both"/>
        <w:rPr>
          <w:lang w:val="en-US"/>
        </w:rPr>
      </w:pPr>
      <w:r w:rsidRPr="004D66E5">
        <w:rPr>
          <w:rStyle w:val="FootnoteReference"/>
        </w:rPr>
        <w:footnoteRef/>
      </w:r>
      <w:r w:rsidRPr="004D66E5">
        <w:rPr>
          <w:lang w:val="en-US"/>
        </w:rPr>
        <w:t xml:space="preserve"> Results of the 2-year model using only time fixed effects are shown in appendix 2. The bottom-inequality measure P5010 has a positive effect on economic growth in these estimations, while all other considered inequality measures do not enter the model significantly. These results are therefore comparable to those discussed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6B0"/>
    <w:multiLevelType w:val="hybridMultilevel"/>
    <w:tmpl w:val="94D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149D9"/>
    <w:multiLevelType w:val="multilevel"/>
    <w:tmpl w:val="9B36056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4457A91"/>
    <w:multiLevelType w:val="hybridMultilevel"/>
    <w:tmpl w:val="1AD60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1298B"/>
    <w:multiLevelType w:val="multilevel"/>
    <w:tmpl w:val="E43A3A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653221E"/>
    <w:multiLevelType w:val="hybridMultilevel"/>
    <w:tmpl w:val="6A98C8AA"/>
    <w:lvl w:ilvl="0" w:tplc="8404015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20E8"/>
    <w:multiLevelType w:val="hybridMultilevel"/>
    <w:tmpl w:val="8B94271C"/>
    <w:lvl w:ilvl="0" w:tplc="86F62D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6F0EBB"/>
    <w:multiLevelType w:val="hybridMultilevel"/>
    <w:tmpl w:val="6EA8B968"/>
    <w:lvl w:ilvl="0" w:tplc="4DB6A0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08304D"/>
    <w:multiLevelType w:val="hybridMultilevel"/>
    <w:tmpl w:val="A99A2DB4"/>
    <w:lvl w:ilvl="0" w:tplc="D14012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55245"/>
    <w:multiLevelType w:val="multilevel"/>
    <w:tmpl w:val="BE7C46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EF403D7"/>
    <w:multiLevelType w:val="multilevel"/>
    <w:tmpl w:val="1C1CDECE"/>
    <w:lvl w:ilvl="0">
      <w:start w:val="1"/>
      <w:numFmt w:val="bullet"/>
      <w:lvlText w:val=""/>
      <w:lvlJc w:val="left"/>
      <w:pPr>
        <w:ind w:left="720" w:hanging="360"/>
      </w:pPr>
      <w:rPr>
        <w:rFonts w:ascii="Symbol" w:hAnsi="Symbol"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3284AFB"/>
    <w:multiLevelType w:val="multilevel"/>
    <w:tmpl w:val="A65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D73B7"/>
    <w:multiLevelType w:val="multilevel"/>
    <w:tmpl w:val="0778CC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5123E37"/>
    <w:multiLevelType w:val="multilevel"/>
    <w:tmpl w:val="F93614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373D53E4"/>
    <w:multiLevelType w:val="multilevel"/>
    <w:tmpl w:val="4E8603F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9AD618B"/>
    <w:multiLevelType w:val="multilevel"/>
    <w:tmpl w:val="4A5C2D5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072054A"/>
    <w:multiLevelType w:val="multilevel"/>
    <w:tmpl w:val="4E2E93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ED7BE1"/>
    <w:multiLevelType w:val="multilevel"/>
    <w:tmpl w:val="99E0BF2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1DC555E"/>
    <w:multiLevelType w:val="multilevel"/>
    <w:tmpl w:val="8CEA911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23A6B0F"/>
    <w:multiLevelType w:val="multilevel"/>
    <w:tmpl w:val="9B36056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43BF486E"/>
    <w:multiLevelType w:val="multilevel"/>
    <w:tmpl w:val="7B4A4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57E417C"/>
    <w:multiLevelType w:val="multilevel"/>
    <w:tmpl w:val="7B4A4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7F5119"/>
    <w:multiLevelType w:val="multilevel"/>
    <w:tmpl w:val="7B4A4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CE1ABD"/>
    <w:multiLevelType w:val="multilevel"/>
    <w:tmpl w:val="D602C4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550477"/>
    <w:multiLevelType w:val="hybridMultilevel"/>
    <w:tmpl w:val="2AC64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62D62"/>
    <w:multiLevelType w:val="hybridMultilevel"/>
    <w:tmpl w:val="A740E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DE22E8"/>
    <w:multiLevelType w:val="hybridMultilevel"/>
    <w:tmpl w:val="049AD288"/>
    <w:lvl w:ilvl="0" w:tplc="AE683D6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5512650"/>
    <w:multiLevelType w:val="hybridMultilevel"/>
    <w:tmpl w:val="E9E454E6"/>
    <w:lvl w:ilvl="0" w:tplc="0413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0E82276">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11E8D"/>
    <w:multiLevelType w:val="hybridMultilevel"/>
    <w:tmpl w:val="AB96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228C6"/>
    <w:multiLevelType w:val="multilevel"/>
    <w:tmpl w:val="F8F09DB6"/>
    <w:lvl w:ilvl="0">
      <w:start w:val="2"/>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nsid w:val="697D234F"/>
    <w:multiLevelType w:val="multilevel"/>
    <w:tmpl w:val="751EA3F4"/>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nsid w:val="6D441D81"/>
    <w:multiLevelType w:val="multilevel"/>
    <w:tmpl w:val="4E68702C"/>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6E395FF0"/>
    <w:multiLevelType w:val="multilevel"/>
    <w:tmpl w:val="BE7C46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0DB646E"/>
    <w:multiLevelType w:val="multilevel"/>
    <w:tmpl w:val="6B6ED4EC"/>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nsid w:val="70FD6FE4"/>
    <w:multiLevelType w:val="multilevel"/>
    <w:tmpl w:val="A14A1F6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nsid w:val="74616C4D"/>
    <w:multiLevelType w:val="hybridMultilevel"/>
    <w:tmpl w:val="42F65AEC"/>
    <w:lvl w:ilvl="0" w:tplc="40241A6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003A16"/>
    <w:multiLevelType w:val="hybridMultilevel"/>
    <w:tmpl w:val="2586D514"/>
    <w:lvl w:ilvl="0" w:tplc="0413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0F7500"/>
    <w:multiLevelType w:val="multilevel"/>
    <w:tmpl w:val="7E8E786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nsid w:val="7DB315CB"/>
    <w:multiLevelType w:val="multilevel"/>
    <w:tmpl w:val="9682755E"/>
    <w:lvl w:ilvl="0">
      <w:start w:val="2"/>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8">
    <w:nsid w:val="7FEA7939"/>
    <w:multiLevelType w:val="multilevel"/>
    <w:tmpl w:val="A9C8CB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6"/>
  </w:num>
  <w:num w:numId="3">
    <w:abstractNumId w:val="25"/>
  </w:num>
  <w:num w:numId="4">
    <w:abstractNumId w:val="34"/>
  </w:num>
  <w:num w:numId="5">
    <w:abstractNumId w:val="23"/>
  </w:num>
  <w:num w:numId="6">
    <w:abstractNumId w:val="21"/>
  </w:num>
  <w:num w:numId="7">
    <w:abstractNumId w:val="15"/>
  </w:num>
  <w:num w:numId="8">
    <w:abstractNumId w:val="20"/>
  </w:num>
  <w:num w:numId="9">
    <w:abstractNumId w:val="1"/>
  </w:num>
  <w:num w:numId="10">
    <w:abstractNumId w:val="29"/>
  </w:num>
  <w:num w:numId="11">
    <w:abstractNumId w:val="30"/>
  </w:num>
  <w:num w:numId="12">
    <w:abstractNumId w:val="37"/>
  </w:num>
  <w:num w:numId="13">
    <w:abstractNumId w:val="33"/>
  </w:num>
  <w:num w:numId="14">
    <w:abstractNumId w:val="18"/>
  </w:num>
  <w:num w:numId="15">
    <w:abstractNumId w:val="28"/>
  </w:num>
  <w:num w:numId="16">
    <w:abstractNumId w:val="6"/>
  </w:num>
  <w:num w:numId="17">
    <w:abstractNumId w:val="27"/>
  </w:num>
  <w:num w:numId="18">
    <w:abstractNumId w:val="11"/>
  </w:num>
  <w:num w:numId="19">
    <w:abstractNumId w:val="36"/>
  </w:num>
  <w:num w:numId="20">
    <w:abstractNumId w:val="38"/>
  </w:num>
  <w:num w:numId="21">
    <w:abstractNumId w:val="10"/>
  </w:num>
  <w:num w:numId="22">
    <w:abstractNumId w:val="19"/>
  </w:num>
  <w:num w:numId="23">
    <w:abstractNumId w:val="2"/>
  </w:num>
  <w:num w:numId="24">
    <w:abstractNumId w:val="22"/>
  </w:num>
  <w:num w:numId="25">
    <w:abstractNumId w:val="3"/>
  </w:num>
  <w:num w:numId="26">
    <w:abstractNumId w:val="8"/>
  </w:num>
  <w:num w:numId="27">
    <w:abstractNumId w:val="35"/>
  </w:num>
  <w:num w:numId="28">
    <w:abstractNumId w:val="12"/>
  </w:num>
  <w:num w:numId="29">
    <w:abstractNumId w:val="14"/>
  </w:num>
  <w:num w:numId="30">
    <w:abstractNumId w:val="5"/>
  </w:num>
  <w:num w:numId="31">
    <w:abstractNumId w:val="32"/>
  </w:num>
  <w:num w:numId="32">
    <w:abstractNumId w:val="31"/>
  </w:num>
  <w:num w:numId="33">
    <w:abstractNumId w:val="16"/>
  </w:num>
  <w:num w:numId="34">
    <w:abstractNumId w:val="17"/>
  </w:num>
  <w:num w:numId="35">
    <w:abstractNumId w:val="13"/>
  </w:num>
  <w:num w:numId="36">
    <w:abstractNumId w:val="7"/>
  </w:num>
  <w:num w:numId="37">
    <w:abstractNumId w:val="4"/>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61"/>
    <w:rsid w:val="00001B78"/>
    <w:rsid w:val="00005977"/>
    <w:rsid w:val="0000659F"/>
    <w:rsid w:val="00007985"/>
    <w:rsid w:val="000128F2"/>
    <w:rsid w:val="0001406D"/>
    <w:rsid w:val="00015789"/>
    <w:rsid w:val="0001580A"/>
    <w:rsid w:val="00016873"/>
    <w:rsid w:val="00017F5A"/>
    <w:rsid w:val="000216C6"/>
    <w:rsid w:val="000244FA"/>
    <w:rsid w:val="000270D2"/>
    <w:rsid w:val="0004307E"/>
    <w:rsid w:val="00043A43"/>
    <w:rsid w:val="000457F1"/>
    <w:rsid w:val="00050468"/>
    <w:rsid w:val="0005289C"/>
    <w:rsid w:val="00053E48"/>
    <w:rsid w:val="000567CD"/>
    <w:rsid w:val="000611A1"/>
    <w:rsid w:val="00061AFC"/>
    <w:rsid w:val="000703D8"/>
    <w:rsid w:val="00070B78"/>
    <w:rsid w:val="000716AC"/>
    <w:rsid w:val="000743A2"/>
    <w:rsid w:val="0007498B"/>
    <w:rsid w:val="0008130B"/>
    <w:rsid w:val="00085B8D"/>
    <w:rsid w:val="000958E9"/>
    <w:rsid w:val="00096665"/>
    <w:rsid w:val="00096978"/>
    <w:rsid w:val="00096F5A"/>
    <w:rsid w:val="000A0A24"/>
    <w:rsid w:val="000A2D7C"/>
    <w:rsid w:val="000A2FF0"/>
    <w:rsid w:val="000A3FC5"/>
    <w:rsid w:val="000A433A"/>
    <w:rsid w:val="000A4ED7"/>
    <w:rsid w:val="000A5E97"/>
    <w:rsid w:val="000A611D"/>
    <w:rsid w:val="000A684E"/>
    <w:rsid w:val="000A7285"/>
    <w:rsid w:val="000B0E2D"/>
    <w:rsid w:val="000B2F75"/>
    <w:rsid w:val="000B2FC3"/>
    <w:rsid w:val="000B385E"/>
    <w:rsid w:val="000B7427"/>
    <w:rsid w:val="000C0B0C"/>
    <w:rsid w:val="000C7FFC"/>
    <w:rsid w:val="000D167F"/>
    <w:rsid w:val="000D192E"/>
    <w:rsid w:val="000D29DF"/>
    <w:rsid w:val="000D3230"/>
    <w:rsid w:val="000D4FF6"/>
    <w:rsid w:val="000D57BA"/>
    <w:rsid w:val="000D6009"/>
    <w:rsid w:val="000D7918"/>
    <w:rsid w:val="000E0EBE"/>
    <w:rsid w:val="000E232C"/>
    <w:rsid w:val="000E2D68"/>
    <w:rsid w:val="000E381D"/>
    <w:rsid w:val="000E439A"/>
    <w:rsid w:val="000F1287"/>
    <w:rsid w:val="000F1E57"/>
    <w:rsid w:val="000F3406"/>
    <w:rsid w:val="000F50A1"/>
    <w:rsid w:val="000F551D"/>
    <w:rsid w:val="000F5B1C"/>
    <w:rsid w:val="000F5E7D"/>
    <w:rsid w:val="000F6E59"/>
    <w:rsid w:val="000F77B3"/>
    <w:rsid w:val="0010087B"/>
    <w:rsid w:val="00103BC2"/>
    <w:rsid w:val="0011042F"/>
    <w:rsid w:val="00110BC3"/>
    <w:rsid w:val="00112DC8"/>
    <w:rsid w:val="00116A38"/>
    <w:rsid w:val="00117DD1"/>
    <w:rsid w:val="00120EA5"/>
    <w:rsid w:val="00122764"/>
    <w:rsid w:val="001239AD"/>
    <w:rsid w:val="00130936"/>
    <w:rsid w:val="0013143F"/>
    <w:rsid w:val="00136F39"/>
    <w:rsid w:val="00141856"/>
    <w:rsid w:val="00142112"/>
    <w:rsid w:val="00146AEC"/>
    <w:rsid w:val="001475DD"/>
    <w:rsid w:val="001528B1"/>
    <w:rsid w:val="0015518D"/>
    <w:rsid w:val="001558CA"/>
    <w:rsid w:val="00155B15"/>
    <w:rsid w:val="001569D3"/>
    <w:rsid w:val="00160F8E"/>
    <w:rsid w:val="00161F58"/>
    <w:rsid w:val="001625EA"/>
    <w:rsid w:val="00163F86"/>
    <w:rsid w:val="001644C8"/>
    <w:rsid w:val="00164533"/>
    <w:rsid w:val="00164B33"/>
    <w:rsid w:val="001701D3"/>
    <w:rsid w:val="001803F1"/>
    <w:rsid w:val="00181540"/>
    <w:rsid w:val="0018221C"/>
    <w:rsid w:val="00186E51"/>
    <w:rsid w:val="001919A2"/>
    <w:rsid w:val="00197231"/>
    <w:rsid w:val="001A3267"/>
    <w:rsid w:val="001A62CB"/>
    <w:rsid w:val="001A69E4"/>
    <w:rsid w:val="001B12F5"/>
    <w:rsid w:val="001B292F"/>
    <w:rsid w:val="001C2313"/>
    <w:rsid w:val="001C5C93"/>
    <w:rsid w:val="001D0765"/>
    <w:rsid w:val="001D63DD"/>
    <w:rsid w:val="001E118F"/>
    <w:rsid w:val="001E1F7B"/>
    <w:rsid w:val="001E2F9E"/>
    <w:rsid w:val="001E3BC0"/>
    <w:rsid w:val="001E77F2"/>
    <w:rsid w:val="001F0257"/>
    <w:rsid w:val="001F1411"/>
    <w:rsid w:val="001F1973"/>
    <w:rsid w:val="001F36E4"/>
    <w:rsid w:val="001F5182"/>
    <w:rsid w:val="001F791D"/>
    <w:rsid w:val="00210750"/>
    <w:rsid w:val="00212659"/>
    <w:rsid w:val="00212756"/>
    <w:rsid w:val="0021493C"/>
    <w:rsid w:val="00216320"/>
    <w:rsid w:val="002169F7"/>
    <w:rsid w:val="00217D79"/>
    <w:rsid w:val="00220A38"/>
    <w:rsid w:val="00220EAE"/>
    <w:rsid w:val="002241F8"/>
    <w:rsid w:val="002265F3"/>
    <w:rsid w:val="002310D4"/>
    <w:rsid w:val="00232A65"/>
    <w:rsid w:val="00240798"/>
    <w:rsid w:val="00241362"/>
    <w:rsid w:val="0024145F"/>
    <w:rsid w:val="00242BD0"/>
    <w:rsid w:val="0024301F"/>
    <w:rsid w:val="00250774"/>
    <w:rsid w:val="00253F39"/>
    <w:rsid w:val="002549A6"/>
    <w:rsid w:val="00255218"/>
    <w:rsid w:val="00256B7E"/>
    <w:rsid w:val="00256FC9"/>
    <w:rsid w:val="00257C41"/>
    <w:rsid w:val="0026456D"/>
    <w:rsid w:val="002647C3"/>
    <w:rsid w:val="002656B6"/>
    <w:rsid w:val="00265F6D"/>
    <w:rsid w:val="00270B84"/>
    <w:rsid w:val="00272842"/>
    <w:rsid w:val="002728E9"/>
    <w:rsid w:val="002737D4"/>
    <w:rsid w:val="00274FE5"/>
    <w:rsid w:val="0027588E"/>
    <w:rsid w:val="00277F23"/>
    <w:rsid w:val="0028020B"/>
    <w:rsid w:val="00280E78"/>
    <w:rsid w:val="00282482"/>
    <w:rsid w:val="0028436B"/>
    <w:rsid w:val="00286EB6"/>
    <w:rsid w:val="002945D2"/>
    <w:rsid w:val="00296838"/>
    <w:rsid w:val="002A45B8"/>
    <w:rsid w:val="002B034F"/>
    <w:rsid w:val="002B0746"/>
    <w:rsid w:val="002B10EF"/>
    <w:rsid w:val="002B343F"/>
    <w:rsid w:val="002C5E29"/>
    <w:rsid w:val="002C6575"/>
    <w:rsid w:val="002C76BB"/>
    <w:rsid w:val="002E0C55"/>
    <w:rsid w:val="002E130C"/>
    <w:rsid w:val="002E1D4B"/>
    <w:rsid w:val="002E1D55"/>
    <w:rsid w:val="002E2297"/>
    <w:rsid w:val="002E2A24"/>
    <w:rsid w:val="002E5B92"/>
    <w:rsid w:val="002F578E"/>
    <w:rsid w:val="003044F6"/>
    <w:rsid w:val="003049AB"/>
    <w:rsid w:val="00306214"/>
    <w:rsid w:val="00306FBE"/>
    <w:rsid w:val="0030772C"/>
    <w:rsid w:val="00312DA1"/>
    <w:rsid w:val="003157F8"/>
    <w:rsid w:val="0031621F"/>
    <w:rsid w:val="00317507"/>
    <w:rsid w:val="00317AC4"/>
    <w:rsid w:val="00322849"/>
    <w:rsid w:val="00323A02"/>
    <w:rsid w:val="00327153"/>
    <w:rsid w:val="00331CFA"/>
    <w:rsid w:val="00334A4B"/>
    <w:rsid w:val="00337585"/>
    <w:rsid w:val="00342ECB"/>
    <w:rsid w:val="00343406"/>
    <w:rsid w:val="003437CB"/>
    <w:rsid w:val="00343A4D"/>
    <w:rsid w:val="0034755D"/>
    <w:rsid w:val="00347A71"/>
    <w:rsid w:val="003509C1"/>
    <w:rsid w:val="0035292C"/>
    <w:rsid w:val="00360211"/>
    <w:rsid w:val="003610AA"/>
    <w:rsid w:val="003617B2"/>
    <w:rsid w:val="00365D9F"/>
    <w:rsid w:val="0036710E"/>
    <w:rsid w:val="0036747F"/>
    <w:rsid w:val="0037027C"/>
    <w:rsid w:val="00370CC8"/>
    <w:rsid w:val="00375D3B"/>
    <w:rsid w:val="0038488F"/>
    <w:rsid w:val="00385DC6"/>
    <w:rsid w:val="00386E35"/>
    <w:rsid w:val="0039182D"/>
    <w:rsid w:val="00392477"/>
    <w:rsid w:val="003927CE"/>
    <w:rsid w:val="003938A3"/>
    <w:rsid w:val="0039413B"/>
    <w:rsid w:val="0039480E"/>
    <w:rsid w:val="00394C7C"/>
    <w:rsid w:val="00396BC0"/>
    <w:rsid w:val="003A0049"/>
    <w:rsid w:val="003A0147"/>
    <w:rsid w:val="003A358E"/>
    <w:rsid w:val="003A60E8"/>
    <w:rsid w:val="003A64A0"/>
    <w:rsid w:val="003B0F79"/>
    <w:rsid w:val="003B1450"/>
    <w:rsid w:val="003B2E40"/>
    <w:rsid w:val="003C03A3"/>
    <w:rsid w:val="003C30FE"/>
    <w:rsid w:val="003C52B3"/>
    <w:rsid w:val="003C6950"/>
    <w:rsid w:val="003C772A"/>
    <w:rsid w:val="003D00D3"/>
    <w:rsid w:val="003D1CD0"/>
    <w:rsid w:val="003D4781"/>
    <w:rsid w:val="003D4FD0"/>
    <w:rsid w:val="003D7BF8"/>
    <w:rsid w:val="003E14F4"/>
    <w:rsid w:val="003E36A1"/>
    <w:rsid w:val="003E4C67"/>
    <w:rsid w:val="003E7613"/>
    <w:rsid w:val="003F2042"/>
    <w:rsid w:val="003F2BDB"/>
    <w:rsid w:val="003F3296"/>
    <w:rsid w:val="003F374C"/>
    <w:rsid w:val="003F5E6E"/>
    <w:rsid w:val="003F6259"/>
    <w:rsid w:val="004000CE"/>
    <w:rsid w:val="00404A5F"/>
    <w:rsid w:val="0040548C"/>
    <w:rsid w:val="00406161"/>
    <w:rsid w:val="00407202"/>
    <w:rsid w:val="004154A9"/>
    <w:rsid w:val="00416C47"/>
    <w:rsid w:val="00430AD7"/>
    <w:rsid w:val="004318FE"/>
    <w:rsid w:val="00435BA3"/>
    <w:rsid w:val="00441565"/>
    <w:rsid w:val="004421AE"/>
    <w:rsid w:val="00443B84"/>
    <w:rsid w:val="0044700E"/>
    <w:rsid w:val="00452A53"/>
    <w:rsid w:val="004569CA"/>
    <w:rsid w:val="0046023F"/>
    <w:rsid w:val="0046034D"/>
    <w:rsid w:val="0046084A"/>
    <w:rsid w:val="00464BCF"/>
    <w:rsid w:val="00466D25"/>
    <w:rsid w:val="00467DBB"/>
    <w:rsid w:val="004705F5"/>
    <w:rsid w:val="00473A7A"/>
    <w:rsid w:val="00474478"/>
    <w:rsid w:val="0047494A"/>
    <w:rsid w:val="00476D28"/>
    <w:rsid w:val="00481473"/>
    <w:rsid w:val="00481EBF"/>
    <w:rsid w:val="00487415"/>
    <w:rsid w:val="00490A9B"/>
    <w:rsid w:val="00490B2E"/>
    <w:rsid w:val="00490FD4"/>
    <w:rsid w:val="004938AB"/>
    <w:rsid w:val="00495094"/>
    <w:rsid w:val="00495EDD"/>
    <w:rsid w:val="004A0A66"/>
    <w:rsid w:val="004A12A6"/>
    <w:rsid w:val="004A5288"/>
    <w:rsid w:val="004A5333"/>
    <w:rsid w:val="004A7EA8"/>
    <w:rsid w:val="004B092C"/>
    <w:rsid w:val="004B0DB4"/>
    <w:rsid w:val="004B0EC5"/>
    <w:rsid w:val="004B2CD6"/>
    <w:rsid w:val="004B7683"/>
    <w:rsid w:val="004C2C72"/>
    <w:rsid w:val="004C599B"/>
    <w:rsid w:val="004C5F98"/>
    <w:rsid w:val="004D19CA"/>
    <w:rsid w:val="004D3698"/>
    <w:rsid w:val="004D3FC2"/>
    <w:rsid w:val="004D66E5"/>
    <w:rsid w:val="004E0015"/>
    <w:rsid w:val="004E082D"/>
    <w:rsid w:val="004E16A5"/>
    <w:rsid w:val="004E4F0A"/>
    <w:rsid w:val="004F22BA"/>
    <w:rsid w:val="004F6EB8"/>
    <w:rsid w:val="004F70A1"/>
    <w:rsid w:val="0050484B"/>
    <w:rsid w:val="005072FF"/>
    <w:rsid w:val="00507B68"/>
    <w:rsid w:val="005108E2"/>
    <w:rsid w:val="0051502D"/>
    <w:rsid w:val="00515E65"/>
    <w:rsid w:val="00517BBA"/>
    <w:rsid w:val="00520A50"/>
    <w:rsid w:val="00523065"/>
    <w:rsid w:val="00523B23"/>
    <w:rsid w:val="0052491C"/>
    <w:rsid w:val="00524CEE"/>
    <w:rsid w:val="005312FA"/>
    <w:rsid w:val="00534071"/>
    <w:rsid w:val="005428A3"/>
    <w:rsid w:val="0055026D"/>
    <w:rsid w:val="00552086"/>
    <w:rsid w:val="0055299C"/>
    <w:rsid w:val="00553FE1"/>
    <w:rsid w:val="005609C5"/>
    <w:rsid w:val="00561045"/>
    <w:rsid w:val="00564B0D"/>
    <w:rsid w:val="00564F86"/>
    <w:rsid w:val="00565EF8"/>
    <w:rsid w:val="00567625"/>
    <w:rsid w:val="005709E8"/>
    <w:rsid w:val="005746D2"/>
    <w:rsid w:val="0057492B"/>
    <w:rsid w:val="00575DF0"/>
    <w:rsid w:val="00580915"/>
    <w:rsid w:val="005826E3"/>
    <w:rsid w:val="00582F63"/>
    <w:rsid w:val="00585F77"/>
    <w:rsid w:val="005934D0"/>
    <w:rsid w:val="00596E76"/>
    <w:rsid w:val="005A40F3"/>
    <w:rsid w:val="005A601E"/>
    <w:rsid w:val="005A6D62"/>
    <w:rsid w:val="005A7F41"/>
    <w:rsid w:val="005B3156"/>
    <w:rsid w:val="005B3CD4"/>
    <w:rsid w:val="005B5A7D"/>
    <w:rsid w:val="005B7257"/>
    <w:rsid w:val="005C0811"/>
    <w:rsid w:val="005C15D7"/>
    <w:rsid w:val="005C23BA"/>
    <w:rsid w:val="005D0AB5"/>
    <w:rsid w:val="005D34B5"/>
    <w:rsid w:val="005D3907"/>
    <w:rsid w:val="005D42E8"/>
    <w:rsid w:val="005D5401"/>
    <w:rsid w:val="005E009B"/>
    <w:rsid w:val="005E14DE"/>
    <w:rsid w:val="005E291C"/>
    <w:rsid w:val="005E2DA4"/>
    <w:rsid w:val="005E2F31"/>
    <w:rsid w:val="005E45B0"/>
    <w:rsid w:val="005E7197"/>
    <w:rsid w:val="005F0323"/>
    <w:rsid w:val="005F3550"/>
    <w:rsid w:val="005F61ED"/>
    <w:rsid w:val="005F6B5C"/>
    <w:rsid w:val="00603B1C"/>
    <w:rsid w:val="00606B2B"/>
    <w:rsid w:val="006102A2"/>
    <w:rsid w:val="00610EF1"/>
    <w:rsid w:val="00622E76"/>
    <w:rsid w:val="006244C9"/>
    <w:rsid w:val="00624EAA"/>
    <w:rsid w:val="00627364"/>
    <w:rsid w:val="00627B22"/>
    <w:rsid w:val="00630344"/>
    <w:rsid w:val="0063147E"/>
    <w:rsid w:val="006334E6"/>
    <w:rsid w:val="00633C53"/>
    <w:rsid w:val="00634664"/>
    <w:rsid w:val="00635D92"/>
    <w:rsid w:val="006360A4"/>
    <w:rsid w:val="00640944"/>
    <w:rsid w:val="00643755"/>
    <w:rsid w:val="0065014D"/>
    <w:rsid w:val="00650C58"/>
    <w:rsid w:val="00650D4F"/>
    <w:rsid w:val="00650E0D"/>
    <w:rsid w:val="00653413"/>
    <w:rsid w:val="0065366C"/>
    <w:rsid w:val="006546FC"/>
    <w:rsid w:val="006548B0"/>
    <w:rsid w:val="006574EF"/>
    <w:rsid w:val="00660067"/>
    <w:rsid w:val="00660C67"/>
    <w:rsid w:val="00665CC0"/>
    <w:rsid w:val="006710C0"/>
    <w:rsid w:val="006714C7"/>
    <w:rsid w:val="006731C0"/>
    <w:rsid w:val="00674711"/>
    <w:rsid w:val="00676692"/>
    <w:rsid w:val="00683F34"/>
    <w:rsid w:val="00685224"/>
    <w:rsid w:val="00685B16"/>
    <w:rsid w:val="00685FDA"/>
    <w:rsid w:val="00691F69"/>
    <w:rsid w:val="00697C23"/>
    <w:rsid w:val="00697EB3"/>
    <w:rsid w:val="006A263F"/>
    <w:rsid w:val="006A28ED"/>
    <w:rsid w:val="006A3974"/>
    <w:rsid w:val="006A3C14"/>
    <w:rsid w:val="006A7A7E"/>
    <w:rsid w:val="006B379B"/>
    <w:rsid w:val="006B5DB9"/>
    <w:rsid w:val="006C14C9"/>
    <w:rsid w:val="006C1B78"/>
    <w:rsid w:val="006C3C2C"/>
    <w:rsid w:val="006C3C8E"/>
    <w:rsid w:val="006C58D2"/>
    <w:rsid w:val="006D6E21"/>
    <w:rsid w:val="006E0129"/>
    <w:rsid w:val="006E1ED9"/>
    <w:rsid w:val="006F0504"/>
    <w:rsid w:val="006F0C76"/>
    <w:rsid w:val="006F11B6"/>
    <w:rsid w:val="006F25B1"/>
    <w:rsid w:val="006F3390"/>
    <w:rsid w:val="006F47F1"/>
    <w:rsid w:val="006F4A56"/>
    <w:rsid w:val="006F5136"/>
    <w:rsid w:val="006F5AB4"/>
    <w:rsid w:val="006F6938"/>
    <w:rsid w:val="006F7FCE"/>
    <w:rsid w:val="007006D7"/>
    <w:rsid w:val="0070128E"/>
    <w:rsid w:val="00701D9E"/>
    <w:rsid w:val="007020E2"/>
    <w:rsid w:val="0070407A"/>
    <w:rsid w:val="00705D9B"/>
    <w:rsid w:val="007071E1"/>
    <w:rsid w:val="007124D3"/>
    <w:rsid w:val="00712FEC"/>
    <w:rsid w:val="0071396D"/>
    <w:rsid w:val="00715F64"/>
    <w:rsid w:val="00717993"/>
    <w:rsid w:val="0072021C"/>
    <w:rsid w:val="0072506C"/>
    <w:rsid w:val="007256EA"/>
    <w:rsid w:val="007360D3"/>
    <w:rsid w:val="00742BB2"/>
    <w:rsid w:val="00744027"/>
    <w:rsid w:val="00744A1F"/>
    <w:rsid w:val="00746110"/>
    <w:rsid w:val="00746E73"/>
    <w:rsid w:val="007508AA"/>
    <w:rsid w:val="007510E3"/>
    <w:rsid w:val="0075251A"/>
    <w:rsid w:val="0075434D"/>
    <w:rsid w:val="00755037"/>
    <w:rsid w:val="007572BF"/>
    <w:rsid w:val="00761EAC"/>
    <w:rsid w:val="00767336"/>
    <w:rsid w:val="00770B9B"/>
    <w:rsid w:val="00774477"/>
    <w:rsid w:val="007745E3"/>
    <w:rsid w:val="00774FAC"/>
    <w:rsid w:val="00774FDF"/>
    <w:rsid w:val="00775047"/>
    <w:rsid w:val="00777093"/>
    <w:rsid w:val="007776D6"/>
    <w:rsid w:val="00780FD7"/>
    <w:rsid w:val="00781859"/>
    <w:rsid w:val="00783758"/>
    <w:rsid w:val="00785547"/>
    <w:rsid w:val="0078766B"/>
    <w:rsid w:val="00787BC5"/>
    <w:rsid w:val="007917DB"/>
    <w:rsid w:val="0079370E"/>
    <w:rsid w:val="00794467"/>
    <w:rsid w:val="007948ED"/>
    <w:rsid w:val="00796908"/>
    <w:rsid w:val="00796A62"/>
    <w:rsid w:val="007A7350"/>
    <w:rsid w:val="007A7F40"/>
    <w:rsid w:val="007B1AB2"/>
    <w:rsid w:val="007B371C"/>
    <w:rsid w:val="007B709D"/>
    <w:rsid w:val="007C6C2A"/>
    <w:rsid w:val="007C7482"/>
    <w:rsid w:val="007D0D35"/>
    <w:rsid w:val="007D21DE"/>
    <w:rsid w:val="007D2546"/>
    <w:rsid w:val="007D4AEE"/>
    <w:rsid w:val="007E2183"/>
    <w:rsid w:val="007E24ED"/>
    <w:rsid w:val="007E26AE"/>
    <w:rsid w:val="007E52A3"/>
    <w:rsid w:val="007E55A8"/>
    <w:rsid w:val="007E6907"/>
    <w:rsid w:val="007F1C6A"/>
    <w:rsid w:val="007F7B20"/>
    <w:rsid w:val="007F7BEF"/>
    <w:rsid w:val="00801E12"/>
    <w:rsid w:val="00802458"/>
    <w:rsid w:val="00802A19"/>
    <w:rsid w:val="008036FF"/>
    <w:rsid w:val="008038B2"/>
    <w:rsid w:val="0081428D"/>
    <w:rsid w:val="0081461F"/>
    <w:rsid w:val="008148B4"/>
    <w:rsid w:val="0081762D"/>
    <w:rsid w:val="008200C2"/>
    <w:rsid w:val="0082428E"/>
    <w:rsid w:val="00825AB8"/>
    <w:rsid w:val="0082619B"/>
    <w:rsid w:val="00826F71"/>
    <w:rsid w:val="00827A5D"/>
    <w:rsid w:val="00831F98"/>
    <w:rsid w:val="00833F83"/>
    <w:rsid w:val="00834D18"/>
    <w:rsid w:val="00841F15"/>
    <w:rsid w:val="00845808"/>
    <w:rsid w:val="00847F56"/>
    <w:rsid w:val="00850B06"/>
    <w:rsid w:val="00851EC6"/>
    <w:rsid w:val="00855674"/>
    <w:rsid w:val="00861791"/>
    <w:rsid w:val="0086364E"/>
    <w:rsid w:val="00863ECC"/>
    <w:rsid w:val="008728B3"/>
    <w:rsid w:val="00876CE6"/>
    <w:rsid w:val="00880CCB"/>
    <w:rsid w:val="008830B9"/>
    <w:rsid w:val="008838F5"/>
    <w:rsid w:val="00886BEC"/>
    <w:rsid w:val="008873BD"/>
    <w:rsid w:val="00887A15"/>
    <w:rsid w:val="0089474D"/>
    <w:rsid w:val="008965CC"/>
    <w:rsid w:val="00896E64"/>
    <w:rsid w:val="008978BB"/>
    <w:rsid w:val="008A0AA2"/>
    <w:rsid w:val="008A2FBB"/>
    <w:rsid w:val="008A2FE7"/>
    <w:rsid w:val="008A4313"/>
    <w:rsid w:val="008A4600"/>
    <w:rsid w:val="008A4771"/>
    <w:rsid w:val="008A64C9"/>
    <w:rsid w:val="008A67CC"/>
    <w:rsid w:val="008A76BF"/>
    <w:rsid w:val="008B231E"/>
    <w:rsid w:val="008C23C9"/>
    <w:rsid w:val="008C2E4A"/>
    <w:rsid w:val="008C4A19"/>
    <w:rsid w:val="008C54C4"/>
    <w:rsid w:val="008D0F03"/>
    <w:rsid w:val="008D61CC"/>
    <w:rsid w:val="008D757B"/>
    <w:rsid w:val="008D75AC"/>
    <w:rsid w:val="008E0384"/>
    <w:rsid w:val="008E0EB3"/>
    <w:rsid w:val="008E1221"/>
    <w:rsid w:val="008E3D68"/>
    <w:rsid w:val="008E5465"/>
    <w:rsid w:val="008F0813"/>
    <w:rsid w:val="008F420D"/>
    <w:rsid w:val="008F5383"/>
    <w:rsid w:val="0090147E"/>
    <w:rsid w:val="0090348C"/>
    <w:rsid w:val="0090487E"/>
    <w:rsid w:val="0090686F"/>
    <w:rsid w:val="00906E8F"/>
    <w:rsid w:val="009104B3"/>
    <w:rsid w:val="0091371F"/>
    <w:rsid w:val="0091733C"/>
    <w:rsid w:val="00920961"/>
    <w:rsid w:val="00921CB4"/>
    <w:rsid w:val="0092327B"/>
    <w:rsid w:val="0092721B"/>
    <w:rsid w:val="009278CD"/>
    <w:rsid w:val="0093195B"/>
    <w:rsid w:val="00932E79"/>
    <w:rsid w:val="00933869"/>
    <w:rsid w:val="00933C07"/>
    <w:rsid w:val="00935634"/>
    <w:rsid w:val="00937303"/>
    <w:rsid w:val="009402B7"/>
    <w:rsid w:val="009404B6"/>
    <w:rsid w:val="009443DF"/>
    <w:rsid w:val="00944439"/>
    <w:rsid w:val="00944DF3"/>
    <w:rsid w:val="00946560"/>
    <w:rsid w:val="00946FC0"/>
    <w:rsid w:val="00951D4E"/>
    <w:rsid w:val="009521B5"/>
    <w:rsid w:val="00962E90"/>
    <w:rsid w:val="00963182"/>
    <w:rsid w:val="00963226"/>
    <w:rsid w:val="0096355F"/>
    <w:rsid w:val="009637D6"/>
    <w:rsid w:val="009650B2"/>
    <w:rsid w:val="00966CB1"/>
    <w:rsid w:val="0097074F"/>
    <w:rsid w:val="00970C7D"/>
    <w:rsid w:val="00973528"/>
    <w:rsid w:val="00973CBA"/>
    <w:rsid w:val="0097690C"/>
    <w:rsid w:val="00983506"/>
    <w:rsid w:val="00984262"/>
    <w:rsid w:val="009A4E39"/>
    <w:rsid w:val="009A5645"/>
    <w:rsid w:val="009A62E8"/>
    <w:rsid w:val="009A643F"/>
    <w:rsid w:val="009A67F0"/>
    <w:rsid w:val="009B0EB0"/>
    <w:rsid w:val="009B3299"/>
    <w:rsid w:val="009B428E"/>
    <w:rsid w:val="009B7433"/>
    <w:rsid w:val="009B7D6D"/>
    <w:rsid w:val="009C2998"/>
    <w:rsid w:val="009C2BCB"/>
    <w:rsid w:val="009C3753"/>
    <w:rsid w:val="009C3D92"/>
    <w:rsid w:val="009D0AC8"/>
    <w:rsid w:val="009D2071"/>
    <w:rsid w:val="009D343B"/>
    <w:rsid w:val="009D345E"/>
    <w:rsid w:val="009D49D2"/>
    <w:rsid w:val="009D4B65"/>
    <w:rsid w:val="009D4EC5"/>
    <w:rsid w:val="009D6483"/>
    <w:rsid w:val="009E34C2"/>
    <w:rsid w:val="009E5903"/>
    <w:rsid w:val="009E7A85"/>
    <w:rsid w:val="009F19D1"/>
    <w:rsid w:val="009F2038"/>
    <w:rsid w:val="009F3B4A"/>
    <w:rsid w:val="009F67C3"/>
    <w:rsid w:val="009F76B7"/>
    <w:rsid w:val="00A00006"/>
    <w:rsid w:val="00A04BE5"/>
    <w:rsid w:val="00A0573A"/>
    <w:rsid w:val="00A10384"/>
    <w:rsid w:val="00A10868"/>
    <w:rsid w:val="00A10A66"/>
    <w:rsid w:val="00A12FAB"/>
    <w:rsid w:val="00A157BF"/>
    <w:rsid w:val="00A16E50"/>
    <w:rsid w:val="00A17CC2"/>
    <w:rsid w:val="00A217F0"/>
    <w:rsid w:val="00A22B34"/>
    <w:rsid w:val="00A25DE0"/>
    <w:rsid w:val="00A267CD"/>
    <w:rsid w:val="00A27802"/>
    <w:rsid w:val="00A301E7"/>
    <w:rsid w:val="00A31E5B"/>
    <w:rsid w:val="00A34041"/>
    <w:rsid w:val="00A36E64"/>
    <w:rsid w:val="00A374B7"/>
    <w:rsid w:val="00A375E0"/>
    <w:rsid w:val="00A4165F"/>
    <w:rsid w:val="00A44ECB"/>
    <w:rsid w:val="00A46777"/>
    <w:rsid w:val="00A46797"/>
    <w:rsid w:val="00A47E6D"/>
    <w:rsid w:val="00A50759"/>
    <w:rsid w:val="00A51350"/>
    <w:rsid w:val="00A54330"/>
    <w:rsid w:val="00A578F0"/>
    <w:rsid w:val="00A6354B"/>
    <w:rsid w:val="00A64BB6"/>
    <w:rsid w:val="00A65FC5"/>
    <w:rsid w:val="00A720F8"/>
    <w:rsid w:val="00A72E86"/>
    <w:rsid w:val="00A738EC"/>
    <w:rsid w:val="00A75966"/>
    <w:rsid w:val="00A76522"/>
    <w:rsid w:val="00A7751B"/>
    <w:rsid w:val="00A803A6"/>
    <w:rsid w:val="00A82F70"/>
    <w:rsid w:val="00A83248"/>
    <w:rsid w:val="00A865D9"/>
    <w:rsid w:val="00A87C1E"/>
    <w:rsid w:val="00A92D46"/>
    <w:rsid w:val="00A949E8"/>
    <w:rsid w:val="00AA0B5A"/>
    <w:rsid w:val="00AA15E6"/>
    <w:rsid w:val="00AA5949"/>
    <w:rsid w:val="00AB0F4F"/>
    <w:rsid w:val="00AB376C"/>
    <w:rsid w:val="00AB7A39"/>
    <w:rsid w:val="00AB7AD1"/>
    <w:rsid w:val="00AC0B1C"/>
    <w:rsid w:val="00AC1BE8"/>
    <w:rsid w:val="00AC3934"/>
    <w:rsid w:val="00AC4741"/>
    <w:rsid w:val="00AC6C7A"/>
    <w:rsid w:val="00AD1652"/>
    <w:rsid w:val="00AD7BEC"/>
    <w:rsid w:val="00AE0B7B"/>
    <w:rsid w:val="00AE388F"/>
    <w:rsid w:val="00AE39AD"/>
    <w:rsid w:val="00AE785C"/>
    <w:rsid w:val="00AF039C"/>
    <w:rsid w:val="00AF08A5"/>
    <w:rsid w:val="00AF13FA"/>
    <w:rsid w:val="00AF229B"/>
    <w:rsid w:val="00AF391D"/>
    <w:rsid w:val="00AF604D"/>
    <w:rsid w:val="00AF6484"/>
    <w:rsid w:val="00AF6671"/>
    <w:rsid w:val="00AF6D94"/>
    <w:rsid w:val="00B044C7"/>
    <w:rsid w:val="00B11094"/>
    <w:rsid w:val="00B112E1"/>
    <w:rsid w:val="00B11FD9"/>
    <w:rsid w:val="00B13266"/>
    <w:rsid w:val="00B14645"/>
    <w:rsid w:val="00B14A46"/>
    <w:rsid w:val="00B1540D"/>
    <w:rsid w:val="00B169F4"/>
    <w:rsid w:val="00B17194"/>
    <w:rsid w:val="00B22442"/>
    <w:rsid w:val="00B23C73"/>
    <w:rsid w:val="00B245FD"/>
    <w:rsid w:val="00B266CB"/>
    <w:rsid w:val="00B32299"/>
    <w:rsid w:val="00B42E43"/>
    <w:rsid w:val="00B44603"/>
    <w:rsid w:val="00B44F12"/>
    <w:rsid w:val="00B51A1A"/>
    <w:rsid w:val="00B51E51"/>
    <w:rsid w:val="00B55AD1"/>
    <w:rsid w:val="00B5794A"/>
    <w:rsid w:val="00B57EFC"/>
    <w:rsid w:val="00B61FED"/>
    <w:rsid w:val="00B62A6B"/>
    <w:rsid w:val="00B6615A"/>
    <w:rsid w:val="00B66B47"/>
    <w:rsid w:val="00B66FEF"/>
    <w:rsid w:val="00B671B3"/>
    <w:rsid w:val="00B674AE"/>
    <w:rsid w:val="00B740EF"/>
    <w:rsid w:val="00B7576D"/>
    <w:rsid w:val="00B7628B"/>
    <w:rsid w:val="00B76670"/>
    <w:rsid w:val="00B76E8F"/>
    <w:rsid w:val="00B77AB9"/>
    <w:rsid w:val="00B815F6"/>
    <w:rsid w:val="00B81842"/>
    <w:rsid w:val="00B818C3"/>
    <w:rsid w:val="00B8330E"/>
    <w:rsid w:val="00B83B5E"/>
    <w:rsid w:val="00B86842"/>
    <w:rsid w:val="00B92D7C"/>
    <w:rsid w:val="00B93473"/>
    <w:rsid w:val="00B93E03"/>
    <w:rsid w:val="00B950F5"/>
    <w:rsid w:val="00BA01F3"/>
    <w:rsid w:val="00BA0D47"/>
    <w:rsid w:val="00BA0F51"/>
    <w:rsid w:val="00BA6009"/>
    <w:rsid w:val="00BA6208"/>
    <w:rsid w:val="00BA6C36"/>
    <w:rsid w:val="00BA7FCA"/>
    <w:rsid w:val="00BB04EA"/>
    <w:rsid w:val="00BB33A8"/>
    <w:rsid w:val="00BB3A73"/>
    <w:rsid w:val="00BB3EDA"/>
    <w:rsid w:val="00BB75D4"/>
    <w:rsid w:val="00BC10F0"/>
    <w:rsid w:val="00BC3EE3"/>
    <w:rsid w:val="00BC50CE"/>
    <w:rsid w:val="00BD2361"/>
    <w:rsid w:val="00BD3998"/>
    <w:rsid w:val="00BD5216"/>
    <w:rsid w:val="00BE0039"/>
    <w:rsid w:val="00BE1648"/>
    <w:rsid w:val="00BE1BA0"/>
    <w:rsid w:val="00BE26B5"/>
    <w:rsid w:val="00BE550E"/>
    <w:rsid w:val="00BE5F72"/>
    <w:rsid w:val="00BE6FEE"/>
    <w:rsid w:val="00BE7359"/>
    <w:rsid w:val="00BE75B6"/>
    <w:rsid w:val="00BF0006"/>
    <w:rsid w:val="00BF3A2E"/>
    <w:rsid w:val="00BF40B2"/>
    <w:rsid w:val="00C029C7"/>
    <w:rsid w:val="00C067B4"/>
    <w:rsid w:val="00C07406"/>
    <w:rsid w:val="00C1060B"/>
    <w:rsid w:val="00C11B78"/>
    <w:rsid w:val="00C16CA4"/>
    <w:rsid w:val="00C20EB6"/>
    <w:rsid w:val="00C23647"/>
    <w:rsid w:val="00C23AB3"/>
    <w:rsid w:val="00C2640C"/>
    <w:rsid w:val="00C265DE"/>
    <w:rsid w:val="00C306DB"/>
    <w:rsid w:val="00C31CA6"/>
    <w:rsid w:val="00C31CEA"/>
    <w:rsid w:val="00C33B3B"/>
    <w:rsid w:val="00C33C30"/>
    <w:rsid w:val="00C34CC0"/>
    <w:rsid w:val="00C376DF"/>
    <w:rsid w:val="00C409B3"/>
    <w:rsid w:val="00C4317F"/>
    <w:rsid w:val="00C44DBE"/>
    <w:rsid w:val="00C47218"/>
    <w:rsid w:val="00C47454"/>
    <w:rsid w:val="00C47760"/>
    <w:rsid w:val="00C477A0"/>
    <w:rsid w:val="00C501B3"/>
    <w:rsid w:val="00C50BF3"/>
    <w:rsid w:val="00C53152"/>
    <w:rsid w:val="00C544E2"/>
    <w:rsid w:val="00C54E68"/>
    <w:rsid w:val="00C54EDB"/>
    <w:rsid w:val="00C55FA2"/>
    <w:rsid w:val="00C56DC7"/>
    <w:rsid w:val="00C602BD"/>
    <w:rsid w:val="00C62CE1"/>
    <w:rsid w:val="00C63318"/>
    <w:rsid w:val="00C63E3A"/>
    <w:rsid w:val="00C65A9B"/>
    <w:rsid w:val="00C668CA"/>
    <w:rsid w:val="00C71468"/>
    <w:rsid w:val="00C72DBD"/>
    <w:rsid w:val="00C73F6D"/>
    <w:rsid w:val="00C744F4"/>
    <w:rsid w:val="00C7490D"/>
    <w:rsid w:val="00C74C91"/>
    <w:rsid w:val="00C74FF2"/>
    <w:rsid w:val="00C751D3"/>
    <w:rsid w:val="00C80FDC"/>
    <w:rsid w:val="00C82D77"/>
    <w:rsid w:val="00C85A9A"/>
    <w:rsid w:val="00C90E07"/>
    <w:rsid w:val="00C94790"/>
    <w:rsid w:val="00CA1C05"/>
    <w:rsid w:val="00CA3126"/>
    <w:rsid w:val="00CA692D"/>
    <w:rsid w:val="00CA7314"/>
    <w:rsid w:val="00CA735C"/>
    <w:rsid w:val="00CA7EC6"/>
    <w:rsid w:val="00CB35E7"/>
    <w:rsid w:val="00CB5F30"/>
    <w:rsid w:val="00CB6D9B"/>
    <w:rsid w:val="00CB78B0"/>
    <w:rsid w:val="00CC2A2E"/>
    <w:rsid w:val="00CC399C"/>
    <w:rsid w:val="00CC3DC5"/>
    <w:rsid w:val="00CC41D0"/>
    <w:rsid w:val="00CC6A0E"/>
    <w:rsid w:val="00CC7FA6"/>
    <w:rsid w:val="00CD091B"/>
    <w:rsid w:val="00CD0BA9"/>
    <w:rsid w:val="00CD2C6A"/>
    <w:rsid w:val="00CD5054"/>
    <w:rsid w:val="00CE095E"/>
    <w:rsid w:val="00CE2CEF"/>
    <w:rsid w:val="00CE2D82"/>
    <w:rsid w:val="00CE3438"/>
    <w:rsid w:val="00CE3ABE"/>
    <w:rsid w:val="00CE4A64"/>
    <w:rsid w:val="00CE6BCB"/>
    <w:rsid w:val="00CF0C39"/>
    <w:rsid w:val="00CF1DAF"/>
    <w:rsid w:val="00CF2261"/>
    <w:rsid w:val="00CF2E4F"/>
    <w:rsid w:val="00CF35D3"/>
    <w:rsid w:val="00CF39A3"/>
    <w:rsid w:val="00CF3E81"/>
    <w:rsid w:val="00CF5FD6"/>
    <w:rsid w:val="00D01CDE"/>
    <w:rsid w:val="00D03A57"/>
    <w:rsid w:val="00D03C9D"/>
    <w:rsid w:val="00D065BE"/>
    <w:rsid w:val="00D11066"/>
    <w:rsid w:val="00D11473"/>
    <w:rsid w:val="00D13311"/>
    <w:rsid w:val="00D1572F"/>
    <w:rsid w:val="00D164DE"/>
    <w:rsid w:val="00D20E71"/>
    <w:rsid w:val="00D23CF7"/>
    <w:rsid w:val="00D24F34"/>
    <w:rsid w:val="00D276E7"/>
    <w:rsid w:val="00D30464"/>
    <w:rsid w:val="00D33490"/>
    <w:rsid w:val="00D334FB"/>
    <w:rsid w:val="00D34FB7"/>
    <w:rsid w:val="00D36EF5"/>
    <w:rsid w:val="00D36FF2"/>
    <w:rsid w:val="00D40B92"/>
    <w:rsid w:val="00D4134F"/>
    <w:rsid w:val="00D45554"/>
    <w:rsid w:val="00D471CC"/>
    <w:rsid w:val="00D516A4"/>
    <w:rsid w:val="00D6015C"/>
    <w:rsid w:val="00D60452"/>
    <w:rsid w:val="00D60CF9"/>
    <w:rsid w:val="00D640A3"/>
    <w:rsid w:val="00D65A5A"/>
    <w:rsid w:val="00D70671"/>
    <w:rsid w:val="00D72B08"/>
    <w:rsid w:val="00D7380B"/>
    <w:rsid w:val="00D7593E"/>
    <w:rsid w:val="00D75E53"/>
    <w:rsid w:val="00D77B10"/>
    <w:rsid w:val="00D77D21"/>
    <w:rsid w:val="00D77DCC"/>
    <w:rsid w:val="00D91AAA"/>
    <w:rsid w:val="00D94097"/>
    <w:rsid w:val="00D96D88"/>
    <w:rsid w:val="00D978C0"/>
    <w:rsid w:val="00DA3E77"/>
    <w:rsid w:val="00DA3FD1"/>
    <w:rsid w:val="00DA4074"/>
    <w:rsid w:val="00DA47AD"/>
    <w:rsid w:val="00DA4CB3"/>
    <w:rsid w:val="00DA5A78"/>
    <w:rsid w:val="00DA69C9"/>
    <w:rsid w:val="00DB4E07"/>
    <w:rsid w:val="00DB62A6"/>
    <w:rsid w:val="00DB6A97"/>
    <w:rsid w:val="00DB7092"/>
    <w:rsid w:val="00DC1578"/>
    <w:rsid w:val="00DC1631"/>
    <w:rsid w:val="00DC1B68"/>
    <w:rsid w:val="00DC1F9B"/>
    <w:rsid w:val="00DC439D"/>
    <w:rsid w:val="00DC6C6A"/>
    <w:rsid w:val="00DD2A91"/>
    <w:rsid w:val="00DD581B"/>
    <w:rsid w:val="00DD6ACD"/>
    <w:rsid w:val="00DE0127"/>
    <w:rsid w:val="00DE024D"/>
    <w:rsid w:val="00DE029B"/>
    <w:rsid w:val="00DE1621"/>
    <w:rsid w:val="00DE2812"/>
    <w:rsid w:val="00DF25F3"/>
    <w:rsid w:val="00DF2F09"/>
    <w:rsid w:val="00DF349F"/>
    <w:rsid w:val="00DF4D85"/>
    <w:rsid w:val="00DF7024"/>
    <w:rsid w:val="00E005AB"/>
    <w:rsid w:val="00E029A8"/>
    <w:rsid w:val="00E04535"/>
    <w:rsid w:val="00E06D02"/>
    <w:rsid w:val="00E15CA2"/>
    <w:rsid w:val="00E15E4C"/>
    <w:rsid w:val="00E1614A"/>
    <w:rsid w:val="00E16E8F"/>
    <w:rsid w:val="00E16F05"/>
    <w:rsid w:val="00E23768"/>
    <w:rsid w:val="00E248CA"/>
    <w:rsid w:val="00E2533D"/>
    <w:rsid w:val="00E26623"/>
    <w:rsid w:val="00E2691A"/>
    <w:rsid w:val="00E33188"/>
    <w:rsid w:val="00E362AE"/>
    <w:rsid w:val="00E3661E"/>
    <w:rsid w:val="00E44C1F"/>
    <w:rsid w:val="00E44E98"/>
    <w:rsid w:val="00E46E24"/>
    <w:rsid w:val="00E5195F"/>
    <w:rsid w:val="00E52358"/>
    <w:rsid w:val="00E52970"/>
    <w:rsid w:val="00E53D4F"/>
    <w:rsid w:val="00E55732"/>
    <w:rsid w:val="00E60089"/>
    <w:rsid w:val="00E6026C"/>
    <w:rsid w:val="00E63306"/>
    <w:rsid w:val="00E65A84"/>
    <w:rsid w:val="00E65F2D"/>
    <w:rsid w:val="00E66AB9"/>
    <w:rsid w:val="00E67F5C"/>
    <w:rsid w:val="00E7025C"/>
    <w:rsid w:val="00E7261F"/>
    <w:rsid w:val="00E72D6A"/>
    <w:rsid w:val="00E75DE6"/>
    <w:rsid w:val="00E76728"/>
    <w:rsid w:val="00E776CC"/>
    <w:rsid w:val="00E80BB6"/>
    <w:rsid w:val="00E814F6"/>
    <w:rsid w:val="00E83128"/>
    <w:rsid w:val="00E844EE"/>
    <w:rsid w:val="00E852CD"/>
    <w:rsid w:val="00E856DC"/>
    <w:rsid w:val="00E867D9"/>
    <w:rsid w:val="00E90949"/>
    <w:rsid w:val="00E91762"/>
    <w:rsid w:val="00E92E81"/>
    <w:rsid w:val="00E930EE"/>
    <w:rsid w:val="00E964ED"/>
    <w:rsid w:val="00EA2586"/>
    <w:rsid w:val="00EA380F"/>
    <w:rsid w:val="00EA63BD"/>
    <w:rsid w:val="00EB1541"/>
    <w:rsid w:val="00EB2183"/>
    <w:rsid w:val="00EB298C"/>
    <w:rsid w:val="00EB5AE7"/>
    <w:rsid w:val="00EB6AF3"/>
    <w:rsid w:val="00EB7923"/>
    <w:rsid w:val="00EB79D5"/>
    <w:rsid w:val="00EC3A80"/>
    <w:rsid w:val="00EC4501"/>
    <w:rsid w:val="00EC489F"/>
    <w:rsid w:val="00EC5623"/>
    <w:rsid w:val="00EC5838"/>
    <w:rsid w:val="00EC6C6D"/>
    <w:rsid w:val="00EC7754"/>
    <w:rsid w:val="00ED101B"/>
    <w:rsid w:val="00ED2221"/>
    <w:rsid w:val="00ED3CD6"/>
    <w:rsid w:val="00ED5D7E"/>
    <w:rsid w:val="00ED5EC7"/>
    <w:rsid w:val="00ED62FF"/>
    <w:rsid w:val="00ED7FEE"/>
    <w:rsid w:val="00EE0A35"/>
    <w:rsid w:val="00EE0F3D"/>
    <w:rsid w:val="00EE1981"/>
    <w:rsid w:val="00EE4719"/>
    <w:rsid w:val="00EE5832"/>
    <w:rsid w:val="00EE6150"/>
    <w:rsid w:val="00EE798D"/>
    <w:rsid w:val="00EF0FC5"/>
    <w:rsid w:val="00EF1954"/>
    <w:rsid w:val="00EF7EC6"/>
    <w:rsid w:val="00F008AA"/>
    <w:rsid w:val="00F009DC"/>
    <w:rsid w:val="00F015BA"/>
    <w:rsid w:val="00F01F7A"/>
    <w:rsid w:val="00F06437"/>
    <w:rsid w:val="00F110AF"/>
    <w:rsid w:val="00F11DB7"/>
    <w:rsid w:val="00F165C1"/>
    <w:rsid w:val="00F17264"/>
    <w:rsid w:val="00F23C91"/>
    <w:rsid w:val="00F248CE"/>
    <w:rsid w:val="00F24E63"/>
    <w:rsid w:val="00F256CD"/>
    <w:rsid w:val="00F25BED"/>
    <w:rsid w:val="00F25FB7"/>
    <w:rsid w:val="00F269F0"/>
    <w:rsid w:val="00F26FDF"/>
    <w:rsid w:val="00F33228"/>
    <w:rsid w:val="00F35CB1"/>
    <w:rsid w:val="00F35F00"/>
    <w:rsid w:val="00F43319"/>
    <w:rsid w:val="00F44221"/>
    <w:rsid w:val="00F442E6"/>
    <w:rsid w:val="00F45A8C"/>
    <w:rsid w:val="00F45F41"/>
    <w:rsid w:val="00F46B86"/>
    <w:rsid w:val="00F505EA"/>
    <w:rsid w:val="00F519C5"/>
    <w:rsid w:val="00F538B2"/>
    <w:rsid w:val="00F552DF"/>
    <w:rsid w:val="00F55979"/>
    <w:rsid w:val="00F573F4"/>
    <w:rsid w:val="00F57961"/>
    <w:rsid w:val="00F62618"/>
    <w:rsid w:val="00F71968"/>
    <w:rsid w:val="00F72B42"/>
    <w:rsid w:val="00F72DF9"/>
    <w:rsid w:val="00F75D20"/>
    <w:rsid w:val="00F76156"/>
    <w:rsid w:val="00F81387"/>
    <w:rsid w:val="00F844DE"/>
    <w:rsid w:val="00F86468"/>
    <w:rsid w:val="00F92165"/>
    <w:rsid w:val="00F92566"/>
    <w:rsid w:val="00F9401B"/>
    <w:rsid w:val="00F974B9"/>
    <w:rsid w:val="00FA10A7"/>
    <w:rsid w:val="00FA133A"/>
    <w:rsid w:val="00FA1FAD"/>
    <w:rsid w:val="00FA5196"/>
    <w:rsid w:val="00FB023E"/>
    <w:rsid w:val="00FB084F"/>
    <w:rsid w:val="00FB0AE4"/>
    <w:rsid w:val="00FB0C72"/>
    <w:rsid w:val="00FB59EC"/>
    <w:rsid w:val="00FB5C1E"/>
    <w:rsid w:val="00FB62FD"/>
    <w:rsid w:val="00FB76BF"/>
    <w:rsid w:val="00FC1C65"/>
    <w:rsid w:val="00FC2377"/>
    <w:rsid w:val="00FC2834"/>
    <w:rsid w:val="00FD440B"/>
    <w:rsid w:val="00FD5148"/>
    <w:rsid w:val="00FD6C1D"/>
    <w:rsid w:val="00FD729C"/>
    <w:rsid w:val="00FE120E"/>
    <w:rsid w:val="00FE2C8E"/>
    <w:rsid w:val="00FE7642"/>
    <w:rsid w:val="00FE7A37"/>
    <w:rsid w:val="00FF1D6F"/>
    <w:rsid w:val="00FF298A"/>
    <w:rsid w:val="00FF2F1D"/>
    <w:rsid w:val="00FF50BF"/>
    <w:rsid w:val="00FF5AAF"/>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261"/>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8D0F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3F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61"/>
    <w:rPr>
      <w:rFonts w:asciiTheme="majorHAnsi" w:eastAsiaTheme="majorEastAsia" w:hAnsiTheme="majorHAnsi" w:cstheme="majorBidi"/>
      <w:b/>
      <w:bCs/>
      <w:color w:val="365F91" w:themeColor="accent1" w:themeShade="BF"/>
      <w:sz w:val="28"/>
      <w:szCs w:val="28"/>
      <w:lang w:val="nl-NL"/>
    </w:rPr>
  </w:style>
  <w:style w:type="paragraph" w:styleId="FootnoteText">
    <w:name w:val="footnote text"/>
    <w:basedOn w:val="Normal"/>
    <w:link w:val="FootnoteTextChar"/>
    <w:uiPriority w:val="99"/>
    <w:semiHidden/>
    <w:unhideWhenUsed/>
    <w:rsid w:val="00DE024D"/>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DE024D"/>
    <w:rPr>
      <w:sz w:val="20"/>
      <w:szCs w:val="20"/>
      <w:lang w:val="nl-NL"/>
    </w:rPr>
  </w:style>
  <w:style w:type="character" w:styleId="FootnoteReference">
    <w:name w:val="footnote reference"/>
    <w:basedOn w:val="DefaultParagraphFont"/>
    <w:uiPriority w:val="99"/>
    <w:semiHidden/>
    <w:unhideWhenUsed/>
    <w:rsid w:val="00DE024D"/>
    <w:rPr>
      <w:vertAlign w:val="superscript"/>
    </w:rPr>
  </w:style>
  <w:style w:type="paragraph" w:styleId="ListParagraph">
    <w:name w:val="List Paragraph"/>
    <w:basedOn w:val="Normal"/>
    <w:uiPriority w:val="34"/>
    <w:qFormat/>
    <w:rsid w:val="0039480E"/>
    <w:pPr>
      <w:ind w:left="720"/>
      <w:contextualSpacing/>
    </w:pPr>
  </w:style>
  <w:style w:type="paragraph" w:styleId="EndnoteText">
    <w:name w:val="endnote text"/>
    <w:basedOn w:val="Normal"/>
    <w:link w:val="EndnoteTextChar"/>
    <w:uiPriority w:val="99"/>
    <w:semiHidden/>
    <w:unhideWhenUsed/>
    <w:rsid w:val="00606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6B2B"/>
    <w:rPr>
      <w:sz w:val="20"/>
      <w:szCs w:val="20"/>
    </w:rPr>
  </w:style>
  <w:style w:type="character" w:styleId="EndnoteReference">
    <w:name w:val="endnote reference"/>
    <w:basedOn w:val="DefaultParagraphFont"/>
    <w:uiPriority w:val="99"/>
    <w:semiHidden/>
    <w:unhideWhenUsed/>
    <w:rsid w:val="00606B2B"/>
    <w:rPr>
      <w:vertAlign w:val="superscript"/>
    </w:rPr>
  </w:style>
  <w:style w:type="paragraph" w:styleId="BalloonText">
    <w:name w:val="Balloon Text"/>
    <w:basedOn w:val="Normal"/>
    <w:link w:val="BalloonTextChar"/>
    <w:uiPriority w:val="99"/>
    <w:semiHidden/>
    <w:unhideWhenUsed/>
    <w:rsid w:val="0056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25"/>
    <w:rPr>
      <w:rFonts w:ascii="Tahoma" w:hAnsi="Tahoma" w:cs="Tahoma"/>
      <w:sz w:val="16"/>
      <w:szCs w:val="16"/>
    </w:rPr>
  </w:style>
  <w:style w:type="paragraph" w:styleId="NoSpacing">
    <w:name w:val="No Spacing"/>
    <w:uiPriority w:val="1"/>
    <w:qFormat/>
    <w:rsid w:val="00E65F2D"/>
    <w:pPr>
      <w:spacing w:after="0" w:line="240" w:lineRule="auto"/>
    </w:pPr>
  </w:style>
  <w:style w:type="character" w:styleId="Hyperlink">
    <w:name w:val="Hyperlink"/>
    <w:basedOn w:val="DefaultParagraphFont"/>
    <w:uiPriority w:val="99"/>
    <w:unhideWhenUsed/>
    <w:rsid w:val="00282482"/>
    <w:rPr>
      <w:color w:val="0000FF" w:themeColor="hyperlink"/>
      <w:u w:val="single"/>
    </w:rPr>
  </w:style>
  <w:style w:type="paragraph" w:styleId="Header">
    <w:name w:val="header"/>
    <w:basedOn w:val="Normal"/>
    <w:link w:val="HeaderChar"/>
    <w:uiPriority w:val="99"/>
    <w:unhideWhenUsed/>
    <w:rsid w:val="00CA69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CA692D"/>
  </w:style>
  <w:style w:type="paragraph" w:styleId="Footer">
    <w:name w:val="footer"/>
    <w:basedOn w:val="Normal"/>
    <w:link w:val="FooterChar"/>
    <w:uiPriority w:val="99"/>
    <w:unhideWhenUsed/>
    <w:rsid w:val="00CA69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A692D"/>
  </w:style>
  <w:style w:type="character" w:styleId="CommentReference">
    <w:name w:val="annotation reference"/>
    <w:basedOn w:val="DefaultParagraphFont"/>
    <w:uiPriority w:val="99"/>
    <w:semiHidden/>
    <w:unhideWhenUsed/>
    <w:rsid w:val="00C067B4"/>
    <w:rPr>
      <w:sz w:val="16"/>
      <w:szCs w:val="16"/>
    </w:rPr>
  </w:style>
  <w:style w:type="paragraph" w:styleId="CommentText">
    <w:name w:val="annotation text"/>
    <w:basedOn w:val="Normal"/>
    <w:link w:val="CommentTextChar"/>
    <w:uiPriority w:val="99"/>
    <w:unhideWhenUsed/>
    <w:rsid w:val="00C067B4"/>
    <w:pPr>
      <w:spacing w:line="240" w:lineRule="auto"/>
    </w:pPr>
    <w:rPr>
      <w:sz w:val="20"/>
      <w:szCs w:val="20"/>
    </w:rPr>
  </w:style>
  <w:style w:type="character" w:customStyle="1" w:styleId="CommentTextChar">
    <w:name w:val="Comment Text Char"/>
    <w:basedOn w:val="DefaultParagraphFont"/>
    <w:link w:val="CommentText"/>
    <w:uiPriority w:val="99"/>
    <w:rsid w:val="00C067B4"/>
    <w:rPr>
      <w:sz w:val="20"/>
      <w:szCs w:val="20"/>
    </w:rPr>
  </w:style>
  <w:style w:type="paragraph" w:styleId="CommentSubject">
    <w:name w:val="annotation subject"/>
    <w:basedOn w:val="CommentText"/>
    <w:next w:val="CommentText"/>
    <w:link w:val="CommentSubjectChar"/>
    <w:uiPriority w:val="99"/>
    <w:semiHidden/>
    <w:unhideWhenUsed/>
    <w:rsid w:val="00C067B4"/>
    <w:rPr>
      <w:b/>
      <w:bCs/>
    </w:rPr>
  </w:style>
  <w:style w:type="character" w:customStyle="1" w:styleId="CommentSubjectChar">
    <w:name w:val="Comment Subject Char"/>
    <w:basedOn w:val="CommentTextChar"/>
    <w:link w:val="CommentSubject"/>
    <w:uiPriority w:val="99"/>
    <w:semiHidden/>
    <w:rsid w:val="00C067B4"/>
    <w:rPr>
      <w:b/>
      <w:bCs/>
      <w:sz w:val="20"/>
      <w:szCs w:val="20"/>
    </w:rPr>
  </w:style>
  <w:style w:type="character" w:customStyle="1" w:styleId="Heading3Char">
    <w:name w:val="Heading 3 Char"/>
    <w:basedOn w:val="DefaultParagraphFont"/>
    <w:link w:val="Heading3"/>
    <w:uiPriority w:val="9"/>
    <w:rsid w:val="00833F83"/>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33F83"/>
  </w:style>
  <w:style w:type="character" w:customStyle="1" w:styleId="publication-date">
    <w:name w:val="publication-date"/>
    <w:basedOn w:val="DefaultParagraphFont"/>
    <w:rsid w:val="00833F83"/>
  </w:style>
  <w:style w:type="character" w:styleId="PlaceholderText">
    <w:name w:val="Placeholder Text"/>
    <w:basedOn w:val="DefaultParagraphFont"/>
    <w:uiPriority w:val="99"/>
    <w:semiHidden/>
    <w:rsid w:val="00896E64"/>
    <w:rPr>
      <w:color w:val="808080"/>
    </w:rPr>
  </w:style>
  <w:style w:type="paragraph" w:customStyle="1" w:styleId="Default">
    <w:name w:val="Default"/>
    <w:rsid w:val="00AC0B1C"/>
    <w:pPr>
      <w:autoSpaceDE w:val="0"/>
      <w:autoSpaceDN w:val="0"/>
      <w:adjustRightInd w:val="0"/>
      <w:spacing w:after="0" w:line="240" w:lineRule="auto"/>
    </w:pPr>
    <w:rPr>
      <w:rFonts w:ascii="Frutiger 55 Roman" w:hAnsi="Frutiger 55 Roman" w:cs="Frutiger 55 Roman"/>
      <w:color w:val="000000"/>
      <w:sz w:val="24"/>
      <w:szCs w:val="24"/>
      <w:lang w:val="nl-NL"/>
    </w:rPr>
  </w:style>
  <w:style w:type="character" w:customStyle="1" w:styleId="Heading2Char">
    <w:name w:val="Heading 2 Char"/>
    <w:basedOn w:val="DefaultParagraphFont"/>
    <w:link w:val="Heading2"/>
    <w:uiPriority w:val="9"/>
    <w:rsid w:val="008D0F0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B78B0"/>
    <w:pPr>
      <w:spacing w:before="100" w:beforeAutospacing="1" w:after="100" w:afterAutospacing="1" w:line="240" w:lineRule="auto"/>
    </w:pPr>
    <w:rPr>
      <w:rFonts w:eastAsia="Times New Roman"/>
      <w:sz w:val="24"/>
      <w:szCs w:val="24"/>
    </w:rPr>
  </w:style>
  <w:style w:type="paragraph" w:customStyle="1" w:styleId="Piedepgina">
    <w:name w:val="Pie de página"/>
    <w:basedOn w:val="Default"/>
    <w:next w:val="Default"/>
    <w:uiPriority w:val="99"/>
    <w:rsid w:val="00610EF1"/>
    <w:rPr>
      <w:rFonts w:ascii="Times New Roman" w:hAnsi="Times New Roman" w:cs="Times New Roman"/>
      <w:color w:val="auto"/>
      <w:lang w:val="en-US"/>
    </w:rPr>
  </w:style>
  <w:style w:type="character" w:customStyle="1" w:styleId="Refdenotaalpie">
    <w:name w:val="Ref. de nota al pie"/>
    <w:uiPriority w:val="99"/>
    <w:rsid w:val="00610EF1"/>
    <w:rPr>
      <w:color w:val="000000"/>
    </w:rPr>
  </w:style>
  <w:style w:type="table" w:styleId="TableGrid">
    <w:name w:val="Table Grid"/>
    <w:basedOn w:val="TableNormal"/>
    <w:uiPriority w:val="59"/>
    <w:rsid w:val="0040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150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261"/>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8D0F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3F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61"/>
    <w:rPr>
      <w:rFonts w:asciiTheme="majorHAnsi" w:eastAsiaTheme="majorEastAsia" w:hAnsiTheme="majorHAnsi" w:cstheme="majorBidi"/>
      <w:b/>
      <w:bCs/>
      <w:color w:val="365F91" w:themeColor="accent1" w:themeShade="BF"/>
      <w:sz w:val="28"/>
      <w:szCs w:val="28"/>
      <w:lang w:val="nl-NL"/>
    </w:rPr>
  </w:style>
  <w:style w:type="paragraph" w:styleId="FootnoteText">
    <w:name w:val="footnote text"/>
    <w:basedOn w:val="Normal"/>
    <w:link w:val="FootnoteTextChar"/>
    <w:uiPriority w:val="99"/>
    <w:semiHidden/>
    <w:unhideWhenUsed/>
    <w:rsid w:val="00DE024D"/>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DE024D"/>
    <w:rPr>
      <w:sz w:val="20"/>
      <w:szCs w:val="20"/>
      <w:lang w:val="nl-NL"/>
    </w:rPr>
  </w:style>
  <w:style w:type="character" w:styleId="FootnoteReference">
    <w:name w:val="footnote reference"/>
    <w:basedOn w:val="DefaultParagraphFont"/>
    <w:uiPriority w:val="99"/>
    <w:semiHidden/>
    <w:unhideWhenUsed/>
    <w:rsid w:val="00DE024D"/>
    <w:rPr>
      <w:vertAlign w:val="superscript"/>
    </w:rPr>
  </w:style>
  <w:style w:type="paragraph" w:styleId="ListParagraph">
    <w:name w:val="List Paragraph"/>
    <w:basedOn w:val="Normal"/>
    <w:uiPriority w:val="34"/>
    <w:qFormat/>
    <w:rsid w:val="0039480E"/>
    <w:pPr>
      <w:ind w:left="720"/>
      <w:contextualSpacing/>
    </w:pPr>
  </w:style>
  <w:style w:type="paragraph" w:styleId="EndnoteText">
    <w:name w:val="endnote text"/>
    <w:basedOn w:val="Normal"/>
    <w:link w:val="EndnoteTextChar"/>
    <w:uiPriority w:val="99"/>
    <w:semiHidden/>
    <w:unhideWhenUsed/>
    <w:rsid w:val="00606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6B2B"/>
    <w:rPr>
      <w:sz w:val="20"/>
      <w:szCs w:val="20"/>
    </w:rPr>
  </w:style>
  <w:style w:type="character" w:styleId="EndnoteReference">
    <w:name w:val="endnote reference"/>
    <w:basedOn w:val="DefaultParagraphFont"/>
    <w:uiPriority w:val="99"/>
    <w:semiHidden/>
    <w:unhideWhenUsed/>
    <w:rsid w:val="00606B2B"/>
    <w:rPr>
      <w:vertAlign w:val="superscript"/>
    </w:rPr>
  </w:style>
  <w:style w:type="paragraph" w:styleId="BalloonText">
    <w:name w:val="Balloon Text"/>
    <w:basedOn w:val="Normal"/>
    <w:link w:val="BalloonTextChar"/>
    <w:uiPriority w:val="99"/>
    <w:semiHidden/>
    <w:unhideWhenUsed/>
    <w:rsid w:val="0056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25"/>
    <w:rPr>
      <w:rFonts w:ascii="Tahoma" w:hAnsi="Tahoma" w:cs="Tahoma"/>
      <w:sz w:val="16"/>
      <w:szCs w:val="16"/>
    </w:rPr>
  </w:style>
  <w:style w:type="paragraph" w:styleId="NoSpacing">
    <w:name w:val="No Spacing"/>
    <w:uiPriority w:val="1"/>
    <w:qFormat/>
    <w:rsid w:val="00E65F2D"/>
    <w:pPr>
      <w:spacing w:after="0" w:line="240" w:lineRule="auto"/>
    </w:pPr>
  </w:style>
  <w:style w:type="character" w:styleId="Hyperlink">
    <w:name w:val="Hyperlink"/>
    <w:basedOn w:val="DefaultParagraphFont"/>
    <w:uiPriority w:val="99"/>
    <w:unhideWhenUsed/>
    <w:rsid w:val="00282482"/>
    <w:rPr>
      <w:color w:val="0000FF" w:themeColor="hyperlink"/>
      <w:u w:val="single"/>
    </w:rPr>
  </w:style>
  <w:style w:type="paragraph" w:styleId="Header">
    <w:name w:val="header"/>
    <w:basedOn w:val="Normal"/>
    <w:link w:val="HeaderChar"/>
    <w:uiPriority w:val="99"/>
    <w:unhideWhenUsed/>
    <w:rsid w:val="00CA69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CA692D"/>
  </w:style>
  <w:style w:type="paragraph" w:styleId="Footer">
    <w:name w:val="footer"/>
    <w:basedOn w:val="Normal"/>
    <w:link w:val="FooterChar"/>
    <w:uiPriority w:val="99"/>
    <w:unhideWhenUsed/>
    <w:rsid w:val="00CA69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A692D"/>
  </w:style>
  <w:style w:type="character" w:styleId="CommentReference">
    <w:name w:val="annotation reference"/>
    <w:basedOn w:val="DefaultParagraphFont"/>
    <w:uiPriority w:val="99"/>
    <w:semiHidden/>
    <w:unhideWhenUsed/>
    <w:rsid w:val="00C067B4"/>
    <w:rPr>
      <w:sz w:val="16"/>
      <w:szCs w:val="16"/>
    </w:rPr>
  </w:style>
  <w:style w:type="paragraph" w:styleId="CommentText">
    <w:name w:val="annotation text"/>
    <w:basedOn w:val="Normal"/>
    <w:link w:val="CommentTextChar"/>
    <w:uiPriority w:val="99"/>
    <w:unhideWhenUsed/>
    <w:rsid w:val="00C067B4"/>
    <w:pPr>
      <w:spacing w:line="240" w:lineRule="auto"/>
    </w:pPr>
    <w:rPr>
      <w:sz w:val="20"/>
      <w:szCs w:val="20"/>
    </w:rPr>
  </w:style>
  <w:style w:type="character" w:customStyle="1" w:styleId="CommentTextChar">
    <w:name w:val="Comment Text Char"/>
    <w:basedOn w:val="DefaultParagraphFont"/>
    <w:link w:val="CommentText"/>
    <w:uiPriority w:val="99"/>
    <w:rsid w:val="00C067B4"/>
    <w:rPr>
      <w:sz w:val="20"/>
      <w:szCs w:val="20"/>
    </w:rPr>
  </w:style>
  <w:style w:type="paragraph" w:styleId="CommentSubject">
    <w:name w:val="annotation subject"/>
    <w:basedOn w:val="CommentText"/>
    <w:next w:val="CommentText"/>
    <w:link w:val="CommentSubjectChar"/>
    <w:uiPriority w:val="99"/>
    <w:semiHidden/>
    <w:unhideWhenUsed/>
    <w:rsid w:val="00C067B4"/>
    <w:rPr>
      <w:b/>
      <w:bCs/>
    </w:rPr>
  </w:style>
  <w:style w:type="character" w:customStyle="1" w:styleId="CommentSubjectChar">
    <w:name w:val="Comment Subject Char"/>
    <w:basedOn w:val="CommentTextChar"/>
    <w:link w:val="CommentSubject"/>
    <w:uiPriority w:val="99"/>
    <w:semiHidden/>
    <w:rsid w:val="00C067B4"/>
    <w:rPr>
      <w:b/>
      <w:bCs/>
      <w:sz w:val="20"/>
      <w:szCs w:val="20"/>
    </w:rPr>
  </w:style>
  <w:style w:type="character" w:customStyle="1" w:styleId="Heading3Char">
    <w:name w:val="Heading 3 Char"/>
    <w:basedOn w:val="DefaultParagraphFont"/>
    <w:link w:val="Heading3"/>
    <w:uiPriority w:val="9"/>
    <w:rsid w:val="00833F83"/>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33F83"/>
  </w:style>
  <w:style w:type="character" w:customStyle="1" w:styleId="publication-date">
    <w:name w:val="publication-date"/>
    <w:basedOn w:val="DefaultParagraphFont"/>
    <w:rsid w:val="00833F83"/>
  </w:style>
  <w:style w:type="character" w:styleId="PlaceholderText">
    <w:name w:val="Placeholder Text"/>
    <w:basedOn w:val="DefaultParagraphFont"/>
    <w:uiPriority w:val="99"/>
    <w:semiHidden/>
    <w:rsid w:val="00896E64"/>
    <w:rPr>
      <w:color w:val="808080"/>
    </w:rPr>
  </w:style>
  <w:style w:type="paragraph" w:customStyle="1" w:styleId="Default">
    <w:name w:val="Default"/>
    <w:rsid w:val="00AC0B1C"/>
    <w:pPr>
      <w:autoSpaceDE w:val="0"/>
      <w:autoSpaceDN w:val="0"/>
      <w:adjustRightInd w:val="0"/>
      <w:spacing w:after="0" w:line="240" w:lineRule="auto"/>
    </w:pPr>
    <w:rPr>
      <w:rFonts w:ascii="Frutiger 55 Roman" w:hAnsi="Frutiger 55 Roman" w:cs="Frutiger 55 Roman"/>
      <w:color w:val="000000"/>
      <w:sz w:val="24"/>
      <w:szCs w:val="24"/>
      <w:lang w:val="nl-NL"/>
    </w:rPr>
  </w:style>
  <w:style w:type="character" w:customStyle="1" w:styleId="Heading2Char">
    <w:name w:val="Heading 2 Char"/>
    <w:basedOn w:val="DefaultParagraphFont"/>
    <w:link w:val="Heading2"/>
    <w:uiPriority w:val="9"/>
    <w:rsid w:val="008D0F0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B78B0"/>
    <w:pPr>
      <w:spacing w:before="100" w:beforeAutospacing="1" w:after="100" w:afterAutospacing="1" w:line="240" w:lineRule="auto"/>
    </w:pPr>
    <w:rPr>
      <w:rFonts w:eastAsia="Times New Roman"/>
      <w:sz w:val="24"/>
      <w:szCs w:val="24"/>
    </w:rPr>
  </w:style>
  <w:style w:type="paragraph" w:customStyle="1" w:styleId="Piedepgina">
    <w:name w:val="Pie de página"/>
    <w:basedOn w:val="Default"/>
    <w:next w:val="Default"/>
    <w:uiPriority w:val="99"/>
    <w:rsid w:val="00610EF1"/>
    <w:rPr>
      <w:rFonts w:ascii="Times New Roman" w:hAnsi="Times New Roman" w:cs="Times New Roman"/>
      <w:color w:val="auto"/>
      <w:lang w:val="en-US"/>
    </w:rPr>
  </w:style>
  <w:style w:type="character" w:customStyle="1" w:styleId="Refdenotaalpie">
    <w:name w:val="Ref. de nota al pie"/>
    <w:uiPriority w:val="99"/>
    <w:rsid w:val="00610EF1"/>
    <w:rPr>
      <w:color w:val="000000"/>
    </w:rPr>
  </w:style>
  <w:style w:type="table" w:styleId="TableGrid">
    <w:name w:val="Table Grid"/>
    <w:basedOn w:val="TableNormal"/>
    <w:uiPriority w:val="59"/>
    <w:rsid w:val="0040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150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5701">
      <w:bodyDiv w:val="1"/>
      <w:marLeft w:val="0"/>
      <w:marRight w:val="0"/>
      <w:marTop w:val="0"/>
      <w:marBottom w:val="0"/>
      <w:divBdr>
        <w:top w:val="none" w:sz="0" w:space="0" w:color="auto"/>
        <w:left w:val="none" w:sz="0" w:space="0" w:color="auto"/>
        <w:bottom w:val="none" w:sz="0" w:space="0" w:color="auto"/>
        <w:right w:val="none" w:sz="0" w:space="0" w:color="auto"/>
      </w:divBdr>
    </w:div>
    <w:div w:id="110177276">
      <w:bodyDiv w:val="1"/>
      <w:marLeft w:val="0"/>
      <w:marRight w:val="0"/>
      <w:marTop w:val="0"/>
      <w:marBottom w:val="0"/>
      <w:divBdr>
        <w:top w:val="none" w:sz="0" w:space="0" w:color="auto"/>
        <w:left w:val="none" w:sz="0" w:space="0" w:color="auto"/>
        <w:bottom w:val="none" w:sz="0" w:space="0" w:color="auto"/>
        <w:right w:val="none" w:sz="0" w:space="0" w:color="auto"/>
      </w:divBdr>
    </w:div>
    <w:div w:id="115032323">
      <w:bodyDiv w:val="1"/>
      <w:marLeft w:val="0"/>
      <w:marRight w:val="0"/>
      <w:marTop w:val="0"/>
      <w:marBottom w:val="0"/>
      <w:divBdr>
        <w:top w:val="none" w:sz="0" w:space="0" w:color="auto"/>
        <w:left w:val="none" w:sz="0" w:space="0" w:color="auto"/>
        <w:bottom w:val="none" w:sz="0" w:space="0" w:color="auto"/>
        <w:right w:val="none" w:sz="0" w:space="0" w:color="auto"/>
      </w:divBdr>
    </w:div>
    <w:div w:id="137571551">
      <w:bodyDiv w:val="1"/>
      <w:marLeft w:val="0"/>
      <w:marRight w:val="0"/>
      <w:marTop w:val="0"/>
      <w:marBottom w:val="0"/>
      <w:divBdr>
        <w:top w:val="none" w:sz="0" w:space="0" w:color="auto"/>
        <w:left w:val="none" w:sz="0" w:space="0" w:color="auto"/>
        <w:bottom w:val="none" w:sz="0" w:space="0" w:color="auto"/>
        <w:right w:val="none" w:sz="0" w:space="0" w:color="auto"/>
      </w:divBdr>
    </w:div>
    <w:div w:id="146361720">
      <w:bodyDiv w:val="1"/>
      <w:marLeft w:val="0"/>
      <w:marRight w:val="0"/>
      <w:marTop w:val="0"/>
      <w:marBottom w:val="0"/>
      <w:divBdr>
        <w:top w:val="none" w:sz="0" w:space="0" w:color="auto"/>
        <w:left w:val="none" w:sz="0" w:space="0" w:color="auto"/>
        <w:bottom w:val="none" w:sz="0" w:space="0" w:color="auto"/>
        <w:right w:val="none" w:sz="0" w:space="0" w:color="auto"/>
      </w:divBdr>
    </w:div>
    <w:div w:id="192616642">
      <w:bodyDiv w:val="1"/>
      <w:marLeft w:val="0"/>
      <w:marRight w:val="0"/>
      <w:marTop w:val="0"/>
      <w:marBottom w:val="0"/>
      <w:divBdr>
        <w:top w:val="none" w:sz="0" w:space="0" w:color="auto"/>
        <w:left w:val="none" w:sz="0" w:space="0" w:color="auto"/>
        <w:bottom w:val="none" w:sz="0" w:space="0" w:color="auto"/>
        <w:right w:val="none" w:sz="0" w:space="0" w:color="auto"/>
      </w:divBdr>
    </w:div>
    <w:div w:id="239216924">
      <w:bodyDiv w:val="1"/>
      <w:marLeft w:val="0"/>
      <w:marRight w:val="0"/>
      <w:marTop w:val="0"/>
      <w:marBottom w:val="0"/>
      <w:divBdr>
        <w:top w:val="none" w:sz="0" w:space="0" w:color="auto"/>
        <w:left w:val="none" w:sz="0" w:space="0" w:color="auto"/>
        <w:bottom w:val="none" w:sz="0" w:space="0" w:color="auto"/>
        <w:right w:val="none" w:sz="0" w:space="0" w:color="auto"/>
      </w:divBdr>
    </w:div>
    <w:div w:id="243300828">
      <w:bodyDiv w:val="1"/>
      <w:marLeft w:val="0"/>
      <w:marRight w:val="0"/>
      <w:marTop w:val="0"/>
      <w:marBottom w:val="0"/>
      <w:divBdr>
        <w:top w:val="none" w:sz="0" w:space="0" w:color="auto"/>
        <w:left w:val="none" w:sz="0" w:space="0" w:color="auto"/>
        <w:bottom w:val="none" w:sz="0" w:space="0" w:color="auto"/>
        <w:right w:val="none" w:sz="0" w:space="0" w:color="auto"/>
      </w:divBdr>
    </w:div>
    <w:div w:id="247732777">
      <w:bodyDiv w:val="1"/>
      <w:marLeft w:val="0"/>
      <w:marRight w:val="0"/>
      <w:marTop w:val="0"/>
      <w:marBottom w:val="0"/>
      <w:divBdr>
        <w:top w:val="none" w:sz="0" w:space="0" w:color="auto"/>
        <w:left w:val="none" w:sz="0" w:space="0" w:color="auto"/>
        <w:bottom w:val="none" w:sz="0" w:space="0" w:color="auto"/>
        <w:right w:val="none" w:sz="0" w:space="0" w:color="auto"/>
      </w:divBdr>
    </w:div>
    <w:div w:id="253561448">
      <w:bodyDiv w:val="1"/>
      <w:marLeft w:val="0"/>
      <w:marRight w:val="0"/>
      <w:marTop w:val="0"/>
      <w:marBottom w:val="0"/>
      <w:divBdr>
        <w:top w:val="none" w:sz="0" w:space="0" w:color="auto"/>
        <w:left w:val="none" w:sz="0" w:space="0" w:color="auto"/>
        <w:bottom w:val="none" w:sz="0" w:space="0" w:color="auto"/>
        <w:right w:val="none" w:sz="0" w:space="0" w:color="auto"/>
      </w:divBdr>
    </w:div>
    <w:div w:id="262226651">
      <w:bodyDiv w:val="1"/>
      <w:marLeft w:val="0"/>
      <w:marRight w:val="0"/>
      <w:marTop w:val="0"/>
      <w:marBottom w:val="0"/>
      <w:divBdr>
        <w:top w:val="none" w:sz="0" w:space="0" w:color="auto"/>
        <w:left w:val="none" w:sz="0" w:space="0" w:color="auto"/>
        <w:bottom w:val="none" w:sz="0" w:space="0" w:color="auto"/>
        <w:right w:val="none" w:sz="0" w:space="0" w:color="auto"/>
      </w:divBdr>
    </w:div>
    <w:div w:id="306008832">
      <w:bodyDiv w:val="1"/>
      <w:marLeft w:val="0"/>
      <w:marRight w:val="0"/>
      <w:marTop w:val="0"/>
      <w:marBottom w:val="0"/>
      <w:divBdr>
        <w:top w:val="none" w:sz="0" w:space="0" w:color="auto"/>
        <w:left w:val="none" w:sz="0" w:space="0" w:color="auto"/>
        <w:bottom w:val="none" w:sz="0" w:space="0" w:color="auto"/>
        <w:right w:val="none" w:sz="0" w:space="0" w:color="auto"/>
      </w:divBdr>
    </w:div>
    <w:div w:id="308364487">
      <w:bodyDiv w:val="1"/>
      <w:marLeft w:val="0"/>
      <w:marRight w:val="0"/>
      <w:marTop w:val="0"/>
      <w:marBottom w:val="0"/>
      <w:divBdr>
        <w:top w:val="none" w:sz="0" w:space="0" w:color="auto"/>
        <w:left w:val="none" w:sz="0" w:space="0" w:color="auto"/>
        <w:bottom w:val="none" w:sz="0" w:space="0" w:color="auto"/>
        <w:right w:val="none" w:sz="0" w:space="0" w:color="auto"/>
      </w:divBdr>
    </w:div>
    <w:div w:id="308559049">
      <w:bodyDiv w:val="1"/>
      <w:marLeft w:val="0"/>
      <w:marRight w:val="0"/>
      <w:marTop w:val="0"/>
      <w:marBottom w:val="0"/>
      <w:divBdr>
        <w:top w:val="none" w:sz="0" w:space="0" w:color="auto"/>
        <w:left w:val="none" w:sz="0" w:space="0" w:color="auto"/>
        <w:bottom w:val="none" w:sz="0" w:space="0" w:color="auto"/>
        <w:right w:val="none" w:sz="0" w:space="0" w:color="auto"/>
      </w:divBdr>
    </w:div>
    <w:div w:id="339503806">
      <w:bodyDiv w:val="1"/>
      <w:marLeft w:val="0"/>
      <w:marRight w:val="0"/>
      <w:marTop w:val="0"/>
      <w:marBottom w:val="0"/>
      <w:divBdr>
        <w:top w:val="none" w:sz="0" w:space="0" w:color="auto"/>
        <w:left w:val="none" w:sz="0" w:space="0" w:color="auto"/>
        <w:bottom w:val="none" w:sz="0" w:space="0" w:color="auto"/>
        <w:right w:val="none" w:sz="0" w:space="0" w:color="auto"/>
      </w:divBdr>
    </w:div>
    <w:div w:id="340133667">
      <w:bodyDiv w:val="1"/>
      <w:marLeft w:val="0"/>
      <w:marRight w:val="0"/>
      <w:marTop w:val="0"/>
      <w:marBottom w:val="0"/>
      <w:divBdr>
        <w:top w:val="none" w:sz="0" w:space="0" w:color="auto"/>
        <w:left w:val="none" w:sz="0" w:space="0" w:color="auto"/>
        <w:bottom w:val="none" w:sz="0" w:space="0" w:color="auto"/>
        <w:right w:val="none" w:sz="0" w:space="0" w:color="auto"/>
      </w:divBdr>
    </w:div>
    <w:div w:id="388846838">
      <w:bodyDiv w:val="1"/>
      <w:marLeft w:val="0"/>
      <w:marRight w:val="0"/>
      <w:marTop w:val="0"/>
      <w:marBottom w:val="0"/>
      <w:divBdr>
        <w:top w:val="none" w:sz="0" w:space="0" w:color="auto"/>
        <w:left w:val="none" w:sz="0" w:space="0" w:color="auto"/>
        <w:bottom w:val="none" w:sz="0" w:space="0" w:color="auto"/>
        <w:right w:val="none" w:sz="0" w:space="0" w:color="auto"/>
      </w:divBdr>
    </w:div>
    <w:div w:id="394814955">
      <w:bodyDiv w:val="1"/>
      <w:marLeft w:val="0"/>
      <w:marRight w:val="0"/>
      <w:marTop w:val="0"/>
      <w:marBottom w:val="0"/>
      <w:divBdr>
        <w:top w:val="none" w:sz="0" w:space="0" w:color="auto"/>
        <w:left w:val="none" w:sz="0" w:space="0" w:color="auto"/>
        <w:bottom w:val="none" w:sz="0" w:space="0" w:color="auto"/>
        <w:right w:val="none" w:sz="0" w:space="0" w:color="auto"/>
      </w:divBdr>
    </w:div>
    <w:div w:id="400719166">
      <w:bodyDiv w:val="1"/>
      <w:marLeft w:val="0"/>
      <w:marRight w:val="0"/>
      <w:marTop w:val="0"/>
      <w:marBottom w:val="0"/>
      <w:divBdr>
        <w:top w:val="none" w:sz="0" w:space="0" w:color="auto"/>
        <w:left w:val="none" w:sz="0" w:space="0" w:color="auto"/>
        <w:bottom w:val="none" w:sz="0" w:space="0" w:color="auto"/>
        <w:right w:val="none" w:sz="0" w:space="0" w:color="auto"/>
      </w:divBdr>
    </w:div>
    <w:div w:id="428235841">
      <w:bodyDiv w:val="1"/>
      <w:marLeft w:val="0"/>
      <w:marRight w:val="0"/>
      <w:marTop w:val="0"/>
      <w:marBottom w:val="0"/>
      <w:divBdr>
        <w:top w:val="none" w:sz="0" w:space="0" w:color="auto"/>
        <w:left w:val="none" w:sz="0" w:space="0" w:color="auto"/>
        <w:bottom w:val="none" w:sz="0" w:space="0" w:color="auto"/>
        <w:right w:val="none" w:sz="0" w:space="0" w:color="auto"/>
      </w:divBdr>
    </w:div>
    <w:div w:id="429396228">
      <w:bodyDiv w:val="1"/>
      <w:marLeft w:val="0"/>
      <w:marRight w:val="0"/>
      <w:marTop w:val="0"/>
      <w:marBottom w:val="0"/>
      <w:divBdr>
        <w:top w:val="none" w:sz="0" w:space="0" w:color="auto"/>
        <w:left w:val="none" w:sz="0" w:space="0" w:color="auto"/>
        <w:bottom w:val="none" w:sz="0" w:space="0" w:color="auto"/>
        <w:right w:val="none" w:sz="0" w:space="0" w:color="auto"/>
      </w:divBdr>
    </w:div>
    <w:div w:id="462774451">
      <w:bodyDiv w:val="1"/>
      <w:marLeft w:val="0"/>
      <w:marRight w:val="0"/>
      <w:marTop w:val="0"/>
      <w:marBottom w:val="0"/>
      <w:divBdr>
        <w:top w:val="none" w:sz="0" w:space="0" w:color="auto"/>
        <w:left w:val="none" w:sz="0" w:space="0" w:color="auto"/>
        <w:bottom w:val="none" w:sz="0" w:space="0" w:color="auto"/>
        <w:right w:val="none" w:sz="0" w:space="0" w:color="auto"/>
      </w:divBdr>
    </w:div>
    <w:div w:id="463082382">
      <w:bodyDiv w:val="1"/>
      <w:marLeft w:val="0"/>
      <w:marRight w:val="0"/>
      <w:marTop w:val="0"/>
      <w:marBottom w:val="0"/>
      <w:divBdr>
        <w:top w:val="none" w:sz="0" w:space="0" w:color="auto"/>
        <w:left w:val="none" w:sz="0" w:space="0" w:color="auto"/>
        <w:bottom w:val="none" w:sz="0" w:space="0" w:color="auto"/>
        <w:right w:val="none" w:sz="0" w:space="0" w:color="auto"/>
      </w:divBdr>
    </w:div>
    <w:div w:id="465241759">
      <w:bodyDiv w:val="1"/>
      <w:marLeft w:val="0"/>
      <w:marRight w:val="0"/>
      <w:marTop w:val="0"/>
      <w:marBottom w:val="0"/>
      <w:divBdr>
        <w:top w:val="none" w:sz="0" w:space="0" w:color="auto"/>
        <w:left w:val="none" w:sz="0" w:space="0" w:color="auto"/>
        <w:bottom w:val="none" w:sz="0" w:space="0" w:color="auto"/>
        <w:right w:val="none" w:sz="0" w:space="0" w:color="auto"/>
      </w:divBdr>
    </w:div>
    <w:div w:id="539392295">
      <w:bodyDiv w:val="1"/>
      <w:marLeft w:val="0"/>
      <w:marRight w:val="0"/>
      <w:marTop w:val="0"/>
      <w:marBottom w:val="0"/>
      <w:divBdr>
        <w:top w:val="none" w:sz="0" w:space="0" w:color="auto"/>
        <w:left w:val="none" w:sz="0" w:space="0" w:color="auto"/>
        <w:bottom w:val="none" w:sz="0" w:space="0" w:color="auto"/>
        <w:right w:val="none" w:sz="0" w:space="0" w:color="auto"/>
      </w:divBdr>
    </w:div>
    <w:div w:id="574822671">
      <w:bodyDiv w:val="1"/>
      <w:marLeft w:val="0"/>
      <w:marRight w:val="0"/>
      <w:marTop w:val="0"/>
      <w:marBottom w:val="0"/>
      <w:divBdr>
        <w:top w:val="none" w:sz="0" w:space="0" w:color="auto"/>
        <w:left w:val="none" w:sz="0" w:space="0" w:color="auto"/>
        <w:bottom w:val="none" w:sz="0" w:space="0" w:color="auto"/>
        <w:right w:val="none" w:sz="0" w:space="0" w:color="auto"/>
      </w:divBdr>
    </w:div>
    <w:div w:id="578097882">
      <w:bodyDiv w:val="1"/>
      <w:marLeft w:val="0"/>
      <w:marRight w:val="0"/>
      <w:marTop w:val="0"/>
      <w:marBottom w:val="0"/>
      <w:divBdr>
        <w:top w:val="none" w:sz="0" w:space="0" w:color="auto"/>
        <w:left w:val="none" w:sz="0" w:space="0" w:color="auto"/>
        <w:bottom w:val="none" w:sz="0" w:space="0" w:color="auto"/>
        <w:right w:val="none" w:sz="0" w:space="0" w:color="auto"/>
      </w:divBdr>
    </w:div>
    <w:div w:id="599030452">
      <w:bodyDiv w:val="1"/>
      <w:marLeft w:val="0"/>
      <w:marRight w:val="0"/>
      <w:marTop w:val="0"/>
      <w:marBottom w:val="0"/>
      <w:divBdr>
        <w:top w:val="none" w:sz="0" w:space="0" w:color="auto"/>
        <w:left w:val="none" w:sz="0" w:space="0" w:color="auto"/>
        <w:bottom w:val="none" w:sz="0" w:space="0" w:color="auto"/>
        <w:right w:val="none" w:sz="0" w:space="0" w:color="auto"/>
      </w:divBdr>
    </w:div>
    <w:div w:id="623076110">
      <w:bodyDiv w:val="1"/>
      <w:marLeft w:val="0"/>
      <w:marRight w:val="0"/>
      <w:marTop w:val="0"/>
      <w:marBottom w:val="0"/>
      <w:divBdr>
        <w:top w:val="none" w:sz="0" w:space="0" w:color="auto"/>
        <w:left w:val="none" w:sz="0" w:space="0" w:color="auto"/>
        <w:bottom w:val="none" w:sz="0" w:space="0" w:color="auto"/>
        <w:right w:val="none" w:sz="0" w:space="0" w:color="auto"/>
      </w:divBdr>
    </w:div>
    <w:div w:id="672072570">
      <w:bodyDiv w:val="1"/>
      <w:marLeft w:val="0"/>
      <w:marRight w:val="0"/>
      <w:marTop w:val="0"/>
      <w:marBottom w:val="0"/>
      <w:divBdr>
        <w:top w:val="none" w:sz="0" w:space="0" w:color="auto"/>
        <w:left w:val="none" w:sz="0" w:space="0" w:color="auto"/>
        <w:bottom w:val="none" w:sz="0" w:space="0" w:color="auto"/>
        <w:right w:val="none" w:sz="0" w:space="0" w:color="auto"/>
      </w:divBdr>
    </w:div>
    <w:div w:id="674766587">
      <w:bodyDiv w:val="1"/>
      <w:marLeft w:val="0"/>
      <w:marRight w:val="0"/>
      <w:marTop w:val="0"/>
      <w:marBottom w:val="0"/>
      <w:divBdr>
        <w:top w:val="none" w:sz="0" w:space="0" w:color="auto"/>
        <w:left w:val="none" w:sz="0" w:space="0" w:color="auto"/>
        <w:bottom w:val="none" w:sz="0" w:space="0" w:color="auto"/>
        <w:right w:val="none" w:sz="0" w:space="0" w:color="auto"/>
      </w:divBdr>
    </w:div>
    <w:div w:id="709384327">
      <w:bodyDiv w:val="1"/>
      <w:marLeft w:val="0"/>
      <w:marRight w:val="0"/>
      <w:marTop w:val="0"/>
      <w:marBottom w:val="0"/>
      <w:divBdr>
        <w:top w:val="none" w:sz="0" w:space="0" w:color="auto"/>
        <w:left w:val="none" w:sz="0" w:space="0" w:color="auto"/>
        <w:bottom w:val="none" w:sz="0" w:space="0" w:color="auto"/>
        <w:right w:val="none" w:sz="0" w:space="0" w:color="auto"/>
      </w:divBdr>
    </w:div>
    <w:div w:id="716390904">
      <w:bodyDiv w:val="1"/>
      <w:marLeft w:val="0"/>
      <w:marRight w:val="0"/>
      <w:marTop w:val="0"/>
      <w:marBottom w:val="0"/>
      <w:divBdr>
        <w:top w:val="none" w:sz="0" w:space="0" w:color="auto"/>
        <w:left w:val="none" w:sz="0" w:space="0" w:color="auto"/>
        <w:bottom w:val="none" w:sz="0" w:space="0" w:color="auto"/>
        <w:right w:val="none" w:sz="0" w:space="0" w:color="auto"/>
      </w:divBdr>
    </w:div>
    <w:div w:id="720128926">
      <w:bodyDiv w:val="1"/>
      <w:marLeft w:val="0"/>
      <w:marRight w:val="0"/>
      <w:marTop w:val="0"/>
      <w:marBottom w:val="0"/>
      <w:divBdr>
        <w:top w:val="none" w:sz="0" w:space="0" w:color="auto"/>
        <w:left w:val="none" w:sz="0" w:space="0" w:color="auto"/>
        <w:bottom w:val="none" w:sz="0" w:space="0" w:color="auto"/>
        <w:right w:val="none" w:sz="0" w:space="0" w:color="auto"/>
      </w:divBdr>
    </w:div>
    <w:div w:id="731806104">
      <w:bodyDiv w:val="1"/>
      <w:marLeft w:val="0"/>
      <w:marRight w:val="0"/>
      <w:marTop w:val="0"/>
      <w:marBottom w:val="0"/>
      <w:divBdr>
        <w:top w:val="none" w:sz="0" w:space="0" w:color="auto"/>
        <w:left w:val="none" w:sz="0" w:space="0" w:color="auto"/>
        <w:bottom w:val="none" w:sz="0" w:space="0" w:color="auto"/>
        <w:right w:val="none" w:sz="0" w:space="0" w:color="auto"/>
      </w:divBdr>
    </w:div>
    <w:div w:id="743993788">
      <w:bodyDiv w:val="1"/>
      <w:marLeft w:val="0"/>
      <w:marRight w:val="0"/>
      <w:marTop w:val="0"/>
      <w:marBottom w:val="0"/>
      <w:divBdr>
        <w:top w:val="none" w:sz="0" w:space="0" w:color="auto"/>
        <w:left w:val="none" w:sz="0" w:space="0" w:color="auto"/>
        <w:bottom w:val="none" w:sz="0" w:space="0" w:color="auto"/>
        <w:right w:val="none" w:sz="0" w:space="0" w:color="auto"/>
      </w:divBdr>
    </w:div>
    <w:div w:id="780801940">
      <w:bodyDiv w:val="1"/>
      <w:marLeft w:val="0"/>
      <w:marRight w:val="0"/>
      <w:marTop w:val="0"/>
      <w:marBottom w:val="0"/>
      <w:divBdr>
        <w:top w:val="none" w:sz="0" w:space="0" w:color="auto"/>
        <w:left w:val="none" w:sz="0" w:space="0" w:color="auto"/>
        <w:bottom w:val="none" w:sz="0" w:space="0" w:color="auto"/>
        <w:right w:val="none" w:sz="0" w:space="0" w:color="auto"/>
      </w:divBdr>
    </w:div>
    <w:div w:id="791243060">
      <w:bodyDiv w:val="1"/>
      <w:marLeft w:val="0"/>
      <w:marRight w:val="0"/>
      <w:marTop w:val="0"/>
      <w:marBottom w:val="0"/>
      <w:divBdr>
        <w:top w:val="none" w:sz="0" w:space="0" w:color="auto"/>
        <w:left w:val="none" w:sz="0" w:space="0" w:color="auto"/>
        <w:bottom w:val="none" w:sz="0" w:space="0" w:color="auto"/>
        <w:right w:val="none" w:sz="0" w:space="0" w:color="auto"/>
      </w:divBdr>
    </w:div>
    <w:div w:id="808741031">
      <w:bodyDiv w:val="1"/>
      <w:marLeft w:val="0"/>
      <w:marRight w:val="0"/>
      <w:marTop w:val="0"/>
      <w:marBottom w:val="0"/>
      <w:divBdr>
        <w:top w:val="none" w:sz="0" w:space="0" w:color="auto"/>
        <w:left w:val="none" w:sz="0" w:space="0" w:color="auto"/>
        <w:bottom w:val="none" w:sz="0" w:space="0" w:color="auto"/>
        <w:right w:val="none" w:sz="0" w:space="0" w:color="auto"/>
      </w:divBdr>
    </w:div>
    <w:div w:id="848911592">
      <w:bodyDiv w:val="1"/>
      <w:marLeft w:val="0"/>
      <w:marRight w:val="0"/>
      <w:marTop w:val="0"/>
      <w:marBottom w:val="0"/>
      <w:divBdr>
        <w:top w:val="none" w:sz="0" w:space="0" w:color="auto"/>
        <w:left w:val="none" w:sz="0" w:space="0" w:color="auto"/>
        <w:bottom w:val="none" w:sz="0" w:space="0" w:color="auto"/>
        <w:right w:val="none" w:sz="0" w:space="0" w:color="auto"/>
      </w:divBdr>
    </w:div>
    <w:div w:id="879244292">
      <w:bodyDiv w:val="1"/>
      <w:marLeft w:val="0"/>
      <w:marRight w:val="0"/>
      <w:marTop w:val="0"/>
      <w:marBottom w:val="0"/>
      <w:divBdr>
        <w:top w:val="none" w:sz="0" w:space="0" w:color="auto"/>
        <w:left w:val="none" w:sz="0" w:space="0" w:color="auto"/>
        <w:bottom w:val="none" w:sz="0" w:space="0" w:color="auto"/>
        <w:right w:val="none" w:sz="0" w:space="0" w:color="auto"/>
      </w:divBdr>
    </w:div>
    <w:div w:id="884676562">
      <w:bodyDiv w:val="1"/>
      <w:marLeft w:val="0"/>
      <w:marRight w:val="0"/>
      <w:marTop w:val="0"/>
      <w:marBottom w:val="0"/>
      <w:divBdr>
        <w:top w:val="none" w:sz="0" w:space="0" w:color="auto"/>
        <w:left w:val="none" w:sz="0" w:space="0" w:color="auto"/>
        <w:bottom w:val="none" w:sz="0" w:space="0" w:color="auto"/>
        <w:right w:val="none" w:sz="0" w:space="0" w:color="auto"/>
      </w:divBdr>
    </w:div>
    <w:div w:id="901984525">
      <w:bodyDiv w:val="1"/>
      <w:marLeft w:val="0"/>
      <w:marRight w:val="0"/>
      <w:marTop w:val="0"/>
      <w:marBottom w:val="0"/>
      <w:divBdr>
        <w:top w:val="none" w:sz="0" w:space="0" w:color="auto"/>
        <w:left w:val="none" w:sz="0" w:space="0" w:color="auto"/>
        <w:bottom w:val="none" w:sz="0" w:space="0" w:color="auto"/>
        <w:right w:val="none" w:sz="0" w:space="0" w:color="auto"/>
      </w:divBdr>
    </w:div>
    <w:div w:id="1055549599">
      <w:bodyDiv w:val="1"/>
      <w:marLeft w:val="0"/>
      <w:marRight w:val="0"/>
      <w:marTop w:val="0"/>
      <w:marBottom w:val="0"/>
      <w:divBdr>
        <w:top w:val="none" w:sz="0" w:space="0" w:color="auto"/>
        <w:left w:val="none" w:sz="0" w:space="0" w:color="auto"/>
        <w:bottom w:val="none" w:sz="0" w:space="0" w:color="auto"/>
        <w:right w:val="none" w:sz="0" w:space="0" w:color="auto"/>
      </w:divBdr>
    </w:div>
    <w:div w:id="1080637828">
      <w:bodyDiv w:val="1"/>
      <w:marLeft w:val="0"/>
      <w:marRight w:val="0"/>
      <w:marTop w:val="0"/>
      <w:marBottom w:val="0"/>
      <w:divBdr>
        <w:top w:val="none" w:sz="0" w:space="0" w:color="auto"/>
        <w:left w:val="none" w:sz="0" w:space="0" w:color="auto"/>
        <w:bottom w:val="none" w:sz="0" w:space="0" w:color="auto"/>
        <w:right w:val="none" w:sz="0" w:space="0" w:color="auto"/>
      </w:divBdr>
    </w:div>
    <w:div w:id="1109202833">
      <w:bodyDiv w:val="1"/>
      <w:marLeft w:val="0"/>
      <w:marRight w:val="0"/>
      <w:marTop w:val="0"/>
      <w:marBottom w:val="0"/>
      <w:divBdr>
        <w:top w:val="none" w:sz="0" w:space="0" w:color="auto"/>
        <w:left w:val="none" w:sz="0" w:space="0" w:color="auto"/>
        <w:bottom w:val="none" w:sz="0" w:space="0" w:color="auto"/>
        <w:right w:val="none" w:sz="0" w:space="0" w:color="auto"/>
      </w:divBdr>
    </w:div>
    <w:div w:id="1116560268">
      <w:bodyDiv w:val="1"/>
      <w:marLeft w:val="0"/>
      <w:marRight w:val="0"/>
      <w:marTop w:val="0"/>
      <w:marBottom w:val="0"/>
      <w:divBdr>
        <w:top w:val="none" w:sz="0" w:space="0" w:color="auto"/>
        <w:left w:val="none" w:sz="0" w:space="0" w:color="auto"/>
        <w:bottom w:val="none" w:sz="0" w:space="0" w:color="auto"/>
        <w:right w:val="none" w:sz="0" w:space="0" w:color="auto"/>
      </w:divBdr>
    </w:div>
    <w:div w:id="1155758561">
      <w:bodyDiv w:val="1"/>
      <w:marLeft w:val="0"/>
      <w:marRight w:val="0"/>
      <w:marTop w:val="0"/>
      <w:marBottom w:val="0"/>
      <w:divBdr>
        <w:top w:val="none" w:sz="0" w:space="0" w:color="auto"/>
        <w:left w:val="none" w:sz="0" w:space="0" w:color="auto"/>
        <w:bottom w:val="none" w:sz="0" w:space="0" w:color="auto"/>
        <w:right w:val="none" w:sz="0" w:space="0" w:color="auto"/>
      </w:divBdr>
    </w:div>
    <w:div w:id="1155876579">
      <w:bodyDiv w:val="1"/>
      <w:marLeft w:val="0"/>
      <w:marRight w:val="0"/>
      <w:marTop w:val="0"/>
      <w:marBottom w:val="0"/>
      <w:divBdr>
        <w:top w:val="none" w:sz="0" w:space="0" w:color="auto"/>
        <w:left w:val="none" w:sz="0" w:space="0" w:color="auto"/>
        <w:bottom w:val="none" w:sz="0" w:space="0" w:color="auto"/>
        <w:right w:val="none" w:sz="0" w:space="0" w:color="auto"/>
      </w:divBdr>
    </w:div>
    <w:div w:id="1267033882">
      <w:bodyDiv w:val="1"/>
      <w:marLeft w:val="0"/>
      <w:marRight w:val="0"/>
      <w:marTop w:val="0"/>
      <w:marBottom w:val="0"/>
      <w:divBdr>
        <w:top w:val="none" w:sz="0" w:space="0" w:color="auto"/>
        <w:left w:val="none" w:sz="0" w:space="0" w:color="auto"/>
        <w:bottom w:val="none" w:sz="0" w:space="0" w:color="auto"/>
        <w:right w:val="none" w:sz="0" w:space="0" w:color="auto"/>
      </w:divBdr>
    </w:div>
    <w:div w:id="1349793050">
      <w:bodyDiv w:val="1"/>
      <w:marLeft w:val="0"/>
      <w:marRight w:val="0"/>
      <w:marTop w:val="0"/>
      <w:marBottom w:val="0"/>
      <w:divBdr>
        <w:top w:val="none" w:sz="0" w:space="0" w:color="auto"/>
        <w:left w:val="none" w:sz="0" w:space="0" w:color="auto"/>
        <w:bottom w:val="none" w:sz="0" w:space="0" w:color="auto"/>
        <w:right w:val="none" w:sz="0" w:space="0" w:color="auto"/>
      </w:divBdr>
    </w:div>
    <w:div w:id="1368750532">
      <w:bodyDiv w:val="1"/>
      <w:marLeft w:val="0"/>
      <w:marRight w:val="0"/>
      <w:marTop w:val="0"/>
      <w:marBottom w:val="0"/>
      <w:divBdr>
        <w:top w:val="none" w:sz="0" w:space="0" w:color="auto"/>
        <w:left w:val="none" w:sz="0" w:space="0" w:color="auto"/>
        <w:bottom w:val="none" w:sz="0" w:space="0" w:color="auto"/>
        <w:right w:val="none" w:sz="0" w:space="0" w:color="auto"/>
      </w:divBdr>
    </w:div>
    <w:div w:id="1386836684">
      <w:bodyDiv w:val="1"/>
      <w:marLeft w:val="0"/>
      <w:marRight w:val="0"/>
      <w:marTop w:val="0"/>
      <w:marBottom w:val="0"/>
      <w:divBdr>
        <w:top w:val="none" w:sz="0" w:space="0" w:color="auto"/>
        <w:left w:val="none" w:sz="0" w:space="0" w:color="auto"/>
        <w:bottom w:val="none" w:sz="0" w:space="0" w:color="auto"/>
        <w:right w:val="none" w:sz="0" w:space="0" w:color="auto"/>
      </w:divBdr>
    </w:div>
    <w:div w:id="1422144469">
      <w:bodyDiv w:val="1"/>
      <w:marLeft w:val="0"/>
      <w:marRight w:val="0"/>
      <w:marTop w:val="0"/>
      <w:marBottom w:val="0"/>
      <w:divBdr>
        <w:top w:val="none" w:sz="0" w:space="0" w:color="auto"/>
        <w:left w:val="none" w:sz="0" w:space="0" w:color="auto"/>
        <w:bottom w:val="none" w:sz="0" w:space="0" w:color="auto"/>
        <w:right w:val="none" w:sz="0" w:space="0" w:color="auto"/>
      </w:divBdr>
    </w:div>
    <w:div w:id="1448935823">
      <w:bodyDiv w:val="1"/>
      <w:marLeft w:val="0"/>
      <w:marRight w:val="0"/>
      <w:marTop w:val="0"/>
      <w:marBottom w:val="0"/>
      <w:divBdr>
        <w:top w:val="none" w:sz="0" w:space="0" w:color="auto"/>
        <w:left w:val="none" w:sz="0" w:space="0" w:color="auto"/>
        <w:bottom w:val="none" w:sz="0" w:space="0" w:color="auto"/>
        <w:right w:val="none" w:sz="0" w:space="0" w:color="auto"/>
      </w:divBdr>
    </w:div>
    <w:div w:id="1564220251">
      <w:bodyDiv w:val="1"/>
      <w:marLeft w:val="0"/>
      <w:marRight w:val="0"/>
      <w:marTop w:val="0"/>
      <w:marBottom w:val="0"/>
      <w:divBdr>
        <w:top w:val="none" w:sz="0" w:space="0" w:color="auto"/>
        <w:left w:val="none" w:sz="0" w:space="0" w:color="auto"/>
        <w:bottom w:val="none" w:sz="0" w:space="0" w:color="auto"/>
        <w:right w:val="none" w:sz="0" w:space="0" w:color="auto"/>
      </w:divBdr>
    </w:div>
    <w:div w:id="1573270264">
      <w:bodyDiv w:val="1"/>
      <w:marLeft w:val="0"/>
      <w:marRight w:val="0"/>
      <w:marTop w:val="0"/>
      <w:marBottom w:val="0"/>
      <w:divBdr>
        <w:top w:val="none" w:sz="0" w:space="0" w:color="auto"/>
        <w:left w:val="none" w:sz="0" w:space="0" w:color="auto"/>
        <w:bottom w:val="none" w:sz="0" w:space="0" w:color="auto"/>
        <w:right w:val="none" w:sz="0" w:space="0" w:color="auto"/>
      </w:divBdr>
    </w:div>
    <w:div w:id="1586642660">
      <w:bodyDiv w:val="1"/>
      <w:marLeft w:val="0"/>
      <w:marRight w:val="0"/>
      <w:marTop w:val="0"/>
      <w:marBottom w:val="0"/>
      <w:divBdr>
        <w:top w:val="none" w:sz="0" w:space="0" w:color="auto"/>
        <w:left w:val="none" w:sz="0" w:space="0" w:color="auto"/>
        <w:bottom w:val="none" w:sz="0" w:space="0" w:color="auto"/>
        <w:right w:val="none" w:sz="0" w:space="0" w:color="auto"/>
      </w:divBdr>
    </w:div>
    <w:div w:id="1648851114">
      <w:bodyDiv w:val="1"/>
      <w:marLeft w:val="0"/>
      <w:marRight w:val="0"/>
      <w:marTop w:val="0"/>
      <w:marBottom w:val="0"/>
      <w:divBdr>
        <w:top w:val="none" w:sz="0" w:space="0" w:color="auto"/>
        <w:left w:val="none" w:sz="0" w:space="0" w:color="auto"/>
        <w:bottom w:val="none" w:sz="0" w:space="0" w:color="auto"/>
        <w:right w:val="none" w:sz="0" w:space="0" w:color="auto"/>
      </w:divBdr>
    </w:div>
    <w:div w:id="1654144929">
      <w:bodyDiv w:val="1"/>
      <w:marLeft w:val="0"/>
      <w:marRight w:val="0"/>
      <w:marTop w:val="0"/>
      <w:marBottom w:val="0"/>
      <w:divBdr>
        <w:top w:val="none" w:sz="0" w:space="0" w:color="auto"/>
        <w:left w:val="none" w:sz="0" w:space="0" w:color="auto"/>
        <w:bottom w:val="none" w:sz="0" w:space="0" w:color="auto"/>
        <w:right w:val="none" w:sz="0" w:space="0" w:color="auto"/>
      </w:divBdr>
    </w:div>
    <w:div w:id="1706254125">
      <w:bodyDiv w:val="1"/>
      <w:marLeft w:val="0"/>
      <w:marRight w:val="0"/>
      <w:marTop w:val="0"/>
      <w:marBottom w:val="0"/>
      <w:divBdr>
        <w:top w:val="none" w:sz="0" w:space="0" w:color="auto"/>
        <w:left w:val="none" w:sz="0" w:space="0" w:color="auto"/>
        <w:bottom w:val="none" w:sz="0" w:space="0" w:color="auto"/>
        <w:right w:val="none" w:sz="0" w:space="0" w:color="auto"/>
      </w:divBdr>
    </w:div>
    <w:div w:id="1739937404">
      <w:bodyDiv w:val="1"/>
      <w:marLeft w:val="0"/>
      <w:marRight w:val="0"/>
      <w:marTop w:val="0"/>
      <w:marBottom w:val="0"/>
      <w:divBdr>
        <w:top w:val="none" w:sz="0" w:space="0" w:color="auto"/>
        <w:left w:val="none" w:sz="0" w:space="0" w:color="auto"/>
        <w:bottom w:val="none" w:sz="0" w:space="0" w:color="auto"/>
        <w:right w:val="none" w:sz="0" w:space="0" w:color="auto"/>
      </w:divBdr>
    </w:div>
    <w:div w:id="1778477627">
      <w:bodyDiv w:val="1"/>
      <w:marLeft w:val="0"/>
      <w:marRight w:val="0"/>
      <w:marTop w:val="0"/>
      <w:marBottom w:val="0"/>
      <w:divBdr>
        <w:top w:val="none" w:sz="0" w:space="0" w:color="auto"/>
        <w:left w:val="none" w:sz="0" w:space="0" w:color="auto"/>
        <w:bottom w:val="none" w:sz="0" w:space="0" w:color="auto"/>
        <w:right w:val="none" w:sz="0" w:space="0" w:color="auto"/>
      </w:divBdr>
    </w:div>
    <w:div w:id="1790279068">
      <w:bodyDiv w:val="1"/>
      <w:marLeft w:val="0"/>
      <w:marRight w:val="0"/>
      <w:marTop w:val="0"/>
      <w:marBottom w:val="0"/>
      <w:divBdr>
        <w:top w:val="none" w:sz="0" w:space="0" w:color="auto"/>
        <w:left w:val="none" w:sz="0" w:space="0" w:color="auto"/>
        <w:bottom w:val="none" w:sz="0" w:space="0" w:color="auto"/>
        <w:right w:val="none" w:sz="0" w:space="0" w:color="auto"/>
      </w:divBdr>
    </w:div>
    <w:div w:id="1808280600">
      <w:bodyDiv w:val="1"/>
      <w:marLeft w:val="0"/>
      <w:marRight w:val="0"/>
      <w:marTop w:val="0"/>
      <w:marBottom w:val="0"/>
      <w:divBdr>
        <w:top w:val="none" w:sz="0" w:space="0" w:color="auto"/>
        <w:left w:val="none" w:sz="0" w:space="0" w:color="auto"/>
        <w:bottom w:val="none" w:sz="0" w:space="0" w:color="auto"/>
        <w:right w:val="none" w:sz="0" w:space="0" w:color="auto"/>
      </w:divBdr>
    </w:div>
    <w:div w:id="1815683480">
      <w:bodyDiv w:val="1"/>
      <w:marLeft w:val="0"/>
      <w:marRight w:val="0"/>
      <w:marTop w:val="0"/>
      <w:marBottom w:val="0"/>
      <w:divBdr>
        <w:top w:val="none" w:sz="0" w:space="0" w:color="auto"/>
        <w:left w:val="none" w:sz="0" w:space="0" w:color="auto"/>
        <w:bottom w:val="none" w:sz="0" w:space="0" w:color="auto"/>
        <w:right w:val="none" w:sz="0" w:space="0" w:color="auto"/>
      </w:divBdr>
    </w:div>
    <w:div w:id="1848058628">
      <w:bodyDiv w:val="1"/>
      <w:marLeft w:val="0"/>
      <w:marRight w:val="0"/>
      <w:marTop w:val="0"/>
      <w:marBottom w:val="0"/>
      <w:divBdr>
        <w:top w:val="none" w:sz="0" w:space="0" w:color="auto"/>
        <w:left w:val="none" w:sz="0" w:space="0" w:color="auto"/>
        <w:bottom w:val="none" w:sz="0" w:space="0" w:color="auto"/>
        <w:right w:val="none" w:sz="0" w:space="0" w:color="auto"/>
      </w:divBdr>
    </w:div>
    <w:div w:id="1877690561">
      <w:bodyDiv w:val="1"/>
      <w:marLeft w:val="0"/>
      <w:marRight w:val="0"/>
      <w:marTop w:val="0"/>
      <w:marBottom w:val="0"/>
      <w:divBdr>
        <w:top w:val="none" w:sz="0" w:space="0" w:color="auto"/>
        <w:left w:val="none" w:sz="0" w:space="0" w:color="auto"/>
        <w:bottom w:val="none" w:sz="0" w:space="0" w:color="auto"/>
        <w:right w:val="none" w:sz="0" w:space="0" w:color="auto"/>
      </w:divBdr>
    </w:div>
    <w:div w:id="1886015495">
      <w:bodyDiv w:val="1"/>
      <w:marLeft w:val="0"/>
      <w:marRight w:val="0"/>
      <w:marTop w:val="0"/>
      <w:marBottom w:val="0"/>
      <w:divBdr>
        <w:top w:val="none" w:sz="0" w:space="0" w:color="auto"/>
        <w:left w:val="none" w:sz="0" w:space="0" w:color="auto"/>
        <w:bottom w:val="none" w:sz="0" w:space="0" w:color="auto"/>
        <w:right w:val="none" w:sz="0" w:space="0" w:color="auto"/>
      </w:divBdr>
    </w:div>
    <w:div w:id="1916550691">
      <w:bodyDiv w:val="1"/>
      <w:marLeft w:val="0"/>
      <w:marRight w:val="0"/>
      <w:marTop w:val="0"/>
      <w:marBottom w:val="0"/>
      <w:divBdr>
        <w:top w:val="none" w:sz="0" w:space="0" w:color="auto"/>
        <w:left w:val="none" w:sz="0" w:space="0" w:color="auto"/>
        <w:bottom w:val="none" w:sz="0" w:space="0" w:color="auto"/>
        <w:right w:val="none" w:sz="0" w:space="0" w:color="auto"/>
      </w:divBdr>
    </w:div>
    <w:div w:id="1920476812">
      <w:bodyDiv w:val="1"/>
      <w:marLeft w:val="0"/>
      <w:marRight w:val="0"/>
      <w:marTop w:val="0"/>
      <w:marBottom w:val="0"/>
      <w:divBdr>
        <w:top w:val="none" w:sz="0" w:space="0" w:color="auto"/>
        <w:left w:val="none" w:sz="0" w:space="0" w:color="auto"/>
        <w:bottom w:val="none" w:sz="0" w:space="0" w:color="auto"/>
        <w:right w:val="none" w:sz="0" w:space="0" w:color="auto"/>
      </w:divBdr>
    </w:div>
    <w:div w:id="1933733831">
      <w:bodyDiv w:val="1"/>
      <w:marLeft w:val="0"/>
      <w:marRight w:val="0"/>
      <w:marTop w:val="0"/>
      <w:marBottom w:val="0"/>
      <w:divBdr>
        <w:top w:val="none" w:sz="0" w:space="0" w:color="auto"/>
        <w:left w:val="none" w:sz="0" w:space="0" w:color="auto"/>
        <w:bottom w:val="none" w:sz="0" w:space="0" w:color="auto"/>
        <w:right w:val="none" w:sz="0" w:space="0" w:color="auto"/>
      </w:divBdr>
    </w:div>
    <w:div w:id="1936403678">
      <w:bodyDiv w:val="1"/>
      <w:marLeft w:val="0"/>
      <w:marRight w:val="0"/>
      <w:marTop w:val="0"/>
      <w:marBottom w:val="0"/>
      <w:divBdr>
        <w:top w:val="none" w:sz="0" w:space="0" w:color="auto"/>
        <w:left w:val="none" w:sz="0" w:space="0" w:color="auto"/>
        <w:bottom w:val="none" w:sz="0" w:space="0" w:color="auto"/>
        <w:right w:val="none" w:sz="0" w:space="0" w:color="auto"/>
      </w:divBdr>
    </w:div>
    <w:div w:id="1957324131">
      <w:bodyDiv w:val="1"/>
      <w:marLeft w:val="0"/>
      <w:marRight w:val="0"/>
      <w:marTop w:val="0"/>
      <w:marBottom w:val="0"/>
      <w:divBdr>
        <w:top w:val="none" w:sz="0" w:space="0" w:color="auto"/>
        <w:left w:val="none" w:sz="0" w:space="0" w:color="auto"/>
        <w:bottom w:val="none" w:sz="0" w:space="0" w:color="auto"/>
        <w:right w:val="none" w:sz="0" w:space="0" w:color="auto"/>
      </w:divBdr>
    </w:div>
    <w:div w:id="1990748854">
      <w:bodyDiv w:val="1"/>
      <w:marLeft w:val="0"/>
      <w:marRight w:val="0"/>
      <w:marTop w:val="0"/>
      <w:marBottom w:val="0"/>
      <w:divBdr>
        <w:top w:val="none" w:sz="0" w:space="0" w:color="auto"/>
        <w:left w:val="none" w:sz="0" w:space="0" w:color="auto"/>
        <w:bottom w:val="none" w:sz="0" w:space="0" w:color="auto"/>
        <w:right w:val="none" w:sz="0" w:space="0" w:color="auto"/>
      </w:divBdr>
    </w:div>
    <w:div w:id="2009869268">
      <w:bodyDiv w:val="1"/>
      <w:marLeft w:val="0"/>
      <w:marRight w:val="0"/>
      <w:marTop w:val="0"/>
      <w:marBottom w:val="0"/>
      <w:divBdr>
        <w:top w:val="none" w:sz="0" w:space="0" w:color="auto"/>
        <w:left w:val="none" w:sz="0" w:space="0" w:color="auto"/>
        <w:bottom w:val="none" w:sz="0" w:space="0" w:color="auto"/>
        <w:right w:val="none" w:sz="0" w:space="0" w:color="auto"/>
      </w:divBdr>
    </w:div>
    <w:div w:id="2012022410">
      <w:bodyDiv w:val="1"/>
      <w:marLeft w:val="0"/>
      <w:marRight w:val="0"/>
      <w:marTop w:val="0"/>
      <w:marBottom w:val="0"/>
      <w:divBdr>
        <w:top w:val="none" w:sz="0" w:space="0" w:color="auto"/>
        <w:left w:val="none" w:sz="0" w:space="0" w:color="auto"/>
        <w:bottom w:val="none" w:sz="0" w:space="0" w:color="auto"/>
        <w:right w:val="none" w:sz="0" w:space="0" w:color="auto"/>
      </w:divBdr>
    </w:div>
    <w:div w:id="2029404641">
      <w:bodyDiv w:val="1"/>
      <w:marLeft w:val="0"/>
      <w:marRight w:val="0"/>
      <w:marTop w:val="0"/>
      <w:marBottom w:val="0"/>
      <w:divBdr>
        <w:top w:val="none" w:sz="0" w:space="0" w:color="auto"/>
        <w:left w:val="none" w:sz="0" w:space="0" w:color="auto"/>
        <w:bottom w:val="none" w:sz="0" w:space="0" w:color="auto"/>
        <w:right w:val="none" w:sz="0" w:space="0" w:color="auto"/>
      </w:divBdr>
    </w:div>
    <w:div w:id="2040353623">
      <w:bodyDiv w:val="1"/>
      <w:marLeft w:val="0"/>
      <w:marRight w:val="0"/>
      <w:marTop w:val="0"/>
      <w:marBottom w:val="0"/>
      <w:divBdr>
        <w:top w:val="none" w:sz="0" w:space="0" w:color="auto"/>
        <w:left w:val="none" w:sz="0" w:space="0" w:color="auto"/>
        <w:bottom w:val="none" w:sz="0" w:space="0" w:color="auto"/>
        <w:right w:val="none" w:sz="0" w:space="0" w:color="auto"/>
      </w:divBdr>
    </w:div>
    <w:div w:id="2085712540">
      <w:bodyDiv w:val="1"/>
      <w:marLeft w:val="0"/>
      <w:marRight w:val="0"/>
      <w:marTop w:val="0"/>
      <w:marBottom w:val="0"/>
      <w:divBdr>
        <w:top w:val="none" w:sz="0" w:space="0" w:color="auto"/>
        <w:left w:val="none" w:sz="0" w:space="0" w:color="auto"/>
        <w:bottom w:val="none" w:sz="0" w:space="0" w:color="auto"/>
        <w:right w:val="none" w:sz="0" w:space="0" w:color="auto"/>
      </w:divBdr>
    </w:div>
    <w:div w:id="2099330591">
      <w:bodyDiv w:val="1"/>
      <w:marLeft w:val="0"/>
      <w:marRight w:val="0"/>
      <w:marTop w:val="0"/>
      <w:marBottom w:val="0"/>
      <w:divBdr>
        <w:top w:val="none" w:sz="0" w:space="0" w:color="auto"/>
        <w:left w:val="none" w:sz="0" w:space="0" w:color="auto"/>
        <w:bottom w:val="none" w:sz="0" w:space="0" w:color="auto"/>
        <w:right w:val="none" w:sz="0" w:space="0" w:color="auto"/>
      </w:divBdr>
    </w:div>
    <w:div w:id="2107117247">
      <w:bodyDiv w:val="1"/>
      <w:marLeft w:val="0"/>
      <w:marRight w:val="0"/>
      <w:marTop w:val="0"/>
      <w:marBottom w:val="0"/>
      <w:divBdr>
        <w:top w:val="none" w:sz="0" w:space="0" w:color="auto"/>
        <w:left w:val="none" w:sz="0" w:space="0" w:color="auto"/>
        <w:bottom w:val="none" w:sz="0" w:space="0" w:color="auto"/>
        <w:right w:val="none" w:sz="0" w:space="0" w:color="auto"/>
      </w:divBdr>
    </w:div>
    <w:div w:id="21136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upload.wikimedia.org/wikipedia/commons/archive/6/61/20071014112837!ChileRegions.pn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data.worldbank.org/"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i3.bcentral.cl/Siete/secure/cuadros/home.aspx"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central.cl/bde/index.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Rutger\AppData\Roaming\Microsoft\Excel\Book1%20(version%201).xlsb"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utger\AppData\Roaming\Microsoft\Excel\Data%20grafiek%20(version%202).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tger\AppData\Roaming\Microsoft\Excel\Data%20grafiek%20(version%202).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utger\AppData\Roaming\Microsoft\Excel\Data%20grafiek%20(version%202).xlsb"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utger\Desktop\Scriptie%202013\CASEN%202009%20VARIABELEN%2026-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utger\Desktop\GDP%20Chile%20grafiek.xlsx" TargetMode="Externa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Rutger\Desktop\Variabelen\CASEN%202009%20VARIABELEN%2026-9.xlsx" TargetMode="External"/><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Rutger\Desktop\Scriptie%202013\eviews%20variabelen%202-2-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utger\Desktop\Scriptie%202013\eviews%20variabelen%202-2-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Kuznets Curve</c:v>
                </c:pt>
              </c:strCache>
            </c:strRef>
          </c:tx>
          <c:spPr>
            <a:ln>
              <a:noFill/>
            </a:ln>
          </c:spPr>
          <c:marker>
            <c:symbol val="none"/>
          </c:marker>
          <c:trendline>
            <c:trendlineType val="poly"/>
            <c:order val="2"/>
            <c:dispRSqr val="0"/>
            <c:dispEq val="0"/>
          </c:trendline>
          <c:cat>
            <c:strRef>
              <c:f>Sheet1!$A$2:$A$6</c:f>
              <c:strCache>
                <c:ptCount val="5"/>
                <c:pt idx="0">
                  <c:v>q = 0</c:v>
                </c:pt>
                <c:pt idx="2">
                  <c:v>q = 0,5</c:v>
                </c:pt>
                <c:pt idx="4">
                  <c:v>q = 1</c:v>
                </c:pt>
              </c:strCache>
            </c:strRef>
          </c:cat>
          <c:val>
            <c:numRef>
              <c:f>Sheet1!$B$2:$B$6</c:f>
              <c:numCache>
                <c:formatCode>General</c:formatCode>
                <c:ptCount val="5"/>
                <c:pt idx="0">
                  <c:v>1</c:v>
                </c:pt>
                <c:pt idx="1">
                  <c:v>3</c:v>
                </c:pt>
                <c:pt idx="2">
                  <c:v>5</c:v>
                </c:pt>
                <c:pt idx="3">
                  <c:v>3</c:v>
                </c:pt>
                <c:pt idx="4">
                  <c:v>1</c:v>
                </c:pt>
              </c:numCache>
            </c:numRef>
          </c:val>
          <c:smooth val="0"/>
        </c:ser>
        <c:dLbls>
          <c:showLegendKey val="0"/>
          <c:showVal val="0"/>
          <c:showCatName val="0"/>
          <c:showSerName val="0"/>
          <c:showPercent val="0"/>
          <c:showBubbleSize val="0"/>
        </c:dLbls>
        <c:marker val="1"/>
        <c:smooth val="0"/>
        <c:axId val="209254656"/>
        <c:axId val="226169216"/>
      </c:lineChart>
      <c:catAx>
        <c:axId val="209254656"/>
        <c:scaling>
          <c:orientation val="minMax"/>
        </c:scaling>
        <c:delete val="0"/>
        <c:axPos val="b"/>
        <c:majorGridlines>
          <c:spPr>
            <a:ln>
              <a:noFill/>
            </a:ln>
          </c:spPr>
        </c:majorGridlines>
        <c:title>
          <c:tx>
            <c:rich>
              <a:bodyPr/>
              <a:lstStyle/>
              <a:p>
                <a:pPr>
                  <a:defRPr/>
                </a:pPr>
                <a:r>
                  <a:rPr lang="en-US" sz="1000">
                    <a:latin typeface="Times New Roman" pitchFamily="18" charset="0"/>
                    <a:cs typeface="Times New Roman" pitchFamily="18" charset="0"/>
                  </a:rPr>
                  <a:t>Economic</a:t>
                </a:r>
                <a:r>
                  <a:rPr lang="en-US" sz="1000" baseline="0">
                    <a:latin typeface="Times New Roman" pitchFamily="18" charset="0"/>
                    <a:cs typeface="Times New Roman" pitchFamily="18" charset="0"/>
                  </a:rPr>
                  <a:t> Development (q</a:t>
                </a:r>
                <a:r>
                  <a:rPr lang="en-US" sz="1050" baseline="0">
                    <a:latin typeface="Times New Roman" pitchFamily="18" charset="0"/>
                    <a:cs typeface="Times New Roman" pitchFamily="18" charset="0"/>
                  </a:rPr>
                  <a:t>)</a:t>
                </a:r>
                <a:br>
                  <a:rPr lang="en-US" sz="1050" baseline="0">
                    <a:latin typeface="Times New Roman" pitchFamily="18" charset="0"/>
                    <a:cs typeface="Times New Roman" pitchFamily="18" charset="0"/>
                  </a:rPr>
                </a:br>
                <a:r>
                  <a:rPr lang="en-US" sz="1600" b="1" i="0" u="none" strike="noStrike" baseline="0">
                    <a:effectLst/>
                    <a:latin typeface="Times New Roman" pitchFamily="18" charset="0"/>
                    <a:cs typeface="Times New Roman" pitchFamily="18" charset="0"/>
                  </a:rPr>
                  <a:t>→</a:t>
                </a:r>
                <a:r>
                  <a:rPr lang="en-US" baseline="0">
                    <a:latin typeface="Times New Roman" pitchFamily="18" charset="0"/>
                    <a:cs typeface="Times New Roman" pitchFamily="18" charset="0"/>
                  </a:rPr>
                  <a:t> </a:t>
                </a:r>
              </a:p>
              <a:p>
                <a:pPr>
                  <a:defRPr/>
                </a:pPr>
                <a:endParaRPr lang="en-US" baseline="0">
                  <a:latin typeface="Times New Roman" pitchFamily="18" charset="0"/>
                  <a:cs typeface="Times New Roman" pitchFamily="18" charset="0"/>
                </a:endParaRPr>
              </a:p>
            </c:rich>
          </c:tx>
          <c:layout>
            <c:manualLayout>
              <c:xMode val="edge"/>
              <c:yMode val="edge"/>
              <c:x val="0.38155675853018367"/>
              <c:y val="0.80205830458483662"/>
            </c:manualLayout>
          </c:layout>
          <c:overlay val="0"/>
        </c:title>
        <c:majorTickMark val="none"/>
        <c:minorTickMark val="none"/>
        <c:tickLblPos val="nextTo"/>
        <c:crossAx val="226169216"/>
        <c:crossesAt val="0.8"/>
        <c:auto val="1"/>
        <c:lblAlgn val="ctr"/>
        <c:lblOffset val="100"/>
        <c:tickLblSkip val="1"/>
        <c:tickMarkSkip val="1"/>
        <c:noMultiLvlLbl val="0"/>
      </c:catAx>
      <c:valAx>
        <c:axId val="226169216"/>
        <c:scaling>
          <c:orientation val="minMax"/>
          <c:max val="5"/>
          <c:min val="0.8"/>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800" b="1" i="0" baseline="0">
                    <a:effectLst/>
                    <a:latin typeface="Times New Roman" pitchFamily="18" charset="0"/>
                    <a:cs typeface="Times New Roman" pitchFamily="18" charset="0"/>
                  </a:rPr>
                  <a:t>→</a:t>
                </a:r>
                <a:endParaRPr lang="en-US">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atin typeface="Times New Roman" pitchFamily="18" charset="0"/>
                    <a:cs typeface="Times New Roman" pitchFamily="18" charset="0"/>
                  </a:rPr>
                  <a:t>Income inequality</a:t>
                </a:r>
                <a:r>
                  <a:rPr lang="en-US" baseline="0">
                    <a:latin typeface="Times New Roman" pitchFamily="18" charset="0"/>
                    <a:cs typeface="Times New Roman" pitchFamily="18" charset="0"/>
                  </a:rPr>
                  <a:t> (</a:t>
                </a:r>
                <a:r>
                  <a:rPr lang="en-US" sz="1000" b="1" i="0" u="none" strike="noStrike" baseline="0">
                    <a:effectLst/>
                  </a:rPr>
                  <a:t>𝜎</a:t>
                </a:r>
                <a:r>
                  <a:rPr lang="en-US" sz="1000" b="1" i="0" u="none" strike="noStrike" baseline="30000">
                    <a:effectLst/>
                  </a:rPr>
                  <a:t>2</a:t>
                </a:r>
                <a:r>
                  <a:rPr lang="en-US" sz="1000" b="1" i="0" u="none" strike="noStrike" baseline="0">
                    <a:effectLst/>
                  </a:rPr>
                  <a:t>) </a:t>
                </a:r>
                <a:endParaRPr lang="en-US"/>
              </a:p>
            </c:rich>
          </c:tx>
          <c:layout>
            <c:manualLayout>
              <c:xMode val="edge"/>
              <c:yMode val="edge"/>
              <c:x val="1.6203703703703703E-2"/>
              <c:y val="0.14623672040994876"/>
            </c:manualLayout>
          </c:layout>
          <c:overlay val="0"/>
        </c:title>
        <c:numFmt formatCode="General" sourceLinked="1"/>
        <c:majorTickMark val="none"/>
        <c:minorTickMark val="none"/>
        <c:tickLblPos val="none"/>
        <c:crossAx val="209254656"/>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Sheet1!$A$2</c:f>
              <c:strCache>
                <c:ptCount val="1"/>
                <c:pt idx="0">
                  <c:v>HC Gini Coefficient</c:v>
                </c:pt>
              </c:strCache>
            </c:strRef>
          </c:tx>
          <c:spPr>
            <a:ln w="28575">
              <a:noFill/>
            </a:ln>
          </c:spPr>
          <c:xVal>
            <c:numRef>
              <c:f>Sheet1!$B$1:$DN$1</c:f>
              <c:numCache>
                <c:formatCode>General</c:formatCode>
                <c:ptCount val="117"/>
                <c:pt idx="0">
                  <c:v>9.0318797578507795</c:v>
                </c:pt>
                <c:pt idx="1">
                  <c:v>9.0643082188678505</c:v>
                </c:pt>
                <c:pt idx="2">
                  <c:v>9.2047780756374618</c:v>
                </c:pt>
                <c:pt idx="3">
                  <c:v>9.4768278481532064</c:v>
                </c:pt>
                <c:pt idx="4">
                  <c:v>9.6870362173710785</c:v>
                </c:pt>
                <c:pt idx="5">
                  <c:v>9.9138586718306723</c:v>
                </c:pt>
                <c:pt idx="6">
                  <c:v>10.162796563775833</c:v>
                </c:pt>
                <c:pt idx="7">
                  <c:v>10.142309000875718</c:v>
                </c:pt>
                <c:pt idx="8">
                  <c:v>10.390406816993766</c:v>
                </c:pt>
                <c:pt idx="9">
                  <c:v>10.007076646621382</c:v>
                </c:pt>
                <c:pt idx="10">
                  <c:v>10.011694464870658</c:v>
                </c:pt>
                <c:pt idx="11">
                  <c:v>10.433934577784759</c:v>
                </c:pt>
                <c:pt idx="12">
                  <c:v>10.559612406775395</c:v>
                </c:pt>
                <c:pt idx="13">
                  <c:v>10.329899922248957</c:v>
                </c:pt>
                <c:pt idx="14">
                  <c:v>10.362891935441294</c:v>
                </c:pt>
                <c:pt idx="15">
                  <c:v>10.798219509655063</c:v>
                </c:pt>
                <c:pt idx="16">
                  <c:v>10.463661123431619</c:v>
                </c:pt>
                <c:pt idx="17">
                  <c:v>10.873246627380722</c:v>
                </c:pt>
                <c:pt idx="18">
                  <c:v>9.7658496129745505</c:v>
                </c:pt>
                <c:pt idx="19">
                  <c:v>9.599902016257035</c:v>
                </c:pt>
                <c:pt idx="20">
                  <c:v>9.7256260546743469</c:v>
                </c:pt>
                <c:pt idx="21">
                  <c:v>10.307249881642406</c:v>
                </c:pt>
                <c:pt idx="22">
                  <c:v>10.457596147440364</c:v>
                </c:pt>
                <c:pt idx="23">
                  <c:v>10.925348721379551</c:v>
                </c:pt>
                <c:pt idx="24">
                  <c:v>10.922604328090856</c:v>
                </c:pt>
                <c:pt idx="25">
                  <c:v>10.686851814081507</c:v>
                </c:pt>
                <c:pt idx="26">
                  <c:v>10.641230845429131</c:v>
                </c:pt>
                <c:pt idx="27">
                  <c:v>8.8628387323372895</c:v>
                </c:pt>
                <c:pt idx="28">
                  <c:v>9.1996471937567055</c:v>
                </c:pt>
                <c:pt idx="29">
                  <c:v>9.1443827502113617</c:v>
                </c:pt>
                <c:pt idx="30">
                  <c:v>9.5591456054553561</c:v>
                </c:pt>
                <c:pt idx="31">
                  <c:v>9.5077949672921793</c:v>
                </c:pt>
                <c:pt idx="32">
                  <c:v>9.7640877174286249</c:v>
                </c:pt>
                <c:pt idx="33">
                  <c:v>9.5765222984562914</c:v>
                </c:pt>
                <c:pt idx="34">
                  <c:v>10.300771960633677</c:v>
                </c:pt>
                <c:pt idx="35">
                  <c:v>10.326248377148183</c:v>
                </c:pt>
                <c:pt idx="36">
                  <c:v>8.4888865132604732</c:v>
                </c:pt>
                <c:pt idx="37">
                  <c:v>8.6504625579564429</c:v>
                </c:pt>
                <c:pt idx="38">
                  <c:v>8.6543192105305327</c:v>
                </c:pt>
                <c:pt idx="39">
                  <c:v>8.7493717014325316</c:v>
                </c:pt>
                <c:pt idx="40">
                  <c:v>9.2461544497546804</c:v>
                </c:pt>
                <c:pt idx="41">
                  <c:v>9.3392497059317812</c:v>
                </c:pt>
                <c:pt idx="42">
                  <c:v>9.7093283590053403</c:v>
                </c:pt>
                <c:pt idx="43">
                  <c:v>9.5900274650883741</c:v>
                </c:pt>
                <c:pt idx="44">
                  <c:v>9.7187601611907315</c:v>
                </c:pt>
                <c:pt idx="45">
                  <c:v>9.317728475256617</c:v>
                </c:pt>
                <c:pt idx="46">
                  <c:v>9.5417620830486864</c:v>
                </c:pt>
                <c:pt idx="47">
                  <c:v>9.656043311260273</c:v>
                </c:pt>
                <c:pt idx="48">
                  <c:v>9.7946816726518868</c:v>
                </c:pt>
                <c:pt idx="49">
                  <c:v>10.070963424411913</c:v>
                </c:pt>
                <c:pt idx="50">
                  <c:v>10.174351611683525</c:v>
                </c:pt>
                <c:pt idx="51">
                  <c:v>10.342557969373225</c:v>
                </c:pt>
                <c:pt idx="52">
                  <c:v>10.303628195089331</c:v>
                </c:pt>
                <c:pt idx="53">
                  <c:v>10.641748967458478</c:v>
                </c:pt>
                <c:pt idx="54">
                  <c:v>8.0277252952957774</c:v>
                </c:pt>
                <c:pt idx="55">
                  <c:v>8.3868250255264609</c:v>
                </c:pt>
                <c:pt idx="56">
                  <c:v>8.363304397648518</c:v>
                </c:pt>
                <c:pt idx="57">
                  <c:v>8.2699704265592935</c:v>
                </c:pt>
                <c:pt idx="58">
                  <c:v>8.5740303565608382</c:v>
                </c:pt>
                <c:pt idx="59">
                  <c:v>8.797777665256449</c:v>
                </c:pt>
                <c:pt idx="60">
                  <c:v>9.0775330786800037</c:v>
                </c:pt>
                <c:pt idx="61">
                  <c:v>9.2162603120620439</c:v>
                </c:pt>
                <c:pt idx="62">
                  <c:v>9.4947191490797209</c:v>
                </c:pt>
                <c:pt idx="63">
                  <c:v>7.5138127409713125</c:v>
                </c:pt>
                <c:pt idx="64">
                  <c:v>7.6781674486271614</c:v>
                </c:pt>
                <c:pt idx="65">
                  <c:v>7.8151366637391559</c:v>
                </c:pt>
                <c:pt idx="66">
                  <c:v>7.9602018614770902</c:v>
                </c:pt>
                <c:pt idx="67">
                  <c:v>8.0909078379123613</c:v>
                </c:pt>
                <c:pt idx="68">
                  <c:v>8.6252768820759407</c:v>
                </c:pt>
                <c:pt idx="69">
                  <c:v>8.7408956023307791</c:v>
                </c:pt>
                <c:pt idx="70">
                  <c:v>8.9510692309254978</c:v>
                </c:pt>
                <c:pt idx="71">
                  <c:v>9.0458133495784878</c:v>
                </c:pt>
                <c:pt idx="72">
                  <c:v>8.2836842890837445</c:v>
                </c:pt>
                <c:pt idx="73">
                  <c:v>8.2804710380702069</c:v>
                </c:pt>
                <c:pt idx="74">
                  <c:v>8.6737273924082707</c:v>
                </c:pt>
                <c:pt idx="75">
                  <c:v>9.0110863654950251</c:v>
                </c:pt>
                <c:pt idx="76">
                  <c:v>9.1876360814511919</c:v>
                </c:pt>
                <c:pt idx="77">
                  <c:v>9.3913883330939676</c:v>
                </c:pt>
                <c:pt idx="78">
                  <c:v>9.5391746806241837</c:v>
                </c:pt>
                <c:pt idx="79">
                  <c:v>9.7493091733933888</c:v>
                </c:pt>
                <c:pt idx="80">
                  <c:v>9.9123948724338096</c:v>
                </c:pt>
                <c:pt idx="81">
                  <c:v>7.8094111698604376</c:v>
                </c:pt>
                <c:pt idx="82">
                  <c:v>7.9742348965847123</c:v>
                </c:pt>
                <c:pt idx="83">
                  <c:v>8.1460881039694399</c:v>
                </c:pt>
                <c:pt idx="84">
                  <c:v>8.0381931301230161</c:v>
                </c:pt>
                <c:pt idx="85">
                  <c:v>8.6200884589974009</c:v>
                </c:pt>
                <c:pt idx="86">
                  <c:v>8.7803583816369351</c:v>
                </c:pt>
                <c:pt idx="87">
                  <c:v>9.0583314756593349</c:v>
                </c:pt>
                <c:pt idx="88">
                  <c:v>9.1923671489208871</c:v>
                </c:pt>
                <c:pt idx="89">
                  <c:v>9.1468114513542069</c:v>
                </c:pt>
                <c:pt idx="90">
                  <c:v>7.7864350292280005</c:v>
                </c:pt>
                <c:pt idx="91">
                  <c:v>7.9343718916388735</c:v>
                </c:pt>
                <c:pt idx="92">
                  <c:v>7.7149263896444404</c:v>
                </c:pt>
                <c:pt idx="93">
                  <c:v>7.9763324521172976</c:v>
                </c:pt>
                <c:pt idx="94">
                  <c:v>8.4919570001363702</c:v>
                </c:pt>
                <c:pt idx="95">
                  <c:v>8.4997982506204011</c:v>
                </c:pt>
                <c:pt idx="96">
                  <c:v>8.9710611577794701</c:v>
                </c:pt>
                <c:pt idx="97">
                  <c:v>9.0474858950789496</c:v>
                </c:pt>
                <c:pt idx="98">
                  <c:v>9.1226393550163767</c:v>
                </c:pt>
                <c:pt idx="99">
                  <c:v>7.8366266609515538</c:v>
                </c:pt>
                <c:pt idx="100">
                  <c:v>7.7241990508681289</c:v>
                </c:pt>
                <c:pt idx="101">
                  <c:v>8.1028005911735477</c:v>
                </c:pt>
                <c:pt idx="102">
                  <c:v>8.1937539038101637</c:v>
                </c:pt>
                <c:pt idx="103">
                  <c:v>8.2811459596045722</c:v>
                </c:pt>
                <c:pt idx="104">
                  <c:v>8.8139232270656915</c:v>
                </c:pt>
                <c:pt idx="105">
                  <c:v>9.043152226819192</c:v>
                </c:pt>
                <c:pt idx="106">
                  <c:v>9.3582600483975362</c:v>
                </c:pt>
                <c:pt idx="107">
                  <c:v>9.4511884131479178</c:v>
                </c:pt>
                <c:pt idx="108">
                  <c:v>8.8354968520802135</c:v>
                </c:pt>
                <c:pt idx="109">
                  <c:v>9.0594784617254938</c:v>
                </c:pt>
                <c:pt idx="110">
                  <c:v>9.6437271362415533</c:v>
                </c:pt>
                <c:pt idx="111">
                  <c:v>9.4400860856963522</c:v>
                </c:pt>
                <c:pt idx="112">
                  <c:v>9.492215214820634</c:v>
                </c:pt>
                <c:pt idx="113">
                  <c:v>10.433294698956878</c:v>
                </c:pt>
                <c:pt idx="114">
                  <c:v>10.185460008611127</c:v>
                </c:pt>
                <c:pt idx="115">
                  <c:v>10.25486725663718</c:v>
                </c:pt>
                <c:pt idx="116">
                  <c:v>10.18907774491192</c:v>
                </c:pt>
              </c:numCache>
            </c:numRef>
          </c:xVal>
          <c:yVal>
            <c:numRef>
              <c:f>Sheet1!$B$2:$DN$2</c:f>
              <c:numCache>
                <c:formatCode>General</c:formatCode>
                <c:ptCount val="117"/>
                <c:pt idx="0">
                  <c:v>0.35443878928178812</c:v>
                </c:pt>
                <c:pt idx="1">
                  <c:v>0.34489388513587937</c:v>
                </c:pt>
                <c:pt idx="2">
                  <c:v>0.33533844899090198</c:v>
                </c:pt>
                <c:pt idx="3">
                  <c:v>0.32801277374188209</c:v>
                </c:pt>
                <c:pt idx="4">
                  <c:v>0.32314244478703763</c:v>
                </c:pt>
                <c:pt idx="5">
                  <c:v>0.31547566403452865</c:v>
                </c:pt>
                <c:pt idx="6">
                  <c:v>0.30840961076598877</c:v>
                </c:pt>
                <c:pt idx="7">
                  <c:v>0.30809860494476865</c:v>
                </c:pt>
                <c:pt idx="8">
                  <c:v>0.3117581321699508</c:v>
                </c:pt>
                <c:pt idx="9">
                  <c:v>0.30002735093174754</c:v>
                </c:pt>
                <c:pt idx="10">
                  <c:v>0.294910268666915</c:v>
                </c:pt>
                <c:pt idx="11">
                  <c:v>0.26436072844972364</c:v>
                </c:pt>
                <c:pt idx="12">
                  <c:v>0.25523688368077918</c:v>
                </c:pt>
                <c:pt idx="13">
                  <c:v>0.25471869964528421</c:v>
                </c:pt>
                <c:pt idx="14">
                  <c:v>0.27240154646381032</c:v>
                </c:pt>
                <c:pt idx="15">
                  <c:v>0.25383262444836374</c:v>
                </c:pt>
                <c:pt idx="16">
                  <c:v>0.25483082342997382</c:v>
                </c:pt>
                <c:pt idx="17">
                  <c:v>0.26889592253540856</c:v>
                </c:pt>
                <c:pt idx="18">
                  <c:v>0.31690215119933718</c:v>
                </c:pt>
                <c:pt idx="19">
                  <c:v>0.30154093510020652</c:v>
                </c:pt>
                <c:pt idx="20">
                  <c:v>0.30116057340074581</c:v>
                </c:pt>
                <c:pt idx="21">
                  <c:v>0.26129812769911415</c:v>
                </c:pt>
                <c:pt idx="22">
                  <c:v>0.2868387672309089</c:v>
                </c:pt>
                <c:pt idx="23">
                  <c:v>0.25904469962648746</c:v>
                </c:pt>
                <c:pt idx="24">
                  <c:v>0.24721918851880054</c:v>
                </c:pt>
                <c:pt idx="25">
                  <c:v>0.26247761450785745</c:v>
                </c:pt>
                <c:pt idx="26">
                  <c:v>0.2819408216006497</c:v>
                </c:pt>
                <c:pt idx="27">
                  <c:v>0.36284544030913707</c:v>
                </c:pt>
                <c:pt idx="28">
                  <c:v>0.3466645491644193</c:v>
                </c:pt>
                <c:pt idx="29">
                  <c:v>0.31734069059200332</c:v>
                </c:pt>
                <c:pt idx="30">
                  <c:v>0.32240925414756888</c:v>
                </c:pt>
                <c:pt idx="31">
                  <c:v>0.30861525507924964</c:v>
                </c:pt>
                <c:pt idx="32">
                  <c:v>0.29742426354457602</c:v>
                </c:pt>
                <c:pt idx="33">
                  <c:v>0.30398076423064946</c:v>
                </c:pt>
                <c:pt idx="34">
                  <c:v>0.27876480876292703</c:v>
                </c:pt>
                <c:pt idx="35">
                  <c:v>0.29284963589999558</c:v>
                </c:pt>
                <c:pt idx="36">
                  <c:v>0.36324155529618901</c:v>
                </c:pt>
                <c:pt idx="37">
                  <c:v>0.35154261650412322</c:v>
                </c:pt>
                <c:pt idx="38">
                  <c:v>0.35438921366407533</c:v>
                </c:pt>
                <c:pt idx="39">
                  <c:v>0.35210706355277621</c:v>
                </c:pt>
                <c:pt idx="40">
                  <c:v>0.3450815858242538</c:v>
                </c:pt>
                <c:pt idx="41">
                  <c:v>0.33776000444105592</c:v>
                </c:pt>
                <c:pt idx="42">
                  <c:v>0.32362173154686596</c:v>
                </c:pt>
                <c:pt idx="43">
                  <c:v>0.31091105336839703</c:v>
                </c:pt>
                <c:pt idx="44">
                  <c:v>0.33645567944155808</c:v>
                </c:pt>
                <c:pt idx="45">
                  <c:v>0.33047477478077675</c:v>
                </c:pt>
                <c:pt idx="46">
                  <c:v>0.31768361650499427</c:v>
                </c:pt>
                <c:pt idx="47">
                  <c:v>0.30861038638610794</c:v>
                </c:pt>
                <c:pt idx="48">
                  <c:v>0.30232582020639492</c:v>
                </c:pt>
                <c:pt idx="49">
                  <c:v>0.29680476327893118</c:v>
                </c:pt>
                <c:pt idx="50">
                  <c:v>0.29135182003057175</c:v>
                </c:pt>
                <c:pt idx="51">
                  <c:v>0.29151192484814847</c:v>
                </c:pt>
                <c:pt idx="52">
                  <c:v>0.29402251316731837</c:v>
                </c:pt>
                <c:pt idx="53">
                  <c:v>0.28287950341200685</c:v>
                </c:pt>
                <c:pt idx="54">
                  <c:v>0.37349165046761479</c:v>
                </c:pt>
                <c:pt idx="55">
                  <c:v>0.37179033981662157</c:v>
                </c:pt>
                <c:pt idx="56">
                  <c:v>0.35712835825605843</c:v>
                </c:pt>
                <c:pt idx="57">
                  <c:v>0.36606906402074602</c:v>
                </c:pt>
                <c:pt idx="58">
                  <c:v>0.36111455949299354</c:v>
                </c:pt>
                <c:pt idx="59">
                  <c:v>0.35150057790688022</c:v>
                </c:pt>
                <c:pt idx="60">
                  <c:v>0.33770472164219667</c:v>
                </c:pt>
                <c:pt idx="61">
                  <c:v>0.33827523850093449</c:v>
                </c:pt>
                <c:pt idx="62">
                  <c:v>0.34723241884975292</c:v>
                </c:pt>
                <c:pt idx="63">
                  <c:v>0.41884136420112539</c:v>
                </c:pt>
                <c:pt idx="64">
                  <c:v>0.3980028258810413</c:v>
                </c:pt>
                <c:pt idx="65">
                  <c:v>0.38510172850409302</c:v>
                </c:pt>
                <c:pt idx="66">
                  <c:v>0.3763213981849397</c:v>
                </c:pt>
                <c:pt idx="67">
                  <c:v>0.38016534199291724</c:v>
                </c:pt>
                <c:pt idx="68">
                  <c:v>0.3668401393872105</c:v>
                </c:pt>
                <c:pt idx="69">
                  <c:v>0.34933976969781277</c:v>
                </c:pt>
                <c:pt idx="70">
                  <c:v>0.35302660739461755</c:v>
                </c:pt>
                <c:pt idx="71">
                  <c:v>0.37603451529452508</c:v>
                </c:pt>
                <c:pt idx="72">
                  <c:v>0.37336184405424633</c:v>
                </c:pt>
                <c:pt idx="73">
                  <c:v>0.36759262505840984</c:v>
                </c:pt>
                <c:pt idx="74">
                  <c:v>0.36376111363965635</c:v>
                </c:pt>
                <c:pt idx="75">
                  <c:v>0.35489790139285055</c:v>
                </c:pt>
                <c:pt idx="76">
                  <c:v>0.34517658810088148</c:v>
                </c:pt>
                <c:pt idx="77">
                  <c:v>0.34411908912034744</c:v>
                </c:pt>
                <c:pt idx="78">
                  <c:v>0.33590708678170761</c:v>
                </c:pt>
                <c:pt idx="79">
                  <c:v>0.32778821985892492</c:v>
                </c:pt>
                <c:pt idx="80">
                  <c:v>0.33171268835216927</c:v>
                </c:pt>
                <c:pt idx="81">
                  <c:v>0.4043665963507887</c:v>
                </c:pt>
                <c:pt idx="82">
                  <c:v>0.38164749719713242</c:v>
                </c:pt>
                <c:pt idx="83">
                  <c:v>0.36906532209463622</c:v>
                </c:pt>
                <c:pt idx="84">
                  <c:v>0.38673574393526911</c:v>
                </c:pt>
                <c:pt idx="85">
                  <c:v>0.37350593511093982</c:v>
                </c:pt>
                <c:pt idx="86">
                  <c:v>0.37315490482845592</c:v>
                </c:pt>
                <c:pt idx="87">
                  <c:v>0.36523474176323695</c:v>
                </c:pt>
                <c:pt idx="88">
                  <c:v>0.34755524619761469</c:v>
                </c:pt>
                <c:pt idx="89">
                  <c:v>0.36950646984591773</c:v>
                </c:pt>
                <c:pt idx="90">
                  <c:v>0.38728201973177545</c:v>
                </c:pt>
                <c:pt idx="91">
                  <c:v>0.38600973354797879</c:v>
                </c:pt>
                <c:pt idx="92">
                  <c:v>0.38644163526005409</c:v>
                </c:pt>
                <c:pt idx="93">
                  <c:v>0.37833807622918725</c:v>
                </c:pt>
                <c:pt idx="94">
                  <c:v>0.36832950788495028</c:v>
                </c:pt>
                <c:pt idx="95">
                  <c:v>0.3643762412968683</c:v>
                </c:pt>
                <c:pt idx="96">
                  <c:v>0.34919164523059265</c:v>
                </c:pt>
                <c:pt idx="97">
                  <c:v>0.34690875749439776</c:v>
                </c:pt>
                <c:pt idx="98">
                  <c:v>0.36180185559736805</c:v>
                </c:pt>
                <c:pt idx="99">
                  <c:v>0.36861260513369376</c:v>
                </c:pt>
                <c:pt idx="100">
                  <c:v>0.36930178671231284</c:v>
                </c:pt>
                <c:pt idx="101">
                  <c:v>0.3505008070039185</c:v>
                </c:pt>
                <c:pt idx="102">
                  <c:v>0.37640020195927726</c:v>
                </c:pt>
                <c:pt idx="103">
                  <c:v>0.3728550787273201</c:v>
                </c:pt>
                <c:pt idx="104">
                  <c:v>0.36278891775413302</c:v>
                </c:pt>
                <c:pt idx="105">
                  <c:v>0.37488462083212654</c:v>
                </c:pt>
                <c:pt idx="106">
                  <c:v>0.33038498775294445</c:v>
                </c:pt>
                <c:pt idx="107">
                  <c:v>0.34512213382480977</c:v>
                </c:pt>
                <c:pt idx="108">
                  <c:v>0.34298187765783239</c:v>
                </c:pt>
                <c:pt idx="109">
                  <c:v>0.32370968404273159</c:v>
                </c:pt>
                <c:pt idx="110">
                  <c:v>0.29610372234163745</c:v>
                </c:pt>
                <c:pt idx="111">
                  <c:v>0.30840203228069285</c:v>
                </c:pt>
                <c:pt idx="112">
                  <c:v>0.30609593127968648</c:v>
                </c:pt>
                <c:pt idx="113">
                  <c:v>0.2817665067621784</c:v>
                </c:pt>
                <c:pt idx="114">
                  <c:v>0.27772530760869607</c:v>
                </c:pt>
                <c:pt idx="115">
                  <c:v>0.29278521159769622</c:v>
                </c:pt>
                <c:pt idx="116">
                  <c:v>0.30384742859940167</c:v>
                </c:pt>
              </c:numCache>
            </c:numRef>
          </c:yVal>
          <c:smooth val="0"/>
        </c:ser>
        <c:dLbls>
          <c:showLegendKey val="0"/>
          <c:showVal val="0"/>
          <c:showCatName val="0"/>
          <c:showSerName val="0"/>
          <c:showPercent val="0"/>
          <c:showBubbleSize val="0"/>
        </c:dLbls>
        <c:axId val="234377600"/>
        <c:axId val="234379520"/>
      </c:scatterChart>
      <c:valAx>
        <c:axId val="234377600"/>
        <c:scaling>
          <c:orientation val="minMax"/>
          <c:max val="12"/>
          <c:min val="6"/>
        </c:scaling>
        <c:delete val="0"/>
        <c:axPos val="b"/>
        <c:title>
          <c:tx>
            <c:rich>
              <a:bodyPr/>
              <a:lstStyle/>
              <a:p>
                <a:pPr>
                  <a:defRPr b="0"/>
                </a:pPr>
                <a:r>
                  <a:rPr lang="en-US" b="0"/>
                  <a:t>Average Years of Schooling</a:t>
                </a:r>
              </a:p>
            </c:rich>
          </c:tx>
          <c:overlay val="0"/>
        </c:title>
        <c:numFmt formatCode="General" sourceLinked="1"/>
        <c:majorTickMark val="out"/>
        <c:minorTickMark val="none"/>
        <c:tickLblPos val="nextTo"/>
        <c:crossAx val="234379520"/>
        <c:crosses val="autoZero"/>
        <c:crossBetween val="midCat"/>
      </c:valAx>
      <c:valAx>
        <c:axId val="234379520"/>
        <c:scaling>
          <c:orientation val="minMax"/>
        </c:scaling>
        <c:delete val="0"/>
        <c:axPos val="l"/>
        <c:majorGridlines/>
        <c:title>
          <c:tx>
            <c:rich>
              <a:bodyPr rot="-5400000" vert="horz"/>
              <a:lstStyle/>
              <a:p>
                <a:pPr>
                  <a:defRPr b="0"/>
                </a:pPr>
                <a:r>
                  <a:rPr lang="en-US" b="0"/>
                  <a:t>Human Capital </a:t>
                </a:r>
                <a:r>
                  <a:rPr lang="en-US" sz="1000" b="0" i="0" u="none" strike="noStrike" kern="1200" baseline="0">
                    <a:solidFill>
                      <a:sysClr val="windowText" lastClr="000000"/>
                    </a:solidFill>
                    <a:latin typeface="Times New Roman" pitchFamily="18" charset="0"/>
                    <a:ea typeface="+mn-ea"/>
                    <a:cs typeface="Times New Roman" pitchFamily="18" charset="0"/>
                  </a:rPr>
                  <a:t>Gini</a:t>
                </a:r>
                <a:endParaRPr lang="en-US" b="0"/>
              </a:p>
            </c:rich>
          </c:tx>
          <c:layout>
            <c:manualLayout>
              <c:xMode val="edge"/>
              <c:yMode val="edge"/>
              <c:x val="2.4985803520726858E-2"/>
              <c:y val="0.14799311376400531"/>
            </c:manualLayout>
          </c:layout>
          <c:overlay val="0"/>
        </c:title>
        <c:numFmt formatCode="General" sourceLinked="1"/>
        <c:majorTickMark val="out"/>
        <c:minorTickMark val="none"/>
        <c:tickLblPos val="nextTo"/>
        <c:crossAx val="234377600"/>
        <c:crosses val="autoZero"/>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'grafieken gini h6'!$C$1</c:f>
              <c:strCache>
                <c:ptCount val="1"/>
                <c:pt idx="0">
                  <c:v>GINI-TOT</c:v>
                </c:pt>
              </c:strCache>
            </c:strRef>
          </c:tx>
          <c:spPr>
            <a:ln w="28575">
              <a:noFill/>
            </a:ln>
          </c:spPr>
          <c:xVal>
            <c:numRef>
              <c:f>'grafieken gini h6'!$A$2:$A$146</c:f>
              <c:numCache>
                <c:formatCode>General</c:formatCode>
                <c:ptCount val="145"/>
                <c:pt idx="0">
                  <c:v>1990</c:v>
                </c:pt>
                <c:pt idx="1">
                  <c:v>1992</c:v>
                </c:pt>
                <c:pt idx="2">
                  <c:v>1994</c:v>
                </c:pt>
                <c:pt idx="3">
                  <c:v>1996</c:v>
                </c:pt>
                <c:pt idx="4">
                  <c:v>1998</c:v>
                </c:pt>
                <c:pt idx="5">
                  <c:v>2000</c:v>
                </c:pt>
                <c:pt idx="6">
                  <c:v>2003</c:v>
                </c:pt>
                <c:pt idx="7">
                  <c:v>2006</c:v>
                </c:pt>
                <c:pt idx="8">
                  <c:v>2009</c:v>
                </c:pt>
                <c:pt idx="9">
                  <c:v>1990</c:v>
                </c:pt>
                <c:pt idx="10">
                  <c:v>1992</c:v>
                </c:pt>
                <c:pt idx="11">
                  <c:v>1994</c:v>
                </c:pt>
                <c:pt idx="12">
                  <c:v>1996</c:v>
                </c:pt>
                <c:pt idx="13">
                  <c:v>1998</c:v>
                </c:pt>
                <c:pt idx="14">
                  <c:v>2000</c:v>
                </c:pt>
                <c:pt idx="15">
                  <c:v>2003</c:v>
                </c:pt>
                <c:pt idx="16">
                  <c:v>2006</c:v>
                </c:pt>
                <c:pt idx="17">
                  <c:v>2009</c:v>
                </c:pt>
                <c:pt idx="18">
                  <c:v>1990</c:v>
                </c:pt>
                <c:pt idx="19">
                  <c:v>1992</c:v>
                </c:pt>
                <c:pt idx="20">
                  <c:v>1994</c:v>
                </c:pt>
                <c:pt idx="21">
                  <c:v>1996</c:v>
                </c:pt>
                <c:pt idx="22">
                  <c:v>1998</c:v>
                </c:pt>
                <c:pt idx="23">
                  <c:v>2000</c:v>
                </c:pt>
                <c:pt idx="24">
                  <c:v>2003</c:v>
                </c:pt>
                <c:pt idx="25">
                  <c:v>2006</c:v>
                </c:pt>
                <c:pt idx="26">
                  <c:v>2009</c:v>
                </c:pt>
                <c:pt idx="27">
                  <c:v>1990</c:v>
                </c:pt>
                <c:pt idx="28">
                  <c:v>1992</c:v>
                </c:pt>
                <c:pt idx="29">
                  <c:v>1994</c:v>
                </c:pt>
                <c:pt idx="30">
                  <c:v>1996</c:v>
                </c:pt>
                <c:pt idx="31">
                  <c:v>1998</c:v>
                </c:pt>
                <c:pt idx="32">
                  <c:v>2000</c:v>
                </c:pt>
                <c:pt idx="33">
                  <c:v>2003</c:v>
                </c:pt>
                <c:pt idx="34">
                  <c:v>2006</c:v>
                </c:pt>
                <c:pt idx="35">
                  <c:v>2009</c:v>
                </c:pt>
                <c:pt idx="36">
                  <c:v>1990</c:v>
                </c:pt>
                <c:pt idx="37">
                  <c:v>1992</c:v>
                </c:pt>
                <c:pt idx="38">
                  <c:v>1994</c:v>
                </c:pt>
                <c:pt idx="39">
                  <c:v>1996</c:v>
                </c:pt>
                <c:pt idx="40">
                  <c:v>1998</c:v>
                </c:pt>
                <c:pt idx="41">
                  <c:v>2000</c:v>
                </c:pt>
                <c:pt idx="42">
                  <c:v>2003</c:v>
                </c:pt>
                <c:pt idx="43">
                  <c:v>2006</c:v>
                </c:pt>
                <c:pt idx="44">
                  <c:v>2009</c:v>
                </c:pt>
                <c:pt idx="45">
                  <c:v>1990</c:v>
                </c:pt>
                <c:pt idx="46">
                  <c:v>1992</c:v>
                </c:pt>
                <c:pt idx="47">
                  <c:v>1994</c:v>
                </c:pt>
                <c:pt idx="48">
                  <c:v>1996</c:v>
                </c:pt>
                <c:pt idx="49">
                  <c:v>1998</c:v>
                </c:pt>
                <c:pt idx="50">
                  <c:v>2000</c:v>
                </c:pt>
                <c:pt idx="51">
                  <c:v>2003</c:v>
                </c:pt>
                <c:pt idx="52">
                  <c:v>2006</c:v>
                </c:pt>
                <c:pt idx="53">
                  <c:v>2009</c:v>
                </c:pt>
                <c:pt idx="54">
                  <c:v>1990</c:v>
                </c:pt>
                <c:pt idx="55">
                  <c:v>1992</c:v>
                </c:pt>
                <c:pt idx="56">
                  <c:v>1994</c:v>
                </c:pt>
                <c:pt idx="57">
                  <c:v>1996</c:v>
                </c:pt>
                <c:pt idx="58">
                  <c:v>1998</c:v>
                </c:pt>
                <c:pt idx="59">
                  <c:v>2000</c:v>
                </c:pt>
                <c:pt idx="60">
                  <c:v>2003</c:v>
                </c:pt>
                <c:pt idx="61">
                  <c:v>2006</c:v>
                </c:pt>
                <c:pt idx="62">
                  <c:v>2009</c:v>
                </c:pt>
                <c:pt idx="63">
                  <c:v>1990</c:v>
                </c:pt>
                <c:pt idx="64">
                  <c:v>1992</c:v>
                </c:pt>
                <c:pt idx="65">
                  <c:v>1994</c:v>
                </c:pt>
                <c:pt idx="66">
                  <c:v>1996</c:v>
                </c:pt>
                <c:pt idx="67">
                  <c:v>1998</c:v>
                </c:pt>
                <c:pt idx="68">
                  <c:v>2000</c:v>
                </c:pt>
                <c:pt idx="69">
                  <c:v>2003</c:v>
                </c:pt>
                <c:pt idx="70">
                  <c:v>2006</c:v>
                </c:pt>
                <c:pt idx="71">
                  <c:v>2009</c:v>
                </c:pt>
                <c:pt idx="72">
                  <c:v>1990</c:v>
                </c:pt>
                <c:pt idx="73">
                  <c:v>1992</c:v>
                </c:pt>
                <c:pt idx="74">
                  <c:v>1994</c:v>
                </c:pt>
                <c:pt idx="75">
                  <c:v>1996</c:v>
                </c:pt>
                <c:pt idx="76">
                  <c:v>1998</c:v>
                </c:pt>
                <c:pt idx="77">
                  <c:v>2000</c:v>
                </c:pt>
                <c:pt idx="78">
                  <c:v>2003</c:v>
                </c:pt>
                <c:pt idx="79">
                  <c:v>2006</c:v>
                </c:pt>
                <c:pt idx="80">
                  <c:v>2009</c:v>
                </c:pt>
                <c:pt idx="81">
                  <c:v>1990</c:v>
                </c:pt>
                <c:pt idx="82">
                  <c:v>1992</c:v>
                </c:pt>
                <c:pt idx="83">
                  <c:v>1994</c:v>
                </c:pt>
                <c:pt idx="84">
                  <c:v>1996</c:v>
                </c:pt>
                <c:pt idx="85">
                  <c:v>1998</c:v>
                </c:pt>
                <c:pt idx="86">
                  <c:v>2000</c:v>
                </c:pt>
                <c:pt idx="87">
                  <c:v>2003</c:v>
                </c:pt>
                <c:pt idx="88">
                  <c:v>2006</c:v>
                </c:pt>
                <c:pt idx="89">
                  <c:v>2009</c:v>
                </c:pt>
                <c:pt idx="90">
                  <c:v>1990</c:v>
                </c:pt>
                <c:pt idx="91">
                  <c:v>1992</c:v>
                </c:pt>
                <c:pt idx="92">
                  <c:v>1994</c:v>
                </c:pt>
                <c:pt idx="93">
                  <c:v>1996</c:v>
                </c:pt>
                <c:pt idx="94">
                  <c:v>1998</c:v>
                </c:pt>
                <c:pt idx="95">
                  <c:v>2000</c:v>
                </c:pt>
                <c:pt idx="96">
                  <c:v>2003</c:v>
                </c:pt>
                <c:pt idx="97">
                  <c:v>2006</c:v>
                </c:pt>
                <c:pt idx="98">
                  <c:v>2009</c:v>
                </c:pt>
                <c:pt idx="99">
                  <c:v>1990</c:v>
                </c:pt>
                <c:pt idx="100">
                  <c:v>1992</c:v>
                </c:pt>
                <c:pt idx="101">
                  <c:v>1994</c:v>
                </c:pt>
                <c:pt idx="102">
                  <c:v>1996</c:v>
                </c:pt>
                <c:pt idx="103">
                  <c:v>1998</c:v>
                </c:pt>
                <c:pt idx="104">
                  <c:v>2000</c:v>
                </c:pt>
                <c:pt idx="105">
                  <c:v>2003</c:v>
                </c:pt>
                <c:pt idx="106">
                  <c:v>2006</c:v>
                </c:pt>
                <c:pt idx="107">
                  <c:v>2009</c:v>
                </c:pt>
                <c:pt idx="108">
                  <c:v>1990</c:v>
                </c:pt>
                <c:pt idx="109">
                  <c:v>1992</c:v>
                </c:pt>
                <c:pt idx="110">
                  <c:v>1994</c:v>
                </c:pt>
                <c:pt idx="111">
                  <c:v>1996</c:v>
                </c:pt>
                <c:pt idx="112">
                  <c:v>1998</c:v>
                </c:pt>
                <c:pt idx="113">
                  <c:v>2000</c:v>
                </c:pt>
                <c:pt idx="114">
                  <c:v>2003</c:v>
                </c:pt>
                <c:pt idx="115">
                  <c:v>2006</c:v>
                </c:pt>
                <c:pt idx="116">
                  <c:v>2009</c:v>
                </c:pt>
              </c:numCache>
            </c:numRef>
          </c:xVal>
          <c:yVal>
            <c:numRef>
              <c:f>'grafieken gini h6'!$C$2:$C$146</c:f>
              <c:numCache>
                <c:formatCode>General</c:formatCode>
                <c:ptCount val="145"/>
                <c:pt idx="0">
                  <c:v>0.52519462999264799</c:v>
                </c:pt>
                <c:pt idx="1">
                  <c:v>0.50413758769340977</c:v>
                </c:pt>
                <c:pt idx="2">
                  <c:v>0.4638445131548723</c:v>
                </c:pt>
                <c:pt idx="3">
                  <c:v>0.47563446723293457</c:v>
                </c:pt>
                <c:pt idx="4">
                  <c:v>0.45940050177798075</c:v>
                </c:pt>
                <c:pt idx="5">
                  <c:v>0.48426718294042204</c:v>
                </c:pt>
                <c:pt idx="6">
                  <c:v>0.459411739652554</c:v>
                </c:pt>
                <c:pt idx="7">
                  <c:v>0.40689118224137155</c:v>
                </c:pt>
                <c:pt idx="8">
                  <c:v>0.40263391534737925</c:v>
                </c:pt>
                <c:pt idx="9">
                  <c:v>0.49814020182783603</c:v>
                </c:pt>
                <c:pt idx="10">
                  <c:v>0.41878049847622711</c:v>
                </c:pt>
                <c:pt idx="11">
                  <c:v>0.47822788434473185</c:v>
                </c:pt>
                <c:pt idx="12">
                  <c:v>0.46433374994196697</c:v>
                </c:pt>
                <c:pt idx="13">
                  <c:v>0.46984035678009461</c:v>
                </c:pt>
                <c:pt idx="14">
                  <c:v>0.48199656317175676</c:v>
                </c:pt>
                <c:pt idx="15">
                  <c:v>0.40902364133600344</c:v>
                </c:pt>
                <c:pt idx="16">
                  <c:v>0.42475955160105416</c:v>
                </c:pt>
                <c:pt idx="17">
                  <c:v>0.36774454627883213</c:v>
                </c:pt>
                <c:pt idx="18">
                  <c:v>0.51168670695919127</c:v>
                </c:pt>
                <c:pt idx="19">
                  <c:v>0.47632257557006208</c:v>
                </c:pt>
                <c:pt idx="20">
                  <c:v>0.42669308372140213</c:v>
                </c:pt>
                <c:pt idx="21">
                  <c:v>0.57893678135196536</c:v>
                </c:pt>
                <c:pt idx="22">
                  <c:v>0.44716907780799631</c:v>
                </c:pt>
                <c:pt idx="23">
                  <c:v>0.43711465350982182</c:v>
                </c:pt>
                <c:pt idx="24">
                  <c:v>0.43342691679713308</c:v>
                </c:pt>
                <c:pt idx="25">
                  <c:v>0.42808959614427966</c:v>
                </c:pt>
                <c:pt idx="26">
                  <c:v>0.41236124826250498</c:v>
                </c:pt>
                <c:pt idx="27">
                  <c:v>0.51037891703454841</c:v>
                </c:pt>
                <c:pt idx="28">
                  <c:v>0.46079073279740457</c:v>
                </c:pt>
                <c:pt idx="29">
                  <c:v>0.46633338316214556</c:v>
                </c:pt>
                <c:pt idx="30">
                  <c:v>0.49584079769834033</c:v>
                </c:pt>
                <c:pt idx="31">
                  <c:v>0.49928859096010725</c:v>
                </c:pt>
                <c:pt idx="32">
                  <c:v>0.49704883419988632</c:v>
                </c:pt>
                <c:pt idx="33">
                  <c:v>0.53162800762732532</c:v>
                </c:pt>
                <c:pt idx="34">
                  <c:v>0.46222006530034587</c:v>
                </c:pt>
                <c:pt idx="35">
                  <c:v>0.43078140806079523</c:v>
                </c:pt>
                <c:pt idx="36">
                  <c:v>0.50569205415343443</c:v>
                </c:pt>
                <c:pt idx="37">
                  <c:v>0.50732725182052985</c:v>
                </c:pt>
                <c:pt idx="38">
                  <c:v>0.4530665685709816</c:v>
                </c:pt>
                <c:pt idx="39">
                  <c:v>0.46552186476921031</c:v>
                </c:pt>
                <c:pt idx="40">
                  <c:v>0.48502397505656658</c:v>
                </c:pt>
                <c:pt idx="41">
                  <c:v>0.46747892286847426</c:v>
                </c:pt>
                <c:pt idx="42">
                  <c:v>0.43402429613419935</c:v>
                </c:pt>
                <c:pt idx="43">
                  <c:v>0.45228433170476645</c:v>
                </c:pt>
                <c:pt idx="44">
                  <c:v>0.45054542802269348</c:v>
                </c:pt>
                <c:pt idx="45">
                  <c:v>0.48738887191742009</c:v>
                </c:pt>
                <c:pt idx="46">
                  <c:v>0.50190947358875926</c:v>
                </c:pt>
                <c:pt idx="47">
                  <c:v>0.48399302075399653</c:v>
                </c:pt>
                <c:pt idx="48">
                  <c:v>0.48686737024318993</c:v>
                </c:pt>
                <c:pt idx="49">
                  <c:v>0.49365635579314115</c:v>
                </c:pt>
                <c:pt idx="50">
                  <c:v>0.46453677037302021</c:v>
                </c:pt>
                <c:pt idx="51">
                  <c:v>0.43917778915636407</c:v>
                </c:pt>
                <c:pt idx="52">
                  <c:v>0.44012698522592753</c:v>
                </c:pt>
                <c:pt idx="53">
                  <c:v>0.42518523767899452</c:v>
                </c:pt>
                <c:pt idx="54">
                  <c:v>0.57040259884981115</c:v>
                </c:pt>
                <c:pt idx="55">
                  <c:v>0.52356328150001041</c:v>
                </c:pt>
                <c:pt idx="56">
                  <c:v>0.51298730789489355</c:v>
                </c:pt>
                <c:pt idx="57">
                  <c:v>0.51345195386204012</c:v>
                </c:pt>
                <c:pt idx="58">
                  <c:v>0.49413366045028273</c:v>
                </c:pt>
                <c:pt idx="59">
                  <c:v>0.53826589053178631</c:v>
                </c:pt>
                <c:pt idx="60">
                  <c:v>0.49040184985035817</c:v>
                </c:pt>
                <c:pt idx="61">
                  <c:v>0.4668508179599099</c:v>
                </c:pt>
                <c:pt idx="62">
                  <c:v>0.48023107022285982</c:v>
                </c:pt>
                <c:pt idx="63">
                  <c:v>0.54407913897387861</c:v>
                </c:pt>
                <c:pt idx="64">
                  <c:v>0.50194492584213779</c:v>
                </c:pt>
                <c:pt idx="65">
                  <c:v>0.50380146691180028</c:v>
                </c:pt>
                <c:pt idx="66">
                  <c:v>0.5539350920861279</c:v>
                </c:pt>
                <c:pt idx="67">
                  <c:v>0.55304578331957144</c:v>
                </c:pt>
                <c:pt idx="68">
                  <c:v>0.56014839658402527</c:v>
                </c:pt>
                <c:pt idx="69">
                  <c:v>0.51650023081267582</c:v>
                </c:pt>
                <c:pt idx="70">
                  <c:v>0.48365806160729752</c:v>
                </c:pt>
                <c:pt idx="71">
                  <c:v>0.45357341830650511</c:v>
                </c:pt>
                <c:pt idx="72">
                  <c:v>0.55658074016769354</c:v>
                </c:pt>
                <c:pt idx="73">
                  <c:v>0.44657722579209658</c:v>
                </c:pt>
                <c:pt idx="74">
                  <c:v>0.55381738500218225</c:v>
                </c:pt>
                <c:pt idx="75">
                  <c:v>0.51973816395762085</c:v>
                </c:pt>
                <c:pt idx="76">
                  <c:v>0.56471459596351803</c:v>
                </c:pt>
                <c:pt idx="77">
                  <c:v>0.56861442830050313</c:v>
                </c:pt>
                <c:pt idx="78">
                  <c:v>0.56419203787310679</c:v>
                </c:pt>
                <c:pt idx="79">
                  <c:v>0.49011464647153169</c:v>
                </c:pt>
                <c:pt idx="80">
                  <c:v>0.50052633634857924</c:v>
                </c:pt>
                <c:pt idx="81">
                  <c:v>0.55012225863602293</c:v>
                </c:pt>
                <c:pt idx="82">
                  <c:v>0.50056772699597274</c:v>
                </c:pt>
                <c:pt idx="83">
                  <c:v>0.52467014828269809</c:v>
                </c:pt>
                <c:pt idx="84">
                  <c:v>0.51137673592522903</c:v>
                </c:pt>
                <c:pt idx="85">
                  <c:v>0.50128692525657403</c:v>
                </c:pt>
                <c:pt idx="86">
                  <c:v>0.48755521157660464</c:v>
                </c:pt>
                <c:pt idx="87">
                  <c:v>0.50287852341737938</c:v>
                </c:pt>
                <c:pt idx="88">
                  <c:v>0.46630556690837222</c:v>
                </c:pt>
                <c:pt idx="89">
                  <c:v>0.44483388403493718</c:v>
                </c:pt>
                <c:pt idx="90">
                  <c:v>0.4762119699054046</c:v>
                </c:pt>
                <c:pt idx="91">
                  <c:v>0.47641691615961279</c:v>
                </c:pt>
                <c:pt idx="92">
                  <c:v>0.47928919087487332</c:v>
                </c:pt>
                <c:pt idx="93">
                  <c:v>0.46204150567488955</c:v>
                </c:pt>
                <c:pt idx="94">
                  <c:v>0.58791983181604057</c:v>
                </c:pt>
                <c:pt idx="95">
                  <c:v>0.48986632283043596</c:v>
                </c:pt>
                <c:pt idx="96">
                  <c:v>0.51493639637285171</c:v>
                </c:pt>
                <c:pt idx="97">
                  <c:v>0.40805759580881351</c:v>
                </c:pt>
                <c:pt idx="98">
                  <c:v>0.46899999999999997</c:v>
                </c:pt>
                <c:pt idx="99">
                  <c:v>0.49008030870882013</c:v>
                </c:pt>
                <c:pt idx="100">
                  <c:v>0.48500615743575992</c:v>
                </c:pt>
                <c:pt idx="101">
                  <c:v>0.39989142858915383</c:v>
                </c:pt>
                <c:pt idx="102">
                  <c:v>0.47024771971284718</c:v>
                </c:pt>
                <c:pt idx="103">
                  <c:v>0.50257286299229831</c:v>
                </c:pt>
                <c:pt idx="104">
                  <c:v>0.5441814748396957</c:v>
                </c:pt>
                <c:pt idx="105">
                  <c:v>0.47400269436739151</c:v>
                </c:pt>
                <c:pt idx="106">
                  <c:v>0.44095858398988608</c:v>
                </c:pt>
                <c:pt idx="107">
                  <c:v>0.42444196900779341</c:v>
                </c:pt>
                <c:pt idx="108">
                  <c:v>0.53443966979411828</c:v>
                </c:pt>
                <c:pt idx="109">
                  <c:v>0.55755182722609054</c:v>
                </c:pt>
                <c:pt idx="110">
                  <c:v>0.55767459229978966</c:v>
                </c:pt>
                <c:pt idx="111">
                  <c:v>0.55866753862375029</c:v>
                </c:pt>
                <c:pt idx="112">
                  <c:v>0.54890833922176974</c:v>
                </c:pt>
                <c:pt idx="113">
                  <c:v>0.55658988183924629</c:v>
                </c:pt>
                <c:pt idx="114">
                  <c:v>0.56761783459325521</c:v>
                </c:pt>
                <c:pt idx="115">
                  <c:v>0.52004679198326187</c:v>
                </c:pt>
                <c:pt idx="116">
                  <c:v>0.52849501629256102</c:v>
                </c:pt>
              </c:numCache>
            </c:numRef>
          </c:yVal>
          <c:smooth val="0"/>
        </c:ser>
        <c:dLbls>
          <c:showLegendKey val="0"/>
          <c:showVal val="0"/>
          <c:showCatName val="0"/>
          <c:showSerName val="0"/>
          <c:showPercent val="0"/>
          <c:showBubbleSize val="0"/>
        </c:dLbls>
        <c:axId val="234395520"/>
        <c:axId val="234397056"/>
      </c:scatterChart>
      <c:valAx>
        <c:axId val="234395520"/>
        <c:scaling>
          <c:orientation val="minMax"/>
          <c:max val="2009"/>
          <c:min val="1989"/>
        </c:scaling>
        <c:delete val="0"/>
        <c:axPos val="b"/>
        <c:numFmt formatCode="General" sourceLinked="1"/>
        <c:majorTickMark val="out"/>
        <c:minorTickMark val="none"/>
        <c:tickLblPos val="nextTo"/>
        <c:crossAx val="234397056"/>
        <c:crosses val="autoZero"/>
        <c:crossBetween val="midCat"/>
        <c:minorUnit val="1"/>
      </c:valAx>
      <c:valAx>
        <c:axId val="234397056"/>
        <c:scaling>
          <c:orientation val="minMax"/>
          <c:max val="0.60000000000000009"/>
          <c:min val="0.30000000000000004"/>
        </c:scaling>
        <c:delete val="0"/>
        <c:axPos val="l"/>
        <c:majorGridlines/>
        <c:title>
          <c:tx>
            <c:rich>
              <a:bodyPr rot="-5400000" vert="horz"/>
              <a:lstStyle/>
              <a:p>
                <a:pPr>
                  <a:defRPr b="0"/>
                </a:pPr>
                <a:r>
                  <a:rPr lang="en-US" b="0"/>
                  <a:t>Regional </a:t>
                </a:r>
                <a:r>
                  <a:rPr lang="en-US" sz="1000" b="0" i="0" u="none" strike="noStrike" kern="1200" baseline="0">
                    <a:solidFill>
                      <a:sysClr val="windowText" lastClr="000000"/>
                    </a:solidFill>
                    <a:latin typeface="Times New Roman" pitchFamily="18" charset="0"/>
                    <a:ea typeface="+mn-ea"/>
                    <a:cs typeface="Times New Roman" pitchFamily="18" charset="0"/>
                  </a:rPr>
                  <a:t>Gini</a:t>
                </a:r>
                <a:r>
                  <a:rPr lang="en-US" b="0"/>
                  <a:t>-coefficient</a:t>
                </a:r>
              </a:p>
            </c:rich>
          </c:tx>
          <c:overlay val="0"/>
        </c:title>
        <c:numFmt formatCode="General" sourceLinked="1"/>
        <c:majorTickMark val="out"/>
        <c:minorTickMark val="none"/>
        <c:tickLblPos val="nextTo"/>
        <c:crossAx val="234395520"/>
        <c:crossesAt val="1989"/>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'grafieken gini h6'!$AL$1</c:f>
              <c:strCache>
                <c:ptCount val="1"/>
                <c:pt idx="0">
                  <c:v>LN(GDPPC)</c:v>
                </c:pt>
              </c:strCache>
            </c:strRef>
          </c:tx>
          <c:spPr>
            <a:ln w="28575">
              <a:noFill/>
            </a:ln>
          </c:spPr>
          <c:xVal>
            <c:numRef>
              <c:f>'grafieken gini h6'!$A$2:$A$118</c:f>
              <c:numCache>
                <c:formatCode>General</c:formatCode>
                <c:ptCount val="117"/>
                <c:pt idx="0">
                  <c:v>1990</c:v>
                </c:pt>
                <c:pt idx="1">
                  <c:v>1992</c:v>
                </c:pt>
                <c:pt idx="2">
                  <c:v>1994</c:v>
                </c:pt>
                <c:pt idx="3">
                  <c:v>1996</c:v>
                </c:pt>
                <c:pt idx="4">
                  <c:v>1998</c:v>
                </c:pt>
                <c:pt idx="5">
                  <c:v>2000</c:v>
                </c:pt>
                <c:pt idx="6">
                  <c:v>2003</c:v>
                </c:pt>
                <c:pt idx="7">
                  <c:v>2006</c:v>
                </c:pt>
                <c:pt idx="8">
                  <c:v>2009</c:v>
                </c:pt>
                <c:pt idx="9">
                  <c:v>1990</c:v>
                </c:pt>
                <c:pt idx="10">
                  <c:v>1992</c:v>
                </c:pt>
                <c:pt idx="11">
                  <c:v>1994</c:v>
                </c:pt>
                <c:pt idx="12">
                  <c:v>1996</c:v>
                </c:pt>
                <c:pt idx="13">
                  <c:v>1998</c:v>
                </c:pt>
                <c:pt idx="14">
                  <c:v>2000</c:v>
                </c:pt>
                <c:pt idx="15">
                  <c:v>2003</c:v>
                </c:pt>
                <c:pt idx="16">
                  <c:v>2006</c:v>
                </c:pt>
                <c:pt idx="17">
                  <c:v>2009</c:v>
                </c:pt>
                <c:pt idx="18">
                  <c:v>1990</c:v>
                </c:pt>
                <c:pt idx="19">
                  <c:v>1992</c:v>
                </c:pt>
                <c:pt idx="20">
                  <c:v>1994</c:v>
                </c:pt>
                <c:pt idx="21">
                  <c:v>1996</c:v>
                </c:pt>
                <c:pt idx="22">
                  <c:v>1998</c:v>
                </c:pt>
                <c:pt idx="23">
                  <c:v>2000</c:v>
                </c:pt>
                <c:pt idx="24">
                  <c:v>2003</c:v>
                </c:pt>
                <c:pt idx="25">
                  <c:v>2006</c:v>
                </c:pt>
                <c:pt idx="26">
                  <c:v>2009</c:v>
                </c:pt>
                <c:pt idx="27">
                  <c:v>1990</c:v>
                </c:pt>
                <c:pt idx="28">
                  <c:v>1992</c:v>
                </c:pt>
                <c:pt idx="29">
                  <c:v>1994</c:v>
                </c:pt>
                <c:pt idx="30">
                  <c:v>1996</c:v>
                </c:pt>
                <c:pt idx="31">
                  <c:v>1998</c:v>
                </c:pt>
                <c:pt idx="32">
                  <c:v>2000</c:v>
                </c:pt>
                <c:pt idx="33">
                  <c:v>2003</c:v>
                </c:pt>
                <c:pt idx="34">
                  <c:v>2006</c:v>
                </c:pt>
                <c:pt idx="35">
                  <c:v>2009</c:v>
                </c:pt>
                <c:pt idx="36">
                  <c:v>1990</c:v>
                </c:pt>
                <c:pt idx="37">
                  <c:v>1992</c:v>
                </c:pt>
                <c:pt idx="38">
                  <c:v>1994</c:v>
                </c:pt>
                <c:pt idx="39">
                  <c:v>1996</c:v>
                </c:pt>
                <c:pt idx="40">
                  <c:v>1998</c:v>
                </c:pt>
                <c:pt idx="41">
                  <c:v>2000</c:v>
                </c:pt>
                <c:pt idx="42">
                  <c:v>2003</c:v>
                </c:pt>
                <c:pt idx="43">
                  <c:v>2006</c:v>
                </c:pt>
                <c:pt idx="44">
                  <c:v>2009</c:v>
                </c:pt>
                <c:pt idx="45">
                  <c:v>1990</c:v>
                </c:pt>
                <c:pt idx="46">
                  <c:v>1992</c:v>
                </c:pt>
                <c:pt idx="47">
                  <c:v>1994</c:v>
                </c:pt>
                <c:pt idx="48">
                  <c:v>1996</c:v>
                </c:pt>
                <c:pt idx="49">
                  <c:v>1998</c:v>
                </c:pt>
                <c:pt idx="50">
                  <c:v>2000</c:v>
                </c:pt>
                <c:pt idx="51">
                  <c:v>2003</c:v>
                </c:pt>
                <c:pt idx="52">
                  <c:v>2006</c:v>
                </c:pt>
                <c:pt idx="53">
                  <c:v>2009</c:v>
                </c:pt>
                <c:pt idx="54">
                  <c:v>1990</c:v>
                </c:pt>
                <c:pt idx="55">
                  <c:v>1992</c:v>
                </c:pt>
                <c:pt idx="56">
                  <c:v>1994</c:v>
                </c:pt>
                <c:pt idx="57">
                  <c:v>1996</c:v>
                </c:pt>
                <c:pt idx="58">
                  <c:v>1998</c:v>
                </c:pt>
                <c:pt idx="59">
                  <c:v>2000</c:v>
                </c:pt>
                <c:pt idx="60">
                  <c:v>2003</c:v>
                </c:pt>
                <c:pt idx="61">
                  <c:v>2006</c:v>
                </c:pt>
                <c:pt idx="62">
                  <c:v>2009</c:v>
                </c:pt>
                <c:pt idx="63">
                  <c:v>1990</c:v>
                </c:pt>
                <c:pt idx="64">
                  <c:v>1992</c:v>
                </c:pt>
                <c:pt idx="65">
                  <c:v>1994</c:v>
                </c:pt>
                <c:pt idx="66">
                  <c:v>1996</c:v>
                </c:pt>
                <c:pt idx="67">
                  <c:v>1998</c:v>
                </c:pt>
                <c:pt idx="68">
                  <c:v>2000</c:v>
                </c:pt>
                <c:pt idx="69">
                  <c:v>2003</c:v>
                </c:pt>
                <c:pt idx="70">
                  <c:v>2006</c:v>
                </c:pt>
                <c:pt idx="71">
                  <c:v>2009</c:v>
                </c:pt>
                <c:pt idx="72">
                  <c:v>1990</c:v>
                </c:pt>
                <c:pt idx="73">
                  <c:v>1992</c:v>
                </c:pt>
                <c:pt idx="74">
                  <c:v>1994</c:v>
                </c:pt>
                <c:pt idx="75">
                  <c:v>1996</c:v>
                </c:pt>
                <c:pt idx="76">
                  <c:v>1998</c:v>
                </c:pt>
                <c:pt idx="77">
                  <c:v>2000</c:v>
                </c:pt>
                <c:pt idx="78">
                  <c:v>2003</c:v>
                </c:pt>
                <c:pt idx="79">
                  <c:v>2006</c:v>
                </c:pt>
                <c:pt idx="80">
                  <c:v>2009</c:v>
                </c:pt>
                <c:pt idx="81">
                  <c:v>1990</c:v>
                </c:pt>
                <c:pt idx="82">
                  <c:v>1992</c:v>
                </c:pt>
                <c:pt idx="83">
                  <c:v>1994</c:v>
                </c:pt>
                <c:pt idx="84">
                  <c:v>1996</c:v>
                </c:pt>
                <c:pt idx="85">
                  <c:v>1998</c:v>
                </c:pt>
                <c:pt idx="86">
                  <c:v>2000</c:v>
                </c:pt>
                <c:pt idx="87">
                  <c:v>2003</c:v>
                </c:pt>
                <c:pt idx="88">
                  <c:v>2006</c:v>
                </c:pt>
                <c:pt idx="89">
                  <c:v>2009</c:v>
                </c:pt>
                <c:pt idx="90">
                  <c:v>1990</c:v>
                </c:pt>
                <c:pt idx="91">
                  <c:v>1992</c:v>
                </c:pt>
                <c:pt idx="92">
                  <c:v>1994</c:v>
                </c:pt>
                <c:pt idx="93">
                  <c:v>1996</c:v>
                </c:pt>
                <c:pt idx="94">
                  <c:v>1998</c:v>
                </c:pt>
                <c:pt idx="95">
                  <c:v>2000</c:v>
                </c:pt>
                <c:pt idx="96">
                  <c:v>2003</c:v>
                </c:pt>
                <c:pt idx="97">
                  <c:v>2006</c:v>
                </c:pt>
                <c:pt idx="98">
                  <c:v>2009</c:v>
                </c:pt>
                <c:pt idx="99">
                  <c:v>1990</c:v>
                </c:pt>
                <c:pt idx="100">
                  <c:v>1992</c:v>
                </c:pt>
                <c:pt idx="101">
                  <c:v>1994</c:v>
                </c:pt>
                <c:pt idx="102">
                  <c:v>1996</c:v>
                </c:pt>
                <c:pt idx="103">
                  <c:v>1998</c:v>
                </c:pt>
                <c:pt idx="104">
                  <c:v>2000</c:v>
                </c:pt>
                <c:pt idx="105">
                  <c:v>2003</c:v>
                </c:pt>
                <c:pt idx="106">
                  <c:v>2006</c:v>
                </c:pt>
                <c:pt idx="107">
                  <c:v>2009</c:v>
                </c:pt>
                <c:pt idx="108">
                  <c:v>1990</c:v>
                </c:pt>
                <c:pt idx="109">
                  <c:v>1992</c:v>
                </c:pt>
                <c:pt idx="110">
                  <c:v>1994</c:v>
                </c:pt>
                <c:pt idx="111">
                  <c:v>1996</c:v>
                </c:pt>
                <c:pt idx="112">
                  <c:v>1998</c:v>
                </c:pt>
                <c:pt idx="113">
                  <c:v>2000</c:v>
                </c:pt>
                <c:pt idx="114">
                  <c:v>2003</c:v>
                </c:pt>
                <c:pt idx="115">
                  <c:v>2006</c:v>
                </c:pt>
                <c:pt idx="116">
                  <c:v>2009</c:v>
                </c:pt>
              </c:numCache>
            </c:numRef>
          </c:xVal>
          <c:yVal>
            <c:numRef>
              <c:f>'grafieken gini h6'!$AL$2:$AL$118</c:f>
              <c:numCache>
                <c:formatCode>General</c:formatCode>
                <c:ptCount val="117"/>
                <c:pt idx="0">
                  <c:v>14.718758048390544</c:v>
                </c:pt>
                <c:pt idx="1">
                  <c:v>14.838225017737081</c:v>
                </c:pt>
                <c:pt idx="2">
                  <c:v>14.943287873424516</c:v>
                </c:pt>
                <c:pt idx="3">
                  <c:v>15.088957553590518</c:v>
                </c:pt>
                <c:pt idx="4">
                  <c:v>15.166797267799675</c:v>
                </c:pt>
                <c:pt idx="5">
                  <c:v>15.199069232574841</c:v>
                </c:pt>
                <c:pt idx="6">
                  <c:v>15.287187799488654</c:v>
                </c:pt>
                <c:pt idx="7">
                  <c:v>15.349725518262199</c:v>
                </c:pt>
                <c:pt idx="8">
                  <c:v>15.384844740313104</c:v>
                </c:pt>
                <c:pt idx="9">
                  <c:v>15.133387623383893</c:v>
                </c:pt>
                <c:pt idx="10">
                  <c:v>15.219228953173658</c:v>
                </c:pt>
                <c:pt idx="11">
                  <c:v>15.311540641671494</c:v>
                </c:pt>
                <c:pt idx="12">
                  <c:v>15.532456187755004</c:v>
                </c:pt>
                <c:pt idx="13">
                  <c:v>15.732761207553958</c:v>
                </c:pt>
                <c:pt idx="14">
                  <c:v>15.67286699833547</c:v>
                </c:pt>
                <c:pt idx="15">
                  <c:v>15.793507110613856</c:v>
                </c:pt>
                <c:pt idx="16">
                  <c:v>15.829716398663889</c:v>
                </c:pt>
                <c:pt idx="17">
                  <c:v>15.800671312905669</c:v>
                </c:pt>
                <c:pt idx="18">
                  <c:v>14.352818801560669</c:v>
                </c:pt>
                <c:pt idx="19">
                  <c:v>14.62224766451182</c:v>
                </c:pt>
                <c:pt idx="20">
                  <c:v>14.822724003142278</c:v>
                </c:pt>
                <c:pt idx="21">
                  <c:v>15.063259405738616</c:v>
                </c:pt>
                <c:pt idx="22">
                  <c:v>15.148518812526881</c:v>
                </c:pt>
                <c:pt idx="23">
                  <c:v>15.098246870902443</c:v>
                </c:pt>
                <c:pt idx="24">
                  <c:v>15.094810315874804</c:v>
                </c:pt>
                <c:pt idx="25">
                  <c:v>15.194726963887952</c:v>
                </c:pt>
                <c:pt idx="26">
                  <c:v>15.293839248485183</c:v>
                </c:pt>
                <c:pt idx="27">
                  <c:v>13.989134125108137</c:v>
                </c:pt>
                <c:pt idx="28">
                  <c:v>14.123787394928613</c:v>
                </c:pt>
                <c:pt idx="29">
                  <c:v>14.152539849498513</c:v>
                </c:pt>
                <c:pt idx="30">
                  <c:v>14.228032731711981</c:v>
                </c:pt>
                <c:pt idx="31">
                  <c:v>14.296991204647295</c:v>
                </c:pt>
                <c:pt idx="32">
                  <c:v>14.442001962917658</c:v>
                </c:pt>
                <c:pt idx="33">
                  <c:v>14.423769171272609</c:v>
                </c:pt>
                <c:pt idx="34">
                  <c:v>14.49928463683273</c:v>
                </c:pt>
                <c:pt idx="35">
                  <c:v>14.549873785903834</c:v>
                </c:pt>
                <c:pt idx="36">
                  <c:v>14.425888129257066</c:v>
                </c:pt>
                <c:pt idx="37">
                  <c:v>14.511791916173273</c:v>
                </c:pt>
                <c:pt idx="38">
                  <c:v>14.624070351247649</c:v>
                </c:pt>
                <c:pt idx="39">
                  <c:v>14.702072483330022</c:v>
                </c:pt>
                <c:pt idx="40">
                  <c:v>14.709674782304537</c:v>
                </c:pt>
                <c:pt idx="41">
                  <c:v>14.733008171343783</c:v>
                </c:pt>
                <c:pt idx="42">
                  <c:v>14.773112241348262</c:v>
                </c:pt>
                <c:pt idx="43">
                  <c:v>14.894597869659291</c:v>
                </c:pt>
                <c:pt idx="44">
                  <c:v>14.897183644039201</c:v>
                </c:pt>
                <c:pt idx="45">
                  <c:v>14.284917875496493</c:v>
                </c:pt>
                <c:pt idx="46">
                  <c:v>14.370676817561083</c:v>
                </c:pt>
                <c:pt idx="47">
                  <c:v>14.475716384343393</c:v>
                </c:pt>
                <c:pt idx="48">
                  <c:v>14.516096791785055</c:v>
                </c:pt>
                <c:pt idx="49">
                  <c:v>14.534247966505333</c:v>
                </c:pt>
                <c:pt idx="50">
                  <c:v>14.611412519132468</c:v>
                </c:pt>
                <c:pt idx="51">
                  <c:v>14.663201546959964</c:v>
                </c:pt>
                <c:pt idx="52">
                  <c:v>14.799907354177421</c:v>
                </c:pt>
                <c:pt idx="53">
                  <c:v>14.818706947376766</c:v>
                </c:pt>
                <c:pt idx="54">
                  <c:v>13.899294166322479</c:v>
                </c:pt>
                <c:pt idx="55">
                  <c:v>14.11376105395531</c:v>
                </c:pt>
                <c:pt idx="56">
                  <c:v>14.226776244753003</c:v>
                </c:pt>
                <c:pt idx="57">
                  <c:v>14.29892904379598</c:v>
                </c:pt>
                <c:pt idx="58">
                  <c:v>14.3377732848838</c:v>
                </c:pt>
                <c:pt idx="59">
                  <c:v>14.408307579564591</c:v>
                </c:pt>
                <c:pt idx="60">
                  <c:v>14.467407356550684</c:v>
                </c:pt>
                <c:pt idx="61">
                  <c:v>14.633011546948515</c:v>
                </c:pt>
                <c:pt idx="62">
                  <c:v>14.610951654838336</c:v>
                </c:pt>
                <c:pt idx="63">
                  <c:v>14.413983849763861</c:v>
                </c:pt>
                <c:pt idx="64">
                  <c:v>14.488909668837056</c:v>
                </c:pt>
                <c:pt idx="65">
                  <c:v>14.509421462116492</c:v>
                </c:pt>
                <c:pt idx="66">
                  <c:v>14.589751450128798</c:v>
                </c:pt>
                <c:pt idx="67">
                  <c:v>14.622825348897718</c:v>
                </c:pt>
                <c:pt idx="68">
                  <c:v>14.649635886789747</c:v>
                </c:pt>
                <c:pt idx="69">
                  <c:v>14.746067531897955</c:v>
                </c:pt>
                <c:pt idx="70">
                  <c:v>14.877304210960636</c:v>
                </c:pt>
                <c:pt idx="71">
                  <c:v>14.872734170513858</c:v>
                </c:pt>
                <c:pt idx="72">
                  <c:v>13.705106162583226</c:v>
                </c:pt>
                <c:pt idx="73">
                  <c:v>13.859588143510747</c:v>
                </c:pt>
                <c:pt idx="74">
                  <c:v>13.956731863619952</c:v>
                </c:pt>
                <c:pt idx="75">
                  <c:v>13.984125221514484</c:v>
                </c:pt>
                <c:pt idx="76">
                  <c:v>14.064712144565789</c:v>
                </c:pt>
                <c:pt idx="77">
                  <c:v>14.126938518745892</c:v>
                </c:pt>
                <c:pt idx="78">
                  <c:v>14.124764093216848</c:v>
                </c:pt>
                <c:pt idx="79">
                  <c:v>14.262485078854334</c:v>
                </c:pt>
                <c:pt idx="80">
                  <c:v>14.289443601401654</c:v>
                </c:pt>
                <c:pt idx="81">
                  <c:v>14.032876710056289</c:v>
                </c:pt>
                <c:pt idx="82">
                  <c:v>14.089505558567788</c:v>
                </c:pt>
                <c:pt idx="83">
                  <c:v>14.189072416816249</c:v>
                </c:pt>
                <c:pt idx="84">
                  <c:v>14.343202479208951</c:v>
                </c:pt>
                <c:pt idx="85">
                  <c:v>14.468241622206076</c:v>
                </c:pt>
                <c:pt idx="86">
                  <c:v>14.512043240575398</c:v>
                </c:pt>
                <c:pt idx="87">
                  <c:v>14.577152501938519</c:v>
                </c:pt>
                <c:pt idx="88">
                  <c:v>14.679270506779957</c:v>
                </c:pt>
                <c:pt idx="89">
                  <c:v>14.695198661755661</c:v>
                </c:pt>
                <c:pt idx="90">
                  <c:v>14.466087292137988</c:v>
                </c:pt>
                <c:pt idx="91">
                  <c:v>14.460293225668297</c:v>
                </c:pt>
                <c:pt idx="92">
                  <c:v>14.601341031574137</c:v>
                </c:pt>
                <c:pt idx="93">
                  <c:v>14.697304356264002</c:v>
                </c:pt>
                <c:pt idx="94">
                  <c:v>14.818421462225494</c:v>
                </c:pt>
                <c:pt idx="95">
                  <c:v>14.898929414121119</c:v>
                </c:pt>
                <c:pt idx="96">
                  <c:v>15.045286352184316</c:v>
                </c:pt>
                <c:pt idx="97">
                  <c:v>15.19525727431453</c:v>
                </c:pt>
                <c:pt idx="98">
                  <c:v>15.214637135805621</c:v>
                </c:pt>
                <c:pt idx="99">
                  <c:v>15.44572141597067</c:v>
                </c:pt>
                <c:pt idx="100">
                  <c:v>15.457048803573901</c:v>
                </c:pt>
                <c:pt idx="101">
                  <c:v>15.461662845330856</c:v>
                </c:pt>
                <c:pt idx="102">
                  <c:v>15.497517245092013</c:v>
                </c:pt>
                <c:pt idx="103">
                  <c:v>15.574043673000823</c:v>
                </c:pt>
                <c:pt idx="104">
                  <c:v>15.539217280949682</c:v>
                </c:pt>
                <c:pt idx="105">
                  <c:v>15.628733909284664</c:v>
                </c:pt>
                <c:pt idx="106">
                  <c:v>15.679869607985555</c:v>
                </c:pt>
                <c:pt idx="107">
                  <c:v>15.498002428354066</c:v>
                </c:pt>
                <c:pt idx="108">
                  <c:v>14.551668793297432</c:v>
                </c:pt>
                <c:pt idx="109">
                  <c:v>14.736525480418514</c:v>
                </c:pt>
                <c:pt idx="110">
                  <c:v>14.808102588698349</c:v>
                </c:pt>
                <c:pt idx="111">
                  <c:v>14.942651558074941</c:v>
                </c:pt>
                <c:pt idx="112">
                  <c:v>15.004180647579107</c:v>
                </c:pt>
                <c:pt idx="113">
                  <c:v>15.002764402770087</c:v>
                </c:pt>
                <c:pt idx="114">
                  <c:v>15.049708348516951</c:v>
                </c:pt>
                <c:pt idx="115">
                  <c:v>15.174699261939724</c:v>
                </c:pt>
                <c:pt idx="116">
                  <c:v>15.225846886657243</c:v>
                </c:pt>
              </c:numCache>
            </c:numRef>
          </c:yVal>
          <c:smooth val="0"/>
        </c:ser>
        <c:dLbls>
          <c:showLegendKey val="0"/>
          <c:showVal val="0"/>
          <c:showCatName val="0"/>
          <c:showSerName val="0"/>
          <c:showPercent val="0"/>
          <c:showBubbleSize val="0"/>
        </c:dLbls>
        <c:axId val="234610048"/>
        <c:axId val="234611840"/>
      </c:scatterChart>
      <c:valAx>
        <c:axId val="234610048"/>
        <c:scaling>
          <c:orientation val="minMax"/>
          <c:max val="2009"/>
          <c:min val="1989"/>
        </c:scaling>
        <c:delete val="0"/>
        <c:axPos val="b"/>
        <c:numFmt formatCode="General" sourceLinked="1"/>
        <c:majorTickMark val="out"/>
        <c:minorTickMark val="none"/>
        <c:tickLblPos val="nextTo"/>
        <c:crossAx val="234611840"/>
        <c:crosses val="autoZero"/>
        <c:crossBetween val="midCat"/>
      </c:valAx>
      <c:valAx>
        <c:axId val="234611840"/>
        <c:scaling>
          <c:orientation val="minMax"/>
        </c:scaling>
        <c:delete val="0"/>
        <c:axPos val="l"/>
        <c:majorGridlines/>
        <c:title>
          <c:tx>
            <c:rich>
              <a:bodyPr rot="-5400000" vert="horz"/>
              <a:lstStyle/>
              <a:p>
                <a:pPr>
                  <a:defRPr b="0"/>
                </a:pPr>
                <a:r>
                  <a:rPr lang="en-US" b="0"/>
                  <a:t>Log (regional GDP)</a:t>
                </a:r>
              </a:p>
            </c:rich>
          </c:tx>
          <c:overlay val="0"/>
        </c:title>
        <c:numFmt formatCode="General" sourceLinked="1"/>
        <c:majorTickMark val="out"/>
        <c:minorTickMark val="none"/>
        <c:tickLblPos val="nextTo"/>
        <c:crossAx val="234610048"/>
        <c:crossesAt val="1989"/>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rendline>
            <c:trendlineType val="linear"/>
            <c:dispRSqr val="0"/>
            <c:dispEq val="0"/>
          </c:trendline>
          <c:cat>
            <c:numRef>
              <c:f>'Freq distr'!$A$2:$A$52</c:f>
              <c:numCache>
                <c:formatCode>General</c:formatCode>
                <c:ptCount val="51"/>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pt idx="24">
                  <c:v>240000</c:v>
                </c:pt>
                <c:pt idx="25">
                  <c:v>250000</c:v>
                </c:pt>
                <c:pt idx="26">
                  <c:v>260000</c:v>
                </c:pt>
                <c:pt idx="27">
                  <c:v>270000</c:v>
                </c:pt>
                <c:pt idx="28">
                  <c:v>280000</c:v>
                </c:pt>
                <c:pt idx="29">
                  <c:v>290000</c:v>
                </c:pt>
                <c:pt idx="30">
                  <c:v>300000</c:v>
                </c:pt>
                <c:pt idx="31">
                  <c:v>310000</c:v>
                </c:pt>
                <c:pt idx="32">
                  <c:v>320000</c:v>
                </c:pt>
                <c:pt idx="33">
                  <c:v>330000</c:v>
                </c:pt>
                <c:pt idx="34">
                  <c:v>340000</c:v>
                </c:pt>
                <c:pt idx="35">
                  <c:v>350000</c:v>
                </c:pt>
                <c:pt idx="36">
                  <c:v>360000</c:v>
                </c:pt>
                <c:pt idx="37">
                  <c:v>370000</c:v>
                </c:pt>
                <c:pt idx="38">
                  <c:v>380000</c:v>
                </c:pt>
                <c:pt idx="39">
                  <c:v>390000</c:v>
                </c:pt>
                <c:pt idx="40">
                  <c:v>400000</c:v>
                </c:pt>
                <c:pt idx="41">
                  <c:v>410000</c:v>
                </c:pt>
                <c:pt idx="42">
                  <c:v>420000</c:v>
                </c:pt>
                <c:pt idx="43">
                  <c:v>430000</c:v>
                </c:pt>
                <c:pt idx="44">
                  <c:v>440000</c:v>
                </c:pt>
                <c:pt idx="45">
                  <c:v>450000</c:v>
                </c:pt>
                <c:pt idx="46">
                  <c:v>460000</c:v>
                </c:pt>
                <c:pt idx="47">
                  <c:v>470000</c:v>
                </c:pt>
                <c:pt idx="48">
                  <c:v>480000</c:v>
                </c:pt>
                <c:pt idx="49">
                  <c:v>490000</c:v>
                </c:pt>
                <c:pt idx="50">
                  <c:v>500000</c:v>
                </c:pt>
              </c:numCache>
            </c:numRef>
          </c:cat>
          <c:val>
            <c:numRef>
              <c:f>'Freq distr'!$B$2:$B$102</c:f>
            </c:numRef>
          </c:val>
          <c:smooth val="0"/>
        </c:ser>
        <c:ser>
          <c:idx val="1"/>
          <c:order val="1"/>
          <c:tx>
            <c:v>1990</c:v>
          </c:tx>
          <c:marker>
            <c:symbol val="none"/>
          </c:marker>
          <c:cat>
            <c:numRef>
              <c:f>'Freq distr'!$A$2:$A$52</c:f>
              <c:numCache>
                <c:formatCode>General</c:formatCode>
                <c:ptCount val="51"/>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pt idx="24">
                  <c:v>240000</c:v>
                </c:pt>
                <c:pt idx="25">
                  <c:v>250000</c:v>
                </c:pt>
                <c:pt idx="26">
                  <c:v>260000</c:v>
                </c:pt>
                <c:pt idx="27">
                  <c:v>270000</c:v>
                </c:pt>
                <c:pt idx="28">
                  <c:v>280000</c:v>
                </c:pt>
                <c:pt idx="29">
                  <c:v>290000</c:v>
                </c:pt>
                <c:pt idx="30">
                  <c:v>300000</c:v>
                </c:pt>
                <c:pt idx="31">
                  <c:v>310000</c:v>
                </c:pt>
                <c:pt idx="32">
                  <c:v>320000</c:v>
                </c:pt>
                <c:pt idx="33">
                  <c:v>330000</c:v>
                </c:pt>
                <c:pt idx="34">
                  <c:v>340000</c:v>
                </c:pt>
                <c:pt idx="35">
                  <c:v>350000</c:v>
                </c:pt>
                <c:pt idx="36">
                  <c:v>360000</c:v>
                </c:pt>
                <c:pt idx="37">
                  <c:v>370000</c:v>
                </c:pt>
                <c:pt idx="38">
                  <c:v>380000</c:v>
                </c:pt>
                <c:pt idx="39">
                  <c:v>390000</c:v>
                </c:pt>
                <c:pt idx="40">
                  <c:v>400000</c:v>
                </c:pt>
                <c:pt idx="41">
                  <c:v>410000</c:v>
                </c:pt>
                <c:pt idx="42">
                  <c:v>420000</c:v>
                </c:pt>
                <c:pt idx="43">
                  <c:v>430000</c:v>
                </c:pt>
                <c:pt idx="44">
                  <c:v>440000</c:v>
                </c:pt>
                <c:pt idx="45">
                  <c:v>450000</c:v>
                </c:pt>
                <c:pt idx="46">
                  <c:v>460000</c:v>
                </c:pt>
                <c:pt idx="47">
                  <c:v>470000</c:v>
                </c:pt>
                <c:pt idx="48">
                  <c:v>480000</c:v>
                </c:pt>
                <c:pt idx="49">
                  <c:v>490000</c:v>
                </c:pt>
                <c:pt idx="50">
                  <c:v>500000</c:v>
                </c:pt>
              </c:numCache>
            </c:numRef>
          </c:cat>
          <c:val>
            <c:numRef>
              <c:f>'Freq distr'!$C$2:$C$52</c:f>
              <c:numCache>
                <c:formatCode>0%</c:formatCode>
                <c:ptCount val="51"/>
                <c:pt idx="0">
                  <c:v>0</c:v>
                </c:pt>
                <c:pt idx="1">
                  <c:v>1.260808450824211E-2</c:v>
                </c:pt>
                <c:pt idx="2">
                  <c:v>1.0222771222899007E-2</c:v>
                </c:pt>
                <c:pt idx="3">
                  <c:v>8.3911913787962679E-3</c:v>
                </c:pt>
                <c:pt idx="4">
                  <c:v>3.7298916670216238E-2</c:v>
                </c:pt>
                <c:pt idx="5">
                  <c:v>6.2103335179111471E-2</c:v>
                </c:pt>
                <c:pt idx="6">
                  <c:v>6.244409421987477E-2</c:v>
                </c:pt>
                <c:pt idx="7">
                  <c:v>7.2127330294898553E-2</c:v>
                </c:pt>
                <c:pt idx="8">
                  <c:v>6.7044341270179331E-2</c:v>
                </c:pt>
                <c:pt idx="9">
                  <c:v>8.1654385142905822E-2</c:v>
                </c:pt>
                <c:pt idx="10">
                  <c:v>4.9154491630106059E-2</c:v>
                </c:pt>
                <c:pt idx="11">
                  <c:v>5.7034544447757379E-2</c:v>
                </c:pt>
                <c:pt idx="12">
                  <c:v>4.3702346977893256E-2</c:v>
                </c:pt>
                <c:pt idx="13">
                  <c:v>3.5367948772557542E-2</c:v>
                </c:pt>
                <c:pt idx="14">
                  <c:v>2.8396586730275022E-2</c:v>
                </c:pt>
                <c:pt idx="15">
                  <c:v>4.6712385171302412E-2</c:v>
                </c:pt>
                <c:pt idx="16">
                  <c:v>3.7639675710979544E-2</c:v>
                </c:pt>
                <c:pt idx="17">
                  <c:v>1.9338075563317288E-2</c:v>
                </c:pt>
                <c:pt idx="18">
                  <c:v>2.1765983728755805E-2</c:v>
                </c:pt>
                <c:pt idx="19">
                  <c:v>1.2551291334781559E-2</c:v>
                </c:pt>
                <c:pt idx="20">
                  <c:v>7.2269313228549925E-3</c:v>
                </c:pt>
                <c:pt idx="21">
                  <c:v>9.3708736209907571E-3</c:v>
                </c:pt>
                <c:pt idx="22">
                  <c:v>1.5561329528190712E-2</c:v>
                </c:pt>
                <c:pt idx="23">
                  <c:v>2.1013474180403516E-2</c:v>
                </c:pt>
                <c:pt idx="24">
                  <c:v>8.7319504195595681E-3</c:v>
                </c:pt>
                <c:pt idx="25">
                  <c:v>9.5554514347375441E-3</c:v>
                </c:pt>
                <c:pt idx="26">
                  <c:v>6.8861722820916923E-3</c:v>
                </c:pt>
                <c:pt idx="27">
                  <c:v>8.973321406766906E-3</c:v>
                </c:pt>
                <c:pt idx="28">
                  <c:v>8.2066135650494809E-3</c:v>
                </c:pt>
                <c:pt idx="29">
                  <c:v>8.1214238048586563E-3</c:v>
                </c:pt>
                <c:pt idx="30">
                  <c:v>1.5660717581746673E-2</c:v>
                </c:pt>
                <c:pt idx="31">
                  <c:v>6.1194644403742672E-3</c:v>
                </c:pt>
                <c:pt idx="32">
                  <c:v>4.0323153156990527E-3</c:v>
                </c:pt>
                <c:pt idx="33">
                  <c:v>2.9390467265834647E-3</c:v>
                </c:pt>
                <c:pt idx="34">
                  <c:v>3.7057545683008902E-3</c:v>
                </c:pt>
                <c:pt idx="35">
                  <c:v>9.0869077536880072E-4</c:v>
                </c:pt>
                <c:pt idx="36">
                  <c:v>8.9165282333063568E-3</c:v>
                </c:pt>
                <c:pt idx="37">
                  <c:v>5.778705399610967E-3</c:v>
                </c:pt>
                <c:pt idx="38">
                  <c:v>4.6854368104953786E-3</c:v>
                </c:pt>
                <c:pt idx="39">
                  <c:v>1.9593644843889763E-3</c:v>
                </c:pt>
                <c:pt idx="40">
                  <c:v>6.8151808152660054E-3</c:v>
                </c:pt>
                <c:pt idx="41">
                  <c:v>3.1804177137908026E-3</c:v>
                </c:pt>
                <c:pt idx="42">
                  <c:v>2.7970637929320896E-3</c:v>
                </c:pt>
                <c:pt idx="43">
                  <c:v>0</c:v>
                </c:pt>
                <c:pt idx="44">
                  <c:v>1.8173815507376014E-3</c:v>
                </c:pt>
                <c:pt idx="45">
                  <c:v>2.8680552597577769E-3</c:v>
                </c:pt>
                <c:pt idx="46">
                  <c:v>1.8173815507376014E-3</c:v>
                </c:pt>
                <c:pt idx="47">
                  <c:v>0</c:v>
                </c:pt>
                <c:pt idx="48">
                  <c:v>0</c:v>
                </c:pt>
                <c:pt idx="49">
                  <c:v>4.6286436370348285E-3</c:v>
                </c:pt>
                <c:pt idx="50">
                  <c:v>1.6328037369908138E-3</c:v>
                </c:pt>
              </c:numCache>
            </c:numRef>
          </c:val>
          <c:smooth val="1"/>
        </c:ser>
        <c:ser>
          <c:idx val="2"/>
          <c:order val="2"/>
          <c:tx>
            <c:v>2011</c:v>
          </c:tx>
          <c:marker>
            <c:symbol val="none"/>
          </c:marker>
          <c:cat>
            <c:numRef>
              <c:f>'Freq distr'!$A$2:$A$52</c:f>
              <c:numCache>
                <c:formatCode>General</c:formatCode>
                <c:ptCount val="51"/>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pt idx="24">
                  <c:v>240000</c:v>
                </c:pt>
                <c:pt idx="25">
                  <c:v>250000</c:v>
                </c:pt>
                <c:pt idx="26">
                  <c:v>260000</c:v>
                </c:pt>
                <c:pt idx="27">
                  <c:v>270000</c:v>
                </c:pt>
                <c:pt idx="28">
                  <c:v>280000</c:v>
                </c:pt>
                <c:pt idx="29">
                  <c:v>290000</c:v>
                </c:pt>
                <c:pt idx="30">
                  <c:v>300000</c:v>
                </c:pt>
                <c:pt idx="31">
                  <c:v>310000</c:v>
                </c:pt>
                <c:pt idx="32">
                  <c:v>320000</c:v>
                </c:pt>
                <c:pt idx="33">
                  <c:v>330000</c:v>
                </c:pt>
                <c:pt idx="34">
                  <c:v>340000</c:v>
                </c:pt>
                <c:pt idx="35">
                  <c:v>350000</c:v>
                </c:pt>
                <c:pt idx="36">
                  <c:v>360000</c:v>
                </c:pt>
                <c:pt idx="37">
                  <c:v>370000</c:v>
                </c:pt>
                <c:pt idx="38">
                  <c:v>380000</c:v>
                </c:pt>
                <c:pt idx="39">
                  <c:v>390000</c:v>
                </c:pt>
                <c:pt idx="40">
                  <c:v>400000</c:v>
                </c:pt>
                <c:pt idx="41">
                  <c:v>410000</c:v>
                </c:pt>
                <c:pt idx="42">
                  <c:v>420000</c:v>
                </c:pt>
                <c:pt idx="43">
                  <c:v>430000</c:v>
                </c:pt>
                <c:pt idx="44">
                  <c:v>440000</c:v>
                </c:pt>
                <c:pt idx="45">
                  <c:v>450000</c:v>
                </c:pt>
                <c:pt idx="46">
                  <c:v>460000</c:v>
                </c:pt>
                <c:pt idx="47">
                  <c:v>470000</c:v>
                </c:pt>
                <c:pt idx="48">
                  <c:v>480000</c:v>
                </c:pt>
                <c:pt idx="49">
                  <c:v>490000</c:v>
                </c:pt>
                <c:pt idx="50">
                  <c:v>500000</c:v>
                </c:pt>
              </c:numCache>
            </c:numRef>
          </c:cat>
          <c:val>
            <c:numRef>
              <c:f>'Freq distr'!$D$2:$D$52</c:f>
              <c:numCache>
                <c:formatCode>0%</c:formatCode>
                <c:ptCount val="51"/>
                <c:pt idx="0">
                  <c:v>6.8365069470975007E-4</c:v>
                </c:pt>
                <c:pt idx="1">
                  <c:v>1.7392877968350994E-3</c:v>
                </c:pt>
                <c:pt idx="2">
                  <c:v>2.7748175255866325E-3</c:v>
                </c:pt>
                <c:pt idx="3">
                  <c:v>1.3170329559849597E-3</c:v>
                </c:pt>
                <c:pt idx="4">
                  <c:v>3.5087366537309233E-3</c:v>
                </c:pt>
                <c:pt idx="5">
                  <c:v>7.5503187018679746E-3</c:v>
                </c:pt>
                <c:pt idx="6">
                  <c:v>9.4605191723805115E-3</c:v>
                </c:pt>
                <c:pt idx="7">
                  <c:v>1.7372770594977178E-2</c:v>
                </c:pt>
                <c:pt idx="8">
                  <c:v>1.9755494339774395E-2</c:v>
                </c:pt>
                <c:pt idx="9">
                  <c:v>2.4792391369915349E-2</c:v>
                </c:pt>
                <c:pt idx="10">
                  <c:v>2.4279653348883035E-2</c:v>
                </c:pt>
                <c:pt idx="11">
                  <c:v>2.8833973418052401E-2</c:v>
                </c:pt>
                <c:pt idx="12">
                  <c:v>2.7617477328936522E-2</c:v>
                </c:pt>
                <c:pt idx="13">
                  <c:v>3.3649689341081375E-2</c:v>
                </c:pt>
                <c:pt idx="14">
                  <c:v>2.9326604065710898E-2</c:v>
                </c:pt>
                <c:pt idx="15">
                  <c:v>3.1236804536223434E-2</c:v>
                </c:pt>
                <c:pt idx="16">
                  <c:v>2.7949248989604488E-2</c:v>
                </c:pt>
                <c:pt idx="17">
                  <c:v>2.8150322723342648E-2</c:v>
                </c:pt>
                <c:pt idx="18">
                  <c:v>3.1367502463153236E-2</c:v>
                </c:pt>
                <c:pt idx="19">
                  <c:v>2.4752176623167716E-2</c:v>
                </c:pt>
                <c:pt idx="20">
                  <c:v>3.4604789576337641E-2</c:v>
                </c:pt>
                <c:pt idx="21">
                  <c:v>1.867974986427523E-2</c:v>
                </c:pt>
                <c:pt idx="22">
                  <c:v>3.2121528964671346E-2</c:v>
                </c:pt>
                <c:pt idx="23">
                  <c:v>2.0197856553998351E-2</c:v>
                </c:pt>
                <c:pt idx="24">
                  <c:v>2.1846661170651278E-2</c:v>
                </c:pt>
                <c:pt idx="25">
                  <c:v>3.0130899000663545E-2</c:v>
                </c:pt>
                <c:pt idx="26">
                  <c:v>2.1364084209679689E-2</c:v>
                </c:pt>
                <c:pt idx="27">
                  <c:v>2.0861399875334283E-2</c:v>
                </c:pt>
                <c:pt idx="28">
                  <c:v>1.0496048901132045E-2</c:v>
                </c:pt>
                <c:pt idx="29">
                  <c:v>1.4648221502825087E-2</c:v>
                </c:pt>
                <c:pt idx="30">
                  <c:v>1.3260812740031769E-2</c:v>
                </c:pt>
                <c:pt idx="31">
                  <c:v>1.2607323105382744E-2</c:v>
                </c:pt>
                <c:pt idx="32">
                  <c:v>1.2335873564836225E-2</c:v>
                </c:pt>
                <c:pt idx="33">
                  <c:v>1.2245390384654053E-2</c:v>
                </c:pt>
                <c:pt idx="34">
                  <c:v>7.9122514225966663E-3</c:v>
                </c:pt>
                <c:pt idx="35">
                  <c:v>1.1431041763014498E-2</c:v>
                </c:pt>
                <c:pt idx="36">
                  <c:v>1.4225966661974947E-2</c:v>
                </c:pt>
                <c:pt idx="37">
                  <c:v>9.7319687129270305E-3</c:v>
                </c:pt>
                <c:pt idx="38">
                  <c:v>1.5271550077413388E-2</c:v>
                </c:pt>
                <c:pt idx="39">
                  <c:v>1.5844610218567149E-2</c:v>
                </c:pt>
                <c:pt idx="40">
                  <c:v>1.0737337381617839E-2</c:v>
                </c:pt>
                <c:pt idx="41">
                  <c:v>5.0167896567671361E-3</c:v>
                </c:pt>
                <c:pt idx="42">
                  <c:v>1.0405565720949873E-2</c:v>
                </c:pt>
                <c:pt idx="43">
                  <c:v>4.9162527898980552E-3</c:v>
                </c:pt>
                <c:pt idx="44">
                  <c:v>8.7366537309231298E-3</c:v>
                </c:pt>
                <c:pt idx="45">
                  <c:v>7.2587617879476402E-3</c:v>
                </c:pt>
                <c:pt idx="46">
                  <c:v>4.5442663824824562E-3</c:v>
                </c:pt>
                <c:pt idx="47">
                  <c:v>9.2795528120161661E-3</c:v>
                </c:pt>
                <c:pt idx="48">
                  <c:v>5.8512456517805077E-3</c:v>
                </c:pt>
                <c:pt idx="49">
                  <c:v>6.7560774536022357E-3</c:v>
                </c:pt>
                <c:pt idx="50">
                  <c:v>1.9504152172601693E-3</c:v>
                </c:pt>
              </c:numCache>
            </c:numRef>
          </c:val>
          <c:smooth val="1"/>
        </c:ser>
        <c:dLbls>
          <c:showLegendKey val="0"/>
          <c:showVal val="0"/>
          <c:showCatName val="0"/>
          <c:showSerName val="0"/>
          <c:showPercent val="0"/>
          <c:showBubbleSize val="0"/>
        </c:dLbls>
        <c:marker val="1"/>
        <c:smooth val="0"/>
        <c:axId val="226199808"/>
        <c:axId val="226214272"/>
      </c:lineChart>
      <c:catAx>
        <c:axId val="226199808"/>
        <c:scaling>
          <c:orientation val="minMax"/>
        </c:scaling>
        <c:delete val="0"/>
        <c:axPos val="b"/>
        <c:title>
          <c:tx>
            <c:rich>
              <a:bodyPr/>
              <a:lstStyle/>
              <a:p>
                <a:pPr>
                  <a:defRPr sz="1000" b="0"/>
                </a:pPr>
                <a:r>
                  <a:rPr lang="en-US" sz="1000" b="0"/>
                  <a:t>Income in Region XI (Aysén) </a:t>
                </a:r>
              </a:p>
            </c:rich>
          </c:tx>
          <c:overlay val="0"/>
        </c:title>
        <c:numFmt formatCode="General" sourceLinked="1"/>
        <c:majorTickMark val="out"/>
        <c:minorTickMark val="none"/>
        <c:tickLblPos val="nextTo"/>
        <c:txPr>
          <a:bodyPr/>
          <a:lstStyle/>
          <a:p>
            <a:pPr>
              <a:defRPr sz="900"/>
            </a:pPr>
            <a:endParaRPr lang="en-US"/>
          </a:p>
        </c:txPr>
        <c:crossAx val="226214272"/>
        <c:crosses val="autoZero"/>
        <c:auto val="1"/>
        <c:lblAlgn val="ctr"/>
        <c:lblOffset val="100"/>
        <c:tickMarkSkip val="10000"/>
        <c:noMultiLvlLbl val="0"/>
      </c:catAx>
      <c:valAx>
        <c:axId val="226214272"/>
        <c:scaling>
          <c:orientation val="minMax"/>
          <c:min val="0"/>
        </c:scaling>
        <c:delete val="0"/>
        <c:axPos val="l"/>
        <c:majorGridlines/>
        <c:title>
          <c:tx>
            <c:rich>
              <a:bodyPr rot="-5400000" vert="horz"/>
              <a:lstStyle/>
              <a:p>
                <a:pPr>
                  <a:defRPr b="0"/>
                </a:pPr>
                <a:r>
                  <a:rPr lang="en-US" b="0"/>
                  <a:t>Percent of population</a:t>
                </a:r>
              </a:p>
            </c:rich>
          </c:tx>
          <c:overlay val="0"/>
        </c:title>
        <c:numFmt formatCode="0%" sourceLinked="1"/>
        <c:majorTickMark val="out"/>
        <c:minorTickMark val="none"/>
        <c:tickLblPos val="nextTo"/>
        <c:txPr>
          <a:bodyPr/>
          <a:lstStyle/>
          <a:p>
            <a:pPr>
              <a:defRPr sz="900"/>
            </a:pPr>
            <a:endParaRPr lang="en-US"/>
          </a:p>
        </c:txPr>
        <c:crossAx val="226199808"/>
        <c:crosses val="autoZero"/>
        <c:crossBetween val="between"/>
      </c:valAx>
    </c:plotArea>
    <c:legend>
      <c:legendPos val="r"/>
      <c:legendEntry>
        <c:idx val="1"/>
        <c:txPr>
          <a:bodyPr/>
          <a:lstStyle/>
          <a:p>
            <a:pPr>
              <a:defRPr baseline="0">
                <a:solidFill>
                  <a:schemeClr val="bg1"/>
                </a:solidFill>
              </a:defRPr>
            </a:pPr>
            <a:endParaRPr lang="en-US"/>
          </a:p>
        </c:txPr>
      </c:legendEntry>
      <c:legendEntry>
        <c:idx val="2"/>
        <c:delete val="1"/>
      </c:legendEntry>
      <c:layout>
        <c:manualLayout>
          <c:xMode val="edge"/>
          <c:yMode val="edge"/>
          <c:x val="0.87667446310865405"/>
          <c:y val="0.47103010628785486"/>
          <c:w val="0.11057947900053164"/>
          <c:h val="0.18958645917291836"/>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n-US" sz="1050" b="0"/>
              <a:t>1990</a:t>
            </a:r>
          </a:p>
        </c:rich>
      </c:tx>
      <c:overlay val="0"/>
    </c:title>
    <c:autoTitleDeleted val="0"/>
    <c:plotArea>
      <c:layout/>
      <c:barChart>
        <c:barDir val="col"/>
        <c:grouping val="clustered"/>
        <c:varyColors val="0"/>
        <c:ser>
          <c:idx val="0"/>
          <c:order val="0"/>
          <c:tx>
            <c:strRef>
              <c:f>'Freq distr'!$L$1</c:f>
              <c:strCache>
                <c:ptCount val="1"/>
                <c:pt idx="0">
                  <c:v>1990</c:v>
                </c:pt>
              </c:strCache>
            </c:strRef>
          </c:tx>
          <c:spPr>
            <a:effectLst>
              <a:glow>
                <a:schemeClr val="accent1">
                  <a:alpha val="40000"/>
                </a:schemeClr>
              </a:glow>
            </a:effectLst>
          </c:spPr>
          <c:invertIfNegative val="0"/>
          <c:cat>
            <c:numRef>
              <c:f>'Freq distr'!$K$2:$K$52</c:f>
              <c:numCache>
                <c:formatCode>0.00</c:formatCode>
                <c:ptCount val="51"/>
                <c:pt idx="0">
                  <c:v>9.1</c:v>
                </c:pt>
                <c:pt idx="1">
                  <c:v>9.2103403719761836</c:v>
                </c:pt>
                <c:pt idx="2">
                  <c:v>9.9034875525361272</c:v>
                </c:pt>
                <c:pt idx="3">
                  <c:v>10.308952660644293</c:v>
                </c:pt>
                <c:pt idx="4">
                  <c:v>10.596634733096073</c:v>
                </c:pt>
                <c:pt idx="5">
                  <c:v>10.819778284410283</c:v>
                </c:pt>
                <c:pt idx="6">
                  <c:v>11.002099841204238</c:v>
                </c:pt>
                <c:pt idx="7">
                  <c:v>11.156250521031495</c:v>
                </c:pt>
                <c:pt idx="8">
                  <c:v>11.289781913656018</c:v>
                </c:pt>
                <c:pt idx="9">
                  <c:v>11.407564949312402</c:v>
                </c:pt>
                <c:pt idx="10">
                  <c:v>11.512925464970229</c:v>
                </c:pt>
                <c:pt idx="11">
                  <c:v>11.608235644774552</c:v>
                </c:pt>
                <c:pt idx="12">
                  <c:v>11.695247021764184</c:v>
                </c:pt>
                <c:pt idx="13">
                  <c:v>11.77528972943772</c:v>
                </c:pt>
                <c:pt idx="14">
                  <c:v>11.849397701591441</c:v>
                </c:pt>
                <c:pt idx="15">
                  <c:v>11.918390573078392</c:v>
                </c:pt>
                <c:pt idx="16">
                  <c:v>11.982929094215963</c:v>
                </c:pt>
                <c:pt idx="17">
                  <c:v>12.043553716032399</c:v>
                </c:pt>
                <c:pt idx="18">
                  <c:v>12.100712129872347</c:v>
                </c:pt>
                <c:pt idx="19">
                  <c:v>12.154779351142624</c:v>
                </c:pt>
                <c:pt idx="20">
                  <c:v>12.206072645530174</c:v>
                </c:pt>
                <c:pt idx="21">
                  <c:v>12.254862809699606</c:v>
                </c:pt>
                <c:pt idx="22">
                  <c:v>12.301382825334498</c:v>
                </c:pt>
                <c:pt idx="23">
                  <c:v>12.345834587905333</c:v>
                </c:pt>
                <c:pt idx="24">
                  <c:v>12.388394202324129</c:v>
                </c:pt>
                <c:pt idx="25">
                  <c:v>12.429216196844383</c:v>
                </c:pt>
                <c:pt idx="26">
                  <c:v>12.468436909997665</c:v>
                </c:pt>
                <c:pt idx="27">
                  <c:v>12.506177237980511</c:v>
                </c:pt>
                <c:pt idx="28">
                  <c:v>12.542544882151386</c:v>
                </c:pt>
                <c:pt idx="29">
                  <c:v>12.577636201962656</c:v>
                </c:pt>
                <c:pt idx="30">
                  <c:v>12.611537753638338</c:v>
                </c:pt>
                <c:pt idx="31">
                  <c:v>12.644327576461329</c:v>
                </c:pt>
                <c:pt idx="32">
                  <c:v>12.676076274775909</c:v>
                </c:pt>
                <c:pt idx="33">
                  <c:v>12.706847933442663</c:v>
                </c:pt>
                <c:pt idx="34">
                  <c:v>12.736700896592344</c:v>
                </c:pt>
                <c:pt idx="35">
                  <c:v>12.765688433465597</c:v>
                </c:pt>
                <c:pt idx="36">
                  <c:v>12.793859310432293</c:v>
                </c:pt>
                <c:pt idx="37">
                  <c:v>12.821258284620408</c:v>
                </c:pt>
                <c:pt idx="38">
                  <c:v>12.847926531702569</c:v>
                </c:pt>
                <c:pt idx="39">
                  <c:v>12.873902018105829</c:v>
                </c:pt>
                <c:pt idx="40">
                  <c:v>12.899219826090119</c:v>
                </c:pt>
                <c:pt idx="41">
                  <c:v>12.923912438680491</c:v>
                </c:pt>
                <c:pt idx="42">
                  <c:v>12.948009990259552</c:v>
                </c:pt>
                <c:pt idx="43">
                  <c:v>12.971540487669746</c:v>
                </c:pt>
                <c:pt idx="44">
                  <c:v>12.994530005894443</c:v>
                </c:pt>
                <c:pt idx="45">
                  <c:v>13.017002861746503</c:v>
                </c:pt>
                <c:pt idx="46">
                  <c:v>13.038981768465277</c:v>
                </c:pt>
                <c:pt idx="47">
                  <c:v>13.060487973686241</c:v>
                </c:pt>
                <c:pt idx="48">
                  <c:v>13.081541382884074</c:v>
                </c:pt>
                <c:pt idx="49">
                  <c:v>13.102160670086809</c:v>
                </c:pt>
                <c:pt idx="50">
                  <c:v>13.122363377404328</c:v>
                </c:pt>
              </c:numCache>
            </c:numRef>
          </c:cat>
          <c:val>
            <c:numRef>
              <c:f>'Freq distr'!$L$2:$L$52</c:f>
              <c:numCache>
                <c:formatCode>0%</c:formatCode>
                <c:ptCount val="51"/>
                <c:pt idx="0">
                  <c:v>0</c:v>
                </c:pt>
                <c:pt idx="1">
                  <c:v>1.260808450824211E-2</c:v>
                </c:pt>
                <c:pt idx="2">
                  <c:v>1.0222771222899007E-2</c:v>
                </c:pt>
                <c:pt idx="3">
                  <c:v>8.3911913787962679E-3</c:v>
                </c:pt>
                <c:pt idx="4">
                  <c:v>3.7298916670216238E-2</c:v>
                </c:pt>
                <c:pt idx="5">
                  <c:v>6.2103335179111471E-2</c:v>
                </c:pt>
                <c:pt idx="6">
                  <c:v>6.244409421987477E-2</c:v>
                </c:pt>
                <c:pt idx="7">
                  <c:v>7.2127330294898553E-2</c:v>
                </c:pt>
                <c:pt idx="8">
                  <c:v>6.7044341270179331E-2</c:v>
                </c:pt>
                <c:pt idx="9">
                  <c:v>8.1654385142905822E-2</c:v>
                </c:pt>
                <c:pt idx="10">
                  <c:v>4.9154491630106059E-2</c:v>
                </c:pt>
                <c:pt idx="11">
                  <c:v>5.7034544447757379E-2</c:v>
                </c:pt>
                <c:pt idx="12">
                  <c:v>4.3702346977893256E-2</c:v>
                </c:pt>
                <c:pt idx="13">
                  <c:v>3.5367948772557542E-2</c:v>
                </c:pt>
                <c:pt idx="14">
                  <c:v>2.8396586730275022E-2</c:v>
                </c:pt>
                <c:pt idx="15">
                  <c:v>4.6712385171302412E-2</c:v>
                </c:pt>
                <c:pt idx="16">
                  <c:v>3.7639675710979544E-2</c:v>
                </c:pt>
                <c:pt idx="17">
                  <c:v>1.9338075563317288E-2</c:v>
                </c:pt>
                <c:pt idx="18">
                  <c:v>2.1765983728755805E-2</c:v>
                </c:pt>
                <c:pt idx="19">
                  <c:v>1.2551291334781559E-2</c:v>
                </c:pt>
                <c:pt idx="20">
                  <c:v>7.2269313228549925E-3</c:v>
                </c:pt>
                <c:pt idx="21">
                  <c:v>9.3708736209907571E-3</c:v>
                </c:pt>
                <c:pt idx="22">
                  <c:v>1.5561329528190712E-2</c:v>
                </c:pt>
                <c:pt idx="23">
                  <c:v>2.1013474180403516E-2</c:v>
                </c:pt>
                <c:pt idx="24">
                  <c:v>8.7319504195595681E-3</c:v>
                </c:pt>
                <c:pt idx="25">
                  <c:v>9.5554514347375441E-3</c:v>
                </c:pt>
                <c:pt idx="26">
                  <c:v>6.8861722820916923E-3</c:v>
                </c:pt>
                <c:pt idx="27">
                  <c:v>8.973321406766906E-3</c:v>
                </c:pt>
                <c:pt idx="28">
                  <c:v>8.2066135650494809E-3</c:v>
                </c:pt>
                <c:pt idx="29">
                  <c:v>8.1214238048586563E-3</c:v>
                </c:pt>
                <c:pt idx="30">
                  <c:v>1.5660717581746673E-2</c:v>
                </c:pt>
                <c:pt idx="31">
                  <c:v>6.1194644403742672E-3</c:v>
                </c:pt>
                <c:pt idx="32">
                  <c:v>4.0323153156990527E-3</c:v>
                </c:pt>
                <c:pt idx="33">
                  <c:v>2.9390467265834647E-3</c:v>
                </c:pt>
                <c:pt idx="34">
                  <c:v>3.7057545683008902E-3</c:v>
                </c:pt>
                <c:pt idx="35">
                  <c:v>9.0869077536880072E-4</c:v>
                </c:pt>
                <c:pt idx="36">
                  <c:v>8.9165282333063568E-3</c:v>
                </c:pt>
                <c:pt idx="37">
                  <c:v>5.778705399610967E-3</c:v>
                </c:pt>
                <c:pt idx="38">
                  <c:v>4.6854368104953786E-3</c:v>
                </c:pt>
                <c:pt idx="39">
                  <c:v>1.9593644843889763E-3</c:v>
                </c:pt>
                <c:pt idx="40">
                  <c:v>6.8151808152660054E-3</c:v>
                </c:pt>
                <c:pt idx="41">
                  <c:v>3.1804177137908026E-3</c:v>
                </c:pt>
                <c:pt idx="42">
                  <c:v>2.7970637929320896E-3</c:v>
                </c:pt>
                <c:pt idx="43">
                  <c:v>0</c:v>
                </c:pt>
                <c:pt idx="44">
                  <c:v>1.8173815507376014E-3</c:v>
                </c:pt>
                <c:pt idx="45">
                  <c:v>2.8680552597577769E-3</c:v>
                </c:pt>
                <c:pt idx="46">
                  <c:v>1.8173815507376014E-3</c:v>
                </c:pt>
                <c:pt idx="47">
                  <c:v>0</c:v>
                </c:pt>
                <c:pt idx="48">
                  <c:v>0</c:v>
                </c:pt>
                <c:pt idx="49">
                  <c:v>4.6286436370348285E-3</c:v>
                </c:pt>
                <c:pt idx="50">
                  <c:v>1.6328037369908138E-3</c:v>
                </c:pt>
              </c:numCache>
            </c:numRef>
          </c:val>
        </c:ser>
        <c:dLbls>
          <c:showLegendKey val="0"/>
          <c:showVal val="0"/>
          <c:showCatName val="0"/>
          <c:showSerName val="0"/>
          <c:showPercent val="0"/>
          <c:showBubbleSize val="0"/>
        </c:dLbls>
        <c:gapWidth val="0"/>
        <c:axId val="233965440"/>
        <c:axId val="233984000"/>
      </c:barChart>
      <c:catAx>
        <c:axId val="233965440"/>
        <c:scaling>
          <c:orientation val="minMax"/>
        </c:scaling>
        <c:delete val="0"/>
        <c:axPos val="b"/>
        <c:title>
          <c:tx>
            <c:rich>
              <a:bodyPr/>
              <a:lstStyle/>
              <a:p>
                <a:pPr>
                  <a:defRPr/>
                </a:pPr>
                <a:r>
                  <a:rPr lang="en-US" b="0"/>
                  <a:t>Logarithm of Income</a:t>
                </a:r>
              </a:p>
            </c:rich>
          </c:tx>
          <c:overlay val="0"/>
        </c:title>
        <c:numFmt formatCode="0.0" sourceLinked="0"/>
        <c:majorTickMark val="out"/>
        <c:minorTickMark val="out"/>
        <c:tickLblPos val="nextTo"/>
        <c:crossAx val="233984000"/>
        <c:crosses val="autoZero"/>
        <c:auto val="1"/>
        <c:lblAlgn val="ctr"/>
        <c:lblOffset val="100"/>
        <c:tickLblSkip val="10"/>
        <c:tickMarkSkip val="10"/>
        <c:noMultiLvlLbl val="0"/>
      </c:catAx>
      <c:valAx>
        <c:axId val="233984000"/>
        <c:scaling>
          <c:orientation val="minMax"/>
        </c:scaling>
        <c:delete val="0"/>
        <c:axPos val="l"/>
        <c:majorGridlines/>
        <c:title>
          <c:tx>
            <c:rich>
              <a:bodyPr rot="-5400000" vert="horz"/>
              <a:lstStyle/>
              <a:p>
                <a:pPr>
                  <a:defRPr/>
                </a:pPr>
                <a:r>
                  <a:rPr lang="en-US" b="0"/>
                  <a:t>Percentage of population</a:t>
                </a:r>
              </a:p>
            </c:rich>
          </c:tx>
          <c:overlay val="0"/>
        </c:title>
        <c:numFmt formatCode="0%" sourceLinked="1"/>
        <c:majorTickMark val="out"/>
        <c:minorTickMark val="none"/>
        <c:tickLblPos val="nextTo"/>
        <c:crossAx val="2339654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n-US" sz="1050" b="0"/>
              <a:t>2009</a:t>
            </a:r>
          </a:p>
        </c:rich>
      </c:tx>
      <c:overlay val="0"/>
    </c:title>
    <c:autoTitleDeleted val="0"/>
    <c:plotArea>
      <c:layout/>
      <c:barChart>
        <c:barDir val="col"/>
        <c:grouping val="clustered"/>
        <c:varyColors val="0"/>
        <c:ser>
          <c:idx val="0"/>
          <c:order val="0"/>
          <c:tx>
            <c:strRef>
              <c:f>'Freq distr'!$N$1</c:f>
              <c:strCache>
                <c:ptCount val="1"/>
                <c:pt idx="0">
                  <c:v>2011</c:v>
                </c:pt>
              </c:strCache>
            </c:strRef>
          </c:tx>
          <c:spPr>
            <a:effectLst>
              <a:glow>
                <a:schemeClr val="accent1">
                  <a:alpha val="40000"/>
                </a:schemeClr>
              </a:glow>
            </a:effectLst>
          </c:spPr>
          <c:invertIfNegative val="0"/>
          <c:cat>
            <c:numRef>
              <c:f>'Freq distr'!$K$2:$K$52</c:f>
              <c:numCache>
                <c:formatCode>0.00</c:formatCode>
                <c:ptCount val="51"/>
                <c:pt idx="0">
                  <c:v>9.1</c:v>
                </c:pt>
                <c:pt idx="1">
                  <c:v>9.2103403719761836</c:v>
                </c:pt>
                <c:pt idx="2">
                  <c:v>9.9034875525361272</c:v>
                </c:pt>
                <c:pt idx="3">
                  <c:v>10.308952660644293</c:v>
                </c:pt>
                <c:pt idx="4">
                  <c:v>10.596634733096073</c:v>
                </c:pt>
                <c:pt idx="5">
                  <c:v>10.819778284410283</c:v>
                </c:pt>
                <c:pt idx="6">
                  <c:v>11.002099841204238</c:v>
                </c:pt>
                <c:pt idx="7">
                  <c:v>11.156250521031495</c:v>
                </c:pt>
                <c:pt idx="8">
                  <c:v>11.289781913656018</c:v>
                </c:pt>
                <c:pt idx="9">
                  <c:v>11.407564949312402</c:v>
                </c:pt>
                <c:pt idx="10">
                  <c:v>11.512925464970229</c:v>
                </c:pt>
                <c:pt idx="11">
                  <c:v>11.608235644774552</c:v>
                </c:pt>
                <c:pt idx="12">
                  <c:v>11.695247021764184</c:v>
                </c:pt>
                <c:pt idx="13">
                  <c:v>11.77528972943772</c:v>
                </c:pt>
                <c:pt idx="14">
                  <c:v>11.849397701591441</c:v>
                </c:pt>
                <c:pt idx="15">
                  <c:v>11.918390573078392</c:v>
                </c:pt>
                <c:pt idx="16">
                  <c:v>11.982929094215963</c:v>
                </c:pt>
                <c:pt idx="17">
                  <c:v>12.043553716032399</c:v>
                </c:pt>
                <c:pt idx="18">
                  <c:v>12.100712129872347</c:v>
                </c:pt>
                <c:pt idx="19">
                  <c:v>12.154779351142624</c:v>
                </c:pt>
                <c:pt idx="20">
                  <c:v>12.206072645530174</c:v>
                </c:pt>
                <c:pt idx="21">
                  <c:v>12.254862809699606</c:v>
                </c:pt>
                <c:pt idx="22">
                  <c:v>12.301382825334498</c:v>
                </c:pt>
                <c:pt idx="23">
                  <c:v>12.345834587905333</c:v>
                </c:pt>
                <c:pt idx="24">
                  <c:v>12.388394202324129</c:v>
                </c:pt>
                <c:pt idx="25">
                  <c:v>12.429216196844383</c:v>
                </c:pt>
                <c:pt idx="26">
                  <c:v>12.468436909997665</c:v>
                </c:pt>
                <c:pt idx="27">
                  <c:v>12.506177237980511</c:v>
                </c:pt>
                <c:pt idx="28">
                  <c:v>12.542544882151386</c:v>
                </c:pt>
                <c:pt idx="29">
                  <c:v>12.577636201962656</c:v>
                </c:pt>
                <c:pt idx="30">
                  <c:v>12.611537753638338</c:v>
                </c:pt>
                <c:pt idx="31">
                  <c:v>12.644327576461329</c:v>
                </c:pt>
                <c:pt idx="32">
                  <c:v>12.676076274775909</c:v>
                </c:pt>
                <c:pt idx="33">
                  <c:v>12.706847933442663</c:v>
                </c:pt>
                <c:pt idx="34">
                  <c:v>12.736700896592344</c:v>
                </c:pt>
                <c:pt idx="35">
                  <c:v>12.765688433465597</c:v>
                </c:pt>
                <c:pt idx="36">
                  <c:v>12.793859310432293</c:v>
                </c:pt>
                <c:pt idx="37">
                  <c:v>12.821258284620408</c:v>
                </c:pt>
                <c:pt idx="38">
                  <c:v>12.847926531702569</c:v>
                </c:pt>
                <c:pt idx="39">
                  <c:v>12.873902018105829</c:v>
                </c:pt>
                <c:pt idx="40">
                  <c:v>12.899219826090119</c:v>
                </c:pt>
                <c:pt idx="41">
                  <c:v>12.923912438680491</c:v>
                </c:pt>
                <c:pt idx="42">
                  <c:v>12.948009990259552</c:v>
                </c:pt>
                <c:pt idx="43">
                  <c:v>12.971540487669746</c:v>
                </c:pt>
                <c:pt idx="44">
                  <c:v>12.994530005894443</c:v>
                </c:pt>
                <c:pt idx="45">
                  <c:v>13.017002861746503</c:v>
                </c:pt>
                <c:pt idx="46">
                  <c:v>13.038981768465277</c:v>
                </c:pt>
                <c:pt idx="47">
                  <c:v>13.060487973686241</c:v>
                </c:pt>
                <c:pt idx="48">
                  <c:v>13.081541382884074</c:v>
                </c:pt>
                <c:pt idx="49">
                  <c:v>13.102160670086809</c:v>
                </c:pt>
                <c:pt idx="50">
                  <c:v>13.122363377404328</c:v>
                </c:pt>
              </c:numCache>
            </c:numRef>
          </c:cat>
          <c:val>
            <c:numRef>
              <c:f>'Freq distr'!$N$2:$N$52</c:f>
              <c:numCache>
                <c:formatCode>0%</c:formatCode>
                <c:ptCount val="51"/>
                <c:pt idx="0">
                  <c:v>6.8365069470975007E-4</c:v>
                </c:pt>
                <c:pt idx="1">
                  <c:v>1.7392877968350994E-3</c:v>
                </c:pt>
                <c:pt idx="2">
                  <c:v>2.7748175255866325E-3</c:v>
                </c:pt>
                <c:pt idx="3">
                  <c:v>1.3170329559849597E-3</c:v>
                </c:pt>
                <c:pt idx="4">
                  <c:v>3.5087366537309233E-3</c:v>
                </c:pt>
                <c:pt idx="5">
                  <c:v>7.5503187018679746E-3</c:v>
                </c:pt>
                <c:pt idx="6">
                  <c:v>9.4605191723805115E-3</c:v>
                </c:pt>
                <c:pt idx="7">
                  <c:v>1.7372770594977178E-2</c:v>
                </c:pt>
                <c:pt idx="8">
                  <c:v>1.9755494339774395E-2</c:v>
                </c:pt>
                <c:pt idx="9">
                  <c:v>2.4792391369915349E-2</c:v>
                </c:pt>
                <c:pt idx="10">
                  <c:v>2.4279653348883035E-2</c:v>
                </c:pt>
                <c:pt idx="11">
                  <c:v>2.8833973418052401E-2</c:v>
                </c:pt>
                <c:pt idx="12">
                  <c:v>2.7617477328936522E-2</c:v>
                </c:pt>
                <c:pt idx="13">
                  <c:v>3.3649689341081375E-2</c:v>
                </c:pt>
                <c:pt idx="14">
                  <c:v>2.9326604065710898E-2</c:v>
                </c:pt>
                <c:pt idx="15">
                  <c:v>3.1236804536223434E-2</c:v>
                </c:pt>
                <c:pt idx="16">
                  <c:v>2.7949248989604488E-2</c:v>
                </c:pt>
                <c:pt idx="17">
                  <c:v>2.8150322723342648E-2</c:v>
                </c:pt>
                <c:pt idx="18">
                  <c:v>3.1367502463153236E-2</c:v>
                </c:pt>
                <c:pt idx="19">
                  <c:v>2.4752176623167716E-2</c:v>
                </c:pt>
                <c:pt idx="20">
                  <c:v>3.4604789576337641E-2</c:v>
                </c:pt>
                <c:pt idx="21">
                  <c:v>1.867974986427523E-2</c:v>
                </c:pt>
                <c:pt idx="22">
                  <c:v>3.2121528964671346E-2</c:v>
                </c:pt>
                <c:pt idx="23">
                  <c:v>2.0197856553998351E-2</c:v>
                </c:pt>
                <c:pt idx="24">
                  <c:v>2.1846661170651278E-2</c:v>
                </c:pt>
                <c:pt idx="25">
                  <c:v>3.0130899000663545E-2</c:v>
                </c:pt>
                <c:pt idx="26">
                  <c:v>2.1364084209679689E-2</c:v>
                </c:pt>
                <c:pt idx="27">
                  <c:v>2.0861399875334283E-2</c:v>
                </c:pt>
                <c:pt idx="28">
                  <c:v>1.0496048901132045E-2</c:v>
                </c:pt>
                <c:pt idx="29">
                  <c:v>1.4648221502825087E-2</c:v>
                </c:pt>
                <c:pt idx="30">
                  <c:v>1.3260812740031769E-2</c:v>
                </c:pt>
                <c:pt idx="31">
                  <c:v>1.2607323105382744E-2</c:v>
                </c:pt>
                <c:pt idx="32">
                  <c:v>1.2335873564836225E-2</c:v>
                </c:pt>
                <c:pt idx="33">
                  <c:v>1.2245390384654053E-2</c:v>
                </c:pt>
                <c:pt idx="34">
                  <c:v>7.9122514225966663E-3</c:v>
                </c:pt>
                <c:pt idx="35">
                  <c:v>1.1431041763014498E-2</c:v>
                </c:pt>
                <c:pt idx="36">
                  <c:v>1.4225966661974947E-2</c:v>
                </c:pt>
                <c:pt idx="37">
                  <c:v>9.7319687129270305E-3</c:v>
                </c:pt>
                <c:pt idx="38">
                  <c:v>1.5271550077413388E-2</c:v>
                </c:pt>
                <c:pt idx="39">
                  <c:v>1.5844610218567149E-2</c:v>
                </c:pt>
                <c:pt idx="40">
                  <c:v>1.0737337381617839E-2</c:v>
                </c:pt>
                <c:pt idx="41">
                  <c:v>5.0167896567671361E-3</c:v>
                </c:pt>
                <c:pt idx="42">
                  <c:v>1.0405565720949873E-2</c:v>
                </c:pt>
                <c:pt idx="43">
                  <c:v>4.9162527898980552E-3</c:v>
                </c:pt>
                <c:pt idx="44">
                  <c:v>8.7366537309231298E-3</c:v>
                </c:pt>
                <c:pt idx="45">
                  <c:v>7.2587617879476402E-3</c:v>
                </c:pt>
                <c:pt idx="46">
                  <c:v>4.5442663824824562E-3</c:v>
                </c:pt>
                <c:pt idx="47">
                  <c:v>9.2795528120161661E-3</c:v>
                </c:pt>
                <c:pt idx="48">
                  <c:v>5.8512456517805077E-3</c:v>
                </c:pt>
                <c:pt idx="49">
                  <c:v>6.7560774536022357E-3</c:v>
                </c:pt>
                <c:pt idx="50">
                  <c:v>1.9504152172601693E-3</c:v>
                </c:pt>
              </c:numCache>
            </c:numRef>
          </c:val>
        </c:ser>
        <c:dLbls>
          <c:showLegendKey val="0"/>
          <c:showVal val="0"/>
          <c:showCatName val="0"/>
          <c:showSerName val="0"/>
          <c:showPercent val="0"/>
          <c:showBubbleSize val="0"/>
        </c:dLbls>
        <c:gapWidth val="0"/>
        <c:axId val="234008576"/>
        <c:axId val="234010496"/>
      </c:barChart>
      <c:catAx>
        <c:axId val="234008576"/>
        <c:scaling>
          <c:orientation val="minMax"/>
        </c:scaling>
        <c:delete val="0"/>
        <c:axPos val="b"/>
        <c:title>
          <c:tx>
            <c:rich>
              <a:bodyPr/>
              <a:lstStyle/>
              <a:p>
                <a:pPr>
                  <a:defRPr/>
                </a:pPr>
                <a:r>
                  <a:rPr lang="en-US" b="0"/>
                  <a:t>Logarithm of Income</a:t>
                </a:r>
              </a:p>
            </c:rich>
          </c:tx>
          <c:overlay val="0"/>
        </c:title>
        <c:numFmt formatCode="#,##0.0" sourceLinked="0"/>
        <c:majorTickMark val="out"/>
        <c:minorTickMark val="out"/>
        <c:tickLblPos val="nextTo"/>
        <c:crossAx val="234010496"/>
        <c:crosses val="autoZero"/>
        <c:auto val="1"/>
        <c:lblAlgn val="ctr"/>
        <c:lblOffset val="100"/>
        <c:tickLblSkip val="10"/>
        <c:tickMarkSkip val="10"/>
        <c:noMultiLvlLbl val="0"/>
      </c:catAx>
      <c:valAx>
        <c:axId val="234010496"/>
        <c:scaling>
          <c:orientation val="minMax"/>
          <c:max val="0.1"/>
        </c:scaling>
        <c:delete val="0"/>
        <c:axPos val="l"/>
        <c:majorGridlines/>
        <c:title>
          <c:tx>
            <c:rich>
              <a:bodyPr rot="-5400000" vert="horz"/>
              <a:lstStyle/>
              <a:p>
                <a:pPr>
                  <a:defRPr/>
                </a:pPr>
                <a:r>
                  <a:rPr lang="en-US" b="0"/>
                  <a:t>Percentage of population</a:t>
                </a:r>
              </a:p>
            </c:rich>
          </c:tx>
          <c:overlay val="0"/>
        </c:title>
        <c:numFmt formatCode="0%" sourceLinked="1"/>
        <c:majorTickMark val="out"/>
        <c:minorTickMark val="none"/>
        <c:tickLblPos val="nextTo"/>
        <c:crossAx val="234008576"/>
        <c:crosses val="autoZero"/>
        <c:crossBetween val="between"/>
        <c:majorUnit val="2.0000000000000004E-2"/>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220585541637873E-2"/>
          <c:y val="0.12852875608122208"/>
          <c:w val="0.77532735807266739"/>
          <c:h val="0.80159215453716837"/>
        </c:manualLayout>
      </c:layout>
      <c:scatterChart>
        <c:scatterStyle val="smoothMarker"/>
        <c:varyColors val="0"/>
        <c:ser>
          <c:idx val="0"/>
          <c:order val="0"/>
          <c:tx>
            <c:v>1990</c:v>
          </c:tx>
          <c:spPr>
            <a:ln w="6350"/>
          </c:spPr>
          <c:marker>
            <c:symbol val="none"/>
          </c:marker>
          <c:xVal>
            <c:numRef>
              <c:f>Sheet5!$F$2:$F$22</c:f>
              <c:numCache>
                <c:formatCode>0%</c:formatCode>
                <c:ptCount val="21"/>
                <c:pt idx="0">
                  <c:v>0</c:v>
                </c:pt>
                <c:pt idx="1">
                  <c:v>0.2009</c:v>
                </c:pt>
                <c:pt idx="2">
                  <c:v>0.33279999999999998</c:v>
                </c:pt>
                <c:pt idx="3">
                  <c:v>0.4214</c:v>
                </c:pt>
                <c:pt idx="4">
                  <c:v>0.50600000000000001</c:v>
                </c:pt>
                <c:pt idx="5">
                  <c:v>0.57879999999999998</c:v>
                </c:pt>
                <c:pt idx="6">
                  <c:v>0.64390000000000003</c:v>
                </c:pt>
                <c:pt idx="7">
                  <c:v>0.7006</c:v>
                </c:pt>
                <c:pt idx="8">
                  <c:v>0.75049999999999994</c:v>
                </c:pt>
                <c:pt idx="9">
                  <c:v>0.7923</c:v>
                </c:pt>
                <c:pt idx="10">
                  <c:v>0.8306</c:v>
                </c:pt>
                <c:pt idx="11">
                  <c:v>0.86339999999999995</c:v>
                </c:pt>
                <c:pt idx="12">
                  <c:v>0.89100000000000001</c:v>
                </c:pt>
                <c:pt idx="13">
                  <c:v>0.91500000000000004</c:v>
                </c:pt>
                <c:pt idx="14">
                  <c:v>0.93669999999999998</c:v>
                </c:pt>
                <c:pt idx="15">
                  <c:v>0.95609999999999995</c:v>
                </c:pt>
                <c:pt idx="16">
                  <c:v>0.96940000000000004</c:v>
                </c:pt>
                <c:pt idx="17">
                  <c:v>0.98170000000000002</c:v>
                </c:pt>
                <c:pt idx="18">
                  <c:v>0.99219999999999997</c:v>
                </c:pt>
                <c:pt idx="19">
                  <c:v>0.99680000000000002</c:v>
                </c:pt>
                <c:pt idx="20">
                  <c:v>1</c:v>
                </c:pt>
              </c:numCache>
            </c:numRef>
          </c:xVal>
          <c:yVal>
            <c:numRef>
              <c:f>Sheet5!$G$2:$G$22</c:f>
              <c:numCache>
                <c:formatCode>0%</c:formatCode>
                <c:ptCount val="21"/>
                <c:pt idx="0">
                  <c:v>0</c:v>
                </c:pt>
                <c:pt idx="1">
                  <c:v>0.05</c:v>
                </c:pt>
                <c:pt idx="2">
                  <c:v>0.1</c:v>
                </c:pt>
                <c:pt idx="3">
                  <c:v>0.15</c:v>
                </c:pt>
                <c:pt idx="4">
                  <c:v>0.2</c:v>
                </c:pt>
                <c:pt idx="5">
                  <c:v>0.25</c:v>
                </c:pt>
                <c:pt idx="6">
                  <c:v>0.3</c:v>
                </c:pt>
                <c:pt idx="7">
                  <c:v>0.35</c:v>
                </c:pt>
                <c:pt idx="8">
                  <c:v>0.39999999999999997</c:v>
                </c:pt>
                <c:pt idx="9">
                  <c:v>0.44999999999999996</c:v>
                </c:pt>
                <c:pt idx="10">
                  <c:v>0.49999999999999994</c:v>
                </c:pt>
                <c:pt idx="11">
                  <c:v>0.54999999999999993</c:v>
                </c:pt>
                <c:pt idx="12">
                  <c:v>0.6</c:v>
                </c:pt>
                <c:pt idx="13">
                  <c:v>0.65</c:v>
                </c:pt>
                <c:pt idx="14">
                  <c:v>0.70000000000000007</c:v>
                </c:pt>
                <c:pt idx="15">
                  <c:v>0.75000000000000011</c:v>
                </c:pt>
                <c:pt idx="16">
                  <c:v>0.80000000000000016</c:v>
                </c:pt>
                <c:pt idx="17">
                  <c:v>0.8500000000000002</c:v>
                </c:pt>
                <c:pt idx="18">
                  <c:v>0.90000000000000024</c:v>
                </c:pt>
                <c:pt idx="19">
                  <c:v>0.95000000000000029</c:v>
                </c:pt>
                <c:pt idx="20">
                  <c:v>1.0000000000000002</c:v>
                </c:pt>
              </c:numCache>
            </c:numRef>
          </c:yVal>
          <c:smooth val="1"/>
        </c:ser>
        <c:ser>
          <c:idx val="1"/>
          <c:order val="1"/>
          <c:tx>
            <c:v>2009</c:v>
          </c:tx>
          <c:spPr>
            <a:ln w="6350"/>
          </c:spPr>
          <c:marker>
            <c:symbol val="none"/>
          </c:marker>
          <c:xVal>
            <c:numRef>
              <c:f>Sheet5!$C$2:$C$22</c:f>
              <c:numCache>
                <c:formatCode>0%</c:formatCode>
                <c:ptCount val="21"/>
                <c:pt idx="0">
                  <c:v>0</c:v>
                </c:pt>
                <c:pt idx="1">
                  <c:v>0.20519999999999999</c:v>
                </c:pt>
                <c:pt idx="2">
                  <c:v>0.32719999999999999</c:v>
                </c:pt>
                <c:pt idx="3">
                  <c:v>0.4259</c:v>
                </c:pt>
                <c:pt idx="4">
                  <c:v>0.50880000000000003</c:v>
                </c:pt>
                <c:pt idx="5">
                  <c:v>0.58140000000000003</c:v>
                </c:pt>
                <c:pt idx="6">
                  <c:v>0.64349999999999996</c:v>
                </c:pt>
                <c:pt idx="7">
                  <c:v>0.69889999999999997</c:v>
                </c:pt>
                <c:pt idx="8">
                  <c:v>0.74490000000000001</c:v>
                </c:pt>
                <c:pt idx="9">
                  <c:v>0.78720000000000001</c:v>
                </c:pt>
                <c:pt idx="10">
                  <c:v>0.82389999999999997</c:v>
                </c:pt>
                <c:pt idx="11">
                  <c:v>0.85629999999999995</c:v>
                </c:pt>
                <c:pt idx="12">
                  <c:v>0.88629999999999998</c:v>
                </c:pt>
                <c:pt idx="13">
                  <c:v>0.9073</c:v>
                </c:pt>
                <c:pt idx="14">
                  <c:v>0.93120000000000003</c:v>
                </c:pt>
                <c:pt idx="15">
                  <c:v>0.95040000000000002</c:v>
                </c:pt>
                <c:pt idx="16">
                  <c:v>0.96460000000000001</c:v>
                </c:pt>
                <c:pt idx="17">
                  <c:v>0.97850000000000004</c:v>
                </c:pt>
                <c:pt idx="18">
                  <c:v>0.98829999999999996</c:v>
                </c:pt>
                <c:pt idx="19">
                  <c:v>0.99609999999999999</c:v>
                </c:pt>
                <c:pt idx="20">
                  <c:v>1</c:v>
                </c:pt>
              </c:numCache>
            </c:numRef>
          </c:xVal>
          <c:yVal>
            <c:numRef>
              <c:f>Sheet5!$A$2:$A$22</c:f>
              <c:numCache>
                <c:formatCode>General</c:formatCode>
                <c:ptCount val="21"/>
                <c:pt idx="0">
                  <c:v>0</c:v>
                </c:pt>
                <c:pt idx="1">
                  <c:v>0.05</c:v>
                </c:pt>
                <c:pt idx="2">
                  <c:v>0.1</c:v>
                </c:pt>
                <c:pt idx="3">
                  <c:v>0.15</c:v>
                </c:pt>
                <c:pt idx="4">
                  <c:v>0.2</c:v>
                </c:pt>
                <c:pt idx="5">
                  <c:v>0.25</c:v>
                </c:pt>
                <c:pt idx="6">
                  <c:v>0.3</c:v>
                </c:pt>
                <c:pt idx="7">
                  <c:v>0.35</c:v>
                </c:pt>
                <c:pt idx="8">
                  <c:v>0.39999999999999997</c:v>
                </c:pt>
                <c:pt idx="9">
                  <c:v>0.44999999999999996</c:v>
                </c:pt>
                <c:pt idx="10">
                  <c:v>0.49999999999999994</c:v>
                </c:pt>
                <c:pt idx="11">
                  <c:v>0.54999999999999993</c:v>
                </c:pt>
                <c:pt idx="12">
                  <c:v>0.6</c:v>
                </c:pt>
                <c:pt idx="13">
                  <c:v>0.65</c:v>
                </c:pt>
                <c:pt idx="14">
                  <c:v>0.70000000000000007</c:v>
                </c:pt>
                <c:pt idx="15">
                  <c:v>0.75000000000000011</c:v>
                </c:pt>
                <c:pt idx="16">
                  <c:v>0.80000000000000016</c:v>
                </c:pt>
                <c:pt idx="17">
                  <c:v>0.8500000000000002</c:v>
                </c:pt>
                <c:pt idx="18">
                  <c:v>0.90000000000000024</c:v>
                </c:pt>
                <c:pt idx="19">
                  <c:v>0.95000000000000029</c:v>
                </c:pt>
                <c:pt idx="20">
                  <c:v>1.0000000000000002</c:v>
                </c:pt>
              </c:numCache>
            </c:numRef>
          </c:yVal>
          <c:smooth val="1"/>
        </c:ser>
        <c:ser>
          <c:idx val="2"/>
          <c:order val="2"/>
          <c:tx>
            <c:v>Perfect Equality</c:v>
          </c:tx>
          <c:spPr>
            <a:ln w="6350">
              <a:prstDash val="sysDash"/>
            </a:ln>
          </c:spPr>
          <c:marker>
            <c:symbol val="none"/>
          </c:marker>
          <c:xVal>
            <c:numRef>
              <c:f>Sheet5!$I$2:$I$4</c:f>
              <c:numCache>
                <c:formatCode>0%</c:formatCode>
                <c:ptCount val="3"/>
                <c:pt idx="0">
                  <c:v>0</c:v>
                </c:pt>
                <c:pt idx="1">
                  <c:v>0.5</c:v>
                </c:pt>
                <c:pt idx="2">
                  <c:v>1</c:v>
                </c:pt>
              </c:numCache>
            </c:numRef>
          </c:xVal>
          <c:yVal>
            <c:numRef>
              <c:f>Sheet5!$J$2:$J$4</c:f>
              <c:numCache>
                <c:formatCode>0%</c:formatCode>
                <c:ptCount val="3"/>
                <c:pt idx="0">
                  <c:v>0</c:v>
                </c:pt>
                <c:pt idx="1">
                  <c:v>0.5</c:v>
                </c:pt>
                <c:pt idx="2">
                  <c:v>1</c:v>
                </c:pt>
              </c:numCache>
            </c:numRef>
          </c:yVal>
          <c:smooth val="1"/>
        </c:ser>
        <c:dLbls>
          <c:showLegendKey val="0"/>
          <c:showVal val="0"/>
          <c:showCatName val="0"/>
          <c:showSerName val="0"/>
          <c:showPercent val="0"/>
          <c:showBubbleSize val="0"/>
        </c:dLbls>
        <c:axId val="226370688"/>
        <c:axId val="226372224"/>
      </c:scatterChart>
      <c:valAx>
        <c:axId val="226370688"/>
        <c:scaling>
          <c:orientation val="minMax"/>
          <c:max val="1"/>
        </c:scaling>
        <c:delete val="0"/>
        <c:axPos val="b"/>
        <c:numFmt formatCode="0%" sourceLinked="1"/>
        <c:majorTickMark val="out"/>
        <c:minorTickMark val="none"/>
        <c:tickLblPos val="nextTo"/>
        <c:crossAx val="226372224"/>
        <c:crosses val="autoZero"/>
        <c:crossBetween val="midCat"/>
        <c:majorUnit val="0.25"/>
      </c:valAx>
      <c:valAx>
        <c:axId val="226372224"/>
        <c:scaling>
          <c:orientation val="minMax"/>
          <c:max val="1"/>
        </c:scaling>
        <c:delete val="0"/>
        <c:axPos val="l"/>
        <c:majorGridlines/>
        <c:numFmt formatCode="0%" sourceLinked="1"/>
        <c:majorTickMark val="out"/>
        <c:minorTickMark val="none"/>
        <c:tickLblPos val="nextTo"/>
        <c:crossAx val="226370688"/>
        <c:crosses val="autoZero"/>
        <c:crossBetween val="midCat"/>
        <c:majorUnit val="0.25"/>
      </c:valAx>
    </c:plotArea>
    <c:legend>
      <c:legendPos val="r"/>
      <c:legendEntry>
        <c:idx val="2"/>
        <c:delete val="1"/>
      </c:legendEntry>
      <c:layout>
        <c:manualLayout>
          <c:xMode val="edge"/>
          <c:yMode val="edge"/>
          <c:x val="0.86779967744451936"/>
          <c:y val="0.35255361908213356"/>
          <c:w val="0.10972178644737751"/>
          <c:h val="0.1008809672849471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'GDP, Const 2003 prices'!$A$20</c:f>
              <c:strCache>
                <c:ptCount val="1"/>
                <c:pt idx="0">
                  <c:v>GDP p/cap growth (%)</c:v>
                </c:pt>
              </c:strCache>
            </c:strRef>
          </c:tx>
          <c:marker>
            <c:symbol val="none"/>
          </c:marker>
          <c:cat>
            <c:numRef>
              <c:f>'GDP, Const 2003 prices'!$B$19:$T$19</c:f>
              <c:numCache>
                <c:formatCode>yyyy</c:formatCode>
                <c:ptCount val="19"/>
                <c:pt idx="0">
                  <c:v>33239</c:v>
                </c:pt>
                <c:pt idx="1">
                  <c:v>33604</c:v>
                </c:pt>
                <c:pt idx="2">
                  <c:v>33970</c:v>
                </c:pt>
                <c:pt idx="3">
                  <c:v>34335</c:v>
                </c:pt>
                <c:pt idx="4">
                  <c:v>34700</c:v>
                </c:pt>
                <c:pt idx="5">
                  <c:v>35065</c:v>
                </c:pt>
                <c:pt idx="6">
                  <c:v>35431</c:v>
                </c:pt>
                <c:pt idx="7">
                  <c:v>35796</c:v>
                </c:pt>
                <c:pt idx="8">
                  <c:v>36161</c:v>
                </c:pt>
                <c:pt idx="9">
                  <c:v>36526</c:v>
                </c:pt>
                <c:pt idx="10">
                  <c:v>36892</c:v>
                </c:pt>
                <c:pt idx="11">
                  <c:v>37257</c:v>
                </c:pt>
                <c:pt idx="12">
                  <c:v>37622</c:v>
                </c:pt>
                <c:pt idx="13">
                  <c:v>37987</c:v>
                </c:pt>
                <c:pt idx="14">
                  <c:v>38353</c:v>
                </c:pt>
                <c:pt idx="15">
                  <c:v>38718</c:v>
                </c:pt>
                <c:pt idx="16">
                  <c:v>39083</c:v>
                </c:pt>
                <c:pt idx="17">
                  <c:v>39448</c:v>
                </c:pt>
                <c:pt idx="18">
                  <c:v>39814</c:v>
                </c:pt>
              </c:numCache>
            </c:numRef>
          </c:cat>
          <c:val>
            <c:numRef>
              <c:f>'GDP, Const 2003 prices'!$B$20:$T$20</c:f>
              <c:numCache>
                <c:formatCode>General</c:formatCode>
                <c:ptCount val="19"/>
                <c:pt idx="0">
                  <c:v>5.9758533724557861</c:v>
                </c:pt>
                <c:pt idx="1">
                  <c:v>10.169762521904691</c:v>
                </c:pt>
                <c:pt idx="2">
                  <c:v>5.0979324133216153</c:v>
                </c:pt>
                <c:pt idx="3">
                  <c:v>3.8879482720045155</c:v>
                </c:pt>
                <c:pt idx="4">
                  <c:v>8.6274802091229184</c:v>
                </c:pt>
                <c:pt idx="5">
                  <c:v>5.8953484610584583</c:v>
                </c:pt>
                <c:pt idx="6">
                  <c:v>5.1551126024409033</c:v>
                </c:pt>
                <c:pt idx="7">
                  <c:v>1.8763052908933986</c:v>
                </c:pt>
                <c:pt idx="8">
                  <c:v>-2.0398954797781421</c:v>
                </c:pt>
                <c:pt idx="9">
                  <c:v>3.0970088907795956</c:v>
                </c:pt>
                <c:pt idx="10">
                  <c:v>2.1940507522024477</c:v>
                </c:pt>
                <c:pt idx="11">
                  <c:v>1.0385136496093406</c:v>
                </c:pt>
                <c:pt idx="12">
                  <c:v>2.8211719865690821</c:v>
                </c:pt>
                <c:pt idx="13">
                  <c:v>4.8952459594325148</c:v>
                </c:pt>
                <c:pt idx="14">
                  <c:v>4.4310038001665664</c:v>
                </c:pt>
                <c:pt idx="15">
                  <c:v>3.5372442561093287</c:v>
                </c:pt>
                <c:pt idx="16">
                  <c:v>3.5579427008255893</c:v>
                </c:pt>
                <c:pt idx="17">
                  <c:v>2.6395458361901936</c:v>
                </c:pt>
                <c:pt idx="18">
                  <c:v>-2.6425029150002777</c:v>
                </c:pt>
              </c:numCache>
            </c:numRef>
          </c:val>
          <c:smooth val="1"/>
        </c:ser>
        <c:ser>
          <c:idx val="1"/>
          <c:order val="1"/>
          <c:tx>
            <c:strRef>
              <c:f>'GDP, Const 2003 prices'!$A$21</c:f>
              <c:strCache>
                <c:ptCount val="1"/>
                <c:pt idx="0">
                  <c:v>Unemployment (%)</c:v>
                </c:pt>
              </c:strCache>
            </c:strRef>
          </c:tx>
          <c:spPr>
            <a:ln>
              <a:prstDash val="sysDash"/>
            </a:ln>
          </c:spPr>
          <c:marker>
            <c:symbol val="none"/>
          </c:marker>
          <c:cat>
            <c:numRef>
              <c:f>'GDP, Const 2003 prices'!$B$19:$T$19</c:f>
              <c:numCache>
                <c:formatCode>yyyy</c:formatCode>
                <c:ptCount val="19"/>
                <c:pt idx="0">
                  <c:v>33239</c:v>
                </c:pt>
                <c:pt idx="1">
                  <c:v>33604</c:v>
                </c:pt>
                <c:pt idx="2">
                  <c:v>33970</c:v>
                </c:pt>
                <c:pt idx="3">
                  <c:v>34335</c:v>
                </c:pt>
                <c:pt idx="4">
                  <c:v>34700</c:v>
                </c:pt>
                <c:pt idx="5">
                  <c:v>35065</c:v>
                </c:pt>
                <c:pt idx="6">
                  <c:v>35431</c:v>
                </c:pt>
                <c:pt idx="7">
                  <c:v>35796</c:v>
                </c:pt>
                <c:pt idx="8">
                  <c:v>36161</c:v>
                </c:pt>
                <c:pt idx="9">
                  <c:v>36526</c:v>
                </c:pt>
                <c:pt idx="10">
                  <c:v>36892</c:v>
                </c:pt>
                <c:pt idx="11">
                  <c:v>37257</c:v>
                </c:pt>
                <c:pt idx="12">
                  <c:v>37622</c:v>
                </c:pt>
                <c:pt idx="13">
                  <c:v>37987</c:v>
                </c:pt>
                <c:pt idx="14">
                  <c:v>38353</c:v>
                </c:pt>
                <c:pt idx="15">
                  <c:v>38718</c:v>
                </c:pt>
                <c:pt idx="16">
                  <c:v>39083</c:v>
                </c:pt>
                <c:pt idx="17">
                  <c:v>39448</c:v>
                </c:pt>
                <c:pt idx="18">
                  <c:v>39814</c:v>
                </c:pt>
              </c:numCache>
            </c:numRef>
          </c:cat>
          <c:val>
            <c:numRef>
              <c:f>'GDP, Const 2003 prices'!$B$21:$T$21</c:f>
              <c:numCache>
                <c:formatCode>General</c:formatCode>
                <c:ptCount val="19"/>
                <c:pt idx="0">
                  <c:v>7.94</c:v>
                </c:pt>
                <c:pt idx="1">
                  <c:v>6.43</c:v>
                </c:pt>
                <c:pt idx="2">
                  <c:v>6.26</c:v>
                </c:pt>
                <c:pt idx="3">
                  <c:v>7.52</c:v>
                </c:pt>
                <c:pt idx="4">
                  <c:v>7.03</c:v>
                </c:pt>
                <c:pt idx="5">
                  <c:v>6.35</c:v>
                </c:pt>
                <c:pt idx="6">
                  <c:v>6.1</c:v>
                </c:pt>
                <c:pt idx="7">
                  <c:v>6.42</c:v>
                </c:pt>
                <c:pt idx="8">
                  <c:v>10.1</c:v>
                </c:pt>
                <c:pt idx="9">
                  <c:v>9.73</c:v>
                </c:pt>
                <c:pt idx="10">
                  <c:v>9.85</c:v>
                </c:pt>
                <c:pt idx="11">
                  <c:v>9.7899999999999991</c:v>
                </c:pt>
                <c:pt idx="12">
                  <c:v>9.5299999999999994</c:v>
                </c:pt>
                <c:pt idx="13">
                  <c:v>10.029999999999999</c:v>
                </c:pt>
                <c:pt idx="14">
                  <c:v>9.23</c:v>
                </c:pt>
                <c:pt idx="15">
                  <c:v>7.82</c:v>
                </c:pt>
                <c:pt idx="16">
                  <c:v>7.12</c:v>
                </c:pt>
                <c:pt idx="17">
                  <c:v>7.8100000000000014</c:v>
                </c:pt>
                <c:pt idx="18">
                  <c:v>9.69</c:v>
                </c:pt>
              </c:numCache>
            </c:numRef>
          </c:val>
          <c:smooth val="1"/>
        </c:ser>
        <c:dLbls>
          <c:showLegendKey val="0"/>
          <c:showVal val="0"/>
          <c:showCatName val="0"/>
          <c:showSerName val="0"/>
          <c:showPercent val="0"/>
          <c:showBubbleSize val="0"/>
        </c:dLbls>
        <c:marker val="1"/>
        <c:smooth val="0"/>
        <c:axId val="226423168"/>
        <c:axId val="226424704"/>
      </c:lineChart>
      <c:lineChart>
        <c:grouping val="standard"/>
        <c:varyColors val="0"/>
        <c:ser>
          <c:idx val="2"/>
          <c:order val="2"/>
          <c:tx>
            <c:strRef>
              <c:f>'GDP, Const 2003 prices'!$A$22</c:f>
              <c:strCache>
                <c:ptCount val="1"/>
                <c:pt idx="0">
                  <c:v>Gini</c:v>
                </c:pt>
              </c:strCache>
            </c:strRef>
          </c:tx>
          <c:spPr>
            <a:ln>
              <a:prstDash val="dash"/>
            </a:ln>
          </c:spPr>
          <c:marker>
            <c:symbol val="none"/>
          </c:marker>
          <c:cat>
            <c:numRef>
              <c:f>'GDP, Const 2003 prices'!$B$19:$T$19</c:f>
              <c:numCache>
                <c:formatCode>yyyy</c:formatCode>
                <c:ptCount val="19"/>
                <c:pt idx="0">
                  <c:v>33239</c:v>
                </c:pt>
                <c:pt idx="1">
                  <c:v>33604</c:v>
                </c:pt>
                <c:pt idx="2">
                  <c:v>33970</c:v>
                </c:pt>
                <c:pt idx="3">
                  <c:v>34335</c:v>
                </c:pt>
                <c:pt idx="4">
                  <c:v>34700</c:v>
                </c:pt>
                <c:pt idx="5">
                  <c:v>35065</c:v>
                </c:pt>
                <c:pt idx="6">
                  <c:v>35431</c:v>
                </c:pt>
                <c:pt idx="7">
                  <c:v>35796</c:v>
                </c:pt>
                <c:pt idx="8">
                  <c:v>36161</c:v>
                </c:pt>
                <c:pt idx="9">
                  <c:v>36526</c:v>
                </c:pt>
                <c:pt idx="10">
                  <c:v>36892</c:v>
                </c:pt>
                <c:pt idx="11">
                  <c:v>37257</c:v>
                </c:pt>
                <c:pt idx="12">
                  <c:v>37622</c:v>
                </c:pt>
                <c:pt idx="13">
                  <c:v>37987</c:v>
                </c:pt>
                <c:pt idx="14">
                  <c:v>38353</c:v>
                </c:pt>
                <c:pt idx="15">
                  <c:v>38718</c:v>
                </c:pt>
                <c:pt idx="16">
                  <c:v>39083</c:v>
                </c:pt>
                <c:pt idx="17">
                  <c:v>39448</c:v>
                </c:pt>
                <c:pt idx="18">
                  <c:v>39814</c:v>
                </c:pt>
              </c:numCache>
            </c:numRef>
          </c:cat>
          <c:val>
            <c:numRef>
              <c:f>'GDP, Const 2003 prices'!$B$22:$T$22</c:f>
              <c:numCache>
                <c:formatCode>General</c:formatCode>
                <c:ptCount val="19"/>
                <c:pt idx="0" formatCode="####.0000">
                  <c:v>0.54214917172367549</c:v>
                </c:pt>
                <c:pt idx="1">
                  <c:v>0.54108022261347311</c:v>
                </c:pt>
                <c:pt idx="2" formatCode="####.0000">
                  <c:v>0.54001127350327072</c:v>
                </c:pt>
                <c:pt idx="3">
                  <c:v>0.5423663318553793</c:v>
                </c:pt>
                <c:pt idx="4" formatCode="####.0000">
                  <c:v>0.54472139020748789</c:v>
                </c:pt>
                <c:pt idx="5">
                  <c:v>0.5496621408896385</c:v>
                </c:pt>
                <c:pt idx="6" formatCode="####.0000">
                  <c:v>0.55460289157178899</c:v>
                </c:pt>
                <c:pt idx="7">
                  <c:v>0.55013308708479958</c:v>
                </c:pt>
                <c:pt idx="8" formatCode="####.0000">
                  <c:v>0.54566328259781016</c:v>
                </c:pt>
                <c:pt idx="9">
                  <c:v>0.54681850010288324</c:v>
                </c:pt>
                <c:pt idx="10" formatCode="####.0000">
                  <c:v>0.54797371760795632</c:v>
                </c:pt>
                <c:pt idx="11">
                  <c:v>0.54768709737654553</c:v>
                </c:pt>
                <c:pt idx="12">
                  <c:v>0.54742043070987878</c:v>
                </c:pt>
                <c:pt idx="13" formatCode="####.0000">
                  <c:v>0.54715376404321214</c:v>
                </c:pt>
                <c:pt idx="14">
                  <c:v>0.5333985925845357</c:v>
                </c:pt>
                <c:pt idx="15">
                  <c:v>0.51964342112585915</c:v>
                </c:pt>
                <c:pt idx="16" formatCode="####.0000">
                  <c:v>0.50588824966718271</c:v>
                </c:pt>
                <c:pt idx="17">
                  <c:v>0.50647685758101579</c:v>
                </c:pt>
                <c:pt idx="18">
                  <c:v>0.50706546549484877</c:v>
                </c:pt>
              </c:numCache>
            </c:numRef>
          </c:val>
          <c:smooth val="0"/>
        </c:ser>
        <c:dLbls>
          <c:showLegendKey val="0"/>
          <c:showVal val="0"/>
          <c:showCatName val="0"/>
          <c:showSerName val="0"/>
          <c:showPercent val="0"/>
          <c:showBubbleSize val="0"/>
        </c:dLbls>
        <c:marker val="1"/>
        <c:smooth val="0"/>
        <c:axId val="234165760"/>
        <c:axId val="234164224"/>
      </c:lineChart>
      <c:dateAx>
        <c:axId val="226423168"/>
        <c:scaling>
          <c:orientation val="minMax"/>
        </c:scaling>
        <c:delete val="0"/>
        <c:axPos val="b"/>
        <c:numFmt formatCode="yyyy" sourceLinked="1"/>
        <c:majorTickMark val="out"/>
        <c:minorTickMark val="none"/>
        <c:tickLblPos val="low"/>
        <c:txPr>
          <a:bodyPr/>
          <a:lstStyle/>
          <a:p>
            <a:pPr>
              <a:defRPr>
                <a:latin typeface="Times New Roman" pitchFamily="18" charset="0"/>
                <a:cs typeface="Times New Roman" pitchFamily="18" charset="0"/>
              </a:defRPr>
            </a:pPr>
            <a:endParaRPr lang="en-US"/>
          </a:p>
        </c:txPr>
        <c:crossAx val="226424704"/>
        <c:crosses val="autoZero"/>
        <c:auto val="0"/>
        <c:lblOffset val="100"/>
        <c:baseTimeUnit val="years"/>
      </c:dateAx>
      <c:valAx>
        <c:axId val="226424704"/>
        <c:scaling>
          <c:orientation val="minMax"/>
        </c:scaling>
        <c:delete val="0"/>
        <c:axPos val="l"/>
        <c:majorGridlines/>
        <c:title>
          <c:tx>
            <c:rich>
              <a:bodyPr rot="-5400000" vert="horz"/>
              <a:lstStyle/>
              <a:p>
                <a:pPr>
                  <a:defRPr/>
                </a:pPr>
                <a:r>
                  <a:rPr lang="en-US"/>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26423168"/>
        <c:crosses val="autoZero"/>
        <c:crossBetween val="between"/>
      </c:valAx>
      <c:valAx>
        <c:axId val="234164224"/>
        <c:scaling>
          <c:orientation val="minMax"/>
        </c:scaling>
        <c:delete val="0"/>
        <c:axPos val="r"/>
        <c:numFmt formatCode="#,##0.0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34165760"/>
        <c:crosses val="max"/>
        <c:crossBetween val="between"/>
      </c:valAx>
      <c:dateAx>
        <c:axId val="234165760"/>
        <c:scaling>
          <c:orientation val="minMax"/>
        </c:scaling>
        <c:delete val="1"/>
        <c:axPos val="b"/>
        <c:numFmt formatCode="yyyy" sourceLinked="1"/>
        <c:majorTickMark val="out"/>
        <c:minorTickMark val="none"/>
        <c:tickLblPos val="nextTo"/>
        <c:crossAx val="234164224"/>
        <c:crosses val="autoZero"/>
        <c:auto val="1"/>
        <c:lblOffset val="100"/>
        <c:baseTimeUnit val="years"/>
      </c:date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92390963091336"/>
          <c:y val="0.13138718161797172"/>
          <c:w val="0.86037108161819986"/>
          <c:h val="0.70492845917771252"/>
        </c:manualLayout>
      </c:layout>
      <c:scatterChart>
        <c:scatterStyle val="lineMarker"/>
        <c:varyColors val="0"/>
        <c:ser>
          <c:idx val="0"/>
          <c:order val="0"/>
          <c:spPr>
            <a:ln w="28575">
              <a:noFill/>
            </a:ln>
          </c:spPr>
          <c:dLbls>
            <c:dLbl>
              <c:idx val="0"/>
              <c:tx>
                <c:rich>
                  <a:bodyPr/>
                  <a:lstStyle/>
                  <a:p>
                    <a:r>
                      <a:rPr lang="en-US"/>
                      <a:t>1</a:t>
                    </a:r>
                  </a:p>
                </c:rich>
              </c:tx>
              <c:showLegendKey val="0"/>
              <c:showVal val="1"/>
              <c:showCatName val="0"/>
              <c:showSerName val="0"/>
              <c:showPercent val="0"/>
              <c:showBubbleSize val="0"/>
            </c:dLbl>
            <c:dLbl>
              <c:idx val="1"/>
              <c:tx>
                <c:rich>
                  <a:bodyPr/>
                  <a:lstStyle/>
                  <a:p>
                    <a:r>
                      <a:rPr lang="en-US"/>
                      <a:t>2</a:t>
                    </a:r>
                  </a:p>
                </c:rich>
              </c:tx>
              <c:showLegendKey val="0"/>
              <c:showVal val="1"/>
              <c:showCatName val="0"/>
              <c:showSerName val="0"/>
              <c:showPercent val="0"/>
              <c:showBubbleSize val="0"/>
            </c:dLbl>
            <c:dLbl>
              <c:idx val="2"/>
              <c:tx>
                <c:rich>
                  <a:bodyPr/>
                  <a:lstStyle/>
                  <a:p>
                    <a:r>
                      <a:rPr lang="en-US"/>
                      <a:t>3</a:t>
                    </a:r>
                  </a:p>
                </c:rich>
              </c:tx>
              <c:showLegendKey val="0"/>
              <c:showVal val="1"/>
              <c:showCatName val="0"/>
              <c:showSerName val="0"/>
              <c:showPercent val="0"/>
              <c:showBubbleSize val="0"/>
            </c:dLbl>
            <c:dLbl>
              <c:idx val="3"/>
              <c:tx>
                <c:rich>
                  <a:bodyPr/>
                  <a:lstStyle/>
                  <a:p>
                    <a:r>
                      <a:rPr lang="en-US"/>
                      <a:t>4</a:t>
                    </a:r>
                  </a:p>
                </c:rich>
              </c:tx>
              <c:showLegendKey val="0"/>
              <c:showVal val="1"/>
              <c:showCatName val="0"/>
              <c:showSerName val="0"/>
              <c:showPercent val="0"/>
              <c:showBubbleSize val="0"/>
            </c:dLbl>
            <c:dLbl>
              <c:idx val="4"/>
              <c:tx>
                <c:rich>
                  <a:bodyPr/>
                  <a:lstStyle/>
                  <a:p>
                    <a:r>
                      <a:rPr lang="en-US"/>
                      <a:t>5</a:t>
                    </a:r>
                  </a:p>
                </c:rich>
              </c:tx>
              <c:dLblPos val="t"/>
              <c:showLegendKey val="0"/>
              <c:showVal val="1"/>
              <c:showCatName val="0"/>
              <c:showSerName val="0"/>
              <c:showPercent val="0"/>
              <c:showBubbleSize val="0"/>
            </c:dLbl>
            <c:dLbl>
              <c:idx val="5"/>
              <c:tx>
                <c:rich>
                  <a:bodyPr/>
                  <a:lstStyle/>
                  <a:p>
                    <a:r>
                      <a:rPr lang="en-US"/>
                      <a:t>6</a:t>
                    </a:r>
                  </a:p>
                </c:rich>
              </c:tx>
              <c:showLegendKey val="0"/>
              <c:showVal val="1"/>
              <c:showCatName val="0"/>
              <c:showSerName val="0"/>
              <c:showPercent val="0"/>
              <c:showBubbleSize val="0"/>
            </c:dLbl>
            <c:dLbl>
              <c:idx val="6"/>
              <c:tx>
                <c:rich>
                  <a:bodyPr/>
                  <a:lstStyle/>
                  <a:p>
                    <a:r>
                      <a:rPr lang="en-US"/>
                      <a:t>7</a:t>
                    </a:r>
                  </a:p>
                </c:rich>
              </c:tx>
              <c:showLegendKey val="0"/>
              <c:showVal val="1"/>
              <c:showCatName val="0"/>
              <c:showSerName val="0"/>
              <c:showPercent val="0"/>
              <c:showBubbleSize val="0"/>
            </c:dLbl>
            <c:dLbl>
              <c:idx val="7"/>
              <c:tx>
                <c:rich>
                  <a:bodyPr/>
                  <a:lstStyle/>
                  <a:p>
                    <a:r>
                      <a:rPr lang="en-US"/>
                      <a:t>8</a:t>
                    </a:r>
                  </a:p>
                </c:rich>
              </c:tx>
              <c:dLblPos val="b"/>
              <c:showLegendKey val="0"/>
              <c:showVal val="1"/>
              <c:showCatName val="0"/>
              <c:showSerName val="0"/>
              <c:showPercent val="0"/>
              <c:showBubbleSize val="0"/>
            </c:dLbl>
            <c:dLbl>
              <c:idx val="8"/>
              <c:tx>
                <c:rich>
                  <a:bodyPr/>
                  <a:lstStyle/>
                  <a:p>
                    <a:r>
                      <a:rPr lang="en-US"/>
                      <a:t>9</a:t>
                    </a:r>
                  </a:p>
                </c:rich>
              </c:tx>
              <c:showLegendKey val="0"/>
              <c:showVal val="1"/>
              <c:showCatName val="0"/>
              <c:showSerName val="0"/>
              <c:showPercent val="0"/>
              <c:showBubbleSize val="0"/>
            </c:dLbl>
            <c:dLbl>
              <c:idx val="9"/>
              <c:tx>
                <c:rich>
                  <a:bodyPr/>
                  <a:lstStyle/>
                  <a:p>
                    <a:r>
                      <a:rPr lang="en-US"/>
                      <a:t>10</a:t>
                    </a:r>
                  </a:p>
                </c:rich>
              </c:tx>
              <c:showLegendKey val="0"/>
              <c:showVal val="1"/>
              <c:showCatName val="0"/>
              <c:showSerName val="0"/>
              <c:showPercent val="0"/>
              <c:showBubbleSize val="0"/>
            </c:dLbl>
            <c:dLbl>
              <c:idx val="10"/>
              <c:tx>
                <c:rich>
                  <a:bodyPr/>
                  <a:lstStyle/>
                  <a:p>
                    <a:r>
                      <a:rPr lang="en-US"/>
                      <a:t>11</a:t>
                    </a:r>
                  </a:p>
                </c:rich>
              </c:tx>
              <c:showLegendKey val="0"/>
              <c:showVal val="1"/>
              <c:showCatName val="0"/>
              <c:showSerName val="0"/>
              <c:showPercent val="0"/>
              <c:showBubbleSize val="0"/>
            </c:dLbl>
            <c:dLbl>
              <c:idx val="11"/>
              <c:tx>
                <c:rich>
                  <a:bodyPr/>
                  <a:lstStyle/>
                  <a:p>
                    <a:r>
                      <a:rPr lang="en-US"/>
                      <a:t>12</a:t>
                    </a:r>
                  </a:p>
                </c:rich>
              </c:tx>
              <c:showLegendKey val="0"/>
              <c:showVal val="1"/>
              <c:showCatName val="0"/>
              <c:showSerName val="0"/>
              <c:showPercent val="0"/>
              <c:showBubbleSize val="0"/>
            </c:dLbl>
            <c:dLbl>
              <c:idx val="12"/>
              <c:tx>
                <c:rich>
                  <a:bodyPr/>
                  <a:lstStyle/>
                  <a:p>
                    <a:r>
                      <a:rPr lang="en-US"/>
                      <a:t>13</a:t>
                    </a:r>
                  </a:p>
                </c:rich>
              </c:tx>
              <c:showLegendKey val="0"/>
              <c:showVal val="1"/>
              <c:showCatName val="0"/>
              <c:showSerName val="0"/>
              <c:showPercent val="0"/>
              <c:showBubbleSize val="0"/>
            </c:dLbl>
            <c:showLegendKey val="0"/>
            <c:showVal val="0"/>
            <c:showCatName val="0"/>
            <c:showSerName val="0"/>
            <c:showPercent val="0"/>
            <c:showBubbleSize val="0"/>
          </c:dLbls>
          <c:xVal>
            <c:numRef>
              <c:f>'GDP grafiek'!$C$3:$C$15</c:f>
              <c:numCache>
                <c:formatCode>General</c:formatCode>
                <c:ptCount val="13"/>
                <c:pt idx="0">
                  <c:v>0.2403655960585418</c:v>
                </c:pt>
                <c:pt idx="1">
                  <c:v>0.65499517105189042</c:v>
                </c:pt>
                <c:pt idx="2">
                  <c:v>-0.12557365077133298</c:v>
                </c:pt>
                <c:pt idx="3">
                  <c:v>-0.48925832722386531</c:v>
                </c:pt>
                <c:pt idx="4">
                  <c:v>-5.2504323074936465E-2</c:v>
                </c:pt>
                <c:pt idx="5">
                  <c:v>-0.19347457683550928</c:v>
                </c:pt>
                <c:pt idx="6">
                  <c:v>-0.57909828600952373</c:v>
                </c:pt>
                <c:pt idx="7">
                  <c:v>-6.4408602568141404E-2</c:v>
                </c:pt>
                <c:pt idx="8">
                  <c:v>-0.77328628974877667</c:v>
                </c:pt>
                <c:pt idx="9">
                  <c:v>-0.44551574227571322</c:v>
                </c:pt>
                <c:pt idx="10">
                  <c:v>-1.2305160194014064E-2</c:v>
                </c:pt>
                <c:pt idx="11">
                  <c:v>0.96732896363866772</c:v>
                </c:pt>
                <c:pt idx="12">
                  <c:v>7.3276340965430009E-2</c:v>
                </c:pt>
              </c:numCache>
            </c:numRef>
          </c:xVal>
          <c:yVal>
            <c:numRef>
              <c:f>'GDP grafiek'!$D$3:$D$15</c:f>
              <c:numCache>
                <c:formatCode>0%</c:formatCode>
                <c:ptCount val="13"/>
                <c:pt idx="0">
                  <c:v>-1.8311432588360849E-3</c:v>
                </c:pt>
                <c:pt idx="1">
                  <c:v>-1.7084339799816467E-3</c:v>
                </c:pt>
                <c:pt idx="2">
                  <c:v>3.0589401204208812E-2</c:v>
                </c:pt>
                <c:pt idx="3">
                  <c:v>-1.2075187937577045E-2</c:v>
                </c:pt>
                <c:pt idx="4">
                  <c:v>-1.9964636912081508E-2</c:v>
                </c:pt>
                <c:pt idx="5">
                  <c:v>-1.4527081969592764E-2</c:v>
                </c:pt>
                <c:pt idx="6">
                  <c:v>2.9457324929373085E-3</c:v>
                </c:pt>
                <c:pt idx="7">
                  <c:v>-2.1015832469730902E-2</c:v>
                </c:pt>
                <c:pt idx="8">
                  <c:v>-9.8733876707285326E-3</c:v>
                </c:pt>
                <c:pt idx="9">
                  <c:v>-2.2161266036873767E-3</c:v>
                </c:pt>
                <c:pt idx="10">
                  <c:v>6.9755687682103787E-3</c:v>
                </c:pt>
                <c:pt idx="11">
                  <c:v>-4.8827613589515047E-2</c:v>
                </c:pt>
                <c:pt idx="12">
                  <c:v>-9.9879297430417041E-4</c:v>
                </c:pt>
              </c:numCache>
            </c:numRef>
          </c:yVal>
          <c:smooth val="0"/>
        </c:ser>
        <c:ser>
          <c:idx val="1"/>
          <c:order val="1"/>
          <c:tx>
            <c:v>olijn</c:v>
          </c:tx>
          <c:spPr>
            <a:ln w="28575">
              <a:noFill/>
            </a:ln>
          </c:spPr>
          <c:marker>
            <c:symbol val="none"/>
          </c:marker>
          <c:errBars>
            <c:errDir val="x"/>
            <c:errBarType val="both"/>
            <c:errValType val="stdErr"/>
            <c:noEndCap val="0"/>
            <c:spPr>
              <a:ln w="3175">
                <a:prstDash val="sysDot"/>
              </a:ln>
            </c:spPr>
          </c:errBars>
          <c:xVal>
            <c:numRef>
              <c:f>'GDP grafiek'!$B$18:$B$19</c:f>
              <c:numCache>
                <c:formatCode>General</c:formatCode>
                <c:ptCount val="2"/>
                <c:pt idx="0">
                  <c:v>-1</c:v>
                </c:pt>
                <c:pt idx="1">
                  <c:v>1</c:v>
                </c:pt>
              </c:numCache>
            </c:numRef>
          </c:xVal>
          <c:yVal>
            <c:numRef>
              <c:f>'GDP grafiek'!$C$18:$C$19</c:f>
              <c:numCache>
                <c:formatCode>General</c:formatCode>
                <c:ptCount val="2"/>
                <c:pt idx="0">
                  <c:v>0</c:v>
                </c:pt>
                <c:pt idx="1">
                  <c:v>0</c:v>
                </c:pt>
              </c:numCache>
            </c:numRef>
          </c:yVal>
          <c:smooth val="0"/>
        </c:ser>
        <c:ser>
          <c:idx val="2"/>
          <c:order val="2"/>
          <c:tx>
            <c:v>y0lijn</c:v>
          </c:tx>
          <c:spPr>
            <a:ln w="28575">
              <a:noFill/>
            </a:ln>
          </c:spPr>
          <c:dPt>
            <c:idx val="0"/>
            <c:marker>
              <c:symbol val="none"/>
            </c:marker>
            <c:bubble3D val="0"/>
          </c:dPt>
          <c:dPt>
            <c:idx val="1"/>
            <c:marker>
              <c:symbol val="none"/>
            </c:marker>
            <c:bubble3D val="0"/>
          </c:dPt>
          <c:errBars>
            <c:errDir val="x"/>
            <c:errBarType val="both"/>
            <c:errValType val="stdErr"/>
            <c:noEndCap val="0"/>
            <c:spPr>
              <a:ln>
                <a:prstDash val="sysDot"/>
              </a:ln>
            </c:spPr>
          </c:errBars>
          <c:errBars>
            <c:errDir val="y"/>
            <c:errBarType val="both"/>
            <c:errValType val="stdErr"/>
            <c:noEndCap val="0"/>
            <c:spPr>
              <a:ln>
                <a:prstDash val="sysDot"/>
              </a:ln>
            </c:spPr>
          </c:errBars>
          <c:xVal>
            <c:numRef>
              <c:f>'GDP grafiek'!$C$21:$C$22</c:f>
              <c:numCache>
                <c:formatCode>General</c:formatCode>
                <c:ptCount val="2"/>
                <c:pt idx="0">
                  <c:v>0</c:v>
                </c:pt>
                <c:pt idx="1">
                  <c:v>0</c:v>
                </c:pt>
              </c:numCache>
            </c:numRef>
          </c:xVal>
          <c:yVal>
            <c:numRef>
              <c:f>'GDP grafiek'!$B$21:$B$22</c:f>
              <c:numCache>
                <c:formatCode>General</c:formatCode>
                <c:ptCount val="2"/>
                <c:pt idx="0">
                  <c:v>-0.05</c:v>
                </c:pt>
                <c:pt idx="1">
                  <c:v>0.05</c:v>
                </c:pt>
              </c:numCache>
            </c:numRef>
          </c:yVal>
          <c:smooth val="0"/>
        </c:ser>
        <c:dLbls>
          <c:showLegendKey val="0"/>
          <c:showVal val="0"/>
          <c:showCatName val="0"/>
          <c:showSerName val="0"/>
          <c:showPercent val="0"/>
          <c:showBubbleSize val="0"/>
        </c:dLbls>
        <c:axId val="234321024"/>
        <c:axId val="234322944"/>
      </c:scatterChart>
      <c:valAx>
        <c:axId val="234321024"/>
        <c:scaling>
          <c:orientation val="minMax"/>
          <c:max val="1"/>
          <c:min val="-1"/>
        </c:scaling>
        <c:delete val="0"/>
        <c:axPos val="b"/>
        <c:majorGridlines>
          <c:spPr>
            <a:ln>
              <a:noFill/>
            </a:ln>
          </c:spPr>
        </c:majorGridlines>
        <c:title>
          <c:tx>
            <c:rich>
              <a:bodyPr/>
              <a:lstStyle/>
              <a:p>
                <a:pPr>
                  <a:defRPr/>
                </a:pPr>
                <a:r>
                  <a:rPr lang="en-US"/>
                  <a:t>(LN</a:t>
                </a:r>
                <a:r>
                  <a:rPr lang="en-US" baseline="0"/>
                  <a:t>RGDPp/c1990 - LNGDPp/c1990</a:t>
                </a:r>
                <a:r>
                  <a:rPr lang="en-US" baseline="30000"/>
                  <a:t>2</a:t>
                </a:r>
                <a:r>
                  <a:rPr lang="en-US" baseline="0"/>
                  <a:t>)</a:t>
                </a:r>
                <a:endParaRPr lang="en-US"/>
              </a:p>
            </c:rich>
          </c:tx>
          <c:overlay val="0"/>
        </c:title>
        <c:numFmt formatCode="General" sourceLinked="1"/>
        <c:majorTickMark val="out"/>
        <c:minorTickMark val="none"/>
        <c:tickLblPos val="nextTo"/>
        <c:crossAx val="234322944"/>
        <c:crossesAt val="-6"/>
        <c:crossBetween val="midCat"/>
      </c:valAx>
      <c:valAx>
        <c:axId val="234322944"/>
        <c:scaling>
          <c:orientation val="minMax"/>
          <c:max val="5.000000000000001E-2"/>
          <c:min val="-5.000000000000001E-2"/>
        </c:scaling>
        <c:delete val="0"/>
        <c:axPos val="l"/>
        <c:majorGridlines>
          <c:spPr>
            <a:ln>
              <a:noFill/>
            </a:ln>
          </c:spPr>
        </c:majorGridlines>
        <c:title>
          <c:tx>
            <c:rich>
              <a:bodyPr rot="-5400000" vert="horz"/>
              <a:lstStyle/>
              <a:p>
                <a:pPr>
                  <a:defRPr/>
                </a:pPr>
                <a:r>
                  <a:rPr lang="en-US"/>
                  <a:t>(Regional</a:t>
                </a:r>
                <a:r>
                  <a:rPr lang="en-US" baseline="0"/>
                  <a:t> G</a:t>
                </a:r>
                <a:r>
                  <a:rPr lang="en-US"/>
                  <a:t>rowth 1990-2009 - national</a:t>
                </a:r>
                <a:r>
                  <a:rPr lang="en-US" baseline="0"/>
                  <a:t> growth</a:t>
                </a:r>
                <a:r>
                  <a:rPr lang="en-US" baseline="30000"/>
                  <a:t>1</a:t>
                </a:r>
                <a:r>
                  <a:rPr lang="en-US" baseline="0"/>
                  <a:t>)</a:t>
                </a:r>
                <a:endParaRPr lang="en-US"/>
              </a:p>
            </c:rich>
          </c:tx>
          <c:overlay val="0"/>
        </c:title>
        <c:numFmt formatCode="0%" sourceLinked="1"/>
        <c:majorTickMark val="out"/>
        <c:minorTickMark val="none"/>
        <c:tickLblPos val="nextTo"/>
        <c:crossAx val="234321024"/>
        <c:crossesAt val="-1"/>
        <c:crossBetween val="midCat"/>
        <c:majorUnit val="1.0000000000000002E-2"/>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12326771653543307"/>
                  <c:y val="0.11171551472732576"/>
                </c:manualLayout>
              </c:layout>
              <c:tx>
                <c:rich>
                  <a:bodyPr/>
                  <a:lstStyle/>
                  <a:p>
                    <a:pPr>
                      <a:defRPr/>
                    </a:pPr>
                    <a:r>
                      <a:rPr lang="en-US" baseline="0"/>
                      <a:t>growth = 0.179 - 0.0102 lngdp90
R² = 0.135</a:t>
                    </a:r>
                    <a:endParaRPr lang="en-US"/>
                  </a:p>
                </c:rich>
              </c:tx>
              <c:numFmt formatCode="General" sourceLinked="0"/>
            </c:trendlineLbl>
          </c:trendline>
          <c:xVal>
            <c:numRef>
              <c:f>'cross 90-09'!$M$2:$M$14</c:f>
              <c:numCache>
                <c:formatCode>General</c:formatCode>
                <c:ptCount val="13"/>
                <c:pt idx="0">
                  <c:v>14.718758048390544</c:v>
                </c:pt>
                <c:pt idx="1">
                  <c:v>15.133387623383893</c:v>
                </c:pt>
                <c:pt idx="2">
                  <c:v>14.352818801560669</c:v>
                </c:pt>
                <c:pt idx="3">
                  <c:v>13.989134125108137</c:v>
                </c:pt>
                <c:pt idx="4">
                  <c:v>14.425888129257066</c:v>
                </c:pt>
                <c:pt idx="5">
                  <c:v>14.284917875496493</c:v>
                </c:pt>
                <c:pt idx="6">
                  <c:v>13.899294166322479</c:v>
                </c:pt>
                <c:pt idx="7">
                  <c:v>14.413983849763861</c:v>
                </c:pt>
                <c:pt idx="8">
                  <c:v>13.705106162583226</c:v>
                </c:pt>
                <c:pt idx="9">
                  <c:v>14.032876710056289</c:v>
                </c:pt>
                <c:pt idx="10">
                  <c:v>14.466087292137988</c:v>
                </c:pt>
                <c:pt idx="11">
                  <c:v>15.44572141597067</c:v>
                </c:pt>
                <c:pt idx="12">
                  <c:v>14.551668793297432</c:v>
                </c:pt>
              </c:numCache>
            </c:numRef>
          </c:xVal>
          <c:yVal>
            <c:numRef>
              <c:f>'cross 90-09'!$N$2:$N$14</c:f>
              <c:numCache>
                <c:formatCode>0%</c:formatCode>
                <c:ptCount val="13"/>
                <c:pt idx="0">
                  <c:v>4.9821301685244374E-2</c:v>
                </c:pt>
                <c:pt idx="1">
                  <c:v>4.9944010964098812E-2</c:v>
                </c:pt>
                <c:pt idx="2">
                  <c:v>8.2241846148289263E-2</c:v>
                </c:pt>
                <c:pt idx="3">
                  <c:v>3.9577257006503407E-2</c:v>
                </c:pt>
                <c:pt idx="4">
                  <c:v>3.1687808031998943E-2</c:v>
                </c:pt>
                <c:pt idx="5">
                  <c:v>3.7125362974487687E-2</c:v>
                </c:pt>
                <c:pt idx="6">
                  <c:v>5.459817743701776E-2</c:v>
                </c:pt>
                <c:pt idx="7">
                  <c:v>3.063661247434955E-2</c:v>
                </c:pt>
                <c:pt idx="8">
                  <c:v>4.1779057273351919E-2</c:v>
                </c:pt>
                <c:pt idx="9">
                  <c:v>4.9436318340393075E-2</c:v>
                </c:pt>
                <c:pt idx="10">
                  <c:v>5.862801371229083E-2</c:v>
                </c:pt>
                <c:pt idx="11">
                  <c:v>2.824831354565406E-3</c:v>
                </c:pt>
                <c:pt idx="12">
                  <c:v>5.0653651969776281E-2</c:v>
                </c:pt>
              </c:numCache>
            </c:numRef>
          </c:yVal>
          <c:smooth val="0"/>
        </c:ser>
        <c:dLbls>
          <c:showLegendKey val="0"/>
          <c:showVal val="0"/>
          <c:showCatName val="0"/>
          <c:showSerName val="0"/>
          <c:showPercent val="0"/>
          <c:showBubbleSize val="0"/>
        </c:dLbls>
        <c:axId val="234355712"/>
        <c:axId val="234038400"/>
      </c:scatterChart>
      <c:valAx>
        <c:axId val="234355712"/>
        <c:scaling>
          <c:orientation val="minMax"/>
          <c:max val="15.5"/>
        </c:scaling>
        <c:delete val="0"/>
        <c:axPos val="b"/>
        <c:title>
          <c:tx>
            <c:rich>
              <a:bodyPr/>
              <a:lstStyle/>
              <a:p>
                <a:pPr>
                  <a:defRPr/>
                </a:pPr>
                <a:r>
                  <a:rPr lang="en-US"/>
                  <a:t>ln(RGDP P/C 1990)</a:t>
                </a:r>
              </a:p>
            </c:rich>
          </c:tx>
          <c:overlay val="0"/>
        </c:title>
        <c:numFmt formatCode="General" sourceLinked="1"/>
        <c:majorTickMark val="out"/>
        <c:minorTickMark val="none"/>
        <c:tickLblPos val="nextTo"/>
        <c:crossAx val="234038400"/>
        <c:crosses val="autoZero"/>
        <c:crossBetween val="midCat"/>
      </c:valAx>
      <c:valAx>
        <c:axId val="234038400"/>
        <c:scaling>
          <c:orientation val="minMax"/>
        </c:scaling>
        <c:delete val="0"/>
        <c:axPos val="l"/>
        <c:majorGridlines>
          <c:spPr>
            <a:ln>
              <a:noFill/>
            </a:ln>
          </c:spPr>
        </c:majorGridlines>
        <c:title>
          <c:tx>
            <c:rich>
              <a:bodyPr rot="-5400000" vert="horz"/>
              <a:lstStyle/>
              <a:p>
                <a:pPr>
                  <a:defRPr/>
                </a:pPr>
                <a:r>
                  <a:rPr lang="en-US"/>
                  <a:t>Annual Grwoth (1990-2009)</a:t>
                </a:r>
              </a:p>
            </c:rich>
          </c:tx>
          <c:overlay val="0"/>
        </c:title>
        <c:numFmt formatCode="0%" sourceLinked="1"/>
        <c:majorTickMark val="out"/>
        <c:minorTickMark val="none"/>
        <c:tickLblPos val="nextTo"/>
        <c:crossAx val="234355712"/>
        <c:crosses val="autoZero"/>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Averages!$B$1</c:f>
              <c:strCache>
                <c:ptCount val="1"/>
                <c:pt idx="0">
                  <c:v>Gini total</c:v>
                </c:pt>
              </c:strCache>
            </c:strRef>
          </c:tx>
          <c:invertIfNegative val="0"/>
          <c:val>
            <c:numRef>
              <c:f>Averages!$B$2:$B$14</c:f>
              <c:numCache>
                <c:formatCode>General</c:formatCode>
                <c:ptCount val="13"/>
                <c:pt idx="0">
                  <c:v>0.46460174667039689</c:v>
                </c:pt>
                <c:pt idx="1">
                  <c:v>0.44587188819538931</c:v>
                </c:pt>
                <c:pt idx="2">
                  <c:v>0.46131118223603962</c:v>
                </c:pt>
                <c:pt idx="3">
                  <c:v>0.48381230409343323</c:v>
                </c:pt>
                <c:pt idx="4">
                  <c:v>0.46899607701120627</c:v>
                </c:pt>
                <c:pt idx="5">
                  <c:v>0.46899607701120627</c:v>
                </c:pt>
                <c:pt idx="6">
                  <c:v>0.46920465274786821</c:v>
                </c:pt>
                <c:pt idx="7">
                  <c:v>0.51896516827155781</c:v>
                </c:pt>
                <c:pt idx="8">
                  <c:v>0.52943061776409239</c:v>
                </c:pt>
                <c:pt idx="9">
                  <c:v>0.49884410900375442</c:v>
                </c:pt>
                <c:pt idx="10">
                  <c:v>0.48485996993810243</c:v>
                </c:pt>
                <c:pt idx="11">
                  <c:v>0.47015368884929409</c:v>
                </c:pt>
                <c:pt idx="12">
                  <c:v>0.54777683243042696</c:v>
                </c:pt>
              </c:numCache>
            </c:numRef>
          </c:val>
        </c:ser>
        <c:ser>
          <c:idx val="2"/>
          <c:order val="1"/>
          <c:tx>
            <c:strRef>
              <c:f>Averages!$C$1</c:f>
              <c:strCache>
                <c:ptCount val="1"/>
                <c:pt idx="0">
                  <c:v>Gini urban</c:v>
                </c:pt>
              </c:strCache>
            </c:strRef>
          </c:tx>
          <c:invertIfNegative val="0"/>
          <c:val>
            <c:numRef>
              <c:f>Averages!$C$2:$C$14</c:f>
              <c:numCache>
                <c:formatCode>General</c:formatCode>
                <c:ptCount val="13"/>
                <c:pt idx="0">
                  <c:v>0.46100837213049445</c:v>
                </c:pt>
                <c:pt idx="1">
                  <c:v>0.44490010223330079</c:v>
                </c:pt>
                <c:pt idx="2">
                  <c:v>0.45789486385387934</c:v>
                </c:pt>
                <c:pt idx="3">
                  <c:v>0.47635296111066494</c:v>
                </c:pt>
                <c:pt idx="4">
                  <c:v>0.46691880260046914</c:v>
                </c:pt>
                <c:pt idx="5">
                  <c:v>0.46691880260046914</c:v>
                </c:pt>
                <c:pt idx="6">
                  <c:v>0.46184785921659999</c:v>
                </c:pt>
                <c:pt idx="7">
                  <c:v>0.51086805516326883</c:v>
                </c:pt>
                <c:pt idx="8">
                  <c:v>0.53000875521875057</c:v>
                </c:pt>
                <c:pt idx="9">
                  <c:v>0.4978216439909301</c:v>
                </c:pt>
                <c:pt idx="10">
                  <c:v>0.48884774428272249</c:v>
                </c:pt>
                <c:pt idx="11">
                  <c:v>0.46418392359916361</c:v>
                </c:pt>
                <c:pt idx="12">
                  <c:v>0.54656173110775785</c:v>
                </c:pt>
              </c:numCache>
            </c:numRef>
          </c:val>
        </c:ser>
        <c:ser>
          <c:idx val="3"/>
          <c:order val="2"/>
          <c:tx>
            <c:strRef>
              <c:f>Averages!$D$1</c:f>
              <c:strCache>
                <c:ptCount val="1"/>
                <c:pt idx="0">
                  <c:v>Gini rural</c:v>
                </c:pt>
              </c:strCache>
            </c:strRef>
          </c:tx>
          <c:invertIfNegative val="0"/>
          <c:val>
            <c:numRef>
              <c:f>Averages!$D$2:$D$14</c:f>
              <c:numCache>
                <c:formatCode>General</c:formatCode>
                <c:ptCount val="13"/>
                <c:pt idx="0">
                  <c:v>0.4856202882812618</c:v>
                </c:pt>
                <c:pt idx="1">
                  <c:v>0.46048967039704991</c:v>
                </c:pt>
                <c:pt idx="2">
                  <c:v>0.46981296662015826</c:v>
                </c:pt>
                <c:pt idx="3">
                  <c:v>0.44516019271094404</c:v>
                </c:pt>
                <c:pt idx="4">
                  <c:v>0.44411267243129127</c:v>
                </c:pt>
                <c:pt idx="5">
                  <c:v>0.44411267243129127</c:v>
                </c:pt>
                <c:pt idx="6">
                  <c:v>0.44510701800273167</c:v>
                </c:pt>
                <c:pt idx="7">
                  <c:v>0.48870660092195528</c:v>
                </c:pt>
                <c:pt idx="8">
                  <c:v>0.46531796207201764</c:v>
                </c:pt>
                <c:pt idx="9">
                  <c:v>0.4714759131307904</c:v>
                </c:pt>
                <c:pt idx="10">
                  <c:v>0.46276140822622719</c:v>
                </c:pt>
                <c:pt idx="11">
                  <c:v>0.56046690155502787</c:v>
                </c:pt>
                <c:pt idx="12">
                  <c:v>0.54081119134159983</c:v>
                </c:pt>
              </c:numCache>
            </c:numRef>
          </c:val>
        </c:ser>
        <c:dLbls>
          <c:showLegendKey val="0"/>
          <c:showVal val="0"/>
          <c:showCatName val="0"/>
          <c:showSerName val="0"/>
          <c:showPercent val="0"/>
          <c:showBubbleSize val="0"/>
        </c:dLbls>
        <c:gapWidth val="150"/>
        <c:axId val="209217792"/>
        <c:axId val="209228160"/>
      </c:barChart>
      <c:catAx>
        <c:axId val="209217792"/>
        <c:scaling>
          <c:orientation val="minMax"/>
        </c:scaling>
        <c:delete val="0"/>
        <c:axPos val="b"/>
        <c:title>
          <c:tx>
            <c:rich>
              <a:bodyPr/>
              <a:lstStyle/>
              <a:p>
                <a:pPr>
                  <a:defRPr/>
                </a:pPr>
                <a:r>
                  <a:rPr lang="en-US"/>
                  <a:t>Region</a:t>
                </a:r>
              </a:p>
            </c:rich>
          </c:tx>
          <c:overlay val="0"/>
        </c:title>
        <c:majorTickMark val="out"/>
        <c:minorTickMark val="none"/>
        <c:tickLblPos val="nextTo"/>
        <c:crossAx val="209228160"/>
        <c:crosses val="autoZero"/>
        <c:auto val="1"/>
        <c:lblAlgn val="ctr"/>
        <c:lblOffset val="100"/>
        <c:noMultiLvlLbl val="0"/>
      </c:catAx>
      <c:valAx>
        <c:axId val="209228160"/>
        <c:scaling>
          <c:orientation val="minMax"/>
          <c:min val="0.4"/>
        </c:scaling>
        <c:delete val="0"/>
        <c:axPos val="l"/>
        <c:majorGridlines/>
        <c:title>
          <c:tx>
            <c:rich>
              <a:bodyPr rot="-5400000" vert="horz"/>
              <a:lstStyle/>
              <a:p>
                <a:pPr>
                  <a:defRPr/>
                </a:pPr>
                <a:r>
                  <a:rPr lang="en-US"/>
                  <a:t>Gini-coefficient</a:t>
                </a:r>
              </a:p>
            </c:rich>
          </c:tx>
          <c:overlay val="0"/>
        </c:title>
        <c:numFmt formatCode="General" sourceLinked="1"/>
        <c:majorTickMark val="out"/>
        <c:minorTickMark val="none"/>
        <c:tickLblPos val="nextTo"/>
        <c:crossAx val="20921779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0.84691</cdr:x>
      <cdr:y>0.10228</cdr:y>
    </cdr:from>
    <cdr:to>
      <cdr:x>1</cdr:x>
      <cdr:y>0.47994</cdr:y>
    </cdr:to>
    <cdr:sp macro="" textlink="">
      <cdr:nvSpPr>
        <cdr:cNvPr id="2" name="Text Box 1"/>
        <cdr:cNvSpPr txBox="1"/>
      </cdr:nvSpPr>
      <cdr:spPr>
        <a:xfrm xmlns:a="http://schemas.openxmlformats.org/drawingml/2006/main">
          <a:off x="5724525" y="247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0.91378</cdr:x>
      <cdr:y>0.54288</cdr:y>
    </cdr:from>
    <cdr:to>
      <cdr:x>0.99989</cdr:x>
      <cdr:y>0.64516</cdr:y>
    </cdr:to>
    <cdr:sp macro="" textlink="">
      <cdr:nvSpPr>
        <cdr:cNvPr id="4" name="Text Box 3"/>
        <cdr:cNvSpPr txBox="1"/>
      </cdr:nvSpPr>
      <cdr:spPr>
        <a:xfrm xmlns:a="http://schemas.openxmlformats.org/drawingml/2006/main">
          <a:off x="5457824" y="1314450"/>
          <a:ext cx="514351"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2009</a:t>
          </a:r>
        </a:p>
      </cdr:txBody>
    </cdr:sp>
  </cdr:relSizeAnchor>
</c:userShapes>
</file>

<file path=word/drawings/drawing2.xml><?xml version="1.0" encoding="utf-8"?>
<c:userShapes xmlns:c="http://schemas.openxmlformats.org/drawingml/2006/chart">
  <cdr:relSizeAnchor xmlns:cdr="http://schemas.openxmlformats.org/drawingml/2006/chartDrawing">
    <cdr:from>
      <cdr:x>0.46834</cdr:x>
      <cdr:y>0.54678</cdr:y>
    </cdr:from>
    <cdr:to>
      <cdr:x>0.53562</cdr:x>
      <cdr:y>0.65489</cdr:y>
    </cdr:to>
    <cdr:sp macro="" textlink="">
      <cdr:nvSpPr>
        <cdr:cNvPr id="2" name="TextBox 1"/>
        <cdr:cNvSpPr txBox="1"/>
      </cdr:nvSpPr>
      <cdr:spPr>
        <a:xfrm xmlns:a="http://schemas.openxmlformats.org/drawingml/2006/main">
          <a:off x="3381374" y="2505075"/>
          <a:ext cx="48577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0.2105</cdr:x>
      <cdr:y>0.22205</cdr:y>
    </cdr:from>
    <cdr:to>
      <cdr:x>0.36519</cdr:x>
      <cdr:y>0.34483</cdr:y>
    </cdr:to>
    <cdr:sp macro="" textlink="">
      <cdr:nvSpPr>
        <cdr:cNvPr id="2" name="Text Box 1"/>
        <cdr:cNvSpPr txBox="1"/>
      </cdr:nvSpPr>
      <cdr:spPr>
        <a:xfrm xmlns:a="http://schemas.openxmlformats.org/drawingml/2006/main">
          <a:off x="1257300" y="809625"/>
          <a:ext cx="923925"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0.20731</cdr:x>
      <cdr:y>0.2325</cdr:y>
    </cdr:from>
    <cdr:to>
      <cdr:x>0.39709</cdr:x>
      <cdr:y>0.37618</cdr:y>
    </cdr:to>
    <cdr:sp macro="" textlink="">
      <cdr:nvSpPr>
        <cdr:cNvPr id="3" name="Text Box 2"/>
        <cdr:cNvSpPr txBox="1"/>
      </cdr:nvSpPr>
      <cdr:spPr>
        <a:xfrm xmlns:a="http://schemas.openxmlformats.org/drawingml/2006/main">
          <a:off x="1238250" y="847725"/>
          <a:ext cx="1133475" cy="523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0.22007</cdr:x>
      <cdr:y>0.21682</cdr:y>
    </cdr:from>
    <cdr:to>
      <cdr:x>0.39709</cdr:x>
      <cdr:y>0.37356</cdr:y>
    </cdr:to>
    <cdr:sp macro="" textlink="">
      <cdr:nvSpPr>
        <cdr:cNvPr id="4" name="Text Box 3"/>
        <cdr:cNvSpPr txBox="1"/>
      </cdr:nvSpPr>
      <cdr:spPr>
        <a:xfrm xmlns:a="http://schemas.openxmlformats.org/drawingml/2006/main">
          <a:off x="1314450" y="790575"/>
          <a:ext cx="1057275" cy="571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cdr:txBody>
    </cdr:sp>
  </cdr:relSizeAnchor>
  <cdr:relSizeAnchor xmlns:cdr="http://schemas.openxmlformats.org/drawingml/2006/chartDrawing">
    <cdr:from>
      <cdr:x>0.54221</cdr:x>
      <cdr:y>0.13584</cdr:y>
    </cdr:from>
    <cdr:to>
      <cdr:x>0.97278</cdr:x>
      <cdr:y>0.49112</cdr:y>
    </cdr:to>
    <cdr:sp macro="" textlink="">
      <cdr:nvSpPr>
        <cdr:cNvPr id="5" name="Text Box 4"/>
        <cdr:cNvSpPr txBox="1"/>
      </cdr:nvSpPr>
      <cdr:spPr>
        <a:xfrm xmlns:a="http://schemas.openxmlformats.org/drawingml/2006/main">
          <a:off x="3238500" y="495300"/>
          <a:ext cx="2571750" cy="1295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a:p xmlns:a="http://schemas.openxmlformats.org/drawingml/2006/main">
          <a:pPr algn="ctr"/>
          <a:endParaRPr lang="en-US" sz="1100"/>
        </a:p>
        <a:p xmlns:a="http://schemas.openxmlformats.org/drawingml/2006/main">
          <a:pPr algn="ctr"/>
          <a:endParaRPr lang="en-US" sz="1100"/>
        </a:p>
        <a:p xmlns:a="http://schemas.openxmlformats.org/drawingml/2006/main">
          <a:pPr algn="ctr"/>
          <a:r>
            <a:rPr lang="en-US" sz="1100">
              <a:latin typeface="Times New Roman" pitchFamily="18" charset="0"/>
              <a:cs typeface="Times New Roman" pitchFamily="18" charset="0"/>
            </a:rPr>
            <a:t>Winning</a:t>
          </a:r>
        </a:p>
      </cdr:txBody>
    </cdr:sp>
  </cdr:relSizeAnchor>
  <cdr:relSizeAnchor xmlns:cdr="http://schemas.openxmlformats.org/drawingml/2006/chartDrawing">
    <cdr:from>
      <cdr:x>0.54221</cdr:x>
      <cdr:y>0.49373</cdr:y>
    </cdr:from>
    <cdr:to>
      <cdr:x>0.97119</cdr:x>
      <cdr:y>0.84117</cdr:y>
    </cdr:to>
    <cdr:sp macro="" textlink="">
      <cdr:nvSpPr>
        <cdr:cNvPr id="6" name="Text Box 5"/>
        <cdr:cNvSpPr txBox="1"/>
      </cdr:nvSpPr>
      <cdr:spPr>
        <a:xfrm xmlns:a="http://schemas.openxmlformats.org/drawingml/2006/main">
          <a:off x="3238501" y="1800225"/>
          <a:ext cx="2562224" cy="1266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a:p xmlns:a="http://schemas.openxmlformats.org/drawingml/2006/main">
          <a:pPr algn="ctr"/>
          <a:endParaRPr lang="en-US" sz="1100"/>
        </a:p>
        <a:p xmlns:a="http://schemas.openxmlformats.org/drawingml/2006/main">
          <a:pPr algn="ctr"/>
          <a:endParaRPr lang="en-US" sz="1100"/>
        </a:p>
        <a:p xmlns:a="http://schemas.openxmlformats.org/drawingml/2006/main">
          <a:pPr algn="ctr"/>
          <a:r>
            <a:rPr lang="en-US" sz="1100">
              <a:latin typeface="Times New Roman" pitchFamily="18" charset="0"/>
              <a:cs typeface="Times New Roman" pitchFamily="18" charset="0"/>
            </a:rPr>
            <a:t>Faling behind</a:t>
          </a:r>
        </a:p>
      </cdr:txBody>
    </cdr:sp>
  </cdr:relSizeAnchor>
  <cdr:relSizeAnchor xmlns:cdr="http://schemas.openxmlformats.org/drawingml/2006/chartDrawing">
    <cdr:from>
      <cdr:x>0.24878</cdr:x>
      <cdr:y>0.6348</cdr:y>
    </cdr:from>
    <cdr:to>
      <cdr:x>0.41782</cdr:x>
      <cdr:y>0.77325</cdr:y>
    </cdr:to>
    <cdr:sp macro="" textlink="">
      <cdr:nvSpPr>
        <cdr:cNvPr id="7" name="Text Box 6"/>
        <cdr:cNvSpPr txBox="1"/>
      </cdr:nvSpPr>
      <cdr:spPr>
        <a:xfrm xmlns:a="http://schemas.openxmlformats.org/drawingml/2006/main">
          <a:off x="1485900" y="2314575"/>
          <a:ext cx="1009650" cy="504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0.11323</cdr:x>
      <cdr:y>0.14107</cdr:y>
    </cdr:from>
    <cdr:to>
      <cdr:x>0.54061</cdr:x>
      <cdr:y>0.49373</cdr:y>
    </cdr:to>
    <cdr:sp macro="" textlink="">
      <cdr:nvSpPr>
        <cdr:cNvPr id="8" name="Text Box 7"/>
        <cdr:cNvSpPr txBox="1"/>
      </cdr:nvSpPr>
      <cdr:spPr>
        <a:xfrm xmlns:a="http://schemas.openxmlformats.org/drawingml/2006/main">
          <a:off x="676275" y="514350"/>
          <a:ext cx="2552700" cy="1285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a:p xmlns:a="http://schemas.openxmlformats.org/drawingml/2006/main">
          <a:pPr algn="ctr"/>
          <a:endParaRPr lang="en-US" sz="1100"/>
        </a:p>
        <a:p xmlns:a="http://schemas.openxmlformats.org/drawingml/2006/main">
          <a:pPr algn="ctr"/>
          <a:endParaRPr lang="en-US" sz="1100"/>
        </a:p>
        <a:p xmlns:a="http://schemas.openxmlformats.org/drawingml/2006/main">
          <a:pPr algn="ctr"/>
          <a:r>
            <a:rPr lang="en-US" sz="1100">
              <a:latin typeface="Times New Roman" pitchFamily="18" charset="0"/>
              <a:cs typeface="Times New Roman" pitchFamily="18" charset="0"/>
            </a:rPr>
            <a:t>Catching up</a:t>
          </a:r>
        </a:p>
      </cdr:txBody>
    </cdr:sp>
  </cdr:relSizeAnchor>
  <cdr:relSizeAnchor xmlns:cdr="http://schemas.openxmlformats.org/drawingml/2006/chartDrawing">
    <cdr:from>
      <cdr:x>0.11163</cdr:x>
      <cdr:y>0.49634</cdr:y>
    </cdr:from>
    <cdr:to>
      <cdr:x>0.54061</cdr:x>
      <cdr:y>0.84378</cdr:y>
    </cdr:to>
    <cdr:sp macro="" textlink="">
      <cdr:nvSpPr>
        <cdr:cNvPr id="9" name="Text Box 8"/>
        <cdr:cNvSpPr txBox="1"/>
      </cdr:nvSpPr>
      <cdr:spPr>
        <a:xfrm xmlns:a="http://schemas.openxmlformats.org/drawingml/2006/main">
          <a:off x="666749" y="1809750"/>
          <a:ext cx="2562225" cy="1266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0.11163</cdr:x>
      <cdr:y>0.49634</cdr:y>
    </cdr:from>
    <cdr:to>
      <cdr:x>0.52467</cdr:x>
      <cdr:y>0.84639</cdr:y>
    </cdr:to>
    <cdr:sp macro="" textlink="">
      <cdr:nvSpPr>
        <cdr:cNvPr id="10" name="Text Box 9"/>
        <cdr:cNvSpPr txBox="1"/>
      </cdr:nvSpPr>
      <cdr:spPr>
        <a:xfrm xmlns:a="http://schemas.openxmlformats.org/drawingml/2006/main">
          <a:off x="666746" y="1809740"/>
          <a:ext cx="2466980" cy="1276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a:p xmlns:a="http://schemas.openxmlformats.org/drawingml/2006/main">
          <a:pPr algn="ctr"/>
          <a:endParaRPr lang="en-US" sz="1100"/>
        </a:p>
        <a:p xmlns:a="http://schemas.openxmlformats.org/drawingml/2006/main">
          <a:pPr algn="ctr"/>
          <a:endParaRPr lang="en-US" sz="1100"/>
        </a:p>
        <a:p xmlns:a="http://schemas.openxmlformats.org/drawingml/2006/main">
          <a:pPr algn="ctr"/>
          <a:r>
            <a:rPr lang="en-US" sz="1100">
              <a:latin typeface="Times New Roman" pitchFamily="18" charset="0"/>
              <a:cs typeface="Times New Roman" pitchFamily="18" charset="0"/>
            </a:rPr>
            <a:t>Losing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85BE-6D41-4E34-AB69-2AC33DF6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19992</Words>
  <Characters>113960</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Rutger</dc:creator>
  <cp:lastModifiedBy>Rutger</cp:lastModifiedBy>
  <cp:revision>4</cp:revision>
  <cp:lastPrinted>2013-07-16T19:05:00Z</cp:lastPrinted>
  <dcterms:created xsi:type="dcterms:W3CDTF">2013-07-16T19:27:00Z</dcterms:created>
  <dcterms:modified xsi:type="dcterms:W3CDTF">2013-07-16T19:57:00Z</dcterms:modified>
</cp:coreProperties>
</file>