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84" w:rsidRPr="00981F21" w:rsidRDefault="004B462D" w:rsidP="00310784">
      <w:pPr>
        <w:pStyle w:val="Title"/>
        <w:rPr>
          <w:lang w:val="en-GB"/>
        </w:rPr>
      </w:pPr>
      <w:r w:rsidRPr="00981F21">
        <w:rPr>
          <w:lang w:val="en-GB"/>
        </w:rPr>
        <w:t xml:space="preserve">The Maasvlakte 2 Cost Benefit Analysis terrain demand forecasts </w:t>
      </w:r>
    </w:p>
    <w:p w:rsidR="00CB0631" w:rsidRPr="00981F21" w:rsidRDefault="004B462D" w:rsidP="00310784">
      <w:pPr>
        <w:pStyle w:val="Subtitle"/>
        <w:rPr>
          <w:lang w:val="en-GB"/>
        </w:rPr>
      </w:pPr>
      <w:r w:rsidRPr="00981F21">
        <w:rPr>
          <w:lang w:val="en-GB"/>
        </w:rPr>
        <w:t>An in medias res evaluation</w:t>
      </w:r>
    </w:p>
    <w:p w:rsidR="00310784" w:rsidRPr="00981F21" w:rsidRDefault="00310784" w:rsidP="00310784">
      <w:pPr>
        <w:rPr>
          <w:lang w:val="en-GB"/>
        </w:rPr>
      </w:pPr>
    </w:p>
    <w:p w:rsidR="00310784" w:rsidRPr="00981F21" w:rsidRDefault="00310784" w:rsidP="00310784">
      <w:pPr>
        <w:jc w:val="center"/>
        <w:rPr>
          <w:rStyle w:val="SubtleReference"/>
          <w:lang w:val="en-GB"/>
        </w:rPr>
      </w:pPr>
      <w:r w:rsidRPr="00981F21">
        <w:rPr>
          <w:rStyle w:val="SubtleReference"/>
          <w:lang w:val="en-GB"/>
        </w:rPr>
        <w:t xml:space="preserve">Mark van der </w:t>
      </w:r>
      <w:proofErr w:type="spellStart"/>
      <w:r w:rsidRPr="00981F21">
        <w:rPr>
          <w:rStyle w:val="SubtleReference"/>
          <w:lang w:val="en-GB"/>
        </w:rPr>
        <w:t>Plas</w:t>
      </w:r>
      <w:proofErr w:type="spellEnd"/>
      <w:r w:rsidRPr="00981F21">
        <w:rPr>
          <w:rStyle w:val="SubtleReference"/>
          <w:lang w:val="en-GB"/>
        </w:rPr>
        <w:t xml:space="preserve"> (332271)</w:t>
      </w:r>
    </w:p>
    <w:p w:rsidR="00310784" w:rsidRPr="00981F21" w:rsidRDefault="00310784" w:rsidP="00310784">
      <w:pPr>
        <w:jc w:val="center"/>
        <w:rPr>
          <w:rStyle w:val="SubtleReference"/>
          <w:lang w:val="en-GB"/>
        </w:rPr>
      </w:pPr>
      <w:r w:rsidRPr="00981F21">
        <w:rPr>
          <w:rStyle w:val="SubtleReference"/>
          <w:lang w:val="en-GB"/>
        </w:rPr>
        <w:t>Supervisor: Michiel Nijdam</w:t>
      </w:r>
    </w:p>
    <w:p w:rsidR="00310784" w:rsidRPr="00981F21" w:rsidRDefault="00310784" w:rsidP="00310784">
      <w:pPr>
        <w:jc w:val="center"/>
        <w:rPr>
          <w:rStyle w:val="Emphasis"/>
          <w:lang w:val="en-GB"/>
        </w:rPr>
      </w:pPr>
    </w:p>
    <w:p w:rsidR="00310784" w:rsidRPr="00981F21" w:rsidRDefault="00310784" w:rsidP="00310784">
      <w:pPr>
        <w:jc w:val="center"/>
        <w:rPr>
          <w:rStyle w:val="Emphasis"/>
          <w:lang w:val="en-GB"/>
        </w:rPr>
      </w:pPr>
    </w:p>
    <w:p w:rsidR="00310784" w:rsidRPr="00981F21" w:rsidRDefault="00310784" w:rsidP="00310784">
      <w:pPr>
        <w:jc w:val="center"/>
        <w:rPr>
          <w:rStyle w:val="SubtleEmphasis"/>
          <w:lang w:val="en-GB"/>
        </w:rPr>
      </w:pPr>
      <w:r w:rsidRPr="00981F21">
        <w:rPr>
          <w:rStyle w:val="SubtleEmphasis"/>
          <w:lang w:val="en-GB"/>
        </w:rPr>
        <w:t>August 8, 2013</w:t>
      </w:r>
    </w:p>
    <w:p w:rsidR="00310784" w:rsidRPr="00981F21" w:rsidRDefault="00310784" w:rsidP="00310784">
      <w:pPr>
        <w:jc w:val="center"/>
        <w:rPr>
          <w:rStyle w:val="SubtleEmphasis"/>
          <w:lang w:val="en-GB"/>
        </w:rPr>
      </w:pPr>
      <w:r w:rsidRPr="00981F21">
        <w:rPr>
          <w:rStyle w:val="SubtleEmphasis"/>
          <w:lang w:val="en-GB"/>
        </w:rPr>
        <w:t>Bachelor thesis</w:t>
      </w:r>
      <w:r w:rsidRPr="00981F21">
        <w:rPr>
          <w:rStyle w:val="SubtleEmphasis"/>
          <w:lang w:val="en-GB"/>
        </w:rPr>
        <w:br/>
        <w:t>International Bachelor of economics and business economics</w:t>
      </w:r>
      <w:r w:rsidRPr="00981F21">
        <w:rPr>
          <w:rStyle w:val="SubtleEmphasis"/>
          <w:lang w:val="en-GB"/>
        </w:rPr>
        <w:br/>
        <w:t>Erasmus University Rotterdam</w:t>
      </w:r>
    </w:p>
    <w:p w:rsidR="00310784" w:rsidRPr="00981F21" w:rsidRDefault="00310784" w:rsidP="00310784">
      <w:pPr>
        <w:jc w:val="center"/>
        <w:rPr>
          <w:rStyle w:val="SubtleEmphasis"/>
          <w:lang w:val="en-GB"/>
        </w:rPr>
      </w:pPr>
    </w:p>
    <w:p w:rsidR="00310784" w:rsidRPr="00981F21" w:rsidRDefault="00310784" w:rsidP="00310784">
      <w:pPr>
        <w:jc w:val="center"/>
        <w:rPr>
          <w:rStyle w:val="SubtleEmphasis"/>
          <w:lang w:val="en-GB"/>
        </w:rPr>
      </w:pPr>
    </w:p>
    <w:p w:rsidR="00310784" w:rsidRPr="00981F21" w:rsidRDefault="00310784" w:rsidP="00310784">
      <w:pPr>
        <w:jc w:val="center"/>
        <w:rPr>
          <w:rStyle w:val="SubtleEmphasis"/>
          <w:lang w:val="en-GB"/>
        </w:rPr>
      </w:pPr>
    </w:p>
    <w:p w:rsidR="00310784" w:rsidRPr="00981F21" w:rsidRDefault="00310784" w:rsidP="00310784">
      <w:pPr>
        <w:jc w:val="center"/>
        <w:rPr>
          <w:rStyle w:val="SubtleEmphasis"/>
          <w:lang w:val="en-GB"/>
        </w:rPr>
      </w:pPr>
    </w:p>
    <w:p w:rsidR="00310784" w:rsidRPr="00981F21" w:rsidRDefault="00310784" w:rsidP="00310784">
      <w:pPr>
        <w:jc w:val="center"/>
        <w:rPr>
          <w:rStyle w:val="SubtleEmphasis"/>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sdt>
      <w:sdtPr>
        <w:rPr>
          <w:i/>
          <w:iCs/>
          <w:caps w:val="0"/>
          <w:color w:val="auto"/>
          <w:spacing w:val="0"/>
          <w:sz w:val="22"/>
          <w:szCs w:val="22"/>
          <w:lang w:val="en-GB" w:bidi="ar-SA"/>
        </w:rPr>
        <w:id w:val="977345776"/>
        <w:docPartObj>
          <w:docPartGallery w:val="Table of Contents"/>
          <w:docPartUnique/>
        </w:docPartObj>
      </w:sdtPr>
      <w:sdtEndPr>
        <w:rPr>
          <w:b/>
          <w:bCs/>
          <w:noProof/>
        </w:rPr>
      </w:sdtEndPr>
      <w:sdtContent>
        <w:p w:rsidR="00310784" w:rsidRPr="00981F21" w:rsidRDefault="00310784">
          <w:pPr>
            <w:pStyle w:val="TOCHeading"/>
            <w:rPr>
              <w:lang w:val="en-GB"/>
            </w:rPr>
          </w:pPr>
          <w:r w:rsidRPr="00981F21">
            <w:rPr>
              <w:lang w:val="en-GB"/>
            </w:rPr>
            <w:t>Contents</w:t>
          </w:r>
        </w:p>
        <w:p w:rsidR="0002608F" w:rsidRDefault="00FD0314">
          <w:pPr>
            <w:pStyle w:val="TOC1"/>
            <w:tabs>
              <w:tab w:val="right" w:leader="dot" w:pos="9016"/>
            </w:tabs>
            <w:rPr>
              <w:rFonts w:asciiTheme="minorHAnsi" w:eastAsiaTheme="minorEastAsia" w:hAnsiTheme="minorHAnsi" w:cstheme="minorBidi"/>
              <w:noProof/>
              <w:lang w:val="nl-NL" w:eastAsia="nl-NL"/>
            </w:rPr>
          </w:pPr>
          <w:r w:rsidRPr="00FD0314">
            <w:rPr>
              <w:lang w:val="en-GB"/>
            </w:rPr>
            <w:fldChar w:fldCharType="begin"/>
          </w:r>
          <w:r w:rsidR="00310784" w:rsidRPr="00981F21">
            <w:rPr>
              <w:lang w:val="en-GB"/>
            </w:rPr>
            <w:instrText xml:space="preserve"> TOC \o "1-3" \h \z \u </w:instrText>
          </w:r>
          <w:r w:rsidRPr="00FD0314">
            <w:rPr>
              <w:lang w:val="en-GB"/>
            </w:rPr>
            <w:fldChar w:fldCharType="separate"/>
          </w:r>
          <w:hyperlink w:anchor="_Toc363737814" w:history="1">
            <w:r w:rsidR="0002608F" w:rsidRPr="005A31ED">
              <w:rPr>
                <w:rStyle w:val="Hyperlink"/>
                <w:iCs/>
                <w:noProof/>
                <w:lang w:val="en-GB"/>
              </w:rPr>
              <w:t>Chapter 1; Introduction</w:t>
            </w:r>
            <w:r w:rsidR="0002608F">
              <w:rPr>
                <w:noProof/>
                <w:webHidden/>
              </w:rPr>
              <w:tab/>
            </w:r>
            <w:r>
              <w:rPr>
                <w:noProof/>
                <w:webHidden/>
              </w:rPr>
              <w:fldChar w:fldCharType="begin"/>
            </w:r>
            <w:r w:rsidR="0002608F">
              <w:rPr>
                <w:noProof/>
                <w:webHidden/>
              </w:rPr>
              <w:instrText xml:space="preserve"> PAGEREF _Toc363737814 \h </w:instrText>
            </w:r>
            <w:r>
              <w:rPr>
                <w:noProof/>
                <w:webHidden/>
              </w:rPr>
            </w:r>
            <w:r>
              <w:rPr>
                <w:noProof/>
                <w:webHidden/>
              </w:rPr>
              <w:fldChar w:fldCharType="separate"/>
            </w:r>
            <w:r w:rsidR="0002608F">
              <w:rPr>
                <w:noProof/>
                <w:webHidden/>
              </w:rPr>
              <w:t>3</w:t>
            </w:r>
            <w:r>
              <w:rPr>
                <w:noProof/>
                <w:webHidden/>
              </w:rPr>
              <w:fldChar w:fldCharType="end"/>
            </w:r>
          </w:hyperlink>
        </w:p>
        <w:p w:rsidR="0002608F" w:rsidRDefault="00FD0314">
          <w:pPr>
            <w:pStyle w:val="TOC2"/>
            <w:tabs>
              <w:tab w:val="left" w:pos="880"/>
              <w:tab w:val="right" w:leader="dot" w:pos="9016"/>
            </w:tabs>
            <w:rPr>
              <w:rFonts w:asciiTheme="minorHAnsi" w:eastAsiaTheme="minorEastAsia" w:hAnsiTheme="minorHAnsi" w:cstheme="minorBidi"/>
              <w:noProof/>
              <w:lang w:val="nl-NL" w:eastAsia="nl-NL"/>
            </w:rPr>
          </w:pPr>
          <w:hyperlink w:anchor="_Toc363737815" w:history="1">
            <w:r w:rsidR="0002608F" w:rsidRPr="005A31ED">
              <w:rPr>
                <w:rStyle w:val="Hyperlink"/>
                <w:noProof/>
                <w:lang w:val="en-GB"/>
              </w:rPr>
              <w:t>1.1</w:t>
            </w:r>
            <w:r w:rsidR="0002608F">
              <w:rPr>
                <w:rFonts w:asciiTheme="minorHAnsi" w:eastAsiaTheme="minorEastAsia" w:hAnsiTheme="minorHAnsi" w:cstheme="minorBidi"/>
                <w:noProof/>
                <w:lang w:val="nl-NL" w:eastAsia="nl-NL"/>
              </w:rPr>
              <w:tab/>
            </w:r>
            <w:r w:rsidR="0002608F" w:rsidRPr="005A31ED">
              <w:rPr>
                <w:rStyle w:val="Hyperlink"/>
                <w:noProof/>
                <w:lang w:val="en-GB"/>
              </w:rPr>
              <w:t>Introduction</w:t>
            </w:r>
            <w:r w:rsidR="0002608F">
              <w:rPr>
                <w:noProof/>
                <w:webHidden/>
              </w:rPr>
              <w:tab/>
            </w:r>
            <w:r>
              <w:rPr>
                <w:noProof/>
                <w:webHidden/>
              </w:rPr>
              <w:fldChar w:fldCharType="begin"/>
            </w:r>
            <w:r w:rsidR="0002608F">
              <w:rPr>
                <w:noProof/>
                <w:webHidden/>
              </w:rPr>
              <w:instrText xml:space="preserve"> PAGEREF _Toc363737815 \h </w:instrText>
            </w:r>
            <w:r>
              <w:rPr>
                <w:noProof/>
                <w:webHidden/>
              </w:rPr>
            </w:r>
            <w:r>
              <w:rPr>
                <w:noProof/>
                <w:webHidden/>
              </w:rPr>
              <w:fldChar w:fldCharType="separate"/>
            </w:r>
            <w:r w:rsidR="0002608F">
              <w:rPr>
                <w:noProof/>
                <w:webHidden/>
              </w:rPr>
              <w:t>3</w:t>
            </w:r>
            <w:r>
              <w:rPr>
                <w:noProof/>
                <w:webHidden/>
              </w:rPr>
              <w:fldChar w:fldCharType="end"/>
            </w:r>
          </w:hyperlink>
        </w:p>
        <w:p w:rsidR="0002608F" w:rsidRDefault="00FD0314">
          <w:pPr>
            <w:pStyle w:val="TOC2"/>
            <w:tabs>
              <w:tab w:val="left" w:pos="880"/>
              <w:tab w:val="right" w:leader="dot" w:pos="9016"/>
            </w:tabs>
            <w:rPr>
              <w:rFonts w:asciiTheme="minorHAnsi" w:eastAsiaTheme="minorEastAsia" w:hAnsiTheme="minorHAnsi" w:cstheme="minorBidi"/>
              <w:noProof/>
              <w:lang w:val="nl-NL" w:eastAsia="nl-NL"/>
            </w:rPr>
          </w:pPr>
          <w:hyperlink w:anchor="_Toc363737816" w:history="1">
            <w:r w:rsidR="0002608F" w:rsidRPr="005A31ED">
              <w:rPr>
                <w:rStyle w:val="Hyperlink"/>
                <w:noProof/>
                <w:lang w:val="en-GB"/>
              </w:rPr>
              <w:t>1.2</w:t>
            </w:r>
            <w:r w:rsidR="0002608F">
              <w:rPr>
                <w:rFonts w:asciiTheme="minorHAnsi" w:eastAsiaTheme="minorEastAsia" w:hAnsiTheme="minorHAnsi" w:cstheme="minorBidi"/>
                <w:noProof/>
                <w:lang w:val="nl-NL" w:eastAsia="nl-NL"/>
              </w:rPr>
              <w:tab/>
            </w:r>
            <w:r w:rsidR="0002608F" w:rsidRPr="005A31ED">
              <w:rPr>
                <w:rStyle w:val="Hyperlink"/>
                <w:noProof/>
                <w:lang w:val="en-GB"/>
              </w:rPr>
              <w:t>Scientific relevance</w:t>
            </w:r>
            <w:r w:rsidR="0002608F">
              <w:rPr>
                <w:noProof/>
                <w:webHidden/>
              </w:rPr>
              <w:tab/>
            </w:r>
            <w:r>
              <w:rPr>
                <w:noProof/>
                <w:webHidden/>
              </w:rPr>
              <w:fldChar w:fldCharType="begin"/>
            </w:r>
            <w:r w:rsidR="0002608F">
              <w:rPr>
                <w:noProof/>
                <w:webHidden/>
              </w:rPr>
              <w:instrText xml:space="preserve"> PAGEREF _Toc363737816 \h </w:instrText>
            </w:r>
            <w:r>
              <w:rPr>
                <w:noProof/>
                <w:webHidden/>
              </w:rPr>
            </w:r>
            <w:r>
              <w:rPr>
                <w:noProof/>
                <w:webHidden/>
              </w:rPr>
              <w:fldChar w:fldCharType="separate"/>
            </w:r>
            <w:r w:rsidR="0002608F">
              <w:rPr>
                <w:noProof/>
                <w:webHidden/>
              </w:rPr>
              <w:t>3</w:t>
            </w:r>
            <w:r>
              <w:rPr>
                <w:noProof/>
                <w:webHidden/>
              </w:rPr>
              <w:fldChar w:fldCharType="end"/>
            </w:r>
          </w:hyperlink>
        </w:p>
        <w:p w:rsidR="0002608F" w:rsidRDefault="00FD0314">
          <w:pPr>
            <w:pStyle w:val="TOC2"/>
            <w:tabs>
              <w:tab w:val="left" w:pos="880"/>
              <w:tab w:val="right" w:leader="dot" w:pos="9016"/>
            </w:tabs>
            <w:rPr>
              <w:rFonts w:asciiTheme="minorHAnsi" w:eastAsiaTheme="minorEastAsia" w:hAnsiTheme="minorHAnsi" w:cstheme="minorBidi"/>
              <w:noProof/>
              <w:lang w:val="nl-NL" w:eastAsia="nl-NL"/>
            </w:rPr>
          </w:pPr>
          <w:hyperlink w:anchor="_Toc363737817" w:history="1">
            <w:r w:rsidR="0002608F" w:rsidRPr="005A31ED">
              <w:rPr>
                <w:rStyle w:val="Hyperlink"/>
                <w:noProof/>
                <w:lang w:val="en-GB"/>
              </w:rPr>
              <w:t>1.3</w:t>
            </w:r>
            <w:r w:rsidR="0002608F">
              <w:rPr>
                <w:rFonts w:asciiTheme="minorHAnsi" w:eastAsiaTheme="minorEastAsia" w:hAnsiTheme="minorHAnsi" w:cstheme="minorBidi"/>
                <w:noProof/>
                <w:lang w:val="nl-NL" w:eastAsia="nl-NL"/>
              </w:rPr>
              <w:tab/>
            </w:r>
            <w:r w:rsidR="0002608F" w:rsidRPr="005A31ED">
              <w:rPr>
                <w:rStyle w:val="Hyperlink"/>
                <w:noProof/>
                <w:lang w:val="en-GB"/>
              </w:rPr>
              <w:t>Practical relevance</w:t>
            </w:r>
            <w:r w:rsidR="0002608F">
              <w:rPr>
                <w:noProof/>
                <w:webHidden/>
              </w:rPr>
              <w:tab/>
            </w:r>
            <w:r>
              <w:rPr>
                <w:noProof/>
                <w:webHidden/>
              </w:rPr>
              <w:fldChar w:fldCharType="begin"/>
            </w:r>
            <w:r w:rsidR="0002608F">
              <w:rPr>
                <w:noProof/>
                <w:webHidden/>
              </w:rPr>
              <w:instrText xml:space="preserve"> PAGEREF _Toc363737817 \h </w:instrText>
            </w:r>
            <w:r>
              <w:rPr>
                <w:noProof/>
                <w:webHidden/>
              </w:rPr>
            </w:r>
            <w:r>
              <w:rPr>
                <w:noProof/>
                <w:webHidden/>
              </w:rPr>
              <w:fldChar w:fldCharType="separate"/>
            </w:r>
            <w:r w:rsidR="0002608F">
              <w:rPr>
                <w:noProof/>
                <w:webHidden/>
              </w:rPr>
              <w:t>4</w:t>
            </w:r>
            <w:r>
              <w:rPr>
                <w:noProof/>
                <w:webHidden/>
              </w:rPr>
              <w:fldChar w:fldCharType="end"/>
            </w:r>
          </w:hyperlink>
        </w:p>
        <w:p w:rsidR="0002608F" w:rsidRDefault="00FD0314">
          <w:pPr>
            <w:pStyle w:val="TOC2"/>
            <w:tabs>
              <w:tab w:val="left" w:pos="880"/>
              <w:tab w:val="right" w:leader="dot" w:pos="9016"/>
            </w:tabs>
            <w:rPr>
              <w:rFonts w:asciiTheme="minorHAnsi" w:eastAsiaTheme="minorEastAsia" w:hAnsiTheme="minorHAnsi" w:cstheme="minorBidi"/>
              <w:noProof/>
              <w:lang w:val="nl-NL" w:eastAsia="nl-NL"/>
            </w:rPr>
          </w:pPr>
          <w:hyperlink w:anchor="_Toc363737818" w:history="1">
            <w:r w:rsidR="0002608F" w:rsidRPr="005A31ED">
              <w:rPr>
                <w:rStyle w:val="Hyperlink"/>
                <w:noProof/>
                <w:lang w:val="en-GB"/>
              </w:rPr>
              <w:t>1.4</w:t>
            </w:r>
            <w:r w:rsidR="0002608F">
              <w:rPr>
                <w:rFonts w:asciiTheme="minorHAnsi" w:eastAsiaTheme="minorEastAsia" w:hAnsiTheme="minorHAnsi" w:cstheme="minorBidi"/>
                <w:noProof/>
                <w:lang w:val="nl-NL" w:eastAsia="nl-NL"/>
              </w:rPr>
              <w:tab/>
            </w:r>
            <w:r w:rsidR="0002608F" w:rsidRPr="005A31ED">
              <w:rPr>
                <w:rStyle w:val="Hyperlink"/>
                <w:noProof/>
                <w:lang w:val="en-GB"/>
              </w:rPr>
              <w:t>Research question and methodology</w:t>
            </w:r>
            <w:r w:rsidR="0002608F">
              <w:rPr>
                <w:noProof/>
                <w:webHidden/>
              </w:rPr>
              <w:tab/>
            </w:r>
            <w:r>
              <w:rPr>
                <w:noProof/>
                <w:webHidden/>
              </w:rPr>
              <w:fldChar w:fldCharType="begin"/>
            </w:r>
            <w:r w:rsidR="0002608F">
              <w:rPr>
                <w:noProof/>
                <w:webHidden/>
              </w:rPr>
              <w:instrText xml:space="preserve"> PAGEREF _Toc363737818 \h </w:instrText>
            </w:r>
            <w:r>
              <w:rPr>
                <w:noProof/>
                <w:webHidden/>
              </w:rPr>
            </w:r>
            <w:r>
              <w:rPr>
                <w:noProof/>
                <w:webHidden/>
              </w:rPr>
              <w:fldChar w:fldCharType="separate"/>
            </w:r>
            <w:r w:rsidR="0002608F">
              <w:rPr>
                <w:noProof/>
                <w:webHidden/>
              </w:rPr>
              <w:t>4</w:t>
            </w:r>
            <w:r>
              <w:rPr>
                <w:noProof/>
                <w:webHidden/>
              </w:rPr>
              <w:fldChar w:fldCharType="end"/>
            </w:r>
          </w:hyperlink>
        </w:p>
        <w:p w:rsidR="0002608F" w:rsidRDefault="00FD0314">
          <w:pPr>
            <w:pStyle w:val="TOC1"/>
            <w:tabs>
              <w:tab w:val="right" w:leader="dot" w:pos="9016"/>
            </w:tabs>
            <w:rPr>
              <w:rFonts w:asciiTheme="minorHAnsi" w:eastAsiaTheme="minorEastAsia" w:hAnsiTheme="minorHAnsi" w:cstheme="minorBidi"/>
              <w:noProof/>
              <w:lang w:val="nl-NL" w:eastAsia="nl-NL"/>
            </w:rPr>
          </w:pPr>
          <w:hyperlink w:anchor="_Toc363737819" w:history="1">
            <w:r w:rsidR="0002608F" w:rsidRPr="005A31ED">
              <w:rPr>
                <w:rStyle w:val="Hyperlink"/>
                <w:noProof/>
                <w:lang w:val="en-GB"/>
              </w:rPr>
              <w:t>Chapter 2; Literature review</w:t>
            </w:r>
            <w:r w:rsidR="0002608F">
              <w:rPr>
                <w:noProof/>
                <w:webHidden/>
              </w:rPr>
              <w:tab/>
            </w:r>
            <w:r>
              <w:rPr>
                <w:noProof/>
                <w:webHidden/>
              </w:rPr>
              <w:fldChar w:fldCharType="begin"/>
            </w:r>
            <w:r w:rsidR="0002608F">
              <w:rPr>
                <w:noProof/>
                <w:webHidden/>
              </w:rPr>
              <w:instrText xml:space="preserve"> PAGEREF _Toc363737819 \h </w:instrText>
            </w:r>
            <w:r>
              <w:rPr>
                <w:noProof/>
                <w:webHidden/>
              </w:rPr>
            </w:r>
            <w:r>
              <w:rPr>
                <w:noProof/>
                <w:webHidden/>
              </w:rPr>
              <w:fldChar w:fldCharType="separate"/>
            </w:r>
            <w:r w:rsidR="0002608F">
              <w:rPr>
                <w:noProof/>
                <w:webHidden/>
              </w:rPr>
              <w:t>5</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0" w:history="1">
            <w:r w:rsidR="0002608F" w:rsidRPr="005A31ED">
              <w:rPr>
                <w:rStyle w:val="Hyperlink"/>
                <w:noProof/>
                <w:lang w:val="en-GB"/>
              </w:rPr>
              <w:t>2.1 Cost benefit analysis</w:t>
            </w:r>
            <w:r w:rsidR="0002608F">
              <w:rPr>
                <w:noProof/>
                <w:webHidden/>
              </w:rPr>
              <w:tab/>
            </w:r>
            <w:r>
              <w:rPr>
                <w:noProof/>
                <w:webHidden/>
              </w:rPr>
              <w:fldChar w:fldCharType="begin"/>
            </w:r>
            <w:r w:rsidR="0002608F">
              <w:rPr>
                <w:noProof/>
                <w:webHidden/>
              </w:rPr>
              <w:instrText xml:space="preserve"> PAGEREF _Toc363737820 \h </w:instrText>
            </w:r>
            <w:r>
              <w:rPr>
                <w:noProof/>
                <w:webHidden/>
              </w:rPr>
            </w:r>
            <w:r>
              <w:rPr>
                <w:noProof/>
                <w:webHidden/>
              </w:rPr>
              <w:fldChar w:fldCharType="separate"/>
            </w:r>
            <w:r w:rsidR="0002608F">
              <w:rPr>
                <w:noProof/>
                <w:webHidden/>
              </w:rPr>
              <w:t>5</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1" w:history="1">
            <w:r w:rsidR="0002608F" w:rsidRPr="005A31ED">
              <w:rPr>
                <w:rStyle w:val="Hyperlink"/>
                <w:noProof/>
                <w:lang w:val="en-GB"/>
              </w:rPr>
              <w:t>2.2 Economic forecasting methods</w:t>
            </w:r>
            <w:r w:rsidR="0002608F">
              <w:rPr>
                <w:noProof/>
                <w:webHidden/>
              </w:rPr>
              <w:tab/>
            </w:r>
            <w:r>
              <w:rPr>
                <w:noProof/>
                <w:webHidden/>
              </w:rPr>
              <w:fldChar w:fldCharType="begin"/>
            </w:r>
            <w:r w:rsidR="0002608F">
              <w:rPr>
                <w:noProof/>
                <w:webHidden/>
              </w:rPr>
              <w:instrText xml:space="preserve"> PAGEREF _Toc363737821 \h </w:instrText>
            </w:r>
            <w:r>
              <w:rPr>
                <w:noProof/>
                <w:webHidden/>
              </w:rPr>
            </w:r>
            <w:r>
              <w:rPr>
                <w:noProof/>
                <w:webHidden/>
              </w:rPr>
              <w:fldChar w:fldCharType="separate"/>
            </w:r>
            <w:r w:rsidR="0002608F">
              <w:rPr>
                <w:noProof/>
                <w:webHidden/>
              </w:rPr>
              <w:t>7</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2" w:history="1">
            <w:r w:rsidR="0002608F" w:rsidRPr="005A31ED">
              <w:rPr>
                <w:rStyle w:val="Hyperlink"/>
                <w:noProof/>
                <w:lang w:val="en-GB"/>
              </w:rPr>
              <w:t>2.3 Entry barriers and intra port competition</w:t>
            </w:r>
            <w:r w:rsidR="0002608F">
              <w:rPr>
                <w:noProof/>
                <w:webHidden/>
              </w:rPr>
              <w:tab/>
            </w:r>
            <w:r>
              <w:rPr>
                <w:noProof/>
                <w:webHidden/>
              </w:rPr>
              <w:fldChar w:fldCharType="begin"/>
            </w:r>
            <w:r w:rsidR="0002608F">
              <w:rPr>
                <w:noProof/>
                <w:webHidden/>
              </w:rPr>
              <w:instrText xml:space="preserve"> PAGEREF _Toc363737822 \h </w:instrText>
            </w:r>
            <w:r>
              <w:rPr>
                <w:noProof/>
                <w:webHidden/>
              </w:rPr>
            </w:r>
            <w:r>
              <w:rPr>
                <w:noProof/>
                <w:webHidden/>
              </w:rPr>
              <w:fldChar w:fldCharType="separate"/>
            </w:r>
            <w:r w:rsidR="0002608F">
              <w:rPr>
                <w:noProof/>
                <w:webHidden/>
              </w:rPr>
              <w:t>8</w:t>
            </w:r>
            <w:r>
              <w:rPr>
                <w:noProof/>
                <w:webHidden/>
              </w:rPr>
              <w:fldChar w:fldCharType="end"/>
            </w:r>
          </w:hyperlink>
        </w:p>
        <w:p w:rsidR="0002608F" w:rsidRDefault="00FD0314">
          <w:pPr>
            <w:pStyle w:val="TOC1"/>
            <w:tabs>
              <w:tab w:val="right" w:leader="dot" w:pos="9016"/>
            </w:tabs>
            <w:rPr>
              <w:rFonts w:asciiTheme="minorHAnsi" w:eastAsiaTheme="minorEastAsia" w:hAnsiTheme="minorHAnsi" w:cstheme="minorBidi"/>
              <w:noProof/>
              <w:lang w:val="nl-NL" w:eastAsia="nl-NL"/>
            </w:rPr>
          </w:pPr>
          <w:hyperlink w:anchor="_Toc363737823" w:history="1">
            <w:r w:rsidR="0002608F" w:rsidRPr="005A31ED">
              <w:rPr>
                <w:rStyle w:val="Hyperlink"/>
                <w:noProof/>
                <w:lang w:val="en-GB"/>
              </w:rPr>
              <w:t>Chapter 3; Data and background</w:t>
            </w:r>
            <w:r w:rsidR="0002608F">
              <w:rPr>
                <w:noProof/>
                <w:webHidden/>
              </w:rPr>
              <w:tab/>
            </w:r>
            <w:r>
              <w:rPr>
                <w:noProof/>
                <w:webHidden/>
              </w:rPr>
              <w:fldChar w:fldCharType="begin"/>
            </w:r>
            <w:r w:rsidR="0002608F">
              <w:rPr>
                <w:noProof/>
                <w:webHidden/>
              </w:rPr>
              <w:instrText xml:space="preserve"> PAGEREF _Toc363737823 \h </w:instrText>
            </w:r>
            <w:r>
              <w:rPr>
                <w:noProof/>
                <w:webHidden/>
              </w:rPr>
            </w:r>
            <w:r>
              <w:rPr>
                <w:noProof/>
                <w:webHidden/>
              </w:rPr>
              <w:fldChar w:fldCharType="separate"/>
            </w:r>
            <w:r w:rsidR="0002608F">
              <w:rPr>
                <w:noProof/>
                <w:webHidden/>
              </w:rPr>
              <w:t>9</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4" w:history="1">
            <w:r w:rsidR="0002608F" w:rsidRPr="005A31ED">
              <w:rPr>
                <w:rStyle w:val="Hyperlink"/>
                <w:noProof/>
                <w:lang w:val="en-GB"/>
              </w:rPr>
              <w:t>3.1 Research framework</w:t>
            </w:r>
            <w:r w:rsidR="0002608F">
              <w:rPr>
                <w:noProof/>
                <w:webHidden/>
              </w:rPr>
              <w:tab/>
            </w:r>
            <w:r>
              <w:rPr>
                <w:noProof/>
                <w:webHidden/>
              </w:rPr>
              <w:fldChar w:fldCharType="begin"/>
            </w:r>
            <w:r w:rsidR="0002608F">
              <w:rPr>
                <w:noProof/>
                <w:webHidden/>
              </w:rPr>
              <w:instrText xml:space="preserve"> PAGEREF _Toc363737824 \h </w:instrText>
            </w:r>
            <w:r>
              <w:rPr>
                <w:noProof/>
                <w:webHidden/>
              </w:rPr>
            </w:r>
            <w:r>
              <w:rPr>
                <w:noProof/>
                <w:webHidden/>
              </w:rPr>
              <w:fldChar w:fldCharType="separate"/>
            </w:r>
            <w:r w:rsidR="0002608F">
              <w:rPr>
                <w:noProof/>
                <w:webHidden/>
              </w:rPr>
              <w:t>9</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5" w:history="1">
            <w:r w:rsidR="0002608F" w:rsidRPr="005A31ED">
              <w:rPr>
                <w:rStyle w:val="Hyperlink"/>
                <w:noProof/>
                <w:lang w:val="en-GB"/>
              </w:rPr>
              <w:t>3.2 Three scenarios</w:t>
            </w:r>
            <w:r w:rsidR="0002608F">
              <w:rPr>
                <w:noProof/>
                <w:webHidden/>
              </w:rPr>
              <w:tab/>
            </w:r>
            <w:r>
              <w:rPr>
                <w:noProof/>
                <w:webHidden/>
              </w:rPr>
              <w:fldChar w:fldCharType="begin"/>
            </w:r>
            <w:r w:rsidR="0002608F">
              <w:rPr>
                <w:noProof/>
                <w:webHidden/>
              </w:rPr>
              <w:instrText xml:space="preserve"> PAGEREF _Toc363737825 \h </w:instrText>
            </w:r>
            <w:r>
              <w:rPr>
                <w:noProof/>
                <w:webHidden/>
              </w:rPr>
            </w:r>
            <w:r>
              <w:rPr>
                <w:noProof/>
                <w:webHidden/>
              </w:rPr>
              <w:fldChar w:fldCharType="separate"/>
            </w:r>
            <w:r w:rsidR="0002608F">
              <w:rPr>
                <w:noProof/>
                <w:webHidden/>
              </w:rPr>
              <w:t>9</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6" w:history="1">
            <w:r w:rsidR="0002608F" w:rsidRPr="005A31ED">
              <w:rPr>
                <w:rStyle w:val="Hyperlink"/>
                <w:noProof/>
                <w:lang w:val="en-GB"/>
              </w:rPr>
              <w:t>3.3 Results</w:t>
            </w:r>
            <w:r w:rsidR="0002608F">
              <w:rPr>
                <w:noProof/>
                <w:webHidden/>
              </w:rPr>
              <w:tab/>
            </w:r>
            <w:r>
              <w:rPr>
                <w:noProof/>
                <w:webHidden/>
              </w:rPr>
              <w:fldChar w:fldCharType="begin"/>
            </w:r>
            <w:r w:rsidR="0002608F">
              <w:rPr>
                <w:noProof/>
                <w:webHidden/>
              </w:rPr>
              <w:instrText xml:space="preserve"> PAGEREF _Toc363737826 \h </w:instrText>
            </w:r>
            <w:r>
              <w:rPr>
                <w:noProof/>
                <w:webHidden/>
              </w:rPr>
            </w:r>
            <w:r>
              <w:rPr>
                <w:noProof/>
                <w:webHidden/>
              </w:rPr>
              <w:fldChar w:fldCharType="separate"/>
            </w:r>
            <w:r w:rsidR="0002608F">
              <w:rPr>
                <w:noProof/>
                <w:webHidden/>
              </w:rPr>
              <w:t>11</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7" w:history="1">
            <w:r w:rsidR="0002608F" w:rsidRPr="005A31ED">
              <w:rPr>
                <w:rStyle w:val="Hyperlink"/>
                <w:noProof/>
                <w:lang w:val="en-GB"/>
              </w:rPr>
              <w:t>3.4 General structure</w:t>
            </w:r>
            <w:r w:rsidR="0002608F">
              <w:rPr>
                <w:noProof/>
                <w:webHidden/>
              </w:rPr>
              <w:tab/>
            </w:r>
            <w:r>
              <w:rPr>
                <w:noProof/>
                <w:webHidden/>
              </w:rPr>
              <w:fldChar w:fldCharType="begin"/>
            </w:r>
            <w:r w:rsidR="0002608F">
              <w:rPr>
                <w:noProof/>
                <w:webHidden/>
              </w:rPr>
              <w:instrText xml:space="preserve"> PAGEREF _Toc363737827 \h </w:instrText>
            </w:r>
            <w:r>
              <w:rPr>
                <w:noProof/>
                <w:webHidden/>
              </w:rPr>
            </w:r>
            <w:r>
              <w:rPr>
                <w:noProof/>
                <w:webHidden/>
              </w:rPr>
              <w:fldChar w:fldCharType="separate"/>
            </w:r>
            <w:r w:rsidR="0002608F">
              <w:rPr>
                <w:noProof/>
                <w:webHidden/>
              </w:rPr>
              <w:t>12</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8" w:history="1">
            <w:r w:rsidR="0002608F" w:rsidRPr="005A31ED">
              <w:rPr>
                <w:rStyle w:val="Hyperlink"/>
                <w:noProof/>
                <w:lang w:val="en-GB"/>
              </w:rPr>
              <w:t>3.5 Chemical sector</w:t>
            </w:r>
            <w:r w:rsidR="0002608F">
              <w:rPr>
                <w:noProof/>
                <w:webHidden/>
              </w:rPr>
              <w:tab/>
            </w:r>
            <w:r>
              <w:rPr>
                <w:noProof/>
                <w:webHidden/>
              </w:rPr>
              <w:fldChar w:fldCharType="begin"/>
            </w:r>
            <w:r w:rsidR="0002608F">
              <w:rPr>
                <w:noProof/>
                <w:webHidden/>
              </w:rPr>
              <w:instrText xml:space="preserve"> PAGEREF _Toc363737828 \h </w:instrText>
            </w:r>
            <w:r>
              <w:rPr>
                <w:noProof/>
                <w:webHidden/>
              </w:rPr>
            </w:r>
            <w:r>
              <w:rPr>
                <w:noProof/>
                <w:webHidden/>
              </w:rPr>
              <w:fldChar w:fldCharType="separate"/>
            </w:r>
            <w:r w:rsidR="0002608F">
              <w:rPr>
                <w:noProof/>
                <w:webHidden/>
              </w:rPr>
              <w:t>13</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29" w:history="1">
            <w:r w:rsidR="0002608F" w:rsidRPr="005A31ED">
              <w:rPr>
                <w:rStyle w:val="Hyperlink"/>
                <w:noProof/>
                <w:lang w:val="en-GB"/>
              </w:rPr>
              <w:t>3.6 Oil industry</w:t>
            </w:r>
            <w:r w:rsidR="0002608F">
              <w:rPr>
                <w:noProof/>
                <w:webHidden/>
              </w:rPr>
              <w:tab/>
            </w:r>
            <w:r>
              <w:rPr>
                <w:noProof/>
                <w:webHidden/>
              </w:rPr>
              <w:fldChar w:fldCharType="begin"/>
            </w:r>
            <w:r w:rsidR="0002608F">
              <w:rPr>
                <w:noProof/>
                <w:webHidden/>
              </w:rPr>
              <w:instrText xml:space="preserve"> PAGEREF _Toc363737829 \h </w:instrText>
            </w:r>
            <w:r>
              <w:rPr>
                <w:noProof/>
                <w:webHidden/>
              </w:rPr>
            </w:r>
            <w:r>
              <w:rPr>
                <w:noProof/>
                <w:webHidden/>
              </w:rPr>
              <w:fldChar w:fldCharType="separate"/>
            </w:r>
            <w:r w:rsidR="0002608F">
              <w:rPr>
                <w:noProof/>
                <w:webHidden/>
              </w:rPr>
              <w:t>14</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30" w:history="1">
            <w:r w:rsidR="0002608F" w:rsidRPr="005A31ED">
              <w:rPr>
                <w:rStyle w:val="Hyperlink"/>
                <w:noProof/>
                <w:lang w:val="en-GB"/>
              </w:rPr>
              <w:t>3.7 Storage and throughput of liquid mass goods</w:t>
            </w:r>
            <w:r w:rsidR="0002608F">
              <w:rPr>
                <w:noProof/>
                <w:webHidden/>
              </w:rPr>
              <w:tab/>
            </w:r>
            <w:r>
              <w:rPr>
                <w:noProof/>
                <w:webHidden/>
              </w:rPr>
              <w:fldChar w:fldCharType="begin"/>
            </w:r>
            <w:r w:rsidR="0002608F">
              <w:rPr>
                <w:noProof/>
                <w:webHidden/>
              </w:rPr>
              <w:instrText xml:space="preserve"> PAGEREF _Toc363737830 \h </w:instrText>
            </w:r>
            <w:r>
              <w:rPr>
                <w:noProof/>
                <w:webHidden/>
              </w:rPr>
            </w:r>
            <w:r>
              <w:rPr>
                <w:noProof/>
                <w:webHidden/>
              </w:rPr>
              <w:fldChar w:fldCharType="separate"/>
            </w:r>
            <w:r w:rsidR="0002608F">
              <w:rPr>
                <w:noProof/>
                <w:webHidden/>
              </w:rPr>
              <w:t>15</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31" w:history="1">
            <w:r w:rsidR="0002608F" w:rsidRPr="005A31ED">
              <w:rPr>
                <w:rStyle w:val="Hyperlink"/>
                <w:noProof/>
                <w:lang w:val="en-GB"/>
              </w:rPr>
              <w:t>3.7.1 Crude oil and oil products</w:t>
            </w:r>
            <w:r w:rsidR="0002608F">
              <w:rPr>
                <w:noProof/>
                <w:webHidden/>
              </w:rPr>
              <w:tab/>
            </w:r>
            <w:r>
              <w:rPr>
                <w:noProof/>
                <w:webHidden/>
              </w:rPr>
              <w:fldChar w:fldCharType="begin"/>
            </w:r>
            <w:r w:rsidR="0002608F">
              <w:rPr>
                <w:noProof/>
                <w:webHidden/>
              </w:rPr>
              <w:instrText xml:space="preserve"> PAGEREF _Toc363737831 \h </w:instrText>
            </w:r>
            <w:r>
              <w:rPr>
                <w:noProof/>
                <w:webHidden/>
              </w:rPr>
            </w:r>
            <w:r>
              <w:rPr>
                <w:noProof/>
                <w:webHidden/>
              </w:rPr>
              <w:fldChar w:fldCharType="separate"/>
            </w:r>
            <w:r w:rsidR="0002608F">
              <w:rPr>
                <w:noProof/>
                <w:webHidden/>
              </w:rPr>
              <w:t>15</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32" w:history="1">
            <w:r w:rsidR="0002608F" w:rsidRPr="005A31ED">
              <w:rPr>
                <w:rStyle w:val="Hyperlink"/>
                <w:noProof/>
                <w:lang w:val="en-GB"/>
              </w:rPr>
              <w:t>3.7.2 Energy gasses</w:t>
            </w:r>
            <w:r w:rsidR="0002608F">
              <w:rPr>
                <w:noProof/>
                <w:webHidden/>
              </w:rPr>
              <w:tab/>
            </w:r>
            <w:r>
              <w:rPr>
                <w:noProof/>
                <w:webHidden/>
              </w:rPr>
              <w:fldChar w:fldCharType="begin"/>
            </w:r>
            <w:r w:rsidR="0002608F">
              <w:rPr>
                <w:noProof/>
                <w:webHidden/>
              </w:rPr>
              <w:instrText xml:space="preserve"> PAGEREF _Toc363737832 \h </w:instrText>
            </w:r>
            <w:r>
              <w:rPr>
                <w:noProof/>
                <w:webHidden/>
              </w:rPr>
            </w:r>
            <w:r>
              <w:rPr>
                <w:noProof/>
                <w:webHidden/>
              </w:rPr>
              <w:fldChar w:fldCharType="separate"/>
            </w:r>
            <w:r w:rsidR="0002608F">
              <w:rPr>
                <w:noProof/>
                <w:webHidden/>
              </w:rPr>
              <w:t>16</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33" w:history="1">
            <w:r w:rsidR="0002608F" w:rsidRPr="005A31ED">
              <w:rPr>
                <w:rStyle w:val="Hyperlink"/>
                <w:noProof/>
                <w:lang w:val="en-GB"/>
              </w:rPr>
              <w:t>3.7.3 Chemical products</w:t>
            </w:r>
            <w:r w:rsidR="0002608F">
              <w:rPr>
                <w:noProof/>
                <w:webHidden/>
              </w:rPr>
              <w:tab/>
            </w:r>
            <w:r>
              <w:rPr>
                <w:noProof/>
                <w:webHidden/>
              </w:rPr>
              <w:fldChar w:fldCharType="begin"/>
            </w:r>
            <w:r w:rsidR="0002608F">
              <w:rPr>
                <w:noProof/>
                <w:webHidden/>
              </w:rPr>
              <w:instrText xml:space="preserve"> PAGEREF _Toc363737833 \h </w:instrText>
            </w:r>
            <w:r>
              <w:rPr>
                <w:noProof/>
                <w:webHidden/>
              </w:rPr>
            </w:r>
            <w:r>
              <w:rPr>
                <w:noProof/>
                <w:webHidden/>
              </w:rPr>
              <w:fldChar w:fldCharType="separate"/>
            </w:r>
            <w:r w:rsidR="0002608F">
              <w:rPr>
                <w:noProof/>
                <w:webHidden/>
              </w:rPr>
              <w:t>17</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34" w:history="1">
            <w:r w:rsidR="0002608F" w:rsidRPr="005A31ED">
              <w:rPr>
                <w:rStyle w:val="Hyperlink"/>
                <w:noProof/>
                <w:lang w:val="en-GB"/>
              </w:rPr>
              <w:t>3.8 Container sector</w:t>
            </w:r>
            <w:r w:rsidR="0002608F">
              <w:rPr>
                <w:noProof/>
                <w:webHidden/>
              </w:rPr>
              <w:tab/>
            </w:r>
            <w:r>
              <w:rPr>
                <w:noProof/>
                <w:webHidden/>
              </w:rPr>
              <w:fldChar w:fldCharType="begin"/>
            </w:r>
            <w:r w:rsidR="0002608F">
              <w:rPr>
                <w:noProof/>
                <w:webHidden/>
              </w:rPr>
              <w:instrText xml:space="preserve"> PAGEREF _Toc363737834 \h </w:instrText>
            </w:r>
            <w:r>
              <w:rPr>
                <w:noProof/>
                <w:webHidden/>
              </w:rPr>
            </w:r>
            <w:r>
              <w:rPr>
                <w:noProof/>
                <w:webHidden/>
              </w:rPr>
              <w:fldChar w:fldCharType="separate"/>
            </w:r>
            <w:r w:rsidR="0002608F">
              <w:rPr>
                <w:noProof/>
                <w:webHidden/>
              </w:rPr>
              <w:t>17</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35" w:history="1">
            <w:r w:rsidR="0002608F" w:rsidRPr="005A31ED">
              <w:rPr>
                <w:rStyle w:val="Hyperlink"/>
                <w:noProof/>
                <w:lang w:val="en-GB"/>
              </w:rPr>
              <w:t>3.9 Roll-on/Roll-off</w:t>
            </w:r>
            <w:r w:rsidR="0002608F">
              <w:rPr>
                <w:noProof/>
                <w:webHidden/>
              </w:rPr>
              <w:tab/>
            </w:r>
            <w:r>
              <w:rPr>
                <w:noProof/>
                <w:webHidden/>
              </w:rPr>
              <w:fldChar w:fldCharType="begin"/>
            </w:r>
            <w:r w:rsidR="0002608F">
              <w:rPr>
                <w:noProof/>
                <w:webHidden/>
              </w:rPr>
              <w:instrText xml:space="preserve"> PAGEREF _Toc363737835 \h </w:instrText>
            </w:r>
            <w:r>
              <w:rPr>
                <w:noProof/>
                <w:webHidden/>
              </w:rPr>
            </w:r>
            <w:r>
              <w:rPr>
                <w:noProof/>
                <w:webHidden/>
              </w:rPr>
              <w:fldChar w:fldCharType="separate"/>
            </w:r>
            <w:r w:rsidR="0002608F">
              <w:rPr>
                <w:noProof/>
                <w:webHidden/>
              </w:rPr>
              <w:t>19</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36" w:history="1">
            <w:r w:rsidR="0002608F" w:rsidRPr="005A31ED">
              <w:rPr>
                <w:rStyle w:val="Hyperlink"/>
                <w:noProof/>
                <w:lang w:val="en-GB"/>
              </w:rPr>
              <w:t>3.10 Remaining general cargo</w:t>
            </w:r>
            <w:r w:rsidR="0002608F">
              <w:rPr>
                <w:noProof/>
                <w:webHidden/>
              </w:rPr>
              <w:tab/>
            </w:r>
            <w:r>
              <w:rPr>
                <w:noProof/>
                <w:webHidden/>
              </w:rPr>
              <w:fldChar w:fldCharType="begin"/>
            </w:r>
            <w:r w:rsidR="0002608F">
              <w:rPr>
                <w:noProof/>
                <w:webHidden/>
              </w:rPr>
              <w:instrText xml:space="preserve"> PAGEREF _Toc363737836 \h </w:instrText>
            </w:r>
            <w:r>
              <w:rPr>
                <w:noProof/>
                <w:webHidden/>
              </w:rPr>
            </w:r>
            <w:r>
              <w:rPr>
                <w:noProof/>
                <w:webHidden/>
              </w:rPr>
              <w:fldChar w:fldCharType="separate"/>
            </w:r>
            <w:r w:rsidR="0002608F">
              <w:rPr>
                <w:noProof/>
                <w:webHidden/>
              </w:rPr>
              <w:t>19</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37" w:history="1">
            <w:r w:rsidR="0002608F" w:rsidRPr="005A31ED">
              <w:rPr>
                <w:rStyle w:val="Hyperlink"/>
                <w:noProof/>
                <w:lang w:val="en-GB"/>
              </w:rPr>
              <w:t>3.11 Distribution</w:t>
            </w:r>
            <w:r w:rsidR="0002608F">
              <w:rPr>
                <w:noProof/>
                <w:webHidden/>
              </w:rPr>
              <w:tab/>
            </w:r>
            <w:r>
              <w:rPr>
                <w:noProof/>
                <w:webHidden/>
              </w:rPr>
              <w:fldChar w:fldCharType="begin"/>
            </w:r>
            <w:r w:rsidR="0002608F">
              <w:rPr>
                <w:noProof/>
                <w:webHidden/>
              </w:rPr>
              <w:instrText xml:space="preserve"> PAGEREF _Toc363737837 \h </w:instrText>
            </w:r>
            <w:r>
              <w:rPr>
                <w:noProof/>
                <w:webHidden/>
              </w:rPr>
            </w:r>
            <w:r>
              <w:rPr>
                <w:noProof/>
                <w:webHidden/>
              </w:rPr>
              <w:fldChar w:fldCharType="separate"/>
            </w:r>
            <w:r w:rsidR="0002608F">
              <w:rPr>
                <w:noProof/>
                <w:webHidden/>
              </w:rPr>
              <w:t>20</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38" w:history="1">
            <w:r w:rsidR="0002608F" w:rsidRPr="005A31ED">
              <w:rPr>
                <w:rStyle w:val="Hyperlink"/>
                <w:noProof/>
                <w:lang w:val="en-GB"/>
              </w:rPr>
              <w:t>3.12 Empty depots</w:t>
            </w:r>
            <w:r w:rsidR="0002608F">
              <w:rPr>
                <w:noProof/>
                <w:webHidden/>
              </w:rPr>
              <w:tab/>
            </w:r>
            <w:r>
              <w:rPr>
                <w:noProof/>
                <w:webHidden/>
              </w:rPr>
              <w:fldChar w:fldCharType="begin"/>
            </w:r>
            <w:r w:rsidR="0002608F">
              <w:rPr>
                <w:noProof/>
                <w:webHidden/>
              </w:rPr>
              <w:instrText xml:space="preserve"> PAGEREF _Toc363737838 \h </w:instrText>
            </w:r>
            <w:r>
              <w:rPr>
                <w:noProof/>
                <w:webHidden/>
              </w:rPr>
            </w:r>
            <w:r>
              <w:rPr>
                <w:noProof/>
                <w:webHidden/>
              </w:rPr>
              <w:fldChar w:fldCharType="separate"/>
            </w:r>
            <w:r w:rsidR="0002608F">
              <w:rPr>
                <w:noProof/>
                <w:webHidden/>
              </w:rPr>
              <w:t>21</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39" w:history="1">
            <w:r w:rsidR="0002608F" w:rsidRPr="005A31ED">
              <w:rPr>
                <w:rStyle w:val="Hyperlink"/>
                <w:noProof/>
                <w:lang w:val="en-GB"/>
              </w:rPr>
              <w:t>3.13 Dry mass goods</w:t>
            </w:r>
            <w:r w:rsidR="0002608F">
              <w:rPr>
                <w:noProof/>
                <w:webHidden/>
              </w:rPr>
              <w:tab/>
            </w:r>
            <w:r>
              <w:rPr>
                <w:noProof/>
                <w:webHidden/>
              </w:rPr>
              <w:fldChar w:fldCharType="begin"/>
            </w:r>
            <w:r w:rsidR="0002608F">
              <w:rPr>
                <w:noProof/>
                <w:webHidden/>
              </w:rPr>
              <w:instrText xml:space="preserve"> PAGEREF _Toc363737839 \h </w:instrText>
            </w:r>
            <w:r>
              <w:rPr>
                <w:noProof/>
                <w:webHidden/>
              </w:rPr>
            </w:r>
            <w:r>
              <w:rPr>
                <w:noProof/>
                <w:webHidden/>
              </w:rPr>
              <w:fldChar w:fldCharType="separate"/>
            </w:r>
            <w:r w:rsidR="0002608F">
              <w:rPr>
                <w:noProof/>
                <w:webHidden/>
              </w:rPr>
              <w:t>21</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40" w:history="1">
            <w:r w:rsidR="0002608F" w:rsidRPr="005A31ED">
              <w:rPr>
                <w:rStyle w:val="Hyperlink"/>
                <w:noProof/>
                <w:lang w:val="en-GB"/>
              </w:rPr>
              <w:t>3.14 Remaining industries</w:t>
            </w:r>
            <w:r w:rsidR="0002608F">
              <w:rPr>
                <w:noProof/>
                <w:webHidden/>
              </w:rPr>
              <w:tab/>
            </w:r>
            <w:r>
              <w:rPr>
                <w:noProof/>
                <w:webHidden/>
              </w:rPr>
              <w:fldChar w:fldCharType="begin"/>
            </w:r>
            <w:r w:rsidR="0002608F">
              <w:rPr>
                <w:noProof/>
                <w:webHidden/>
              </w:rPr>
              <w:instrText xml:space="preserve"> PAGEREF _Toc363737840 \h </w:instrText>
            </w:r>
            <w:r>
              <w:rPr>
                <w:noProof/>
                <w:webHidden/>
              </w:rPr>
            </w:r>
            <w:r>
              <w:rPr>
                <w:noProof/>
                <w:webHidden/>
              </w:rPr>
              <w:fldChar w:fldCharType="separate"/>
            </w:r>
            <w:r w:rsidR="0002608F">
              <w:rPr>
                <w:noProof/>
                <w:webHidden/>
              </w:rPr>
              <w:t>21</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41" w:history="1">
            <w:r w:rsidR="0002608F" w:rsidRPr="005A31ED">
              <w:rPr>
                <w:rStyle w:val="Hyperlink"/>
                <w:noProof/>
                <w:lang w:val="en-GB"/>
              </w:rPr>
              <w:t>3.15 Other activities</w:t>
            </w:r>
            <w:r w:rsidR="0002608F">
              <w:rPr>
                <w:noProof/>
                <w:webHidden/>
              </w:rPr>
              <w:tab/>
            </w:r>
            <w:r>
              <w:rPr>
                <w:noProof/>
                <w:webHidden/>
              </w:rPr>
              <w:fldChar w:fldCharType="begin"/>
            </w:r>
            <w:r w:rsidR="0002608F">
              <w:rPr>
                <w:noProof/>
                <w:webHidden/>
              </w:rPr>
              <w:instrText xml:space="preserve"> PAGEREF _Toc363737841 \h </w:instrText>
            </w:r>
            <w:r>
              <w:rPr>
                <w:noProof/>
                <w:webHidden/>
              </w:rPr>
            </w:r>
            <w:r>
              <w:rPr>
                <w:noProof/>
                <w:webHidden/>
              </w:rPr>
              <w:fldChar w:fldCharType="separate"/>
            </w:r>
            <w:r w:rsidR="0002608F">
              <w:rPr>
                <w:noProof/>
                <w:webHidden/>
              </w:rPr>
              <w:t>22</w:t>
            </w:r>
            <w:r>
              <w:rPr>
                <w:noProof/>
                <w:webHidden/>
              </w:rPr>
              <w:fldChar w:fldCharType="end"/>
            </w:r>
          </w:hyperlink>
        </w:p>
        <w:p w:rsidR="0002608F" w:rsidRDefault="00FD0314">
          <w:pPr>
            <w:pStyle w:val="TOC1"/>
            <w:tabs>
              <w:tab w:val="right" w:leader="dot" w:pos="9016"/>
            </w:tabs>
            <w:rPr>
              <w:rFonts w:asciiTheme="minorHAnsi" w:eastAsiaTheme="minorEastAsia" w:hAnsiTheme="minorHAnsi" w:cstheme="minorBidi"/>
              <w:noProof/>
              <w:lang w:val="nl-NL" w:eastAsia="nl-NL"/>
            </w:rPr>
          </w:pPr>
          <w:hyperlink w:anchor="_Toc363737842" w:history="1">
            <w:r w:rsidR="0002608F" w:rsidRPr="005A31ED">
              <w:rPr>
                <w:rStyle w:val="Hyperlink"/>
                <w:noProof/>
                <w:lang w:val="en-GB"/>
              </w:rPr>
              <w:t>Chapter 4; Economic analysis</w:t>
            </w:r>
            <w:r w:rsidR="0002608F">
              <w:rPr>
                <w:noProof/>
                <w:webHidden/>
              </w:rPr>
              <w:tab/>
            </w:r>
            <w:r>
              <w:rPr>
                <w:noProof/>
                <w:webHidden/>
              </w:rPr>
              <w:fldChar w:fldCharType="begin"/>
            </w:r>
            <w:r w:rsidR="0002608F">
              <w:rPr>
                <w:noProof/>
                <w:webHidden/>
              </w:rPr>
              <w:instrText xml:space="preserve"> PAGEREF _Toc363737842 \h </w:instrText>
            </w:r>
            <w:r>
              <w:rPr>
                <w:noProof/>
                <w:webHidden/>
              </w:rPr>
            </w:r>
            <w:r>
              <w:rPr>
                <w:noProof/>
                <w:webHidden/>
              </w:rPr>
              <w:fldChar w:fldCharType="separate"/>
            </w:r>
            <w:r w:rsidR="0002608F">
              <w:rPr>
                <w:noProof/>
                <w:webHidden/>
              </w:rPr>
              <w:t>23</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43" w:history="1">
            <w:r w:rsidR="0002608F" w:rsidRPr="005A31ED">
              <w:rPr>
                <w:rStyle w:val="Hyperlink"/>
                <w:noProof/>
                <w:lang w:val="en-GB"/>
              </w:rPr>
              <w:t>4.1 Container sector</w:t>
            </w:r>
            <w:r w:rsidR="0002608F">
              <w:rPr>
                <w:noProof/>
                <w:webHidden/>
              </w:rPr>
              <w:tab/>
            </w:r>
            <w:r>
              <w:rPr>
                <w:noProof/>
                <w:webHidden/>
              </w:rPr>
              <w:fldChar w:fldCharType="begin"/>
            </w:r>
            <w:r w:rsidR="0002608F">
              <w:rPr>
                <w:noProof/>
                <w:webHidden/>
              </w:rPr>
              <w:instrText xml:space="preserve"> PAGEREF _Toc363737843 \h </w:instrText>
            </w:r>
            <w:r>
              <w:rPr>
                <w:noProof/>
                <w:webHidden/>
              </w:rPr>
            </w:r>
            <w:r>
              <w:rPr>
                <w:noProof/>
                <w:webHidden/>
              </w:rPr>
              <w:fldChar w:fldCharType="separate"/>
            </w:r>
            <w:r w:rsidR="0002608F">
              <w:rPr>
                <w:noProof/>
                <w:webHidden/>
              </w:rPr>
              <w:t>23</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44" w:history="1">
            <w:r w:rsidR="0002608F" w:rsidRPr="005A31ED">
              <w:rPr>
                <w:rStyle w:val="Hyperlink"/>
                <w:noProof/>
                <w:lang w:val="en-GB"/>
              </w:rPr>
              <w:t>4.1.1 What caused the difference?</w:t>
            </w:r>
            <w:r w:rsidR="0002608F">
              <w:rPr>
                <w:noProof/>
                <w:webHidden/>
              </w:rPr>
              <w:tab/>
            </w:r>
            <w:r>
              <w:rPr>
                <w:noProof/>
                <w:webHidden/>
              </w:rPr>
              <w:fldChar w:fldCharType="begin"/>
            </w:r>
            <w:r w:rsidR="0002608F">
              <w:rPr>
                <w:noProof/>
                <w:webHidden/>
              </w:rPr>
              <w:instrText xml:space="preserve"> PAGEREF _Toc363737844 \h </w:instrText>
            </w:r>
            <w:r>
              <w:rPr>
                <w:noProof/>
                <w:webHidden/>
              </w:rPr>
            </w:r>
            <w:r>
              <w:rPr>
                <w:noProof/>
                <w:webHidden/>
              </w:rPr>
              <w:fldChar w:fldCharType="separate"/>
            </w:r>
            <w:r w:rsidR="0002608F">
              <w:rPr>
                <w:noProof/>
                <w:webHidden/>
              </w:rPr>
              <w:t>25</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45" w:history="1">
            <w:r w:rsidR="0002608F" w:rsidRPr="005A31ED">
              <w:rPr>
                <w:rStyle w:val="Hyperlink"/>
                <w:noProof/>
                <w:lang w:val="en-GB"/>
              </w:rPr>
              <w:t>4.1.2 Could it have been foreseen?</w:t>
            </w:r>
            <w:r w:rsidR="0002608F">
              <w:rPr>
                <w:noProof/>
                <w:webHidden/>
              </w:rPr>
              <w:tab/>
            </w:r>
            <w:r>
              <w:rPr>
                <w:noProof/>
                <w:webHidden/>
              </w:rPr>
              <w:fldChar w:fldCharType="begin"/>
            </w:r>
            <w:r w:rsidR="0002608F">
              <w:rPr>
                <w:noProof/>
                <w:webHidden/>
              </w:rPr>
              <w:instrText xml:space="preserve"> PAGEREF _Toc363737845 \h </w:instrText>
            </w:r>
            <w:r>
              <w:rPr>
                <w:noProof/>
                <w:webHidden/>
              </w:rPr>
            </w:r>
            <w:r>
              <w:rPr>
                <w:noProof/>
                <w:webHidden/>
              </w:rPr>
              <w:fldChar w:fldCharType="separate"/>
            </w:r>
            <w:r w:rsidR="0002608F">
              <w:rPr>
                <w:noProof/>
                <w:webHidden/>
              </w:rPr>
              <w:t>25</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46" w:history="1">
            <w:r w:rsidR="0002608F" w:rsidRPr="005A31ED">
              <w:rPr>
                <w:rStyle w:val="Hyperlink"/>
                <w:noProof/>
                <w:lang w:val="en-GB"/>
              </w:rPr>
              <w:t>4.1.3 Alternative method</w:t>
            </w:r>
            <w:r w:rsidR="0002608F">
              <w:rPr>
                <w:noProof/>
                <w:webHidden/>
              </w:rPr>
              <w:tab/>
            </w:r>
            <w:r>
              <w:rPr>
                <w:noProof/>
                <w:webHidden/>
              </w:rPr>
              <w:fldChar w:fldCharType="begin"/>
            </w:r>
            <w:r w:rsidR="0002608F">
              <w:rPr>
                <w:noProof/>
                <w:webHidden/>
              </w:rPr>
              <w:instrText xml:space="preserve"> PAGEREF _Toc363737846 \h </w:instrText>
            </w:r>
            <w:r>
              <w:rPr>
                <w:noProof/>
                <w:webHidden/>
              </w:rPr>
            </w:r>
            <w:r>
              <w:rPr>
                <w:noProof/>
                <w:webHidden/>
              </w:rPr>
              <w:fldChar w:fldCharType="separate"/>
            </w:r>
            <w:r w:rsidR="0002608F">
              <w:rPr>
                <w:noProof/>
                <w:webHidden/>
              </w:rPr>
              <w:t>25</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47" w:history="1">
            <w:r w:rsidR="0002608F" w:rsidRPr="005A31ED">
              <w:rPr>
                <w:rStyle w:val="Hyperlink"/>
                <w:noProof/>
                <w:lang w:val="en-GB"/>
              </w:rPr>
              <w:t>4.2 Dry mass goods</w:t>
            </w:r>
            <w:r w:rsidR="0002608F">
              <w:rPr>
                <w:noProof/>
                <w:webHidden/>
              </w:rPr>
              <w:tab/>
            </w:r>
            <w:r>
              <w:rPr>
                <w:noProof/>
                <w:webHidden/>
              </w:rPr>
              <w:fldChar w:fldCharType="begin"/>
            </w:r>
            <w:r w:rsidR="0002608F">
              <w:rPr>
                <w:noProof/>
                <w:webHidden/>
              </w:rPr>
              <w:instrText xml:space="preserve"> PAGEREF _Toc363737847 \h </w:instrText>
            </w:r>
            <w:r>
              <w:rPr>
                <w:noProof/>
                <w:webHidden/>
              </w:rPr>
            </w:r>
            <w:r>
              <w:rPr>
                <w:noProof/>
                <w:webHidden/>
              </w:rPr>
              <w:fldChar w:fldCharType="separate"/>
            </w:r>
            <w:r w:rsidR="0002608F">
              <w:rPr>
                <w:noProof/>
                <w:webHidden/>
              </w:rPr>
              <w:t>26</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48" w:history="1">
            <w:r w:rsidR="0002608F" w:rsidRPr="005A31ED">
              <w:rPr>
                <w:rStyle w:val="Hyperlink"/>
                <w:noProof/>
                <w:lang w:val="en-GB"/>
              </w:rPr>
              <w:t>4.2.1 What caused the difference?</w:t>
            </w:r>
            <w:r w:rsidR="0002608F">
              <w:rPr>
                <w:noProof/>
                <w:webHidden/>
              </w:rPr>
              <w:tab/>
            </w:r>
            <w:r>
              <w:rPr>
                <w:noProof/>
                <w:webHidden/>
              </w:rPr>
              <w:fldChar w:fldCharType="begin"/>
            </w:r>
            <w:r w:rsidR="0002608F">
              <w:rPr>
                <w:noProof/>
                <w:webHidden/>
              </w:rPr>
              <w:instrText xml:space="preserve"> PAGEREF _Toc363737848 \h </w:instrText>
            </w:r>
            <w:r>
              <w:rPr>
                <w:noProof/>
                <w:webHidden/>
              </w:rPr>
            </w:r>
            <w:r>
              <w:rPr>
                <w:noProof/>
                <w:webHidden/>
              </w:rPr>
              <w:fldChar w:fldCharType="separate"/>
            </w:r>
            <w:r w:rsidR="0002608F">
              <w:rPr>
                <w:noProof/>
                <w:webHidden/>
              </w:rPr>
              <w:t>27</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49" w:history="1">
            <w:r w:rsidR="0002608F" w:rsidRPr="005A31ED">
              <w:rPr>
                <w:rStyle w:val="Hyperlink"/>
                <w:noProof/>
                <w:lang w:val="en-GB"/>
              </w:rPr>
              <w:t>4.2.2 Could it have been foreseen?</w:t>
            </w:r>
            <w:r w:rsidR="0002608F">
              <w:rPr>
                <w:noProof/>
                <w:webHidden/>
              </w:rPr>
              <w:tab/>
            </w:r>
            <w:r>
              <w:rPr>
                <w:noProof/>
                <w:webHidden/>
              </w:rPr>
              <w:fldChar w:fldCharType="begin"/>
            </w:r>
            <w:r w:rsidR="0002608F">
              <w:rPr>
                <w:noProof/>
                <w:webHidden/>
              </w:rPr>
              <w:instrText xml:space="preserve"> PAGEREF _Toc363737849 \h </w:instrText>
            </w:r>
            <w:r>
              <w:rPr>
                <w:noProof/>
                <w:webHidden/>
              </w:rPr>
            </w:r>
            <w:r>
              <w:rPr>
                <w:noProof/>
                <w:webHidden/>
              </w:rPr>
              <w:fldChar w:fldCharType="separate"/>
            </w:r>
            <w:r w:rsidR="0002608F">
              <w:rPr>
                <w:noProof/>
                <w:webHidden/>
              </w:rPr>
              <w:t>28</w:t>
            </w:r>
            <w:r>
              <w:rPr>
                <w:noProof/>
                <w:webHidden/>
              </w:rPr>
              <w:fldChar w:fldCharType="end"/>
            </w:r>
          </w:hyperlink>
        </w:p>
        <w:p w:rsidR="0002608F" w:rsidRDefault="00FD0314">
          <w:pPr>
            <w:pStyle w:val="TOC3"/>
            <w:tabs>
              <w:tab w:val="right" w:leader="dot" w:pos="9016"/>
            </w:tabs>
            <w:rPr>
              <w:rFonts w:asciiTheme="minorHAnsi" w:eastAsiaTheme="minorEastAsia" w:hAnsiTheme="minorHAnsi" w:cstheme="minorBidi"/>
              <w:noProof/>
              <w:lang w:val="nl-NL" w:eastAsia="nl-NL"/>
            </w:rPr>
          </w:pPr>
          <w:hyperlink w:anchor="_Toc363737850" w:history="1">
            <w:r w:rsidR="0002608F" w:rsidRPr="005A31ED">
              <w:rPr>
                <w:rStyle w:val="Hyperlink"/>
                <w:noProof/>
                <w:lang w:val="en-GB"/>
              </w:rPr>
              <w:t>4.2.3 Alternative method</w:t>
            </w:r>
            <w:r w:rsidR="0002608F">
              <w:rPr>
                <w:noProof/>
                <w:webHidden/>
              </w:rPr>
              <w:tab/>
            </w:r>
            <w:r>
              <w:rPr>
                <w:noProof/>
                <w:webHidden/>
              </w:rPr>
              <w:fldChar w:fldCharType="begin"/>
            </w:r>
            <w:r w:rsidR="0002608F">
              <w:rPr>
                <w:noProof/>
                <w:webHidden/>
              </w:rPr>
              <w:instrText xml:space="preserve"> PAGEREF _Toc363737850 \h </w:instrText>
            </w:r>
            <w:r>
              <w:rPr>
                <w:noProof/>
                <w:webHidden/>
              </w:rPr>
            </w:r>
            <w:r>
              <w:rPr>
                <w:noProof/>
                <w:webHidden/>
              </w:rPr>
              <w:fldChar w:fldCharType="separate"/>
            </w:r>
            <w:r w:rsidR="0002608F">
              <w:rPr>
                <w:noProof/>
                <w:webHidden/>
              </w:rPr>
              <w:t>28</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51" w:history="1">
            <w:r w:rsidR="0002608F" w:rsidRPr="005A31ED">
              <w:rPr>
                <w:rStyle w:val="Hyperlink"/>
                <w:noProof/>
                <w:lang w:val="en-GB"/>
              </w:rPr>
              <w:t>4.3 Roll-on/Roll-off</w:t>
            </w:r>
            <w:r w:rsidR="0002608F">
              <w:rPr>
                <w:noProof/>
                <w:webHidden/>
              </w:rPr>
              <w:tab/>
            </w:r>
            <w:r>
              <w:rPr>
                <w:noProof/>
                <w:webHidden/>
              </w:rPr>
              <w:fldChar w:fldCharType="begin"/>
            </w:r>
            <w:r w:rsidR="0002608F">
              <w:rPr>
                <w:noProof/>
                <w:webHidden/>
              </w:rPr>
              <w:instrText xml:space="preserve"> PAGEREF _Toc363737851 \h </w:instrText>
            </w:r>
            <w:r>
              <w:rPr>
                <w:noProof/>
                <w:webHidden/>
              </w:rPr>
            </w:r>
            <w:r>
              <w:rPr>
                <w:noProof/>
                <w:webHidden/>
              </w:rPr>
              <w:fldChar w:fldCharType="separate"/>
            </w:r>
            <w:r w:rsidR="0002608F">
              <w:rPr>
                <w:noProof/>
                <w:webHidden/>
              </w:rPr>
              <w:t>28</w:t>
            </w:r>
            <w:r>
              <w:rPr>
                <w:noProof/>
                <w:webHidden/>
              </w:rPr>
              <w:fldChar w:fldCharType="end"/>
            </w:r>
          </w:hyperlink>
        </w:p>
        <w:p w:rsidR="0002608F" w:rsidRDefault="00FD0314">
          <w:pPr>
            <w:pStyle w:val="TOC2"/>
            <w:tabs>
              <w:tab w:val="right" w:leader="dot" w:pos="9016"/>
            </w:tabs>
            <w:rPr>
              <w:rFonts w:asciiTheme="minorHAnsi" w:eastAsiaTheme="minorEastAsia" w:hAnsiTheme="minorHAnsi" w:cstheme="minorBidi"/>
              <w:noProof/>
              <w:lang w:val="nl-NL" w:eastAsia="nl-NL"/>
            </w:rPr>
          </w:pPr>
          <w:hyperlink w:anchor="_Toc363737852" w:history="1">
            <w:r w:rsidR="0002608F" w:rsidRPr="005A31ED">
              <w:rPr>
                <w:rStyle w:val="Hyperlink"/>
                <w:noProof/>
                <w:lang w:val="en-GB"/>
              </w:rPr>
              <w:t>4.4 Remaining general cargo</w:t>
            </w:r>
            <w:r w:rsidR="0002608F">
              <w:rPr>
                <w:noProof/>
                <w:webHidden/>
              </w:rPr>
              <w:tab/>
            </w:r>
            <w:r>
              <w:rPr>
                <w:noProof/>
                <w:webHidden/>
              </w:rPr>
              <w:fldChar w:fldCharType="begin"/>
            </w:r>
            <w:r w:rsidR="0002608F">
              <w:rPr>
                <w:noProof/>
                <w:webHidden/>
              </w:rPr>
              <w:instrText xml:space="preserve"> PAGEREF _Toc363737852 \h </w:instrText>
            </w:r>
            <w:r>
              <w:rPr>
                <w:noProof/>
                <w:webHidden/>
              </w:rPr>
            </w:r>
            <w:r>
              <w:rPr>
                <w:noProof/>
                <w:webHidden/>
              </w:rPr>
              <w:fldChar w:fldCharType="separate"/>
            </w:r>
            <w:r w:rsidR="0002608F">
              <w:rPr>
                <w:noProof/>
                <w:webHidden/>
              </w:rPr>
              <w:t>28</w:t>
            </w:r>
            <w:r>
              <w:rPr>
                <w:noProof/>
                <w:webHidden/>
              </w:rPr>
              <w:fldChar w:fldCharType="end"/>
            </w:r>
          </w:hyperlink>
        </w:p>
        <w:p w:rsidR="0002608F" w:rsidRDefault="00FD0314">
          <w:pPr>
            <w:pStyle w:val="TOC1"/>
            <w:tabs>
              <w:tab w:val="right" w:leader="dot" w:pos="9016"/>
            </w:tabs>
            <w:rPr>
              <w:rFonts w:asciiTheme="minorHAnsi" w:eastAsiaTheme="minorEastAsia" w:hAnsiTheme="minorHAnsi" w:cstheme="minorBidi"/>
              <w:noProof/>
              <w:lang w:val="nl-NL" w:eastAsia="nl-NL"/>
            </w:rPr>
          </w:pPr>
          <w:hyperlink w:anchor="_Toc363737853" w:history="1">
            <w:r w:rsidR="0002608F" w:rsidRPr="005A31ED">
              <w:rPr>
                <w:rStyle w:val="Hyperlink"/>
                <w:noProof/>
                <w:lang w:val="en-GB"/>
              </w:rPr>
              <w:t>Chapter 5; Conclusions and recommendations</w:t>
            </w:r>
            <w:r w:rsidR="0002608F">
              <w:rPr>
                <w:noProof/>
                <w:webHidden/>
              </w:rPr>
              <w:tab/>
            </w:r>
            <w:r>
              <w:rPr>
                <w:noProof/>
                <w:webHidden/>
              </w:rPr>
              <w:fldChar w:fldCharType="begin"/>
            </w:r>
            <w:r w:rsidR="0002608F">
              <w:rPr>
                <w:noProof/>
                <w:webHidden/>
              </w:rPr>
              <w:instrText xml:space="preserve"> PAGEREF _Toc363737853 \h </w:instrText>
            </w:r>
            <w:r>
              <w:rPr>
                <w:noProof/>
                <w:webHidden/>
              </w:rPr>
            </w:r>
            <w:r>
              <w:rPr>
                <w:noProof/>
                <w:webHidden/>
              </w:rPr>
              <w:fldChar w:fldCharType="separate"/>
            </w:r>
            <w:r w:rsidR="0002608F">
              <w:rPr>
                <w:noProof/>
                <w:webHidden/>
              </w:rPr>
              <w:t>29</w:t>
            </w:r>
            <w:r>
              <w:rPr>
                <w:noProof/>
                <w:webHidden/>
              </w:rPr>
              <w:fldChar w:fldCharType="end"/>
            </w:r>
          </w:hyperlink>
        </w:p>
        <w:p w:rsidR="0002608F" w:rsidRDefault="00FD0314">
          <w:pPr>
            <w:pStyle w:val="TOC1"/>
            <w:tabs>
              <w:tab w:val="right" w:leader="dot" w:pos="9016"/>
            </w:tabs>
            <w:rPr>
              <w:rFonts w:asciiTheme="minorHAnsi" w:eastAsiaTheme="minorEastAsia" w:hAnsiTheme="minorHAnsi" w:cstheme="minorBidi"/>
              <w:noProof/>
              <w:lang w:val="nl-NL" w:eastAsia="nl-NL"/>
            </w:rPr>
          </w:pPr>
          <w:hyperlink w:anchor="_Toc363737854" w:history="1">
            <w:r w:rsidR="0002608F" w:rsidRPr="005A31ED">
              <w:rPr>
                <w:rStyle w:val="Hyperlink"/>
                <w:noProof/>
                <w:lang w:val="en-GB"/>
              </w:rPr>
              <w:t>Bibliography</w:t>
            </w:r>
            <w:r w:rsidR="0002608F">
              <w:rPr>
                <w:noProof/>
                <w:webHidden/>
              </w:rPr>
              <w:tab/>
            </w:r>
            <w:r>
              <w:rPr>
                <w:noProof/>
                <w:webHidden/>
              </w:rPr>
              <w:fldChar w:fldCharType="begin"/>
            </w:r>
            <w:r w:rsidR="0002608F">
              <w:rPr>
                <w:noProof/>
                <w:webHidden/>
              </w:rPr>
              <w:instrText xml:space="preserve"> PAGEREF _Toc363737854 \h </w:instrText>
            </w:r>
            <w:r>
              <w:rPr>
                <w:noProof/>
                <w:webHidden/>
              </w:rPr>
            </w:r>
            <w:r>
              <w:rPr>
                <w:noProof/>
                <w:webHidden/>
              </w:rPr>
              <w:fldChar w:fldCharType="separate"/>
            </w:r>
            <w:r w:rsidR="0002608F">
              <w:rPr>
                <w:noProof/>
                <w:webHidden/>
              </w:rPr>
              <w:t>30</w:t>
            </w:r>
            <w:r>
              <w:rPr>
                <w:noProof/>
                <w:webHidden/>
              </w:rPr>
              <w:fldChar w:fldCharType="end"/>
            </w:r>
          </w:hyperlink>
        </w:p>
        <w:p w:rsidR="0002608F" w:rsidRDefault="00FD0314">
          <w:pPr>
            <w:pStyle w:val="TOC1"/>
            <w:tabs>
              <w:tab w:val="right" w:leader="dot" w:pos="9016"/>
            </w:tabs>
            <w:rPr>
              <w:rFonts w:asciiTheme="minorHAnsi" w:eastAsiaTheme="minorEastAsia" w:hAnsiTheme="minorHAnsi" w:cstheme="minorBidi"/>
              <w:noProof/>
              <w:lang w:val="nl-NL" w:eastAsia="nl-NL"/>
            </w:rPr>
          </w:pPr>
          <w:hyperlink w:anchor="_Toc363737855" w:history="1">
            <w:r w:rsidR="0002608F" w:rsidRPr="005A31ED">
              <w:rPr>
                <w:rStyle w:val="Hyperlink"/>
                <w:noProof/>
                <w:lang w:val="en-GB"/>
              </w:rPr>
              <w:t>A; Port of Rotterdam current terrain demand</w:t>
            </w:r>
            <w:r w:rsidR="0002608F">
              <w:rPr>
                <w:noProof/>
                <w:webHidden/>
              </w:rPr>
              <w:tab/>
            </w:r>
            <w:r>
              <w:rPr>
                <w:noProof/>
                <w:webHidden/>
              </w:rPr>
              <w:fldChar w:fldCharType="begin"/>
            </w:r>
            <w:r w:rsidR="0002608F">
              <w:rPr>
                <w:noProof/>
                <w:webHidden/>
              </w:rPr>
              <w:instrText xml:space="preserve"> PAGEREF _Toc363737855 \h </w:instrText>
            </w:r>
            <w:r>
              <w:rPr>
                <w:noProof/>
                <w:webHidden/>
              </w:rPr>
            </w:r>
            <w:r>
              <w:rPr>
                <w:noProof/>
                <w:webHidden/>
              </w:rPr>
              <w:fldChar w:fldCharType="separate"/>
            </w:r>
            <w:r w:rsidR="0002608F">
              <w:rPr>
                <w:noProof/>
                <w:webHidden/>
              </w:rPr>
              <w:t>33</w:t>
            </w:r>
            <w:r>
              <w:rPr>
                <w:noProof/>
                <w:webHidden/>
              </w:rPr>
              <w:fldChar w:fldCharType="end"/>
            </w:r>
          </w:hyperlink>
        </w:p>
        <w:p w:rsidR="00310784" w:rsidRPr="00981F21" w:rsidRDefault="00FD0314">
          <w:pPr>
            <w:rPr>
              <w:lang w:val="en-GB"/>
            </w:rPr>
          </w:pPr>
          <w:r w:rsidRPr="00981F21">
            <w:rPr>
              <w:b/>
              <w:bCs/>
              <w:noProof/>
              <w:lang w:val="en-GB"/>
            </w:rPr>
            <w:fldChar w:fldCharType="end"/>
          </w:r>
        </w:p>
      </w:sdtContent>
    </w:sdt>
    <w:p w:rsidR="00310784" w:rsidRDefault="00310784"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Default="00507CF2" w:rsidP="00310784">
      <w:pPr>
        <w:rPr>
          <w:rStyle w:val="SubtleEmphasis"/>
          <w:i w:val="0"/>
          <w:lang w:val="en-GB"/>
        </w:rPr>
      </w:pPr>
    </w:p>
    <w:p w:rsidR="00507CF2" w:rsidRPr="00981F21" w:rsidRDefault="00507CF2"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310784" w:rsidP="00310784">
      <w:pPr>
        <w:rPr>
          <w:rStyle w:val="SubtleEmphasis"/>
          <w:i w:val="0"/>
          <w:lang w:val="en-GB"/>
        </w:rPr>
      </w:pPr>
    </w:p>
    <w:p w:rsidR="00310784" w:rsidRPr="00981F21" w:rsidRDefault="00BA2DA9" w:rsidP="00BA2DA9">
      <w:pPr>
        <w:pStyle w:val="Heading1"/>
        <w:jc w:val="left"/>
        <w:rPr>
          <w:rStyle w:val="SubtleEmphasis"/>
          <w:i w:val="0"/>
          <w:lang w:val="en-GB"/>
        </w:rPr>
      </w:pPr>
      <w:bookmarkStart w:id="0" w:name="_Toc363737814"/>
      <w:r w:rsidRPr="00981F21">
        <w:rPr>
          <w:rStyle w:val="SubtleEmphasis"/>
          <w:i w:val="0"/>
          <w:lang w:val="en-GB"/>
        </w:rPr>
        <w:lastRenderedPageBreak/>
        <w:t>Chapter 1; Introduction</w:t>
      </w:r>
      <w:bookmarkEnd w:id="0"/>
    </w:p>
    <w:p w:rsidR="00BA2DA9" w:rsidRPr="00981F21" w:rsidRDefault="00BA2DA9" w:rsidP="00BA2DA9">
      <w:pPr>
        <w:pStyle w:val="Heading2"/>
        <w:numPr>
          <w:ilvl w:val="1"/>
          <w:numId w:val="1"/>
        </w:numPr>
        <w:jc w:val="left"/>
        <w:rPr>
          <w:lang w:val="en-GB"/>
        </w:rPr>
      </w:pPr>
      <w:bookmarkStart w:id="1" w:name="_Toc363737815"/>
      <w:r w:rsidRPr="00981F21">
        <w:rPr>
          <w:lang w:val="en-GB"/>
        </w:rPr>
        <w:t>Introduction</w:t>
      </w:r>
      <w:bookmarkEnd w:id="1"/>
    </w:p>
    <w:p w:rsidR="00BA2DA9" w:rsidRPr="00981F21" w:rsidRDefault="00BA2DA9" w:rsidP="00BA2DA9">
      <w:pPr>
        <w:spacing w:line="360" w:lineRule="auto"/>
        <w:jc w:val="both"/>
        <w:rPr>
          <w:lang w:val="en-GB"/>
        </w:rPr>
      </w:pPr>
      <w:r w:rsidRPr="00981F21">
        <w:rPr>
          <w:lang w:val="en-GB"/>
        </w:rPr>
        <w:t xml:space="preserve">Ports are considered crucial drivers of urban, regional and even national economic development.  Their development and operations are closely monitored and evaluated by governments as well as private parties. This naturally extends to major port infrastructure projects like the construction of </w:t>
      </w:r>
      <w:proofErr w:type="spellStart"/>
      <w:r w:rsidRPr="00981F21">
        <w:rPr>
          <w:lang w:val="en-GB"/>
        </w:rPr>
        <w:t>Maasvlakte</w:t>
      </w:r>
      <w:proofErr w:type="spellEnd"/>
      <w:r w:rsidRPr="00981F21">
        <w:rPr>
          <w:lang w:val="en-GB"/>
        </w:rPr>
        <w:t xml:space="preserve"> 2. Per September 2008 the construction of </w:t>
      </w:r>
      <w:proofErr w:type="spellStart"/>
      <w:r w:rsidRPr="00981F21">
        <w:rPr>
          <w:lang w:val="en-GB"/>
        </w:rPr>
        <w:t>Maasvlakte</w:t>
      </w:r>
      <w:proofErr w:type="spellEnd"/>
      <w:r w:rsidRPr="00981F21">
        <w:rPr>
          <w:lang w:val="en-GB"/>
        </w:rPr>
        <w:t xml:space="preserve"> 2 has been steadily advancing and in May 2013 the land reclamation was officially opened. A large portion of the terrain has already been claimed by the three container terminal operators Rotterdam World Gateway, APM terminals and ECT, who will establish three new state of the art container terminals. Currently the Port of Rotterdam is in the last phase of a long process of land reclamation which, a 900 million Euro damages claim notwithstanding, seems to go seamlessly. This process, however, started almost two decades ago. Since its conception in the early 90s the </w:t>
      </w:r>
      <w:proofErr w:type="spellStart"/>
      <w:r w:rsidRPr="00981F21">
        <w:rPr>
          <w:lang w:val="en-GB"/>
        </w:rPr>
        <w:t>Maasvlakte</w:t>
      </w:r>
      <w:proofErr w:type="spellEnd"/>
      <w:r w:rsidRPr="00981F21">
        <w:rPr>
          <w:lang w:val="en-GB"/>
        </w:rPr>
        <w:t xml:space="preserve"> 2 has gone through years of planning, discussion, evaluations and eventually building. The groups that had a say in the process range from local businessmen to the national government. The ‘</w:t>
      </w:r>
      <w:proofErr w:type="spellStart"/>
      <w:r w:rsidRPr="00981F21">
        <w:rPr>
          <w:lang w:val="en-GB"/>
        </w:rPr>
        <w:t>Planologische</w:t>
      </w:r>
      <w:proofErr w:type="spellEnd"/>
      <w:r w:rsidRPr="00981F21">
        <w:rPr>
          <w:lang w:val="en-GB"/>
        </w:rPr>
        <w:t xml:space="preserve"> </w:t>
      </w:r>
      <w:proofErr w:type="spellStart"/>
      <w:r w:rsidRPr="00981F21">
        <w:rPr>
          <w:lang w:val="en-GB"/>
        </w:rPr>
        <w:t>Kernbeslissing</w:t>
      </w:r>
      <w:proofErr w:type="spellEnd"/>
      <w:r w:rsidRPr="00981F21">
        <w:rPr>
          <w:lang w:val="en-GB"/>
        </w:rPr>
        <w:t>’, a procedure required by Dutch law for large infrastructure projects, was pivotal for securing governmental support for the project. At the base of this procedure stood the 2001 cost benefit analysis conducted by Netherlands Bureau for Economic Policy Analysis and the Netherlands Economics Institute (NEI). This document predicted a terrain shortage for the Port of Rotterdam and the costs connected to such a shortage as well as the costs and benefits of land reclamation. Even though the prognosis of the port authority’s operating results was bleak the projected societal gains were clear and significant.</w:t>
      </w:r>
    </w:p>
    <w:p w:rsidR="00BA2DA9" w:rsidRPr="00981F21" w:rsidRDefault="00BA2DA9" w:rsidP="00BA2DA9">
      <w:pPr>
        <w:spacing w:line="360" w:lineRule="auto"/>
        <w:jc w:val="both"/>
        <w:rPr>
          <w:lang w:val="en-GB"/>
        </w:rPr>
      </w:pPr>
      <w:r w:rsidRPr="00981F21">
        <w:rPr>
          <w:lang w:val="en-GB"/>
        </w:rPr>
        <w:t xml:space="preserve">About twenty years after the </w:t>
      </w:r>
      <w:proofErr w:type="spellStart"/>
      <w:r w:rsidRPr="00981F21">
        <w:rPr>
          <w:lang w:val="en-GB"/>
        </w:rPr>
        <w:t>Maasvlakte</w:t>
      </w:r>
      <w:proofErr w:type="spellEnd"/>
      <w:r w:rsidRPr="00981F21">
        <w:rPr>
          <w:lang w:val="en-GB"/>
        </w:rPr>
        <w:t xml:space="preserve"> 2 project was first conceived, it seems like a good time to look back and evaluate. Many things have changed in said 20 years; political climate shifts, changing competitive positions of ports, technological advances and an economic crisis occurred. This thesis will explore to what extent the predictions made in the Cost Benefit Analysis, 12 years ago, came true.</w:t>
      </w:r>
    </w:p>
    <w:p w:rsidR="00BA2DA9" w:rsidRPr="00981F21" w:rsidRDefault="00BA2DA9" w:rsidP="00BA2DA9">
      <w:pPr>
        <w:pStyle w:val="Heading2"/>
        <w:numPr>
          <w:ilvl w:val="1"/>
          <w:numId w:val="1"/>
        </w:numPr>
        <w:jc w:val="left"/>
        <w:rPr>
          <w:lang w:val="en-GB"/>
        </w:rPr>
      </w:pPr>
      <w:bookmarkStart w:id="2" w:name="_Toc363737816"/>
      <w:r w:rsidRPr="00981F21">
        <w:rPr>
          <w:lang w:val="en-GB"/>
        </w:rPr>
        <w:t>Scientific relevance</w:t>
      </w:r>
      <w:bookmarkEnd w:id="2"/>
    </w:p>
    <w:p w:rsidR="00BA2DA9" w:rsidRPr="00981F21" w:rsidRDefault="00BA2DA9" w:rsidP="00BA2DA9">
      <w:pPr>
        <w:spacing w:line="360" w:lineRule="auto"/>
        <w:jc w:val="both"/>
        <w:rPr>
          <w:lang w:val="en-GB"/>
        </w:rPr>
      </w:pPr>
      <w:r w:rsidRPr="00981F21">
        <w:rPr>
          <w:lang w:val="en-GB"/>
        </w:rPr>
        <w:t xml:space="preserve">In scientific literature a lot has been written on the subject of cost benefit analyses, </w:t>
      </w:r>
      <w:proofErr w:type="gramStart"/>
      <w:r w:rsidRPr="00981F21">
        <w:rPr>
          <w:lang w:val="en-GB"/>
        </w:rPr>
        <w:t>be</w:t>
      </w:r>
      <w:proofErr w:type="gramEnd"/>
      <w:r w:rsidRPr="00981F21">
        <w:rPr>
          <w:lang w:val="en-GB"/>
        </w:rPr>
        <w:t xml:space="preserve"> it </w:t>
      </w:r>
      <w:r w:rsidRPr="00981F21">
        <w:rPr>
          <w:i/>
          <w:lang w:val="en-GB"/>
        </w:rPr>
        <w:t>ex ante, in medias res</w:t>
      </w:r>
      <w:r w:rsidRPr="00981F21">
        <w:rPr>
          <w:lang w:val="en-GB"/>
        </w:rPr>
        <w:t xml:space="preserve"> or </w:t>
      </w:r>
      <w:r w:rsidRPr="00981F21">
        <w:rPr>
          <w:i/>
          <w:lang w:val="en-GB"/>
        </w:rPr>
        <w:t>ex post</w:t>
      </w:r>
      <w:r w:rsidRPr="00981F21">
        <w:rPr>
          <w:lang w:val="en-GB"/>
        </w:rPr>
        <w:t xml:space="preserve"> evaluations. Some examples are articles by de </w:t>
      </w:r>
      <w:proofErr w:type="spellStart"/>
      <w:r w:rsidRPr="00981F21">
        <w:rPr>
          <w:lang w:val="en-GB"/>
        </w:rPr>
        <w:t>Rus</w:t>
      </w:r>
      <w:proofErr w:type="spellEnd"/>
      <w:r w:rsidRPr="00981F21">
        <w:rPr>
          <w:lang w:val="en-GB"/>
        </w:rPr>
        <w:t xml:space="preserve"> &amp; </w:t>
      </w:r>
      <w:proofErr w:type="spellStart"/>
      <w:r w:rsidRPr="00981F21">
        <w:rPr>
          <w:lang w:val="en-GB"/>
        </w:rPr>
        <w:t>Inglada</w:t>
      </w:r>
      <w:proofErr w:type="spellEnd"/>
      <w:r w:rsidRPr="00981F21">
        <w:rPr>
          <w:lang w:val="en-GB"/>
        </w:rPr>
        <w:t xml:space="preserve"> </w:t>
      </w:r>
      <w:sdt>
        <w:sdtPr>
          <w:rPr>
            <w:lang w:val="en-GB"/>
          </w:rPr>
          <w:id w:val="-1328517186"/>
          <w:citation/>
        </w:sdtPr>
        <w:sdtContent>
          <w:r w:rsidR="00FD0314" w:rsidRPr="00981F21">
            <w:rPr>
              <w:lang w:val="en-GB"/>
            </w:rPr>
            <w:fldChar w:fldCharType="begin"/>
          </w:r>
          <w:r w:rsidRPr="00981F21">
            <w:rPr>
              <w:lang w:val="en-GB"/>
            </w:rPr>
            <w:instrText xml:space="preserve">CITATION DeR97 \n  \t  \l 1033 </w:instrText>
          </w:r>
          <w:r w:rsidR="00FD0314" w:rsidRPr="00981F21">
            <w:rPr>
              <w:lang w:val="en-GB"/>
            </w:rPr>
            <w:fldChar w:fldCharType="separate"/>
          </w:r>
          <w:r w:rsidR="006A4AA8" w:rsidRPr="006A4AA8">
            <w:rPr>
              <w:noProof/>
              <w:lang w:val="en-GB"/>
            </w:rPr>
            <w:t>(1997)</w:t>
          </w:r>
          <w:r w:rsidR="00FD0314" w:rsidRPr="00981F21">
            <w:rPr>
              <w:lang w:val="en-GB"/>
            </w:rPr>
            <w:fldChar w:fldCharType="end"/>
          </w:r>
        </w:sdtContent>
      </w:sdt>
      <w:r w:rsidRPr="00981F21">
        <w:rPr>
          <w:lang w:val="en-GB"/>
        </w:rPr>
        <w:t xml:space="preserve"> and de </w:t>
      </w:r>
      <w:proofErr w:type="spellStart"/>
      <w:r w:rsidRPr="00981F21">
        <w:rPr>
          <w:lang w:val="en-GB"/>
        </w:rPr>
        <w:t>Rus</w:t>
      </w:r>
      <w:proofErr w:type="spellEnd"/>
      <w:r w:rsidRPr="00981F21">
        <w:rPr>
          <w:lang w:val="en-GB"/>
        </w:rPr>
        <w:t xml:space="preserve"> &amp; </w:t>
      </w:r>
      <w:proofErr w:type="spellStart"/>
      <w:r w:rsidRPr="00981F21">
        <w:rPr>
          <w:lang w:val="en-GB"/>
        </w:rPr>
        <w:t>Nombela</w:t>
      </w:r>
      <w:proofErr w:type="spellEnd"/>
      <w:sdt>
        <w:sdtPr>
          <w:rPr>
            <w:lang w:val="en-GB"/>
          </w:rPr>
          <w:id w:val="-1555692547"/>
          <w:citation/>
        </w:sdtPr>
        <w:sdtContent>
          <w:r w:rsidR="00FD0314" w:rsidRPr="00981F21">
            <w:rPr>
              <w:lang w:val="en-GB"/>
            </w:rPr>
            <w:fldChar w:fldCharType="begin"/>
          </w:r>
          <w:r w:rsidRPr="00981F21">
            <w:rPr>
              <w:lang w:val="en-GB"/>
            </w:rPr>
            <w:instrText xml:space="preserve">CITATION DeR07 \n  \t  \l 1033 </w:instrText>
          </w:r>
          <w:r w:rsidR="00FD0314" w:rsidRPr="00981F21">
            <w:rPr>
              <w:lang w:val="en-GB"/>
            </w:rPr>
            <w:fldChar w:fldCharType="separate"/>
          </w:r>
          <w:r w:rsidR="006A4AA8">
            <w:rPr>
              <w:noProof/>
              <w:lang w:val="en-GB"/>
            </w:rPr>
            <w:t xml:space="preserve"> </w:t>
          </w:r>
          <w:r w:rsidR="006A4AA8" w:rsidRPr="006A4AA8">
            <w:rPr>
              <w:noProof/>
              <w:lang w:val="en-GB"/>
            </w:rPr>
            <w:t>(2007)</w:t>
          </w:r>
          <w:r w:rsidR="00FD0314" w:rsidRPr="00981F21">
            <w:rPr>
              <w:lang w:val="en-GB"/>
            </w:rPr>
            <w:fldChar w:fldCharType="end"/>
          </w:r>
        </w:sdtContent>
      </w:sdt>
      <w:r w:rsidRPr="00981F21">
        <w:rPr>
          <w:lang w:val="en-GB"/>
        </w:rPr>
        <w:t xml:space="preserve"> which evaluate high speed rail projects in a Cost Benefit Analysis context. </w:t>
      </w:r>
      <w:proofErr w:type="gramStart"/>
      <w:r w:rsidRPr="00981F21">
        <w:rPr>
          <w:lang w:val="en-GB"/>
        </w:rPr>
        <w:t>Similarly Willis et al.</w:t>
      </w:r>
      <w:proofErr w:type="gramEnd"/>
      <w:sdt>
        <w:sdtPr>
          <w:rPr>
            <w:lang w:val="en-GB"/>
          </w:rPr>
          <w:id w:val="796951247"/>
          <w:citation/>
        </w:sdtPr>
        <w:sdtContent>
          <w:r w:rsidR="00FD0314" w:rsidRPr="00981F21">
            <w:rPr>
              <w:lang w:val="en-GB"/>
            </w:rPr>
            <w:fldChar w:fldCharType="begin"/>
          </w:r>
          <w:r w:rsidRPr="00981F21">
            <w:rPr>
              <w:lang w:val="en-GB"/>
            </w:rPr>
            <w:instrText xml:space="preserve">CITATION KGW98 \n  \t  \l 1033 </w:instrText>
          </w:r>
          <w:r w:rsidR="00FD0314" w:rsidRPr="00981F21">
            <w:rPr>
              <w:lang w:val="en-GB"/>
            </w:rPr>
            <w:fldChar w:fldCharType="separate"/>
          </w:r>
          <w:r w:rsidR="006A4AA8">
            <w:rPr>
              <w:noProof/>
              <w:lang w:val="en-GB"/>
            </w:rPr>
            <w:t xml:space="preserve"> </w:t>
          </w:r>
          <w:r w:rsidR="006A4AA8" w:rsidRPr="006A4AA8">
            <w:rPr>
              <w:noProof/>
              <w:lang w:val="en-GB"/>
            </w:rPr>
            <w:t>(1998)</w:t>
          </w:r>
          <w:r w:rsidR="00FD0314" w:rsidRPr="00981F21">
            <w:rPr>
              <w:lang w:val="en-GB"/>
            </w:rPr>
            <w:fldChar w:fldCharType="end"/>
          </w:r>
        </w:sdtContent>
      </w:sdt>
      <w:r w:rsidRPr="00981F21">
        <w:rPr>
          <w:lang w:val="en-GB"/>
        </w:rPr>
        <w:t xml:space="preserve"> </w:t>
      </w:r>
      <w:proofErr w:type="gramStart"/>
      <w:r w:rsidRPr="00981F21">
        <w:rPr>
          <w:lang w:val="en-GB"/>
        </w:rPr>
        <w:t>and</w:t>
      </w:r>
      <w:proofErr w:type="gramEnd"/>
      <w:r w:rsidRPr="00981F21">
        <w:rPr>
          <w:lang w:val="en-GB"/>
        </w:rPr>
        <w:t xml:space="preserve"> </w:t>
      </w:r>
      <w:proofErr w:type="spellStart"/>
      <w:r w:rsidRPr="00981F21">
        <w:rPr>
          <w:lang w:val="en-GB"/>
        </w:rPr>
        <w:t>Forslund</w:t>
      </w:r>
      <w:proofErr w:type="spellEnd"/>
      <w:r w:rsidRPr="00981F21">
        <w:rPr>
          <w:lang w:val="en-GB"/>
        </w:rPr>
        <w:t xml:space="preserve"> &amp; Johansson </w:t>
      </w:r>
      <w:sdt>
        <w:sdtPr>
          <w:rPr>
            <w:lang w:val="en-GB"/>
          </w:rPr>
          <w:id w:val="-164092817"/>
          <w:citation/>
        </w:sdtPr>
        <w:sdtContent>
          <w:r w:rsidR="00FD0314" w:rsidRPr="00981F21">
            <w:rPr>
              <w:lang w:val="en-GB"/>
            </w:rPr>
            <w:fldChar w:fldCharType="begin"/>
          </w:r>
          <w:r w:rsidRPr="00981F21">
            <w:rPr>
              <w:lang w:val="en-GB"/>
            </w:rPr>
            <w:instrText xml:space="preserve">CITATION For95 \n  \t  \l 1033 </w:instrText>
          </w:r>
          <w:r w:rsidR="00FD0314" w:rsidRPr="00981F21">
            <w:rPr>
              <w:lang w:val="en-GB"/>
            </w:rPr>
            <w:fldChar w:fldCharType="separate"/>
          </w:r>
          <w:r w:rsidR="006A4AA8" w:rsidRPr="006A4AA8">
            <w:rPr>
              <w:noProof/>
              <w:lang w:val="en-GB"/>
            </w:rPr>
            <w:t>(1995)</w:t>
          </w:r>
          <w:r w:rsidR="00FD0314" w:rsidRPr="00981F21">
            <w:rPr>
              <w:lang w:val="en-GB"/>
            </w:rPr>
            <w:fldChar w:fldCharType="end"/>
          </w:r>
        </w:sdtContent>
      </w:sdt>
      <w:r w:rsidRPr="00981F21">
        <w:rPr>
          <w:lang w:val="en-GB"/>
        </w:rPr>
        <w:t xml:space="preserve"> discuss road construction projects. </w:t>
      </w:r>
    </w:p>
    <w:p w:rsidR="00BA2DA9" w:rsidRPr="00981F21" w:rsidRDefault="00BA2DA9" w:rsidP="00BA2DA9">
      <w:pPr>
        <w:spacing w:line="360" w:lineRule="auto"/>
        <w:jc w:val="both"/>
        <w:rPr>
          <w:lang w:val="en-GB"/>
        </w:rPr>
      </w:pPr>
      <w:r w:rsidRPr="00981F21">
        <w:rPr>
          <w:lang w:val="en-GB"/>
        </w:rPr>
        <w:lastRenderedPageBreak/>
        <w:t>There appears to be a distinct lack of scientific literature coverage on port infrastructure projects and their respective cost benefit analyses. This thesis will try to provide a framework by which to evaluate such a cost benefit analysis with the limited data available when the evaluation takes place before the project is finished.</w:t>
      </w:r>
    </w:p>
    <w:p w:rsidR="00BA2DA9" w:rsidRPr="00981F21" w:rsidRDefault="00BA2DA9" w:rsidP="00BA2DA9">
      <w:pPr>
        <w:pStyle w:val="Heading2"/>
        <w:numPr>
          <w:ilvl w:val="1"/>
          <w:numId w:val="1"/>
        </w:numPr>
        <w:jc w:val="left"/>
        <w:rPr>
          <w:lang w:val="en-GB"/>
        </w:rPr>
      </w:pPr>
      <w:bookmarkStart w:id="3" w:name="_Toc363737817"/>
      <w:r w:rsidRPr="00981F21">
        <w:rPr>
          <w:lang w:val="en-GB"/>
        </w:rPr>
        <w:t>Practical relevance</w:t>
      </w:r>
      <w:bookmarkEnd w:id="3"/>
    </w:p>
    <w:p w:rsidR="00BA2DA9" w:rsidRPr="00981F21" w:rsidRDefault="00BA2DA9" w:rsidP="00BA2DA9">
      <w:pPr>
        <w:spacing w:line="360" w:lineRule="auto"/>
        <w:jc w:val="both"/>
        <w:rPr>
          <w:lang w:val="en-GB"/>
        </w:rPr>
      </w:pPr>
      <w:r w:rsidRPr="00981F21">
        <w:rPr>
          <w:lang w:val="en-GB"/>
        </w:rPr>
        <w:t>With a 900 million Euro claim still at the feet of the Rotterdam Port Authority the relevance of an evaluation of a pivotal factor in the decision making process is obvious. At a total cost of 2.9 billion euros it is important that the highest standard of preparation is adhered. Any conclusions concerning the methods used to predict important variables can be applied to future cost benefit analyses for port infrastructure expansion.</w:t>
      </w:r>
    </w:p>
    <w:p w:rsidR="00BA2DA9" w:rsidRPr="00981F21" w:rsidRDefault="00BA2DA9" w:rsidP="00BA2DA9">
      <w:pPr>
        <w:spacing w:line="360" w:lineRule="auto"/>
        <w:jc w:val="both"/>
        <w:rPr>
          <w:lang w:val="en-GB"/>
        </w:rPr>
      </w:pPr>
      <w:r w:rsidRPr="00981F21">
        <w:rPr>
          <w:lang w:val="en-GB"/>
        </w:rPr>
        <w:t xml:space="preserve">The Ministry of Finance </w:t>
      </w:r>
      <w:sdt>
        <w:sdtPr>
          <w:rPr>
            <w:lang w:val="en-GB"/>
          </w:rPr>
          <w:id w:val="-315961463"/>
          <w:citation/>
        </w:sdtPr>
        <w:sdtContent>
          <w:r w:rsidR="00FD0314" w:rsidRPr="00981F21">
            <w:rPr>
              <w:lang w:val="en-GB"/>
            </w:rPr>
            <w:fldChar w:fldCharType="begin"/>
          </w:r>
          <w:r w:rsidRPr="00981F21">
            <w:rPr>
              <w:lang w:val="en-GB"/>
            </w:rPr>
            <w:instrText xml:space="preserve">CITATION Eij06 \n  \t  \l 1033 </w:instrText>
          </w:r>
          <w:r w:rsidR="00FD0314" w:rsidRPr="00981F21">
            <w:rPr>
              <w:lang w:val="en-GB"/>
            </w:rPr>
            <w:fldChar w:fldCharType="separate"/>
          </w:r>
          <w:r w:rsidR="006A4AA8" w:rsidRPr="006A4AA8">
            <w:rPr>
              <w:noProof/>
              <w:lang w:val="en-GB"/>
            </w:rPr>
            <w:t>(2006)</w:t>
          </w:r>
          <w:r w:rsidR="00FD0314" w:rsidRPr="00981F21">
            <w:rPr>
              <w:lang w:val="en-GB"/>
            </w:rPr>
            <w:fldChar w:fldCharType="end"/>
          </w:r>
        </w:sdtContent>
      </w:sdt>
      <w:r w:rsidRPr="00981F21">
        <w:rPr>
          <w:lang w:val="en-GB"/>
        </w:rPr>
        <w:t xml:space="preserve"> published guidelines on the evaluation of public or partially public projects. The approach for </w:t>
      </w:r>
      <w:r w:rsidRPr="00981F21">
        <w:rPr>
          <w:i/>
          <w:lang w:val="en-GB"/>
        </w:rPr>
        <w:t>ex post</w:t>
      </w:r>
      <w:r w:rsidRPr="00981F21">
        <w:rPr>
          <w:lang w:val="en-GB"/>
        </w:rPr>
        <w:t xml:space="preserve"> evaluations emphasises the determination of the effectiveness and the efficiency of a project. Effectiveness being the extent to which goals are reached and efficiency the extent to which the least resources are used to the greatest effect. This thesis, while not a direct evaluation of efficiency, since there are no relevant data yet, provides preliminary information towards the efficiency evaluation. The information on how well the initial predictions, which were then acted upon, were made can later be used to assess the efficiency of the committed resources.</w:t>
      </w:r>
    </w:p>
    <w:p w:rsidR="00BA2DA9" w:rsidRPr="00981F21" w:rsidRDefault="003739F1" w:rsidP="00A842B6">
      <w:pPr>
        <w:pStyle w:val="Heading2"/>
        <w:numPr>
          <w:ilvl w:val="1"/>
          <w:numId w:val="1"/>
        </w:numPr>
        <w:jc w:val="left"/>
        <w:rPr>
          <w:lang w:val="en-GB"/>
        </w:rPr>
      </w:pPr>
      <w:bookmarkStart w:id="4" w:name="_Toc363737818"/>
      <w:r w:rsidRPr="00981F21">
        <w:rPr>
          <w:lang w:val="en-GB"/>
        </w:rPr>
        <w:t>Research question and methodology</w:t>
      </w:r>
      <w:bookmarkEnd w:id="4"/>
    </w:p>
    <w:p w:rsidR="003739F1" w:rsidRPr="00981F21" w:rsidRDefault="003739F1" w:rsidP="003739F1">
      <w:pPr>
        <w:spacing w:line="360" w:lineRule="auto"/>
        <w:jc w:val="both"/>
        <w:rPr>
          <w:lang w:val="en-GB"/>
        </w:rPr>
      </w:pPr>
      <w:r w:rsidRPr="00981F21">
        <w:rPr>
          <w:lang w:val="en-GB"/>
        </w:rPr>
        <w:t>The main question to be answered in this thesis is the following.</w:t>
      </w:r>
    </w:p>
    <w:p w:rsidR="003739F1" w:rsidRPr="00981F21" w:rsidRDefault="003739F1" w:rsidP="003739F1">
      <w:pPr>
        <w:pStyle w:val="ListParagraph"/>
        <w:numPr>
          <w:ilvl w:val="0"/>
          <w:numId w:val="2"/>
        </w:numPr>
        <w:spacing w:line="360" w:lineRule="auto"/>
        <w:jc w:val="both"/>
        <w:rPr>
          <w:lang w:val="en-GB"/>
        </w:rPr>
      </w:pPr>
      <w:r w:rsidRPr="00981F21">
        <w:rPr>
          <w:lang w:val="en-GB"/>
        </w:rPr>
        <w:t xml:space="preserve">To what extent did the </w:t>
      </w:r>
      <w:proofErr w:type="spellStart"/>
      <w:r w:rsidRPr="00981F21">
        <w:rPr>
          <w:lang w:val="en-GB"/>
        </w:rPr>
        <w:t>Maasvlakte</w:t>
      </w:r>
      <w:proofErr w:type="spellEnd"/>
      <w:r w:rsidRPr="00981F21">
        <w:rPr>
          <w:lang w:val="en-GB"/>
        </w:rPr>
        <w:t xml:space="preserve"> 2 cost benefit analysis correctly predict the terrain demand for the Port of Rotterdam and how can the observed deviations be explained?</w:t>
      </w:r>
    </w:p>
    <w:p w:rsidR="003739F1" w:rsidRPr="00981F21" w:rsidRDefault="003739F1" w:rsidP="003739F1">
      <w:pPr>
        <w:spacing w:line="360" w:lineRule="auto"/>
        <w:jc w:val="both"/>
        <w:rPr>
          <w:lang w:val="en-GB"/>
        </w:rPr>
      </w:pPr>
      <w:r w:rsidRPr="00981F21">
        <w:rPr>
          <w:lang w:val="en-GB"/>
        </w:rPr>
        <w:t>To answer the main research question these three sub questions will first be answered.</w:t>
      </w:r>
    </w:p>
    <w:p w:rsidR="003739F1" w:rsidRPr="00981F21" w:rsidRDefault="003739F1" w:rsidP="003739F1">
      <w:pPr>
        <w:pStyle w:val="ListParagraph"/>
        <w:numPr>
          <w:ilvl w:val="0"/>
          <w:numId w:val="2"/>
        </w:numPr>
        <w:spacing w:line="360" w:lineRule="auto"/>
        <w:jc w:val="both"/>
        <w:rPr>
          <w:lang w:val="en-GB"/>
        </w:rPr>
      </w:pPr>
      <w:r w:rsidRPr="00981F21">
        <w:rPr>
          <w:lang w:val="en-GB"/>
        </w:rPr>
        <w:t>Which studies were at the base of the cost benefit analysis predictions and what were their results?</w:t>
      </w:r>
    </w:p>
    <w:p w:rsidR="003739F1" w:rsidRPr="00981F21" w:rsidRDefault="003739F1" w:rsidP="003739F1">
      <w:pPr>
        <w:pStyle w:val="ListParagraph"/>
        <w:numPr>
          <w:ilvl w:val="0"/>
          <w:numId w:val="2"/>
        </w:numPr>
        <w:spacing w:line="360" w:lineRule="auto"/>
        <w:jc w:val="both"/>
        <w:rPr>
          <w:lang w:val="en-GB"/>
        </w:rPr>
      </w:pPr>
      <w:r w:rsidRPr="00981F21">
        <w:rPr>
          <w:lang w:val="en-GB"/>
        </w:rPr>
        <w:t>What are the current values of the predicted figures and how do they compare?</w:t>
      </w:r>
    </w:p>
    <w:p w:rsidR="003739F1" w:rsidRPr="00981F21" w:rsidRDefault="003739F1" w:rsidP="003739F1">
      <w:pPr>
        <w:pStyle w:val="ListParagraph"/>
        <w:numPr>
          <w:ilvl w:val="0"/>
          <w:numId w:val="2"/>
        </w:numPr>
        <w:spacing w:line="360" w:lineRule="auto"/>
        <w:jc w:val="both"/>
        <w:rPr>
          <w:lang w:val="en-GB"/>
        </w:rPr>
      </w:pPr>
      <w:r w:rsidRPr="00981F21">
        <w:rPr>
          <w:lang w:val="en-GB"/>
        </w:rPr>
        <w:t>What is the likely cause of the deviations between predicted and historic values and is there room for improvement in the prediction process?</w:t>
      </w:r>
    </w:p>
    <w:p w:rsidR="003739F1" w:rsidRPr="00981F21" w:rsidRDefault="003739F1" w:rsidP="003739F1">
      <w:pPr>
        <w:spacing w:line="360" w:lineRule="auto"/>
        <w:jc w:val="both"/>
        <w:rPr>
          <w:lang w:val="en-GB"/>
        </w:rPr>
      </w:pPr>
      <w:r w:rsidRPr="00981F21">
        <w:rPr>
          <w:lang w:val="en-GB"/>
        </w:rPr>
        <w:t xml:space="preserve">The predicted demand for terrain presented in the cost benefit analysis was compiled from various studies and forecasts. The goal of this thesis is twofold. Firstly, to sketch the extent to </w:t>
      </w:r>
      <w:r w:rsidRPr="00981F21">
        <w:rPr>
          <w:lang w:val="en-GB"/>
        </w:rPr>
        <w:lastRenderedPageBreak/>
        <w:t xml:space="preserve">which the predictions have come to pass so far. Secondly, to evaluate the prediction process by means of current knowledge in those cases where there is a significant deviation from the predicted results. To achieve these goals a three step approach will be used, gradually narrowing the analysis from the entire terrain demand prediction section of the cost benefit analysis to a select few variables that can be analysed. </w:t>
      </w:r>
    </w:p>
    <w:p w:rsidR="003739F1" w:rsidRPr="00981F21" w:rsidRDefault="003739F1" w:rsidP="003739F1">
      <w:pPr>
        <w:spacing w:line="360" w:lineRule="auto"/>
        <w:jc w:val="both"/>
        <w:rPr>
          <w:lang w:val="en-GB"/>
        </w:rPr>
      </w:pPr>
      <w:r w:rsidRPr="00981F21">
        <w:rPr>
          <w:lang w:val="en-GB"/>
        </w:rPr>
        <w:t>In chapter three the studies that were the base for the Cost Benefit Analysis (CBA) predictions and the way they contributed to the predicted terrain demand figures will be analysed, forming a foundation for the rest of the thesis.</w:t>
      </w:r>
    </w:p>
    <w:p w:rsidR="003739F1" w:rsidRPr="00981F21" w:rsidRDefault="003739F1" w:rsidP="003739F1">
      <w:pPr>
        <w:spacing w:line="360" w:lineRule="auto"/>
        <w:jc w:val="both"/>
        <w:rPr>
          <w:lang w:val="en-GB"/>
        </w:rPr>
      </w:pPr>
      <w:r w:rsidRPr="00981F21">
        <w:rPr>
          <w:lang w:val="en-GB"/>
        </w:rPr>
        <w:t>The fourth chapter will contain a side by side comparison of the available historic variables and the predicted variables. When a discrepancy between the two is observed it will be analysed in a qualitative framework.</w:t>
      </w:r>
    </w:p>
    <w:p w:rsidR="003739F1" w:rsidRPr="00981F21" w:rsidRDefault="00A842B6" w:rsidP="00A842B6">
      <w:pPr>
        <w:pStyle w:val="Heading1"/>
        <w:jc w:val="left"/>
        <w:rPr>
          <w:lang w:val="en-GB"/>
        </w:rPr>
      </w:pPr>
      <w:bookmarkStart w:id="5" w:name="_Toc363737819"/>
      <w:r w:rsidRPr="00981F21">
        <w:rPr>
          <w:lang w:val="en-GB"/>
        </w:rPr>
        <w:t>Chapter 2; Literature review</w:t>
      </w:r>
      <w:bookmarkEnd w:id="5"/>
    </w:p>
    <w:p w:rsidR="00A842B6" w:rsidRPr="00981F21" w:rsidRDefault="00A842B6" w:rsidP="00A842B6">
      <w:pPr>
        <w:spacing w:line="360" w:lineRule="auto"/>
        <w:jc w:val="both"/>
        <w:rPr>
          <w:lang w:val="en-GB"/>
        </w:rPr>
      </w:pPr>
      <w:r w:rsidRPr="00981F21">
        <w:rPr>
          <w:lang w:val="en-GB"/>
        </w:rPr>
        <w:t>In the sections below, the scientific literature relevant to this thesis will be examined. First a general introduction to Cost Benefit Analysis will be provided, followed by several models for predicting economic or industry variables. Lastly some articles on entry barriers and the importance of intra port competition are presented.</w:t>
      </w:r>
    </w:p>
    <w:p w:rsidR="00A842B6" w:rsidRPr="00981F21" w:rsidRDefault="00A842B6" w:rsidP="00A842B6">
      <w:pPr>
        <w:pStyle w:val="Heading2"/>
        <w:jc w:val="left"/>
        <w:rPr>
          <w:lang w:val="en-GB"/>
        </w:rPr>
      </w:pPr>
      <w:bookmarkStart w:id="6" w:name="_Toc363737820"/>
      <w:r w:rsidRPr="00981F21">
        <w:rPr>
          <w:lang w:val="en-GB"/>
        </w:rPr>
        <w:t>2.1 Cost benefit analysis</w:t>
      </w:r>
      <w:bookmarkEnd w:id="6"/>
    </w:p>
    <w:p w:rsidR="00A842B6" w:rsidRPr="00981F21" w:rsidRDefault="00A842B6" w:rsidP="00A842B6">
      <w:pPr>
        <w:spacing w:line="360" w:lineRule="auto"/>
        <w:jc w:val="both"/>
        <w:rPr>
          <w:lang w:val="en-GB"/>
        </w:rPr>
      </w:pPr>
      <w:r w:rsidRPr="00981F21">
        <w:rPr>
          <w:lang w:val="en-GB"/>
        </w:rPr>
        <w:t>This section has a short introduction to the history, basics, users, structure and relevance of Cost Benefit Analysis. In the end a few applications of CBA for large infrastructure projects in the scientific literature are discussed.</w:t>
      </w:r>
    </w:p>
    <w:p w:rsidR="00A842B6" w:rsidRPr="00981F21" w:rsidRDefault="00A842B6" w:rsidP="00A842B6">
      <w:pPr>
        <w:spacing w:line="360" w:lineRule="auto"/>
        <w:jc w:val="both"/>
        <w:rPr>
          <w:lang w:val="en-GB"/>
        </w:rPr>
      </w:pPr>
      <w:r w:rsidRPr="00981F21">
        <w:rPr>
          <w:lang w:val="en-GB"/>
        </w:rPr>
        <w:t xml:space="preserve">The concept of Cost Benefit Analysis dates back to 1848, when Jules </w:t>
      </w:r>
      <w:proofErr w:type="spellStart"/>
      <w:r w:rsidRPr="00981F21">
        <w:rPr>
          <w:lang w:val="en-GB"/>
        </w:rPr>
        <w:t>Dupuit</w:t>
      </w:r>
      <w:proofErr w:type="spellEnd"/>
      <w:r w:rsidRPr="00981F21">
        <w:rPr>
          <w:lang w:val="en-GB"/>
        </w:rPr>
        <w:t xml:space="preserve"> first described it. It was later shaped into a formal theory by Alfred Marshall. It wasn’t until 1936, when the US government made it obligatory to conduct a CBA to test the viability of public waterway infrastructure projects, that it gained momentum as a tool to evaluate public policy decisions. Cost Benefit Analysis has come a long way since then and is now obligatory for, or at least involved in, the decision making process of large public infrastructure projects in many countries.</w:t>
      </w:r>
    </w:p>
    <w:p w:rsidR="00A842B6" w:rsidRPr="00981F21" w:rsidRDefault="00A842B6" w:rsidP="00A842B6">
      <w:pPr>
        <w:spacing w:line="360" w:lineRule="auto"/>
        <w:jc w:val="both"/>
        <w:rPr>
          <w:lang w:val="en-GB"/>
        </w:rPr>
      </w:pPr>
      <w:proofErr w:type="gramStart"/>
      <w:r w:rsidRPr="00981F21">
        <w:rPr>
          <w:lang w:val="en-GB"/>
        </w:rPr>
        <w:t>Boardman et al.</w:t>
      </w:r>
      <w:proofErr w:type="gramEnd"/>
      <w:sdt>
        <w:sdtPr>
          <w:rPr>
            <w:lang w:val="en-GB"/>
          </w:rPr>
          <w:id w:val="-310168834"/>
          <w:citation/>
        </w:sdtPr>
        <w:sdtContent>
          <w:r w:rsidR="00FD0314" w:rsidRPr="00981F21">
            <w:rPr>
              <w:lang w:val="en-GB"/>
            </w:rPr>
            <w:fldChar w:fldCharType="begin"/>
          </w:r>
          <w:r w:rsidRPr="00981F21">
            <w:rPr>
              <w:lang w:val="en-GB"/>
            </w:rPr>
            <w:instrText xml:space="preserve">CITATION Boa06 \n  \t  \l 1033 </w:instrText>
          </w:r>
          <w:r w:rsidR="00FD0314" w:rsidRPr="00981F21">
            <w:rPr>
              <w:lang w:val="en-GB"/>
            </w:rPr>
            <w:fldChar w:fldCharType="separate"/>
          </w:r>
          <w:r w:rsidR="006A4AA8">
            <w:rPr>
              <w:noProof/>
              <w:lang w:val="en-GB"/>
            </w:rPr>
            <w:t xml:space="preserve"> </w:t>
          </w:r>
          <w:r w:rsidR="006A4AA8" w:rsidRPr="006A4AA8">
            <w:rPr>
              <w:noProof/>
              <w:lang w:val="en-GB"/>
            </w:rPr>
            <w:t>(2006)</w:t>
          </w:r>
          <w:r w:rsidR="00FD0314" w:rsidRPr="00981F21">
            <w:rPr>
              <w:lang w:val="en-GB"/>
            </w:rPr>
            <w:fldChar w:fldCharType="end"/>
          </w:r>
        </w:sdtContent>
      </w:sdt>
      <w:r w:rsidRPr="00981F21">
        <w:rPr>
          <w:lang w:val="en-GB"/>
        </w:rPr>
        <w:t xml:space="preserve"> </w:t>
      </w:r>
      <w:proofErr w:type="gramStart"/>
      <w:r w:rsidRPr="00981F21">
        <w:rPr>
          <w:lang w:val="en-GB"/>
        </w:rPr>
        <w:t>summarise</w:t>
      </w:r>
      <w:proofErr w:type="gramEnd"/>
      <w:r w:rsidRPr="00981F21">
        <w:rPr>
          <w:lang w:val="en-GB"/>
        </w:rPr>
        <w:t xml:space="preserve"> CBA as follows: “CBA is a policy assessment method that quantifies in monetary terms the value of all consequences of a policy to all members of society.” </w:t>
      </w:r>
      <w:r w:rsidRPr="00981F21">
        <w:rPr>
          <w:lang w:val="en-GB"/>
        </w:rPr>
        <w:br/>
        <w:t xml:space="preserve">A Cost Benefit Analysis can be reduced to the following formula, NB = B – C, stating that benefits </w:t>
      </w:r>
      <w:r w:rsidRPr="00981F21">
        <w:rPr>
          <w:lang w:val="en-GB"/>
        </w:rPr>
        <w:lastRenderedPageBreak/>
        <w:t xml:space="preserve">minus costs equals net benefits which is an indicator of the economic feasibility of a project. For a social Cost Benefit Analysis the formula becomes NSB = SB – SC. In a social Cost Benefit Analysis the monetary and non-monetary costs and benefits for all members of society are included. Cost Benefit Analyses can be performed in an </w:t>
      </w:r>
      <w:r w:rsidRPr="00981F21">
        <w:rPr>
          <w:i/>
          <w:lang w:val="en-GB"/>
        </w:rPr>
        <w:t>ex ante</w:t>
      </w:r>
      <w:r w:rsidRPr="00981F21">
        <w:rPr>
          <w:lang w:val="en-GB"/>
        </w:rPr>
        <w:t xml:space="preserve">, </w:t>
      </w:r>
      <w:r w:rsidRPr="00981F21">
        <w:rPr>
          <w:i/>
          <w:lang w:val="en-GB"/>
        </w:rPr>
        <w:t>in medias res</w:t>
      </w:r>
      <w:r w:rsidRPr="00981F21">
        <w:rPr>
          <w:lang w:val="en-GB"/>
        </w:rPr>
        <w:t xml:space="preserve"> or </w:t>
      </w:r>
      <w:r w:rsidRPr="00981F21">
        <w:rPr>
          <w:i/>
          <w:lang w:val="en-GB"/>
        </w:rPr>
        <w:t>ex post</w:t>
      </w:r>
      <w:r w:rsidRPr="00981F21">
        <w:rPr>
          <w:lang w:val="en-GB"/>
        </w:rPr>
        <w:t xml:space="preserve"> setting. Since this thesis concerns the CBA for </w:t>
      </w:r>
      <w:proofErr w:type="spellStart"/>
      <w:r w:rsidRPr="00981F21">
        <w:rPr>
          <w:lang w:val="en-GB"/>
        </w:rPr>
        <w:t>Maasvlakte</w:t>
      </w:r>
      <w:proofErr w:type="spellEnd"/>
      <w:r w:rsidRPr="00981F21">
        <w:rPr>
          <w:lang w:val="en-GB"/>
        </w:rPr>
        <w:t xml:space="preserve"> 2 any subsequent use of CBA or Cost Benefit Analysis refers to an </w:t>
      </w:r>
      <w:r w:rsidRPr="00981F21">
        <w:rPr>
          <w:i/>
          <w:lang w:val="en-GB"/>
        </w:rPr>
        <w:t>ex ante</w:t>
      </w:r>
      <w:r w:rsidRPr="00981F21">
        <w:rPr>
          <w:lang w:val="en-GB"/>
        </w:rPr>
        <w:t xml:space="preserve"> Social Cost Benefit analysis unless explicitly stated otherwise.</w:t>
      </w:r>
    </w:p>
    <w:p w:rsidR="00A842B6" w:rsidRPr="00981F21" w:rsidRDefault="00A842B6" w:rsidP="00A842B6">
      <w:pPr>
        <w:spacing w:line="360" w:lineRule="auto"/>
        <w:jc w:val="both"/>
        <w:rPr>
          <w:lang w:val="en-GB"/>
        </w:rPr>
      </w:pPr>
      <w:r w:rsidRPr="00981F21">
        <w:rPr>
          <w:lang w:val="en-GB"/>
        </w:rPr>
        <w:t xml:space="preserve">The users of a CBA are often governments that need to decide whether a public policy or project, affecting a large number of citizens in different ways, is worth pursuing. In the Netherlands the preparation of a CBA is obligatory for any large public infrastructure project as per the ‘OEI </w:t>
      </w:r>
      <w:proofErr w:type="spellStart"/>
      <w:r w:rsidRPr="00981F21">
        <w:rPr>
          <w:lang w:val="en-GB"/>
        </w:rPr>
        <w:t>leidraad</w:t>
      </w:r>
      <w:proofErr w:type="spellEnd"/>
      <w:r w:rsidRPr="00981F21">
        <w:rPr>
          <w:lang w:val="en-GB"/>
        </w:rPr>
        <w:t>’.  The makers of a CBA are usually large national economic research institutes or consultancy firms. In case of a large project, preparing a CBA requires considerable resources and expertise.</w:t>
      </w:r>
    </w:p>
    <w:p w:rsidR="00A842B6" w:rsidRPr="00981F21" w:rsidRDefault="00A842B6" w:rsidP="00A842B6">
      <w:pPr>
        <w:spacing w:line="360" w:lineRule="auto"/>
        <w:jc w:val="both"/>
        <w:rPr>
          <w:lang w:val="en-GB"/>
        </w:rPr>
      </w:pPr>
      <w:r w:rsidRPr="00981F21">
        <w:rPr>
          <w:lang w:val="en-GB"/>
        </w:rPr>
        <w:t xml:space="preserve">The basic structure of a CBA can seem simple enough, estimate costs and benefits, potentially for several scenarios to expand the range, and subtract the one from the other. The complexity of CBA arises from the choices and estimations that have to be made. The people creating the CBA have to decide whose costs and benefits will be considered, which can range from the inhabitants of a single town to the global population. Next they have to decide which specific costs and benefits to include in the analysis. Then the following figures, as listed by Cellini and </w:t>
      </w:r>
      <w:proofErr w:type="spellStart"/>
      <w:r w:rsidRPr="00981F21">
        <w:rPr>
          <w:lang w:val="en-GB"/>
        </w:rPr>
        <w:t>Kee</w:t>
      </w:r>
      <w:proofErr w:type="spellEnd"/>
      <w:r w:rsidRPr="00981F21">
        <w:rPr>
          <w:lang w:val="en-GB"/>
        </w:rPr>
        <w:t xml:space="preserve"> </w:t>
      </w:r>
      <w:sdt>
        <w:sdtPr>
          <w:rPr>
            <w:lang w:val="en-GB"/>
          </w:rPr>
          <w:id w:val="-2105881189"/>
          <w:citation/>
        </w:sdtPr>
        <w:sdtContent>
          <w:r w:rsidR="00FD0314" w:rsidRPr="00981F21">
            <w:rPr>
              <w:lang w:val="en-GB"/>
            </w:rPr>
            <w:fldChar w:fldCharType="begin"/>
          </w:r>
          <w:r w:rsidRPr="00981F21">
            <w:rPr>
              <w:lang w:val="en-GB"/>
            </w:rPr>
            <w:instrText xml:space="preserve">CITATION Cel10 \n  \t  \l 1033 </w:instrText>
          </w:r>
          <w:r w:rsidR="00FD0314" w:rsidRPr="00981F21">
            <w:rPr>
              <w:lang w:val="en-GB"/>
            </w:rPr>
            <w:fldChar w:fldCharType="separate"/>
          </w:r>
          <w:r w:rsidR="006A4AA8" w:rsidRPr="006A4AA8">
            <w:rPr>
              <w:noProof/>
              <w:lang w:val="en-GB"/>
            </w:rPr>
            <w:t>(2010)</w:t>
          </w:r>
          <w:r w:rsidR="00FD0314" w:rsidRPr="00981F21">
            <w:rPr>
              <w:lang w:val="en-GB"/>
            </w:rPr>
            <w:fldChar w:fldCharType="end"/>
          </w:r>
        </w:sdtContent>
      </w:sdt>
      <w:r w:rsidRPr="00981F21">
        <w:rPr>
          <w:lang w:val="en-GB"/>
        </w:rPr>
        <w:t xml:space="preserve">, have to be estimated and in some cases monetised. </w:t>
      </w:r>
    </w:p>
    <w:p w:rsidR="00A842B6" w:rsidRPr="00981F21" w:rsidRDefault="00A842B6" w:rsidP="00A842B6">
      <w:pPr>
        <w:pStyle w:val="ListParagraph"/>
        <w:numPr>
          <w:ilvl w:val="0"/>
          <w:numId w:val="3"/>
        </w:numPr>
        <w:spacing w:line="360" w:lineRule="auto"/>
        <w:jc w:val="both"/>
        <w:rPr>
          <w:lang w:val="en-GB"/>
        </w:rPr>
      </w:pPr>
      <w:r w:rsidRPr="00981F21">
        <w:rPr>
          <w:lang w:val="en-GB"/>
        </w:rPr>
        <w:t>The costs involved, both direct and social</w:t>
      </w:r>
    </w:p>
    <w:p w:rsidR="00A842B6" w:rsidRPr="00981F21" w:rsidRDefault="00A842B6" w:rsidP="00A842B6">
      <w:pPr>
        <w:pStyle w:val="ListParagraph"/>
        <w:numPr>
          <w:ilvl w:val="0"/>
          <w:numId w:val="3"/>
        </w:numPr>
        <w:spacing w:line="360" w:lineRule="auto"/>
        <w:jc w:val="both"/>
        <w:rPr>
          <w:lang w:val="en-GB"/>
        </w:rPr>
      </w:pPr>
      <w:r w:rsidRPr="00981F21">
        <w:rPr>
          <w:lang w:val="en-GB"/>
        </w:rPr>
        <w:t>The benefits involved, both direct and social</w:t>
      </w:r>
    </w:p>
    <w:p w:rsidR="00A842B6" w:rsidRPr="00981F21" w:rsidRDefault="00A842B6" w:rsidP="00A842B6">
      <w:pPr>
        <w:pStyle w:val="ListParagraph"/>
        <w:numPr>
          <w:ilvl w:val="0"/>
          <w:numId w:val="3"/>
        </w:numPr>
        <w:spacing w:line="360" w:lineRule="auto"/>
        <w:jc w:val="both"/>
        <w:rPr>
          <w:lang w:val="en-GB"/>
        </w:rPr>
      </w:pPr>
      <w:r w:rsidRPr="00981F21">
        <w:rPr>
          <w:lang w:val="en-GB"/>
        </w:rPr>
        <w:t>The way the costs and benefits are spread over the timeframe of the analysis</w:t>
      </w:r>
    </w:p>
    <w:p w:rsidR="00A842B6" w:rsidRPr="00981F21" w:rsidRDefault="00A842B6" w:rsidP="00A842B6">
      <w:pPr>
        <w:pStyle w:val="ListParagraph"/>
        <w:numPr>
          <w:ilvl w:val="0"/>
          <w:numId w:val="3"/>
        </w:numPr>
        <w:spacing w:line="360" w:lineRule="auto"/>
        <w:jc w:val="both"/>
        <w:rPr>
          <w:lang w:val="en-GB"/>
        </w:rPr>
      </w:pPr>
      <w:r w:rsidRPr="00981F21">
        <w:rPr>
          <w:lang w:val="en-GB"/>
        </w:rPr>
        <w:t>The proper discount rate for future costs and benefits</w:t>
      </w:r>
    </w:p>
    <w:p w:rsidR="00A842B6" w:rsidRPr="00981F21" w:rsidRDefault="00A842B6" w:rsidP="00A842B6">
      <w:pPr>
        <w:spacing w:line="360" w:lineRule="auto"/>
        <w:jc w:val="both"/>
        <w:rPr>
          <w:lang w:val="en-GB"/>
        </w:rPr>
      </w:pPr>
      <w:r w:rsidRPr="00981F21">
        <w:rPr>
          <w:lang w:val="en-GB"/>
        </w:rPr>
        <w:t xml:space="preserve">Once all the choices are made and the variables are estimated the maker can calculate the net benefit of a project. To create a wider perspective the net benefit can be calculated for various scenarios or subjected to sensitivity analysis. </w:t>
      </w:r>
    </w:p>
    <w:p w:rsidR="00A842B6" w:rsidRPr="00981F21" w:rsidRDefault="00A842B6" w:rsidP="00A842B6">
      <w:pPr>
        <w:spacing w:line="360" w:lineRule="auto"/>
        <w:jc w:val="both"/>
        <w:rPr>
          <w:lang w:val="en-GB"/>
        </w:rPr>
      </w:pPr>
      <w:r w:rsidRPr="00981F21">
        <w:rPr>
          <w:lang w:val="en-GB"/>
        </w:rPr>
        <w:t xml:space="preserve">The (normative) relevance pertains to the extent to which CBA is an appropriate technique to measure changes in welfare. When a large public project is considered there will be winners and losers and thus people that consider it unfair. Two traditional measures of fairness are Pareto efficiency, which is impractical since it does not accept even a single loser, and the </w:t>
      </w:r>
      <w:proofErr w:type="spellStart"/>
      <w:r w:rsidRPr="00981F21">
        <w:rPr>
          <w:lang w:val="en-GB"/>
        </w:rPr>
        <w:t>Kaldor</w:t>
      </w:r>
      <w:proofErr w:type="spellEnd"/>
      <w:r w:rsidRPr="00981F21">
        <w:rPr>
          <w:lang w:val="en-GB"/>
        </w:rPr>
        <w:t xml:space="preserve">-Hicks criterion. The </w:t>
      </w:r>
      <w:proofErr w:type="spellStart"/>
      <w:r w:rsidRPr="00981F21">
        <w:rPr>
          <w:lang w:val="en-GB"/>
        </w:rPr>
        <w:t>Kaldor</w:t>
      </w:r>
      <w:proofErr w:type="spellEnd"/>
      <w:r w:rsidRPr="00981F21">
        <w:rPr>
          <w:lang w:val="en-GB"/>
        </w:rPr>
        <w:t xml:space="preserve">-Hicks criterion poses that a project is socially justified when the societal gains exceed the societal losses in a way that the winners could compensate the losers, regardless of whether this actually happens </w:t>
      </w:r>
      <w:sdt>
        <w:sdtPr>
          <w:rPr>
            <w:lang w:val="en-GB"/>
          </w:rPr>
          <w:id w:val="-27416665"/>
          <w:citation/>
        </w:sdtPr>
        <w:sdtContent>
          <w:r w:rsidR="00FD0314" w:rsidRPr="00981F21">
            <w:rPr>
              <w:lang w:val="en-GB"/>
            </w:rPr>
            <w:fldChar w:fldCharType="begin"/>
          </w:r>
          <w:r w:rsidRPr="00981F21">
            <w:rPr>
              <w:lang w:val="en-GB"/>
            </w:rPr>
            <w:instrText xml:space="preserve"> CITATION Per01 \l 1033 </w:instrText>
          </w:r>
          <w:r w:rsidR="00FD0314" w:rsidRPr="00981F21">
            <w:rPr>
              <w:lang w:val="en-GB"/>
            </w:rPr>
            <w:fldChar w:fldCharType="separate"/>
          </w:r>
          <w:r w:rsidR="006A4AA8" w:rsidRPr="006A4AA8">
            <w:rPr>
              <w:noProof/>
              <w:lang w:val="en-GB"/>
            </w:rPr>
            <w:t>(Persky, 2001)</w:t>
          </w:r>
          <w:r w:rsidR="00FD0314" w:rsidRPr="00981F21">
            <w:rPr>
              <w:lang w:val="en-GB"/>
            </w:rPr>
            <w:fldChar w:fldCharType="end"/>
          </w:r>
        </w:sdtContent>
      </w:sdt>
      <w:r w:rsidRPr="00981F21">
        <w:rPr>
          <w:lang w:val="en-GB"/>
        </w:rPr>
        <w:t xml:space="preserve">. Adler and Posner (2000) claim that </w:t>
      </w:r>
      <w:r w:rsidRPr="00981F21">
        <w:rPr>
          <w:lang w:val="en-GB"/>
        </w:rPr>
        <w:lastRenderedPageBreak/>
        <w:t xml:space="preserve">while a CBA does not satisfy either the Pareto efficiency or </w:t>
      </w:r>
      <w:proofErr w:type="spellStart"/>
      <w:r w:rsidRPr="00981F21">
        <w:rPr>
          <w:lang w:val="en-GB"/>
        </w:rPr>
        <w:t>Kaldor</w:t>
      </w:r>
      <w:proofErr w:type="spellEnd"/>
      <w:r w:rsidRPr="00981F21">
        <w:rPr>
          <w:lang w:val="en-GB"/>
        </w:rPr>
        <w:t xml:space="preserve">-Hicks criteria this does not harm its normative relevance. Instead they pose that CBA can measure a level of </w:t>
      </w:r>
      <w:r w:rsidRPr="00981F21">
        <w:rPr>
          <w:i/>
          <w:lang w:val="en-GB"/>
        </w:rPr>
        <w:t>overall well-being</w:t>
      </w:r>
      <w:r w:rsidRPr="00981F21">
        <w:rPr>
          <w:lang w:val="en-GB"/>
        </w:rPr>
        <w:t xml:space="preserve"> to derive its relevance from.</w:t>
      </w:r>
    </w:p>
    <w:p w:rsidR="00A842B6" w:rsidRPr="00981F21" w:rsidRDefault="00A842B6" w:rsidP="00A842B6">
      <w:pPr>
        <w:spacing w:line="360" w:lineRule="auto"/>
        <w:jc w:val="both"/>
        <w:rPr>
          <w:lang w:val="en-GB"/>
        </w:rPr>
      </w:pPr>
      <w:r w:rsidRPr="00981F21">
        <w:rPr>
          <w:lang w:val="en-GB"/>
        </w:rPr>
        <w:t xml:space="preserve">De </w:t>
      </w:r>
      <w:proofErr w:type="spellStart"/>
      <w:r w:rsidRPr="00981F21">
        <w:rPr>
          <w:lang w:val="en-GB"/>
        </w:rPr>
        <w:t>Rus</w:t>
      </w:r>
      <w:proofErr w:type="spellEnd"/>
      <w:r w:rsidRPr="00981F21">
        <w:rPr>
          <w:lang w:val="en-GB"/>
        </w:rPr>
        <w:t xml:space="preserve"> &amp; </w:t>
      </w:r>
      <w:proofErr w:type="spellStart"/>
      <w:r w:rsidRPr="00981F21">
        <w:rPr>
          <w:lang w:val="en-GB"/>
        </w:rPr>
        <w:t>Inglada</w:t>
      </w:r>
      <w:proofErr w:type="spellEnd"/>
      <w:r w:rsidRPr="00981F21">
        <w:rPr>
          <w:lang w:val="en-GB"/>
        </w:rPr>
        <w:t xml:space="preserve"> </w:t>
      </w:r>
      <w:sdt>
        <w:sdtPr>
          <w:rPr>
            <w:lang w:val="en-GB"/>
          </w:rPr>
          <w:id w:val="-233476824"/>
          <w:citation/>
        </w:sdtPr>
        <w:sdtContent>
          <w:r w:rsidR="00FD0314" w:rsidRPr="00981F21">
            <w:rPr>
              <w:lang w:val="en-GB"/>
            </w:rPr>
            <w:fldChar w:fldCharType="begin"/>
          </w:r>
          <w:r w:rsidRPr="00981F21">
            <w:rPr>
              <w:lang w:val="en-GB"/>
            </w:rPr>
            <w:instrText xml:space="preserve">CITATION DeR97 \n  \t  \l 1033 </w:instrText>
          </w:r>
          <w:r w:rsidR="00FD0314" w:rsidRPr="00981F21">
            <w:rPr>
              <w:lang w:val="en-GB"/>
            </w:rPr>
            <w:fldChar w:fldCharType="separate"/>
          </w:r>
          <w:r w:rsidR="006A4AA8" w:rsidRPr="006A4AA8">
            <w:rPr>
              <w:noProof/>
              <w:lang w:val="en-GB"/>
            </w:rPr>
            <w:t>(1997)</w:t>
          </w:r>
          <w:r w:rsidR="00FD0314" w:rsidRPr="00981F21">
            <w:rPr>
              <w:lang w:val="en-GB"/>
            </w:rPr>
            <w:fldChar w:fldCharType="end"/>
          </w:r>
        </w:sdtContent>
      </w:sdt>
      <w:r w:rsidRPr="00981F21">
        <w:rPr>
          <w:lang w:val="en-GB"/>
        </w:rPr>
        <w:t xml:space="preserve"> conducted an ex-post Cost Benefit Analysis for the high speed rail track that was constructed in Spain in 1987. They concluded that the introduction of a high speed train, henceforth HST, was not economically justified at the time and advise to seriously evaluate upcoming expansions of the high speed rail network. The effects of new roads are considered by Willis et al. </w:t>
      </w:r>
      <w:sdt>
        <w:sdtPr>
          <w:rPr>
            <w:lang w:val="en-GB"/>
          </w:rPr>
          <w:id w:val="679007659"/>
          <w:citation/>
        </w:sdtPr>
        <w:sdtContent>
          <w:r w:rsidR="00FD0314" w:rsidRPr="00981F21">
            <w:rPr>
              <w:lang w:val="en-GB"/>
            </w:rPr>
            <w:fldChar w:fldCharType="begin"/>
          </w:r>
          <w:r w:rsidRPr="00981F21">
            <w:rPr>
              <w:lang w:val="en-GB"/>
            </w:rPr>
            <w:instrText xml:space="preserve">CITATION KGW98 \n  \t  \l 1033 </w:instrText>
          </w:r>
          <w:r w:rsidR="00FD0314" w:rsidRPr="00981F21">
            <w:rPr>
              <w:lang w:val="en-GB"/>
            </w:rPr>
            <w:fldChar w:fldCharType="separate"/>
          </w:r>
          <w:r w:rsidR="006A4AA8" w:rsidRPr="006A4AA8">
            <w:rPr>
              <w:noProof/>
              <w:lang w:val="en-GB"/>
            </w:rPr>
            <w:t>(1998)</w:t>
          </w:r>
          <w:r w:rsidR="00FD0314" w:rsidRPr="00981F21">
            <w:rPr>
              <w:lang w:val="en-GB"/>
            </w:rPr>
            <w:fldChar w:fldCharType="end"/>
          </w:r>
        </w:sdtContent>
      </w:sdt>
      <w:r w:rsidRPr="00981F21">
        <w:rPr>
          <w:lang w:val="en-GB"/>
        </w:rPr>
        <w:t>, who provide a way to include environmental external effects in monetary terms in the CBA model the English government uses. They conclude, based on a few examples, that roads are built which are not, from a social cost benefit point of view, the best options.</w:t>
      </w:r>
    </w:p>
    <w:p w:rsidR="00A842B6" w:rsidRPr="00981F21" w:rsidRDefault="00A842B6" w:rsidP="00A842B6">
      <w:pPr>
        <w:spacing w:line="360" w:lineRule="auto"/>
        <w:jc w:val="both"/>
        <w:rPr>
          <w:lang w:val="en-GB"/>
        </w:rPr>
      </w:pPr>
      <w:r w:rsidRPr="00981F21">
        <w:rPr>
          <w:lang w:val="en-GB"/>
        </w:rPr>
        <w:t xml:space="preserve">Articles similar to the ones above that relate to port infrastructure projects are largely unavailable. One exception is the article by Kuipers &amp; </w:t>
      </w:r>
      <w:proofErr w:type="spellStart"/>
      <w:r w:rsidRPr="00981F21">
        <w:rPr>
          <w:lang w:val="en-GB"/>
        </w:rPr>
        <w:t>Jonkhoff</w:t>
      </w:r>
      <w:proofErr w:type="spellEnd"/>
      <w:r w:rsidRPr="00981F21">
        <w:rPr>
          <w:lang w:val="en-GB"/>
        </w:rPr>
        <w:t xml:space="preserve"> </w:t>
      </w:r>
      <w:sdt>
        <w:sdtPr>
          <w:rPr>
            <w:lang w:val="en-GB"/>
          </w:rPr>
          <w:id w:val="1703591423"/>
          <w:citation/>
        </w:sdtPr>
        <w:sdtContent>
          <w:r w:rsidR="00FD0314" w:rsidRPr="00981F21">
            <w:rPr>
              <w:lang w:val="en-GB"/>
            </w:rPr>
            <w:fldChar w:fldCharType="begin"/>
          </w:r>
          <w:r w:rsidRPr="00981F21">
            <w:rPr>
              <w:lang w:val="en-GB"/>
            </w:rPr>
            <w:instrText xml:space="preserve">CITATION Kui11 \n  \t  \l 1033 </w:instrText>
          </w:r>
          <w:r w:rsidR="00FD0314" w:rsidRPr="00981F21">
            <w:rPr>
              <w:lang w:val="en-GB"/>
            </w:rPr>
            <w:fldChar w:fldCharType="separate"/>
          </w:r>
          <w:r w:rsidR="006A4AA8" w:rsidRPr="006A4AA8">
            <w:rPr>
              <w:noProof/>
              <w:lang w:val="en-GB"/>
            </w:rPr>
            <w:t>(2011)</w:t>
          </w:r>
          <w:r w:rsidR="00FD0314" w:rsidRPr="00981F21">
            <w:rPr>
              <w:lang w:val="en-GB"/>
            </w:rPr>
            <w:fldChar w:fldCharType="end"/>
          </w:r>
        </w:sdtContent>
      </w:sdt>
      <w:r w:rsidRPr="00981F21">
        <w:rPr>
          <w:lang w:val="en-GB"/>
        </w:rPr>
        <w:t xml:space="preserve">, who conducted an ex post analysis of the </w:t>
      </w:r>
      <w:proofErr w:type="spellStart"/>
      <w:r w:rsidRPr="00981F21">
        <w:rPr>
          <w:lang w:val="en-GB"/>
        </w:rPr>
        <w:t>Maasvlakte</w:t>
      </w:r>
      <w:proofErr w:type="spellEnd"/>
      <w:r w:rsidRPr="00981F21">
        <w:rPr>
          <w:lang w:val="en-GB"/>
        </w:rPr>
        <w:t xml:space="preserve"> 1 project and linked it to the </w:t>
      </w:r>
      <w:proofErr w:type="spellStart"/>
      <w:r w:rsidRPr="00981F21">
        <w:rPr>
          <w:lang w:val="en-GB"/>
        </w:rPr>
        <w:t>Maasvlakte</w:t>
      </w:r>
      <w:proofErr w:type="spellEnd"/>
      <w:r w:rsidRPr="00981F21">
        <w:rPr>
          <w:lang w:val="en-GB"/>
        </w:rPr>
        <w:t xml:space="preserve"> 2 by an examination of their respective residual values. They approached the material by first setting it in a historical perspective, examining the political and economic forces at work at the time. After this the individual sources of costs and benefits were listed an in the case of the residual value recalculated to form a benefits minus costs figure. This figure was translated to an internal rate of return to establish the efficiency of the project. </w:t>
      </w:r>
    </w:p>
    <w:p w:rsidR="00A842B6" w:rsidRPr="00981F21" w:rsidRDefault="00A842B6" w:rsidP="00A842B6">
      <w:pPr>
        <w:spacing w:line="360" w:lineRule="auto"/>
        <w:jc w:val="both"/>
        <w:rPr>
          <w:lang w:val="en-GB"/>
        </w:rPr>
      </w:pPr>
      <w:r w:rsidRPr="00981F21">
        <w:rPr>
          <w:lang w:val="en-GB"/>
        </w:rPr>
        <w:t xml:space="preserve">In conclusion of their article Kuipers and </w:t>
      </w:r>
      <w:proofErr w:type="spellStart"/>
      <w:r w:rsidRPr="00981F21">
        <w:rPr>
          <w:lang w:val="en-GB"/>
        </w:rPr>
        <w:t>Jonkhoff</w:t>
      </w:r>
      <w:proofErr w:type="spellEnd"/>
      <w:r w:rsidRPr="00981F21">
        <w:rPr>
          <w:lang w:val="en-GB"/>
        </w:rPr>
        <w:t xml:space="preserve"> emphasise the critical importance of timing in the case of large port investments. For </w:t>
      </w:r>
      <w:proofErr w:type="spellStart"/>
      <w:r w:rsidRPr="00981F21">
        <w:rPr>
          <w:lang w:val="en-GB"/>
        </w:rPr>
        <w:t>Maasvlakte</w:t>
      </w:r>
      <w:proofErr w:type="spellEnd"/>
      <w:r w:rsidRPr="00981F21">
        <w:rPr>
          <w:lang w:val="en-GB"/>
        </w:rPr>
        <w:t xml:space="preserve"> 1 a more phased development might have lowered costs and avoided decades of low occupation, increasing the efficiency. This result emphasises the need for accurate predictions of terrain demand in ports.</w:t>
      </w:r>
    </w:p>
    <w:p w:rsidR="00A842B6" w:rsidRPr="00981F21" w:rsidRDefault="00A842B6" w:rsidP="00A842B6">
      <w:pPr>
        <w:pStyle w:val="Heading2"/>
        <w:jc w:val="left"/>
        <w:rPr>
          <w:lang w:val="en-GB"/>
        </w:rPr>
      </w:pPr>
      <w:bookmarkStart w:id="7" w:name="_Toc363737821"/>
      <w:r w:rsidRPr="00981F21">
        <w:rPr>
          <w:lang w:val="en-GB"/>
        </w:rPr>
        <w:t>2.2 Economic forecasting methods</w:t>
      </w:r>
      <w:bookmarkEnd w:id="7"/>
    </w:p>
    <w:p w:rsidR="00A842B6" w:rsidRPr="00981F21" w:rsidRDefault="00A842B6" w:rsidP="00A842B6">
      <w:pPr>
        <w:spacing w:line="360" w:lineRule="auto"/>
        <w:jc w:val="both"/>
        <w:rPr>
          <w:lang w:val="en-GB"/>
        </w:rPr>
      </w:pPr>
      <w:r w:rsidRPr="00981F21">
        <w:rPr>
          <w:lang w:val="en-GB"/>
        </w:rPr>
        <w:t>Generally speaking there are two ways of forecasting economic variables. Firstly qualitative forecasting which is based on subjective judgements made by experts and usually employed when there is insufficient data. Secondly there is quantitative forecasting, which is based on the analysis of historical data. Below a few of the techniques in either class are discussed.</w:t>
      </w:r>
    </w:p>
    <w:p w:rsidR="00A842B6" w:rsidRPr="00981F21" w:rsidRDefault="00A842B6" w:rsidP="00A842B6">
      <w:pPr>
        <w:spacing w:line="360" w:lineRule="auto"/>
        <w:jc w:val="both"/>
        <w:rPr>
          <w:lang w:val="en-GB"/>
        </w:rPr>
      </w:pPr>
      <w:r w:rsidRPr="00981F21">
        <w:rPr>
          <w:lang w:val="en-GB"/>
        </w:rPr>
        <w:t xml:space="preserve">The Delphi method as a forecasting tool is qualitative in nature and was developed in the 50s. Multiple experts are usually involved in a Delphi process, which is a method to elicit expert knowledge on a subject. It consists of several rounds of questionnaires alternated by feedback rounds where statistical aggregates of the answers provided by the panellists are relayed back </w:t>
      </w:r>
      <w:r w:rsidRPr="00981F21">
        <w:rPr>
          <w:lang w:val="en-GB"/>
        </w:rPr>
        <w:lastRenderedPageBreak/>
        <w:t xml:space="preserve">to them. These aggregates are accompanied by anonymous arguments as to why panellists thought what the outcome should be. The anonymous and cyclical nature of the procedure assures that arguments and predictions are only judged on merit and not on the status of the respective experts or the views of the majority. </w:t>
      </w:r>
      <w:sdt>
        <w:sdtPr>
          <w:rPr>
            <w:lang w:val="en-GB"/>
          </w:rPr>
          <w:id w:val="981264080"/>
          <w:citation/>
        </w:sdtPr>
        <w:sdtContent>
          <w:r w:rsidR="00FD0314" w:rsidRPr="00981F21">
            <w:rPr>
              <w:lang w:val="en-GB"/>
            </w:rPr>
            <w:fldChar w:fldCharType="begin"/>
          </w:r>
          <w:r w:rsidRPr="00981F21">
            <w:rPr>
              <w:lang w:val="en-GB"/>
            </w:rPr>
            <w:instrText xml:space="preserve"> CITATION Ste87 \l 1033 </w:instrText>
          </w:r>
          <w:r w:rsidR="00FD0314" w:rsidRPr="00981F21">
            <w:rPr>
              <w:lang w:val="en-GB"/>
            </w:rPr>
            <w:fldChar w:fldCharType="separate"/>
          </w:r>
          <w:r w:rsidR="006A4AA8" w:rsidRPr="006A4AA8">
            <w:rPr>
              <w:noProof/>
              <w:lang w:val="en-GB"/>
            </w:rPr>
            <w:t>(Stewart, 1987)</w:t>
          </w:r>
          <w:r w:rsidR="00FD0314" w:rsidRPr="00981F21">
            <w:rPr>
              <w:lang w:val="en-GB"/>
            </w:rPr>
            <w:fldChar w:fldCharType="end"/>
          </w:r>
        </w:sdtContent>
      </w:sdt>
    </w:p>
    <w:p w:rsidR="00A842B6" w:rsidRPr="00981F21" w:rsidRDefault="00A842B6" w:rsidP="00A842B6">
      <w:pPr>
        <w:spacing w:line="360" w:lineRule="auto"/>
        <w:jc w:val="both"/>
        <w:rPr>
          <w:lang w:val="en-GB"/>
        </w:rPr>
      </w:pPr>
      <w:r w:rsidRPr="00981F21">
        <w:rPr>
          <w:lang w:val="en-GB"/>
        </w:rPr>
        <w:t xml:space="preserve">Rowe and Wright </w:t>
      </w:r>
      <w:sdt>
        <w:sdtPr>
          <w:rPr>
            <w:lang w:val="en-GB"/>
          </w:rPr>
          <w:id w:val="207847220"/>
          <w:citation/>
        </w:sdtPr>
        <w:sdtContent>
          <w:r w:rsidR="00FD0314" w:rsidRPr="00981F21">
            <w:rPr>
              <w:lang w:val="en-GB"/>
            </w:rPr>
            <w:fldChar w:fldCharType="begin"/>
          </w:r>
          <w:r w:rsidRPr="00981F21">
            <w:rPr>
              <w:lang w:val="en-GB"/>
            </w:rPr>
            <w:instrText xml:space="preserve">CITATION Row99 \n  \t  \l 1033 </w:instrText>
          </w:r>
          <w:r w:rsidR="00FD0314" w:rsidRPr="00981F21">
            <w:rPr>
              <w:lang w:val="en-GB"/>
            </w:rPr>
            <w:fldChar w:fldCharType="separate"/>
          </w:r>
          <w:r w:rsidR="006A4AA8" w:rsidRPr="006A4AA8">
            <w:rPr>
              <w:noProof/>
              <w:lang w:val="en-GB"/>
            </w:rPr>
            <w:t>(1999)</w:t>
          </w:r>
          <w:r w:rsidR="00FD0314" w:rsidRPr="00981F21">
            <w:rPr>
              <w:lang w:val="en-GB"/>
            </w:rPr>
            <w:fldChar w:fldCharType="end"/>
          </w:r>
        </w:sdtContent>
      </w:sdt>
      <w:r w:rsidRPr="00981F21">
        <w:rPr>
          <w:lang w:val="en-GB"/>
        </w:rPr>
        <w:t xml:space="preserve"> argue in their paper, which is a review of 27 studies into the effectiveness of the Delphi method, that while Delphi is clearly superior to an unstructured approach, in terms of accuracy of predictions, there is no evidence of clear advantages over alternative structured approaches.</w:t>
      </w:r>
    </w:p>
    <w:p w:rsidR="00A842B6" w:rsidRPr="00981F21" w:rsidRDefault="00A842B6" w:rsidP="00A842B6">
      <w:pPr>
        <w:spacing w:line="360" w:lineRule="auto"/>
        <w:jc w:val="both"/>
        <w:rPr>
          <w:lang w:val="en-GB"/>
        </w:rPr>
      </w:pPr>
      <w:r w:rsidRPr="00981F21">
        <w:rPr>
          <w:lang w:val="en-GB"/>
        </w:rPr>
        <w:t xml:space="preserve">Regression analysis aims to capture the relationship between a dependant variable and (multiple) independent variables. </w:t>
      </w:r>
      <w:proofErr w:type="spellStart"/>
      <w:proofErr w:type="gramStart"/>
      <w:r w:rsidRPr="00981F21">
        <w:rPr>
          <w:lang w:val="en-GB"/>
        </w:rPr>
        <w:t>Seabrooke</w:t>
      </w:r>
      <w:proofErr w:type="spellEnd"/>
      <w:r w:rsidRPr="00981F21">
        <w:rPr>
          <w:lang w:val="en-GB"/>
        </w:rPr>
        <w:t xml:space="preserve"> et al.</w:t>
      </w:r>
      <w:proofErr w:type="gramEnd"/>
      <w:sdt>
        <w:sdtPr>
          <w:rPr>
            <w:lang w:val="en-GB"/>
          </w:rPr>
          <w:id w:val="1721707379"/>
          <w:citation/>
        </w:sdtPr>
        <w:sdtContent>
          <w:r w:rsidR="00FD0314" w:rsidRPr="00981F21">
            <w:rPr>
              <w:lang w:val="en-GB"/>
            </w:rPr>
            <w:fldChar w:fldCharType="begin"/>
          </w:r>
          <w:r w:rsidRPr="00981F21">
            <w:rPr>
              <w:lang w:val="en-GB"/>
            </w:rPr>
            <w:instrText xml:space="preserve">CITATION Sea03 \n  \t  \l 1033 </w:instrText>
          </w:r>
          <w:r w:rsidR="00FD0314" w:rsidRPr="00981F21">
            <w:rPr>
              <w:lang w:val="en-GB"/>
            </w:rPr>
            <w:fldChar w:fldCharType="separate"/>
          </w:r>
          <w:r w:rsidR="006A4AA8">
            <w:rPr>
              <w:noProof/>
              <w:lang w:val="en-GB"/>
            </w:rPr>
            <w:t xml:space="preserve"> </w:t>
          </w:r>
          <w:r w:rsidR="006A4AA8" w:rsidRPr="006A4AA8">
            <w:rPr>
              <w:noProof/>
              <w:lang w:val="en-GB"/>
            </w:rPr>
            <w:t>(2003)</w:t>
          </w:r>
          <w:r w:rsidR="00FD0314" w:rsidRPr="00981F21">
            <w:rPr>
              <w:lang w:val="en-GB"/>
            </w:rPr>
            <w:fldChar w:fldCharType="end"/>
          </w:r>
        </w:sdtContent>
      </w:sdt>
      <w:r w:rsidRPr="00981F21">
        <w:rPr>
          <w:lang w:val="en-GB"/>
        </w:rPr>
        <w:t xml:space="preserve"> </w:t>
      </w:r>
      <w:proofErr w:type="gramStart"/>
      <w:r w:rsidRPr="00981F21">
        <w:rPr>
          <w:lang w:val="en-GB"/>
        </w:rPr>
        <w:t>use</w:t>
      </w:r>
      <w:proofErr w:type="gramEnd"/>
      <w:r w:rsidRPr="00981F21">
        <w:rPr>
          <w:lang w:val="en-GB"/>
        </w:rPr>
        <w:t xml:space="preserve"> a multiple regression model to forecast the cargo throughput of the Port of Hong Kong. In their article they first analyse which factors are relevant to the development of cargo throughput and then create their regression based on this knowledge. Their model consists of 43 equations based on 11 independent and 27 dependant variables. Especially the regressions related to the overall movement of goods are successful resulting in significant T statistics for all the variables at a 5% significance level. The regressions dealing with only inward or outward cargo flows for specific goods are slightly less successful with the outward cargo flow regressions performing the worst.</w:t>
      </w:r>
    </w:p>
    <w:p w:rsidR="00A842B6" w:rsidRPr="00981F21" w:rsidRDefault="00A842B6" w:rsidP="00A842B6">
      <w:pPr>
        <w:spacing w:line="360" w:lineRule="auto"/>
        <w:jc w:val="both"/>
        <w:rPr>
          <w:lang w:val="en-GB"/>
        </w:rPr>
      </w:pPr>
      <w:r w:rsidRPr="00981F21">
        <w:rPr>
          <w:lang w:val="en-GB"/>
        </w:rPr>
        <w:t xml:space="preserve">In their article </w:t>
      </w:r>
      <w:proofErr w:type="spellStart"/>
      <w:r w:rsidRPr="00981F21">
        <w:rPr>
          <w:lang w:val="en-GB"/>
        </w:rPr>
        <w:t>Peng</w:t>
      </w:r>
      <w:proofErr w:type="spellEnd"/>
      <w:r w:rsidRPr="00981F21">
        <w:rPr>
          <w:lang w:val="en-GB"/>
        </w:rPr>
        <w:t xml:space="preserve"> &amp; Chu </w:t>
      </w:r>
      <w:sdt>
        <w:sdtPr>
          <w:rPr>
            <w:lang w:val="en-GB"/>
          </w:rPr>
          <w:id w:val="-913308153"/>
          <w:citation/>
        </w:sdtPr>
        <w:sdtContent>
          <w:r w:rsidR="00FD0314" w:rsidRPr="00981F21">
            <w:rPr>
              <w:lang w:val="en-GB"/>
            </w:rPr>
            <w:fldChar w:fldCharType="begin"/>
          </w:r>
          <w:r w:rsidRPr="00981F21">
            <w:rPr>
              <w:lang w:val="en-GB"/>
            </w:rPr>
            <w:instrText xml:space="preserve">CITATION Pen09 \n  \t  \l 1033 </w:instrText>
          </w:r>
          <w:r w:rsidR="00FD0314" w:rsidRPr="00981F21">
            <w:rPr>
              <w:lang w:val="en-GB"/>
            </w:rPr>
            <w:fldChar w:fldCharType="separate"/>
          </w:r>
          <w:r w:rsidR="006A4AA8" w:rsidRPr="006A4AA8">
            <w:rPr>
              <w:noProof/>
              <w:lang w:val="en-GB"/>
            </w:rPr>
            <w:t>(2009)</w:t>
          </w:r>
          <w:r w:rsidR="00FD0314" w:rsidRPr="00981F21">
            <w:rPr>
              <w:lang w:val="en-GB"/>
            </w:rPr>
            <w:fldChar w:fldCharType="end"/>
          </w:r>
        </w:sdtContent>
      </w:sdt>
      <w:r w:rsidRPr="00981F21">
        <w:rPr>
          <w:lang w:val="en-GB"/>
        </w:rPr>
        <w:t xml:space="preserve"> evaluate and compare 6 </w:t>
      </w:r>
      <w:proofErr w:type="spellStart"/>
      <w:r w:rsidRPr="00981F21">
        <w:rPr>
          <w:lang w:val="en-GB"/>
        </w:rPr>
        <w:t>univariate</w:t>
      </w:r>
      <w:proofErr w:type="spellEnd"/>
      <w:r w:rsidRPr="00981F21">
        <w:rPr>
          <w:rStyle w:val="FootnoteReference"/>
          <w:lang w:val="en-GB"/>
        </w:rPr>
        <w:footnoteReference w:id="1"/>
      </w:r>
      <w:r w:rsidRPr="00981F21">
        <w:rPr>
          <w:lang w:val="en-GB"/>
        </w:rPr>
        <w:t xml:space="preserve"> models for making short term forecasts with seasonal variations. They test the classical decomposition, trigonometric regression, regression with seasonal dummy variables, grey forecast, hybrid grey and seasonal autoregressive integrated moving-average (SARIMA) models with monthly data from three major Taiwan ports. By comparing the predicted data with historical data they conclude that the relatively simple classical decomposition model provides the most accurate short term forecasts.</w:t>
      </w:r>
    </w:p>
    <w:p w:rsidR="00A842B6" w:rsidRPr="00981F21" w:rsidRDefault="0084442B" w:rsidP="00981F21">
      <w:pPr>
        <w:pStyle w:val="Heading2"/>
        <w:jc w:val="left"/>
        <w:rPr>
          <w:lang w:val="en-GB"/>
        </w:rPr>
      </w:pPr>
      <w:bookmarkStart w:id="8" w:name="_Toc363737822"/>
      <w:r w:rsidRPr="00981F21">
        <w:rPr>
          <w:lang w:val="en-GB"/>
        </w:rPr>
        <w:t xml:space="preserve">2.3 Entry barriers and </w:t>
      </w:r>
      <w:r w:rsidR="00981F21" w:rsidRPr="00981F21">
        <w:rPr>
          <w:lang w:val="en-GB"/>
        </w:rPr>
        <w:t>intra port competition</w:t>
      </w:r>
      <w:bookmarkEnd w:id="8"/>
    </w:p>
    <w:p w:rsidR="00981F21" w:rsidRPr="00981F21" w:rsidRDefault="00981F21" w:rsidP="00981F21">
      <w:pPr>
        <w:spacing w:line="360" w:lineRule="auto"/>
        <w:jc w:val="both"/>
        <w:rPr>
          <w:lang w:val="en-GB"/>
        </w:rPr>
      </w:pPr>
      <w:r w:rsidRPr="00981F21">
        <w:rPr>
          <w:lang w:val="en-GB"/>
        </w:rPr>
        <w:t xml:space="preserve">In their article De </w:t>
      </w:r>
      <w:proofErr w:type="spellStart"/>
      <w:r w:rsidRPr="00981F21">
        <w:rPr>
          <w:lang w:val="en-GB"/>
        </w:rPr>
        <w:t>Langen</w:t>
      </w:r>
      <w:proofErr w:type="spellEnd"/>
      <w:r w:rsidRPr="00981F21">
        <w:rPr>
          <w:lang w:val="en-GB"/>
        </w:rPr>
        <w:t xml:space="preserve"> &amp; </w:t>
      </w:r>
      <w:proofErr w:type="spellStart"/>
      <w:r w:rsidRPr="00981F21">
        <w:rPr>
          <w:lang w:val="en-GB"/>
        </w:rPr>
        <w:t>Pallis</w:t>
      </w:r>
      <w:proofErr w:type="spellEnd"/>
      <w:sdt>
        <w:sdtPr>
          <w:rPr>
            <w:lang w:val="en-GB"/>
          </w:rPr>
          <w:id w:val="610629976"/>
          <w:citation/>
        </w:sdtPr>
        <w:sdtContent>
          <w:r w:rsidR="00FD0314" w:rsidRPr="00981F21">
            <w:rPr>
              <w:lang w:val="en-GB"/>
            </w:rPr>
            <w:fldChar w:fldCharType="begin"/>
          </w:r>
          <w:r w:rsidRPr="00981F21">
            <w:rPr>
              <w:lang w:val="en-GB"/>
            </w:rPr>
            <w:instrText xml:space="preserve">CITATION DeL07 \n  \t  \l 1033 </w:instrText>
          </w:r>
          <w:r w:rsidR="00FD0314" w:rsidRPr="00981F21">
            <w:rPr>
              <w:lang w:val="en-GB"/>
            </w:rPr>
            <w:fldChar w:fldCharType="separate"/>
          </w:r>
          <w:r w:rsidR="006A4AA8">
            <w:rPr>
              <w:noProof/>
              <w:lang w:val="en-GB"/>
            </w:rPr>
            <w:t xml:space="preserve"> </w:t>
          </w:r>
          <w:r w:rsidR="006A4AA8" w:rsidRPr="006A4AA8">
            <w:rPr>
              <w:noProof/>
              <w:lang w:val="en-GB"/>
            </w:rPr>
            <w:t>(2007)</w:t>
          </w:r>
          <w:r w:rsidR="00FD0314" w:rsidRPr="00981F21">
            <w:rPr>
              <w:lang w:val="en-GB"/>
            </w:rPr>
            <w:fldChar w:fldCharType="end"/>
          </w:r>
        </w:sdtContent>
      </w:sdt>
      <w:r w:rsidRPr="00981F21">
        <w:rPr>
          <w:lang w:val="en-GB"/>
        </w:rPr>
        <w:t xml:space="preserve"> discuss entry barriers in ports and their significance. They distinguish between economic, regulatory or institutional and locational (geographic) entry barriers. Locational or geographic entry barriers are relevant to the Port of Rotterdam since, for a long time, there was no land available for large scale expansion of the container sector. In their conclusion they advocate an active policy, by port authorities, to diminish entry barriers.</w:t>
      </w:r>
    </w:p>
    <w:p w:rsidR="00981F21" w:rsidRPr="00981F21" w:rsidRDefault="00981F21" w:rsidP="00981F21">
      <w:pPr>
        <w:spacing w:line="360" w:lineRule="auto"/>
        <w:jc w:val="both"/>
        <w:rPr>
          <w:lang w:val="en-GB"/>
        </w:rPr>
      </w:pPr>
      <w:r w:rsidRPr="00981F21">
        <w:rPr>
          <w:lang w:val="en-GB"/>
        </w:rPr>
        <w:lastRenderedPageBreak/>
        <w:t xml:space="preserve">The absence of entry barriers is important for healthy intra port competition. In another article De </w:t>
      </w:r>
      <w:proofErr w:type="spellStart"/>
      <w:r w:rsidRPr="00981F21">
        <w:rPr>
          <w:lang w:val="en-GB"/>
        </w:rPr>
        <w:t>Langen</w:t>
      </w:r>
      <w:proofErr w:type="spellEnd"/>
      <w:r w:rsidRPr="00981F21">
        <w:rPr>
          <w:lang w:val="en-GB"/>
        </w:rPr>
        <w:t xml:space="preserve"> &amp; </w:t>
      </w:r>
      <w:proofErr w:type="spellStart"/>
      <w:r w:rsidRPr="00981F21">
        <w:rPr>
          <w:lang w:val="en-GB"/>
        </w:rPr>
        <w:t>Pallis</w:t>
      </w:r>
      <w:proofErr w:type="spellEnd"/>
      <w:r w:rsidRPr="00981F21">
        <w:rPr>
          <w:lang w:val="en-GB"/>
        </w:rPr>
        <w:t xml:space="preserve"> </w:t>
      </w:r>
      <w:sdt>
        <w:sdtPr>
          <w:rPr>
            <w:lang w:val="en-GB"/>
          </w:rPr>
          <w:id w:val="1667361465"/>
          <w:citation/>
        </w:sdtPr>
        <w:sdtContent>
          <w:r w:rsidR="00FD0314" w:rsidRPr="00981F21">
            <w:rPr>
              <w:lang w:val="en-GB"/>
            </w:rPr>
            <w:fldChar w:fldCharType="begin"/>
          </w:r>
          <w:r w:rsidRPr="00981F21">
            <w:rPr>
              <w:lang w:val="en-GB"/>
            </w:rPr>
            <w:instrText xml:space="preserve">CITATION DeL06 \n  \t  \l 1033 </w:instrText>
          </w:r>
          <w:r w:rsidR="00FD0314" w:rsidRPr="00981F21">
            <w:rPr>
              <w:lang w:val="en-GB"/>
            </w:rPr>
            <w:fldChar w:fldCharType="separate"/>
          </w:r>
          <w:r w:rsidR="006A4AA8" w:rsidRPr="006A4AA8">
            <w:rPr>
              <w:noProof/>
              <w:lang w:val="en-GB"/>
            </w:rPr>
            <w:t>(2006)</w:t>
          </w:r>
          <w:r w:rsidR="00FD0314" w:rsidRPr="00981F21">
            <w:rPr>
              <w:lang w:val="en-GB"/>
            </w:rPr>
            <w:fldChar w:fldCharType="end"/>
          </w:r>
        </w:sdtContent>
      </w:sdt>
      <w:r w:rsidRPr="00981F21">
        <w:rPr>
          <w:lang w:val="en-GB"/>
        </w:rPr>
        <w:t xml:space="preserve"> describe the positive effects of, the potential barriers against and the strategies to improve intra port completion. According to </w:t>
      </w:r>
      <w:proofErr w:type="spellStart"/>
      <w:r w:rsidRPr="00981F21">
        <w:rPr>
          <w:lang w:val="en-GB"/>
        </w:rPr>
        <w:t>Baptista</w:t>
      </w:r>
      <w:proofErr w:type="spellEnd"/>
      <w:sdt>
        <w:sdtPr>
          <w:rPr>
            <w:lang w:val="en-GB"/>
          </w:rPr>
          <w:id w:val="-502354880"/>
          <w:citation/>
        </w:sdtPr>
        <w:sdtContent>
          <w:r w:rsidR="00FD0314" w:rsidRPr="00981F21">
            <w:rPr>
              <w:lang w:val="en-GB"/>
            </w:rPr>
            <w:fldChar w:fldCharType="begin"/>
          </w:r>
          <w:r w:rsidRPr="00981F21">
            <w:rPr>
              <w:lang w:val="en-GB"/>
            </w:rPr>
            <w:instrText xml:space="preserve">CITATION Bap00 \n  \t  \l 1033 </w:instrText>
          </w:r>
          <w:r w:rsidR="00FD0314" w:rsidRPr="00981F21">
            <w:rPr>
              <w:lang w:val="en-GB"/>
            </w:rPr>
            <w:fldChar w:fldCharType="separate"/>
          </w:r>
          <w:r w:rsidR="006A4AA8">
            <w:rPr>
              <w:noProof/>
              <w:lang w:val="en-GB"/>
            </w:rPr>
            <w:t xml:space="preserve"> </w:t>
          </w:r>
          <w:r w:rsidR="006A4AA8" w:rsidRPr="006A4AA8">
            <w:rPr>
              <w:noProof/>
              <w:lang w:val="en-GB"/>
            </w:rPr>
            <w:t>(2000)</w:t>
          </w:r>
          <w:r w:rsidR="00FD0314" w:rsidRPr="00981F21">
            <w:rPr>
              <w:lang w:val="en-GB"/>
            </w:rPr>
            <w:fldChar w:fldCharType="end"/>
          </w:r>
        </w:sdtContent>
      </w:sdt>
      <w:r w:rsidRPr="00981F21">
        <w:rPr>
          <w:lang w:val="en-GB"/>
        </w:rPr>
        <w:t xml:space="preserve"> intra port competition fosters specialisation, innovation and diversity in a port.</w:t>
      </w:r>
    </w:p>
    <w:p w:rsidR="00981F21" w:rsidRPr="00981F21" w:rsidRDefault="00981F21" w:rsidP="00981F21">
      <w:pPr>
        <w:pStyle w:val="Heading1"/>
        <w:rPr>
          <w:lang w:val="en-GB"/>
        </w:rPr>
      </w:pPr>
      <w:bookmarkStart w:id="9" w:name="_Toc363737823"/>
      <w:r w:rsidRPr="00981F21">
        <w:rPr>
          <w:lang w:val="en-GB"/>
        </w:rPr>
        <w:t xml:space="preserve">Chapter 3; </w:t>
      </w:r>
      <w:r w:rsidR="00531D65">
        <w:rPr>
          <w:lang w:val="en-GB"/>
        </w:rPr>
        <w:t>D</w:t>
      </w:r>
      <w:r w:rsidRPr="00981F21">
        <w:rPr>
          <w:lang w:val="en-GB"/>
        </w:rPr>
        <w:t>ata and background</w:t>
      </w:r>
      <w:bookmarkEnd w:id="9"/>
    </w:p>
    <w:p w:rsidR="00981F21" w:rsidRPr="00981F21" w:rsidRDefault="00981F21" w:rsidP="00981F21">
      <w:pPr>
        <w:pStyle w:val="Heading2"/>
        <w:rPr>
          <w:lang w:val="en-GB"/>
        </w:rPr>
      </w:pPr>
      <w:bookmarkStart w:id="10" w:name="_Toc363737824"/>
      <w:r w:rsidRPr="00981F21">
        <w:rPr>
          <w:lang w:val="en-GB"/>
        </w:rPr>
        <w:t>3.1 Research framework</w:t>
      </w:r>
      <w:bookmarkEnd w:id="10"/>
    </w:p>
    <w:p w:rsidR="00981F21" w:rsidRPr="00981F21" w:rsidRDefault="00981F21" w:rsidP="00981F21">
      <w:pPr>
        <w:spacing w:line="360" w:lineRule="auto"/>
        <w:jc w:val="both"/>
        <w:rPr>
          <w:lang w:val="en-GB"/>
        </w:rPr>
      </w:pPr>
      <w:r w:rsidRPr="00981F21">
        <w:rPr>
          <w:lang w:val="en-GB"/>
        </w:rPr>
        <w:t>This part of the thesis will analyse the studies that were used as a base for the predictions made in the cost benefit analysis. By breaking down the analysis into answering multiple sub questions a clear and comparable image will be formed. These questions will be, where possible, answered for each of the sectors.</w:t>
      </w:r>
    </w:p>
    <w:p w:rsidR="00981F21" w:rsidRPr="00981F21" w:rsidRDefault="00981F21" w:rsidP="00981F21">
      <w:pPr>
        <w:spacing w:line="360" w:lineRule="auto"/>
        <w:rPr>
          <w:lang w:val="en-GB"/>
        </w:rPr>
      </w:pPr>
      <w:r w:rsidRPr="00981F21">
        <w:rPr>
          <w:lang w:val="en-GB"/>
        </w:rPr>
        <w:t xml:space="preserve">Who conducted the study? </w:t>
      </w:r>
      <w:r w:rsidRPr="00981F21">
        <w:rPr>
          <w:lang w:val="en-GB"/>
        </w:rPr>
        <w:br/>
        <w:t>I will look at the person or institute that conducted the study and his, her or its scientific credibility, related previous work and expertise in the relevant field.</w:t>
      </w:r>
    </w:p>
    <w:p w:rsidR="00981F21" w:rsidRPr="00981F21" w:rsidRDefault="00981F21" w:rsidP="00981F21">
      <w:pPr>
        <w:spacing w:line="360" w:lineRule="auto"/>
        <w:rPr>
          <w:lang w:val="en-GB"/>
        </w:rPr>
      </w:pPr>
      <w:r w:rsidRPr="00981F21">
        <w:rPr>
          <w:lang w:val="en-GB"/>
        </w:rPr>
        <w:t>What was being researched?</w:t>
      </w:r>
      <w:r w:rsidRPr="00981F21">
        <w:rPr>
          <w:lang w:val="en-GB"/>
        </w:rPr>
        <w:br/>
        <w:t>This section will provide a breakdown of the goal of the study and the extent to which this goal is in line with the way it was used in the cost benefit analysis.</w:t>
      </w:r>
    </w:p>
    <w:p w:rsidR="00981F21" w:rsidRPr="00981F21" w:rsidRDefault="00981F21" w:rsidP="00981F21">
      <w:pPr>
        <w:spacing w:line="360" w:lineRule="auto"/>
        <w:rPr>
          <w:lang w:val="en-GB"/>
        </w:rPr>
      </w:pPr>
      <w:r w:rsidRPr="00981F21">
        <w:rPr>
          <w:lang w:val="en-GB"/>
        </w:rPr>
        <w:t>Which conditions was the study based on?</w:t>
      </w:r>
      <w:r w:rsidRPr="00981F21">
        <w:rPr>
          <w:lang w:val="en-GB"/>
        </w:rPr>
        <w:br/>
        <w:t>Here any relevant or unusual premises that the study was based on will be presented.</w:t>
      </w:r>
    </w:p>
    <w:p w:rsidR="00981F21" w:rsidRPr="00981F21" w:rsidRDefault="00981F21" w:rsidP="00981F21">
      <w:pPr>
        <w:spacing w:line="360" w:lineRule="auto"/>
        <w:rPr>
          <w:lang w:val="en-GB"/>
        </w:rPr>
      </w:pPr>
      <w:r w:rsidRPr="00981F21">
        <w:rPr>
          <w:lang w:val="en-GB"/>
        </w:rPr>
        <w:t>Which methods were being used?</w:t>
      </w:r>
      <w:r w:rsidRPr="00981F21">
        <w:rPr>
          <w:lang w:val="en-GB"/>
        </w:rPr>
        <w:br/>
        <w:t>This part will outline the methodology of the studies.</w:t>
      </w:r>
    </w:p>
    <w:p w:rsidR="00981F21" w:rsidRPr="00981F21" w:rsidRDefault="00981F21" w:rsidP="00981F21">
      <w:pPr>
        <w:spacing w:line="360" w:lineRule="auto"/>
        <w:rPr>
          <w:lang w:val="en-GB"/>
        </w:rPr>
      </w:pPr>
      <w:r w:rsidRPr="00981F21">
        <w:rPr>
          <w:lang w:val="en-GB"/>
        </w:rPr>
        <w:t>What were the results?</w:t>
      </w:r>
      <w:r w:rsidRPr="00981F21">
        <w:rPr>
          <w:lang w:val="en-GB"/>
        </w:rPr>
        <w:br/>
        <w:t>In this section a summary of the results will be presented.</w:t>
      </w:r>
    </w:p>
    <w:p w:rsidR="00981F21" w:rsidRPr="00981F21" w:rsidRDefault="00981F21" w:rsidP="00981F21">
      <w:pPr>
        <w:spacing w:line="360" w:lineRule="auto"/>
        <w:rPr>
          <w:lang w:val="en-GB"/>
        </w:rPr>
      </w:pPr>
      <w:r w:rsidRPr="00981F21">
        <w:rPr>
          <w:lang w:val="en-GB"/>
        </w:rPr>
        <w:t>(How) were the results transformed to fit the CBA?</w:t>
      </w:r>
      <w:r w:rsidRPr="00981F21">
        <w:rPr>
          <w:lang w:val="en-GB"/>
        </w:rPr>
        <w:br/>
        <w:t>This will be a brief examination whether the results were interpreted differently in the CBA than in the original study. When available, the reasoning behind this discrepancy will be given.</w:t>
      </w:r>
    </w:p>
    <w:p w:rsidR="00BA2DA9" w:rsidRDefault="00981F21" w:rsidP="00981F21">
      <w:pPr>
        <w:pStyle w:val="Heading2"/>
        <w:jc w:val="left"/>
        <w:rPr>
          <w:lang w:val="en-GB"/>
        </w:rPr>
      </w:pPr>
      <w:bookmarkStart w:id="11" w:name="_Toc363737825"/>
      <w:r>
        <w:rPr>
          <w:lang w:val="en-GB"/>
        </w:rPr>
        <w:t>3.2 Three scenarios</w:t>
      </w:r>
      <w:bookmarkEnd w:id="11"/>
    </w:p>
    <w:p w:rsidR="00981F21" w:rsidRPr="0035337B" w:rsidRDefault="00981F21" w:rsidP="00981F21">
      <w:pPr>
        <w:spacing w:line="360" w:lineRule="auto"/>
        <w:jc w:val="both"/>
        <w:rPr>
          <w:lang w:val="en-GB"/>
        </w:rPr>
      </w:pPr>
      <w:r w:rsidRPr="0035337B">
        <w:rPr>
          <w:lang w:val="en-GB"/>
        </w:rPr>
        <w:t xml:space="preserve">The Netherlands Bureau for Economic Policy Analysis, henceforth CPB, is a mostly governmentally financed economic policy research institute that was founded in 1945. Its main purpose is to provide scientifically based knowledge and insights that can be used by the </w:t>
      </w:r>
      <w:r w:rsidRPr="0035337B">
        <w:rPr>
          <w:lang w:val="en-GB"/>
        </w:rPr>
        <w:lastRenderedPageBreak/>
        <w:t xml:space="preserve">government to assess public or economic policy. It publishes, among many others, four yearly documents that contain economic and social estimates on various scales. Another recurring publication, which is made roughly twice per decade, provides a multiple scenario based set of predictions for social and economic indicators and variables. The 1996 long term scenarios document </w:t>
      </w:r>
      <w:sdt>
        <w:sdtPr>
          <w:rPr>
            <w:lang w:val="en-GB"/>
          </w:rPr>
          <w:id w:val="-893348919"/>
          <w:citation/>
        </w:sdtPr>
        <w:sdtContent>
          <w:r w:rsidR="00FD0314" w:rsidRPr="0035337B">
            <w:rPr>
              <w:lang w:val="en-GB"/>
            </w:rPr>
            <w:fldChar w:fldCharType="begin"/>
          </w:r>
          <w:r w:rsidRPr="0035337B">
            <w:rPr>
              <w:lang w:val="en-GB"/>
            </w:rPr>
            <w:instrText xml:space="preserve"> CITATION Cen96 \l 1033 </w:instrText>
          </w:r>
          <w:r w:rsidR="00FD0314" w:rsidRPr="0035337B">
            <w:rPr>
              <w:lang w:val="en-GB"/>
            </w:rPr>
            <w:fldChar w:fldCharType="separate"/>
          </w:r>
          <w:r w:rsidR="006A4AA8" w:rsidRPr="006A4AA8">
            <w:rPr>
              <w:noProof/>
              <w:lang w:val="en-GB"/>
            </w:rPr>
            <w:t>(Centraal Planbureau, 1996)</w:t>
          </w:r>
          <w:r w:rsidR="00FD0314" w:rsidRPr="0035337B">
            <w:rPr>
              <w:lang w:val="en-GB"/>
            </w:rPr>
            <w:fldChar w:fldCharType="end"/>
          </w:r>
        </w:sdtContent>
      </w:sdt>
      <w:r w:rsidRPr="0035337B">
        <w:rPr>
          <w:lang w:val="en-GB"/>
        </w:rPr>
        <w:t xml:space="preserve"> is part of the foundation of the cost benefit analysis.</w:t>
      </w:r>
    </w:p>
    <w:p w:rsidR="00981F21" w:rsidRPr="0035337B" w:rsidRDefault="00981F21" w:rsidP="00981F21">
      <w:pPr>
        <w:spacing w:line="360" w:lineRule="auto"/>
        <w:jc w:val="both"/>
        <w:rPr>
          <w:lang w:val="en-GB"/>
        </w:rPr>
      </w:pPr>
      <w:r w:rsidRPr="0035337B">
        <w:rPr>
          <w:lang w:val="en-GB"/>
        </w:rPr>
        <w:t xml:space="preserve">For the 1996 document three distinct socioeconomic scenarios were developed. Ranking from best to worst case scenario they were called Global Competition, European Coordination and Divided Europe. The </w:t>
      </w:r>
      <w:proofErr w:type="gramStart"/>
      <w:r w:rsidRPr="0035337B">
        <w:rPr>
          <w:lang w:val="en-GB"/>
        </w:rPr>
        <w:t>meta</w:t>
      </w:r>
      <w:proofErr w:type="gramEnd"/>
      <w:r w:rsidRPr="0035337B">
        <w:rPr>
          <w:lang w:val="en-GB"/>
        </w:rPr>
        <w:t xml:space="preserve"> characteristics per scenario are discussed briefly below.</w:t>
      </w:r>
    </w:p>
    <w:p w:rsidR="00981F21" w:rsidRPr="0035337B" w:rsidRDefault="00981F21" w:rsidP="00981F21">
      <w:pPr>
        <w:spacing w:line="360" w:lineRule="auto"/>
        <w:jc w:val="both"/>
        <w:rPr>
          <w:lang w:val="en-GB"/>
        </w:rPr>
      </w:pPr>
      <w:r w:rsidRPr="0035337B">
        <w:rPr>
          <w:lang w:val="en-GB"/>
        </w:rPr>
        <w:t>Global Competition, henceforth GC, sketches a situation with intensive European as well as global competition. It is also marked by high international transferability of knowledge and an internal focus on knowledge and education. Because of the strong emphasis on a knowledge economy the tertiary sector grows faster than the industrial sector.</w:t>
      </w:r>
    </w:p>
    <w:p w:rsidR="00981F21" w:rsidRPr="0035337B" w:rsidRDefault="00981F21" w:rsidP="00981F21">
      <w:pPr>
        <w:spacing w:line="360" w:lineRule="auto"/>
        <w:jc w:val="both"/>
        <w:rPr>
          <w:lang w:val="en-GB"/>
        </w:rPr>
      </w:pPr>
      <w:r w:rsidRPr="0035337B">
        <w:rPr>
          <w:lang w:val="en-GB"/>
        </w:rPr>
        <w:t>European Coordination, henceforth EC, considers an increasing European integration while the world becomes more and more divided in large economic blocks. Less emphasis on global specialisation and knowledge transference result in a lower GDP growth than in the GC scenario. The manufacturing sector is expected to grow more rapidly than in the last 20 years while the tertiary sector will not grow as fast.</w:t>
      </w:r>
    </w:p>
    <w:p w:rsidR="00981F21" w:rsidRPr="0035337B" w:rsidRDefault="00981F21" w:rsidP="00981F21">
      <w:pPr>
        <w:spacing w:line="360" w:lineRule="auto"/>
        <w:jc w:val="both"/>
        <w:rPr>
          <w:lang w:val="en-GB"/>
        </w:rPr>
      </w:pPr>
      <w:r w:rsidRPr="0035337B">
        <w:rPr>
          <w:lang w:val="en-GB"/>
        </w:rPr>
        <w:t>In Divided Europe, henceforth DE, a failing European market as well as failing political integration damages its global competitive position. With an enduring high unemployment this scenario predicts the smallest GDP growth for The Netherlands.</w:t>
      </w:r>
    </w:p>
    <w:p w:rsidR="00981F21" w:rsidRDefault="00981F21" w:rsidP="00981F21">
      <w:pPr>
        <w:spacing w:line="360" w:lineRule="auto"/>
        <w:jc w:val="both"/>
        <w:rPr>
          <w:lang w:val="en-GB"/>
        </w:rPr>
      </w:pPr>
      <w:r w:rsidRPr="0035337B">
        <w:rPr>
          <w:lang w:val="en-GB"/>
        </w:rPr>
        <w:t>Table 3.1 shows the predicted GDP growth figures per scenario as well as the historic values. Over the period 1996-2010 and 2000-2010 the average GDP growths were respectively 2.25% and 2.90%. The other variables that were estimated in the long term scenarios document can be found on the CPB website</w:t>
      </w:r>
      <w:r w:rsidRPr="0035337B">
        <w:rPr>
          <w:rStyle w:val="FootnoteReference"/>
          <w:lang w:val="en-GB"/>
        </w:rPr>
        <w:footnoteReference w:id="2"/>
      </w:r>
      <w:r w:rsidRPr="0035337B">
        <w:rPr>
          <w:lang w:val="en-GB"/>
        </w:rPr>
        <w:t xml:space="preserve">. </w:t>
      </w:r>
    </w:p>
    <w:tbl>
      <w:tblPr>
        <w:tblStyle w:val="ColorfulList"/>
        <w:tblW w:w="9378" w:type="dxa"/>
        <w:tblLayout w:type="fixed"/>
        <w:tblLook w:val="04A0"/>
      </w:tblPr>
      <w:tblGrid>
        <w:gridCol w:w="1875"/>
        <w:gridCol w:w="1876"/>
        <w:gridCol w:w="1875"/>
        <w:gridCol w:w="1876"/>
        <w:gridCol w:w="1876"/>
      </w:tblGrid>
      <w:tr w:rsidR="00AE45DB" w:rsidRPr="0035337B" w:rsidTr="00AE45DB">
        <w:trPr>
          <w:cnfStyle w:val="100000000000"/>
          <w:trHeight w:val="116"/>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Table 3.1</w:t>
            </w:r>
          </w:p>
        </w:tc>
        <w:tc>
          <w:tcPr>
            <w:tcW w:w="1876" w:type="dxa"/>
            <w:noWrap/>
            <w:hideMark/>
          </w:tcPr>
          <w:p w:rsidR="00AE45DB" w:rsidRPr="0035337B" w:rsidRDefault="00AE45DB" w:rsidP="001C1FCC">
            <w:pPr>
              <w:spacing w:line="360" w:lineRule="auto"/>
              <w:jc w:val="both"/>
              <w:cnfStyle w:val="100000000000"/>
              <w:rPr>
                <w:sz w:val="18"/>
                <w:szCs w:val="18"/>
                <w:lang w:val="en-GB"/>
              </w:rPr>
            </w:pPr>
            <w:r w:rsidRPr="0035337B">
              <w:rPr>
                <w:sz w:val="18"/>
                <w:szCs w:val="18"/>
                <w:lang w:val="en-GB"/>
              </w:rPr>
              <w:t>GC</w:t>
            </w:r>
          </w:p>
        </w:tc>
        <w:tc>
          <w:tcPr>
            <w:tcW w:w="1875" w:type="dxa"/>
            <w:noWrap/>
            <w:hideMark/>
          </w:tcPr>
          <w:p w:rsidR="00AE45DB" w:rsidRPr="0035337B" w:rsidRDefault="00AE45DB" w:rsidP="001C1FCC">
            <w:pPr>
              <w:spacing w:line="360" w:lineRule="auto"/>
              <w:jc w:val="both"/>
              <w:cnfStyle w:val="100000000000"/>
              <w:rPr>
                <w:sz w:val="18"/>
                <w:szCs w:val="18"/>
                <w:lang w:val="en-GB"/>
              </w:rPr>
            </w:pPr>
            <w:r w:rsidRPr="0035337B">
              <w:rPr>
                <w:sz w:val="18"/>
                <w:szCs w:val="18"/>
                <w:lang w:val="en-GB"/>
              </w:rPr>
              <w:t>EC</w:t>
            </w:r>
          </w:p>
        </w:tc>
        <w:tc>
          <w:tcPr>
            <w:tcW w:w="1876" w:type="dxa"/>
            <w:noWrap/>
            <w:hideMark/>
          </w:tcPr>
          <w:p w:rsidR="00AE45DB" w:rsidRPr="0035337B" w:rsidRDefault="00AE45DB" w:rsidP="001C1FCC">
            <w:pPr>
              <w:spacing w:line="360" w:lineRule="auto"/>
              <w:jc w:val="both"/>
              <w:cnfStyle w:val="100000000000"/>
              <w:rPr>
                <w:sz w:val="18"/>
                <w:szCs w:val="18"/>
                <w:lang w:val="en-GB"/>
              </w:rPr>
            </w:pPr>
            <w:r w:rsidRPr="0035337B">
              <w:rPr>
                <w:sz w:val="18"/>
                <w:szCs w:val="18"/>
                <w:lang w:val="en-GB"/>
              </w:rPr>
              <w:t>DE</w:t>
            </w:r>
          </w:p>
        </w:tc>
        <w:tc>
          <w:tcPr>
            <w:tcW w:w="1876" w:type="dxa"/>
            <w:noWrap/>
            <w:hideMark/>
          </w:tcPr>
          <w:p w:rsidR="00AE45DB" w:rsidRPr="0035337B" w:rsidRDefault="00AE45DB" w:rsidP="001C1FCC">
            <w:pPr>
              <w:spacing w:line="360" w:lineRule="auto"/>
              <w:jc w:val="both"/>
              <w:cnfStyle w:val="100000000000"/>
              <w:rPr>
                <w:sz w:val="18"/>
                <w:szCs w:val="18"/>
                <w:lang w:val="en-GB"/>
              </w:rPr>
            </w:pPr>
            <w:r w:rsidRPr="0035337B">
              <w:rPr>
                <w:sz w:val="18"/>
                <w:szCs w:val="18"/>
                <w:lang w:val="en-GB"/>
              </w:rPr>
              <w:t>Historic*</w:t>
            </w:r>
          </w:p>
        </w:tc>
      </w:tr>
      <w:tr w:rsidR="00AE45DB" w:rsidRPr="0035337B" w:rsidTr="00AE45DB">
        <w:trPr>
          <w:cnfStyle w:val="000000100000"/>
          <w:trHeight w:val="170"/>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1996</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3.40%</w:t>
            </w:r>
          </w:p>
        </w:tc>
      </w:tr>
      <w:tr w:rsidR="00AE45DB" w:rsidRPr="0035337B" w:rsidTr="00AE45DB">
        <w:trPr>
          <w:trHeight w:val="125"/>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1997</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4.30%</w:t>
            </w:r>
          </w:p>
        </w:tc>
      </w:tr>
      <w:tr w:rsidR="00AE45DB" w:rsidRPr="0035337B" w:rsidTr="00AE45DB">
        <w:trPr>
          <w:cnfStyle w:val="000000100000"/>
          <w:trHeight w:val="170"/>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1998</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3.90%</w:t>
            </w:r>
          </w:p>
        </w:tc>
      </w:tr>
      <w:tr w:rsidR="00AE45DB" w:rsidRPr="0035337B" w:rsidTr="00AE45DB">
        <w:trPr>
          <w:trHeight w:val="134"/>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1999</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4.70%</w:t>
            </w:r>
          </w:p>
        </w:tc>
      </w:tr>
      <w:tr w:rsidR="00AE45DB" w:rsidRPr="0035337B" w:rsidTr="00AE45DB">
        <w:trPr>
          <w:cnfStyle w:val="000000100000"/>
          <w:trHeight w:val="89"/>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3.90%</w:t>
            </w:r>
          </w:p>
        </w:tc>
      </w:tr>
      <w:tr w:rsidR="00AE45DB" w:rsidRPr="0035337B" w:rsidTr="00AE45DB">
        <w:trPr>
          <w:trHeight w:val="62"/>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2001</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1.90%</w:t>
            </w:r>
          </w:p>
        </w:tc>
      </w:tr>
      <w:tr w:rsidR="00AE45DB" w:rsidRPr="0035337B" w:rsidTr="00AE45DB">
        <w:trPr>
          <w:cnfStyle w:val="000000100000"/>
          <w:trHeight w:val="116"/>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2002</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0.10%</w:t>
            </w:r>
          </w:p>
        </w:tc>
      </w:tr>
      <w:tr w:rsidR="00AE45DB" w:rsidRPr="0035337B" w:rsidTr="00AE45DB">
        <w:trPr>
          <w:trHeight w:val="56"/>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2003</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0.30%</w:t>
            </w:r>
          </w:p>
        </w:tc>
      </w:tr>
      <w:tr w:rsidR="00AE45DB" w:rsidRPr="0035337B" w:rsidTr="00AE45DB">
        <w:trPr>
          <w:cnfStyle w:val="000000100000"/>
          <w:trHeight w:val="116"/>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lastRenderedPageBreak/>
              <w:t>2004</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2.20%</w:t>
            </w:r>
          </w:p>
        </w:tc>
      </w:tr>
      <w:tr w:rsidR="00AE45DB" w:rsidRPr="0035337B" w:rsidTr="00AE45DB">
        <w:trPr>
          <w:trHeight w:val="80"/>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2005</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2.00%</w:t>
            </w:r>
          </w:p>
        </w:tc>
      </w:tr>
      <w:tr w:rsidR="00AE45DB" w:rsidRPr="0035337B" w:rsidTr="00AE45DB">
        <w:trPr>
          <w:cnfStyle w:val="000000100000"/>
          <w:trHeight w:val="125"/>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2006</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3.40%</w:t>
            </w:r>
          </w:p>
        </w:tc>
      </w:tr>
      <w:tr w:rsidR="00AE45DB" w:rsidRPr="0035337B" w:rsidTr="00AE45DB">
        <w:trPr>
          <w:trHeight w:val="89"/>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2007</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3.90%</w:t>
            </w:r>
          </w:p>
        </w:tc>
      </w:tr>
      <w:tr w:rsidR="00AE45DB" w:rsidRPr="0035337B" w:rsidTr="00AE45DB">
        <w:trPr>
          <w:cnfStyle w:val="000000100000"/>
          <w:trHeight w:val="134"/>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2008</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1.80%</w:t>
            </w:r>
          </w:p>
        </w:tc>
      </w:tr>
      <w:tr w:rsidR="00AE45DB" w:rsidRPr="0035337B" w:rsidTr="00AE45DB">
        <w:trPr>
          <w:trHeight w:val="188"/>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2009</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-3.70%</w:t>
            </w:r>
          </w:p>
        </w:tc>
      </w:tr>
      <w:tr w:rsidR="00AE45DB" w:rsidRPr="0035337B" w:rsidTr="00AE45DB">
        <w:trPr>
          <w:cnfStyle w:val="000000100000"/>
          <w:trHeight w:val="56"/>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2.80%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1.70%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1.60%</w:t>
            </w:r>
          </w:p>
        </w:tc>
      </w:tr>
      <w:tr w:rsidR="00AE45DB" w:rsidRPr="0035337B" w:rsidTr="00AE45DB">
        <w:trPr>
          <w:trHeight w:val="80"/>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2011</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1.00%</w:t>
            </w:r>
          </w:p>
        </w:tc>
      </w:tr>
      <w:tr w:rsidR="00AE45DB" w:rsidRPr="0035337B" w:rsidTr="00AE45DB">
        <w:trPr>
          <w:cnfStyle w:val="000000100000"/>
          <w:trHeight w:val="125"/>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2012</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100000"/>
              <w:rPr>
                <w:sz w:val="18"/>
                <w:szCs w:val="18"/>
                <w:lang w:val="en-GB"/>
              </w:rPr>
            </w:pPr>
          </w:p>
        </w:tc>
      </w:tr>
      <w:tr w:rsidR="00AE45DB" w:rsidRPr="0035337B" w:rsidTr="00AE45DB">
        <w:trPr>
          <w:trHeight w:val="89"/>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2013</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000000"/>
              <w:rPr>
                <w:sz w:val="18"/>
                <w:szCs w:val="18"/>
                <w:lang w:val="en-GB"/>
              </w:rPr>
            </w:pPr>
          </w:p>
        </w:tc>
      </w:tr>
      <w:tr w:rsidR="00AE45DB" w:rsidRPr="0035337B" w:rsidTr="00AE45DB">
        <w:trPr>
          <w:cnfStyle w:val="000000100000"/>
          <w:trHeight w:val="134"/>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2014</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100000"/>
              <w:rPr>
                <w:sz w:val="18"/>
                <w:szCs w:val="18"/>
                <w:lang w:val="en-GB"/>
              </w:rPr>
            </w:pPr>
          </w:p>
        </w:tc>
      </w:tr>
      <w:tr w:rsidR="00AE45DB" w:rsidRPr="0035337B" w:rsidTr="00AE45DB">
        <w:trPr>
          <w:trHeight w:val="188"/>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2015</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000000"/>
              <w:rPr>
                <w:sz w:val="18"/>
                <w:szCs w:val="18"/>
                <w:lang w:val="en-GB"/>
              </w:rPr>
            </w:pPr>
          </w:p>
        </w:tc>
      </w:tr>
      <w:tr w:rsidR="00AE45DB" w:rsidRPr="0035337B" w:rsidTr="00AE45DB">
        <w:trPr>
          <w:cnfStyle w:val="000000100000"/>
          <w:trHeight w:val="56"/>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2016</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100000"/>
              <w:rPr>
                <w:sz w:val="18"/>
                <w:szCs w:val="18"/>
                <w:lang w:val="en-GB"/>
              </w:rPr>
            </w:pPr>
          </w:p>
        </w:tc>
      </w:tr>
      <w:tr w:rsidR="00AE45DB" w:rsidRPr="0035337B" w:rsidTr="00AE45DB">
        <w:trPr>
          <w:trHeight w:val="56"/>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2017</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000000"/>
              <w:rPr>
                <w:sz w:val="18"/>
                <w:szCs w:val="18"/>
                <w:lang w:val="en-GB"/>
              </w:rPr>
            </w:pPr>
          </w:p>
        </w:tc>
      </w:tr>
      <w:tr w:rsidR="00AE45DB" w:rsidRPr="0035337B" w:rsidTr="00AE45DB">
        <w:trPr>
          <w:cnfStyle w:val="000000100000"/>
          <w:trHeight w:val="161"/>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2018</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100000"/>
              <w:rPr>
                <w:sz w:val="18"/>
                <w:szCs w:val="18"/>
                <w:lang w:val="en-GB"/>
              </w:rPr>
            </w:pPr>
          </w:p>
        </w:tc>
      </w:tr>
      <w:tr w:rsidR="00AE45DB" w:rsidRPr="0035337B" w:rsidTr="00AE45DB">
        <w:trPr>
          <w:trHeight w:val="170"/>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2019</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0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000000"/>
              <w:rPr>
                <w:sz w:val="18"/>
                <w:szCs w:val="18"/>
                <w:lang w:val="en-GB"/>
              </w:rPr>
            </w:pPr>
          </w:p>
        </w:tc>
      </w:tr>
      <w:tr w:rsidR="00AE45DB" w:rsidRPr="0035337B" w:rsidTr="00AE45DB">
        <w:trPr>
          <w:cnfStyle w:val="000000100000"/>
          <w:trHeight w:val="56"/>
        </w:trPr>
        <w:tc>
          <w:tcPr>
            <w:cnfStyle w:val="001000000000"/>
            <w:tcW w:w="1875" w:type="dxa"/>
            <w:noWrap/>
            <w:hideMark/>
          </w:tcPr>
          <w:p w:rsidR="00AE45DB" w:rsidRPr="0035337B" w:rsidRDefault="00AE45DB" w:rsidP="001C1FCC">
            <w:pPr>
              <w:spacing w:line="360" w:lineRule="auto"/>
              <w:jc w:val="both"/>
              <w:rPr>
                <w:sz w:val="18"/>
                <w:szCs w:val="18"/>
                <w:lang w:val="en-GB"/>
              </w:rPr>
            </w:pPr>
            <w:r w:rsidRPr="0035337B">
              <w:rPr>
                <w:sz w:val="18"/>
                <w:szCs w:val="18"/>
                <w:lang w:val="en-GB"/>
              </w:rPr>
              <w:t>2020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3.30%</w:t>
            </w:r>
          </w:p>
        </w:tc>
        <w:tc>
          <w:tcPr>
            <w:tcW w:w="1875"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2.50%</w:t>
            </w:r>
          </w:p>
        </w:tc>
        <w:tc>
          <w:tcPr>
            <w:tcW w:w="1876" w:type="dxa"/>
            <w:noWrap/>
            <w:hideMark/>
          </w:tcPr>
          <w:p w:rsidR="00AE45DB" w:rsidRPr="0035337B" w:rsidRDefault="00AE45DB" w:rsidP="001C1FCC">
            <w:pPr>
              <w:spacing w:line="360" w:lineRule="auto"/>
              <w:jc w:val="both"/>
              <w:cnfStyle w:val="000000100000"/>
              <w:rPr>
                <w:sz w:val="18"/>
                <w:szCs w:val="18"/>
                <w:lang w:val="en-GB"/>
              </w:rPr>
            </w:pPr>
            <w:r w:rsidRPr="0035337B">
              <w:rPr>
                <w:sz w:val="18"/>
                <w:szCs w:val="18"/>
                <w:lang w:val="en-GB"/>
              </w:rPr>
              <w:t>1.30%</w:t>
            </w:r>
          </w:p>
        </w:tc>
        <w:tc>
          <w:tcPr>
            <w:tcW w:w="1876" w:type="dxa"/>
            <w:noWrap/>
            <w:hideMark/>
          </w:tcPr>
          <w:p w:rsidR="00AE45DB" w:rsidRPr="0035337B" w:rsidRDefault="00AE45DB" w:rsidP="001C1FCC">
            <w:pPr>
              <w:spacing w:line="360" w:lineRule="auto"/>
              <w:jc w:val="both"/>
              <w:cnfStyle w:val="000000100000"/>
              <w:rPr>
                <w:sz w:val="18"/>
                <w:szCs w:val="18"/>
                <w:lang w:val="en-GB"/>
              </w:rPr>
            </w:pPr>
          </w:p>
        </w:tc>
      </w:tr>
    </w:tbl>
    <w:p w:rsidR="00AE45DB" w:rsidRDefault="00AE45DB" w:rsidP="00AE45DB">
      <w:pPr>
        <w:tabs>
          <w:tab w:val="left" w:pos="7037"/>
          <w:tab w:val="right" w:pos="9026"/>
        </w:tabs>
        <w:spacing w:line="360" w:lineRule="auto"/>
        <w:jc w:val="both"/>
        <w:rPr>
          <w:sz w:val="18"/>
          <w:szCs w:val="18"/>
          <w:lang w:val="en-GB"/>
        </w:rPr>
      </w:pPr>
      <w:r w:rsidRPr="0035337B">
        <w:rPr>
          <w:lang w:val="en-GB"/>
        </w:rPr>
        <w:tab/>
      </w:r>
      <w:r w:rsidRPr="0035337B">
        <w:rPr>
          <w:sz w:val="18"/>
          <w:szCs w:val="18"/>
          <w:lang w:val="en-GB"/>
        </w:rPr>
        <w:t>*</w:t>
      </w:r>
      <w:r w:rsidRPr="0035337B">
        <w:rPr>
          <w:lang w:val="en-GB"/>
        </w:rPr>
        <w:tab/>
      </w:r>
      <w:r w:rsidRPr="0035337B">
        <w:rPr>
          <w:sz w:val="18"/>
          <w:szCs w:val="18"/>
          <w:lang w:val="en-GB"/>
        </w:rPr>
        <w:t>Sou</w:t>
      </w:r>
      <w:r w:rsidR="007742FC">
        <w:rPr>
          <w:sz w:val="18"/>
          <w:szCs w:val="18"/>
          <w:lang w:val="en-GB"/>
        </w:rPr>
        <w:t>r</w:t>
      </w:r>
      <w:r w:rsidRPr="0035337B">
        <w:rPr>
          <w:sz w:val="18"/>
          <w:szCs w:val="18"/>
          <w:lang w:val="en-GB"/>
        </w:rPr>
        <w:t>ce: Statistics Netherlands</w:t>
      </w:r>
    </w:p>
    <w:p w:rsidR="00981F21" w:rsidRDefault="00AE45DB" w:rsidP="00AE45DB">
      <w:pPr>
        <w:pStyle w:val="Heading2"/>
        <w:jc w:val="left"/>
        <w:rPr>
          <w:lang w:val="en-GB"/>
        </w:rPr>
      </w:pPr>
      <w:bookmarkStart w:id="12" w:name="_Toc363737826"/>
      <w:r>
        <w:rPr>
          <w:lang w:val="en-GB"/>
        </w:rPr>
        <w:t>3.3 Results</w:t>
      </w:r>
      <w:bookmarkEnd w:id="12"/>
    </w:p>
    <w:p w:rsidR="00AE45DB" w:rsidRPr="0035337B" w:rsidRDefault="00AE45DB" w:rsidP="00AE45DB">
      <w:pPr>
        <w:spacing w:line="360" w:lineRule="auto"/>
        <w:jc w:val="both"/>
        <w:rPr>
          <w:lang w:val="en-GB"/>
        </w:rPr>
      </w:pPr>
      <w:r w:rsidRPr="0035337B">
        <w:rPr>
          <w:lang w:val="en-GB"/>
        </w:rPr>
        <w:t xml:space="preserve">The final additional terrain demand figures that were estimated in the cost benefit analysis are listed in the table below per scenario for the period 2000-2020 </w:t>
      </w:r>
      <w:sdt>
        <w:sdtPr>
          <w:rPr>
            <w:lang w:val="en-GB"/>
          </w:rPr>
          <w:id w:val="1607160006"/>
          <w:citation/>
        </w:sdtPr>
        <w:sdtContent>
          <w:r w:rsidR="00FD0314" w:rsidRPr="0035337B">
            <w:rPr>
              <w:lang w:val="en-GB"/>
            </w:rPr>
            <w:fldChar w:fldCharType="begin"/>
          </w:r>
          <w:r w:rsidRPr="0035337B">
            <w:rPr>
              <w:lang w:val="en-GB"/>
            </w:rPr>
            <w:instrText xml:space="preserve">CITATION CPB01 \p 98 \t  \l 1033 </w:instrText>
          </w:r>
          <w:r w:rsidR="00FD0314" w:rsidRPr="0035337B">
            <w:rPr>
              <w:lang w:val="en-GB"/>
            </w:rPr>
            <w:fldChar w:fldCharType="separate"/>
          </w:r>
          <w:r w:rsidR="006A4AA8" w:rsidRPr="006A4AA8">
            <w:rPr>
              <w:noProof/>
              <w:lang w:val="en-GB"/>
            </w:rPr>
            <w:t>(CPB, NEI &amp; RIVM, 2001, p. 98)</w:t>
          </w:r>
          <w:r w:rsidR="00FD0314" w:rsidRPr="0035337B">
            <w:rPr>
              <w:lang w:val="en-GB"/>
            </w:rPr>
            <w:fldChar w:fldCharType="end"/>
          </w:r>
        </w:sdtContent>
      </w:sdt>
      <w:r w:rsidRPr="0035337B">
        <w:rPr>
          <w:lang w:val="en-GB"/>
        </w:rPr>
        <w:t>. The way these values were estimated will be explored in the rest of this chapter.</w:t>
      </w:r>
    </w:p>
    <w:tbl>
      <w:tblPr>
        <w:tblStyle w:val="ColorfulList"/>
        <w:tblW w:w="0" w:type="auto"/>
        <w:tblLook w:val="04A0"/>
      </w:tblPr>
      <w:tblGrid>
        <w:gridCol w:w="2291"/>
        <w:gridCol w:w="2292"/>
        <w:gridCol w:w="2291"/>
        <w:gridCol w:w="2292"/>
      </w:tblGrid>
      <w:tr w:rsidR="00AE45DB" w:rsidRPr="0035337B" w:rsidTr="00E51026">
        <w:trPr>
          <w:cnfStyle w:val="100000000000"/>
        </w:trPr>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Table 3.2</w:t>
            </w:r>
          </w:p>
        </w:tc>
        <w:tc>
          <w:tcPr>
            <w:tcW w:w="2292" w:type="dxa"/>
          </w:tcPr>
          <w:p w:rsidR="00AE45DB" w:rsidRPr="00AE45DB" w:rsidRDefault="00AE45DB" w:rsidP="001C1FCC">
            <w:pPr>
              <w:spacing w:line="360" w:lineRule="auto"/>
              <w:jc w:val="both"/>
              <w:cnfStyle w:val="100000000000"/>
              <w:rPr>
                <w:sz w:val="18"/>
                <w:szCs w:val="18"/>
                <w:lang w:val="en-GB"/>
              </w:rPr>
            </w:pPr>
            <w:r w:rsidRPr="00AE45DB">
              <w:rPr>
                <w:sz w:val="18"/>
                <w:szCs w:val="18"/>
                <w:lang w:val="en-GB"/>
              </w:rPr>
              <w:t>Global Competition</w:t>
            </w:r>
          </w:p>
        </w:tc>
        <w:tc>
          <w:tcPr>
            <w:tcW w:w="2291" w:type="dxa"/>
          </w:tcPr>
          <w:p w:rsidR="00AE45DB" w:rsidRPr="00AE45DB" w:rsidRDefault="00AE45DB" w:rsidP="001C1FCC">
            <w:pPr>
              <w:spacing w:line="360" w:lineRule="auto"/>
              <w:jc w:val="both"/>
              <w:cnfStyle w:val="100000000000"/>
              <w:rPr>
                <w:sz w:val="18"/>
                <w:szCs w:val="18"/>
                <w:lang w:val="en-GB"/>
              </w:rPr>
            </w:pPr>
            <w:r w:rsidRPr="00AE45DB">
              <w:rPr>
                <w:sz w:val="18"/>
                <w:szCs w:val="18"/>
                <w:lang w:val="en-GB"/>
              </w:rPr>
              <w:t>European Coordination</w:t>
            </w:r>
          </w:p>
        </w:tc>
        <w:tc>
          <w:tcPr>
            <w:tcW w:w="2292" w:type="dxa"/>
          </w:tcPr>
          <w:p w:rsidR="00AE45DB" w:rsidRPr="00AE45DB" w:rsidRDefault="00AE45DB" w:rsidP="001C1FCC">
            <w:pPr>
              <w:spacing w:line="360" w:lineRule="auto"/>
              <w:jc w:val="both"/>
              <w:cnfStyle w:val="100000000000"/>
              <w:rPr>
                <w:sz w:val="18"/>
                <w:szCs w:val="18"/>
                <w:lang w:val="en-GB"/>
              </w:rPr>
            </w:pPr>
            <w:r w:rsidRPr="00AE45DB">
              <w:rPr>
                <w:sz w:val="18"/>
                <w:szCs w:val="18"/>
                <w:lang w:val="en-GB"/>
              </w:rPr>
              <w:t>Divided Europe</w:t>
            </w:r>
          </w:p>
        </w:tc>
      </w:tr>
      <w:tr w:rsidR="00AE45DB" w:rsidRPr="0035337B" w:rsidTr="00E51026">
        <w:trPr>
          <w:cnfStyle w:val="000000100000"/>
        </w:trPr>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Container terminals</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302</w:t>
            </w:r>
          </w:p>
        </w:tc>
        <w:tc>
          <w:tcPr>
            <w:tcW w:w="2291"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207</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87</w:t>
            </w:r>
          </w:p>
        </w:tc>
      </w:tr>
      <w:tr w:rsidR="00AE45DB" w:rsidRPr="0035337B" w:rsidTr="00E51026">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Roll-on/roll-off</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25</w:t>
            </w:r>
          </w:p>
        </w:tc>
        <w:tc>
          <w:tcPr>
            <w:tcW w:w="2291"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25</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15</w:t>
            </w:r>
          </w:p>
        </w:tc>
      </w:tr>
      <w:tr w:rsidR="00AE45DB" w:rsidRPr="0035337B" w:rsidTr="00E51026">
        <w:trPr>
          <w:cnfStyle w:val="000000100000"/>
        </w:trPr>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Remaining general cargo</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0</w:t>
            </w:r>
          </w:p>
        </w:tc>
        <w:tc>
          <w:tcPr>
            <w:tcW w:w="2291"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-5</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-25</w:t>
            </w:r>
          </w:p>
        </w:tc>
      </w:tr>
      <w:tr w:rsidR="00AE45DB" w:rsidRPr="0035337B" w:rsidTr="00E51026">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Distribution</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130</w:t>
            </w:r>
          </w:p>
        </w:tc>
        <w:tc>
          <w:tcPr>
            <w:tcW w:w="2291"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90</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40</w:t>
            </w:r>
          </w:p>
        </w:tc>
      </w:tr>
      <w:tr w:rsidR="00AE45DB" w:rsidRPr="0035337B" w:rsidTr="00E51026">
        <w:trPr>
          <w:cnfStyle w:val="000000100000"/>
        </w:trPr>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Empty depots</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50</w:t>
            </w:r>
          </w:p>
        </w:tc>
        <w:tc>
          <w:tcPr>
            <w:tcW w:w="2291"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35</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20</w:t>
            </w:r>
          </w:p>
        </w:tc>
      </w:tr>
      <w:tr w:rsidR="00AE45DB" w:rsidRPr="0035337B" w:rsidTr="00E51026">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Chemical industry</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205</w:t>
            </w:r>
          </w:p>
        </w:tc>
        <w:tc>
          <w:tcPr>
            <w:tcW w:w="2291"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168</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79</w:t>
            </w:r>
          </w:p>
        </w:tc>
      </w:tr>
      <w:tr w:rsidR="00AE45DB" w:rsidRPr="0035337B" w:rsidTr="00E51026">
        <w:trPr>
          <w:cnfStyle w:val="000000100000"/>
        </w:trPr>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Oil industry</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-15</w:t>
            </w:r>
          </w:p>
        </w:tc>
        <w:tc>
          <w:tcPr>
            <w:tcW w:w="2291"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-15</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-15</w:t>
            </w:r>
          </w:p>
        </w:tc>
      </w:tr>
      <w:tr w:rsidR="00AE45DB" w:rsidRPr="0035337B" w:rsidTr="00E51026">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Throughput liquid bulk</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64</w:t>
            </w:r>
          </w:p>
        </w:tc>
        <w:tc>
          <w:tcPr>
            <w:tcW w:w="2291"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4</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-51</w:t>
            </w:r>
          </w:p>
        </w:tc>
      </w:tr>
      <w:tr w:rsidR="00AE45DB" w:rsidRPr="0035337B" w:rsidTr="00E51026">
        <w:trPr>
          <w:cnfStyle w:val="000000100000"/>
        </w:trPr>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Remaining industry</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103</w:t>
            </w:r>
          </w:p>
        </w:tc>
        <w:tc>
          <w:tcPr>
            <w:tcW w:w="2291"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115</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43</w:t>
            </w:r>
          </w:p>
        </w:tc>
      </w:tr>
      <w:tr w:rsidR="00AE45DB" w:rsidRPr="0035337B" w:rsidTr="00E51026">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Dry mass goods</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101</w:t>
            </w:r>
          </w:p>
        </w:tc>
        <w:tc>
          <w:tcPr>
            <w:tcW w:w="2291"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98</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34</w:t>
            </w:r>
          </w:p>
        </w:tc>
      </w:tr>
      <w:tr w:rsidR="00AE45DB" w:rsidRPr="0035337B" w:rsidTr="00E51026">
        <w:trPr>
          <w:cnfStyle w:val="000000100000"/>
        </w:trPr>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Other activities</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113</w:t>
            </w:r>
          </w:p>
        </w:tc>
        <w:tc>
          <w:tcPr>
            <w:tcW w:w="2291"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94</w:t>
            </w:r>
          </w:p>
        </w:tc>
        <w:tc>
          <w:tcPr>
            <w:tcW w:w="2292" w:type="dxa"/>
          </w:tcPr>
          <w:p w:rsidR="00AE45DB" w:rsidRPr="00AE45DB" w:rsidRDefault="00AE45DB" w:rsidP="001C1FCC">
            <w:pPr>
              <w:spacing w:line="360" w:lineRule="auto"/>
              <w:jc w:val="both"/>
              <w:cnfStyle w:val="000000100000"/>
              <w:rPr>
                <w:sz w:val="18"/>
                <w:szCs w:val="18"/>
                <w:lang w:val="en-GB"/>
              </w:rPr>
            </w:pPr>
            <w:r w:rsidRPr="00AE45DB">
              <w:rPr>
                <w:sz w:val="18"/>
                <w:szCs w:val="18"/>
                <w:lang w:val="en-GB"/>
              </w:rPr>
              <w:t>75</w:t>
            </w:r>
          </w:p>
        </w:tc>
      </w:tr>
      <w:tr w:rsidR="00AE45DB" w:rsidRPr="0035337B" w:rsidTr="00E51026">
        <w:tc>
          <w:tcPr>
            <w:cnfStyle w:val="001000000000"/>
            <w:tcW w:w="2291" w:type="dxa"/>
          </w:tcPr>
          <w:p w:rsidR="00AE45DB" w:rsidRPr="00AE45DB" w:rsidRDefault="00AE45DB" w:rsidP="001C1FCC">
            <w:pPr>
              <w:spacing w:line="360" w:lineRule="auto"/>
              <w:jc w:val="both"/>
              <w:rPr>
                <w:sz w:val="18"/>
                <w:szCs w:val="18"/>
                <w:lang w:val="en-GB"/>
              </w:rPr>
            </w:pPr>
            <w:r w:rsidRPr="00AE45DB">
              <w:rPr>
                <w:sz w:val="18"/>
                <w:szCs w:val="18"/>
                <w:lang w:val="en-GB"/>
              </w:rPr>
              <w:t>Total</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1088</w:t>
            </w:r>
          </w:p>
        </w:tc>
        <w:tc>
          <w:tcPr>
            <w:tcW w:w="2291"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816</w:t>
            </w:r>
          </w:p>
        </w:tc>
        <w:tc>
          <w:tcPr>
            <w:tcW w:w="2292" w:type="dxa"/>
          </w:tcPr>
          <w:p w:rsidR="00AE45DB" w:rsidRPr="00AE45DB" w:rsidRDefault="00AE45DB" w:rsidP="001C1FCC">
            <w:pPr>
              <w:spacing w:line="360" w:lineRule="auto"/>
              <w:jc w:val="both"/>
              <w:cnfStyle w:val="000000000000"/>
              <w:rPr>
                <w:sz w:val="18"/>
                <w:szCs w:val="18"/>
                <w:lang w:val="en-GB"/>
              </w:rPr>
            </w:pPr>
            <w:r w:rsidRPr="00AE45DB">
              <w:rPr>
                <w:sz w:val="18"/>
                <w:szCs w:val="18"/>
                <w:lang w:val="en-GB"/>
              </w:rPr>
              <w:t>302</w:t>
            </w:r>
          </w:p>
        </w:tc>
      </w:tr>
    </w:tbl>
    <w:p w:rsidR="00AE45DB" w:rsidRDefault="00AE45DB" w:rsidP="00AE45DB">
      <w:pPr>
        <w:spacing w:line="360" w:lineRule="auto"/>
        <w:jc w:val="right"/>
        <w:rPr>
          <w:sz w:val="18"/>
          <w:szCs w:val="18"/>
          <w:lang w:val="en-GB"/>
        </w:rPr>
      </w:pPr>
      <w:r w:rsidRPr="0035337B">
        <w:rPr>
          <w:sz w:val="18"/>
          <w:szCs w:val="18"/>
          <w:lang w:val="en-GB"/>
        </w:rPr>
        <w:t>In hectares</w:t>
      </w:r>
    </w:p>
    <w:p w:rsidR="00F21C86" w:rsidRDefault="00F21C86" w:rsidP="00AE45DB">
      <w:pPr>
        <w:spacing w:line="360" w:lineRule="auto"/>
        <w:jc w:val="right"/>
        <w:rPr>
          <w:sz w:val="18"/>
          <w:szCs w:val="18"/>
          <w:lang w:val="en-GB"/>
        </w:rPr>
      </w:pPr>
    </w:p>
    <w:p w:rsidR="00F21C86" w:rsidRPr="0035337B" w:rsidRDefault="00F21C86" w:rsidP="00AE45DB">
      <w:pPr>
        <w:spacing w:line="360" w:lineRule="auto"/>
        <w:jc w:val="right"/>
        <w:rPr>
          <w:sz w:val="18"/>
          <w:szCs w:val="18"/>
          <w:lang w:val="en-GB"/>
        </w:rPr>
      </w:pPr>
    </w:p>
    <w:p w:rsidR="00AE45DB" w:rsidRDefault="00F21C86" w:rsidP="00F21C86">
      <w:pPr>
        <w:pStyle w:val="Heading2"/>
        <w:jc w:val="left"/>
        <w:rPr>
          <w:lang w:val="en-GB"/>
        </w:rPr>
      </w:pPr>
      <w:bookmarkStart w:id="13" w:name="_Toc363737827"/>
      <w:r>
        <w:rPr>
          <w:lang w:val="en-GB"/>
        </w:rPr>
        <w:lastRenderedPageBreak/>
        <w:t>3.4 General structure</w:t>
      </w:r>
      <w:bookmarkEnd w:id="13"/>
    </w:p>
    <w:p w:rsidR="00F21C86" w:rsidRPr="0035337B" w:rsidRDefault="00F21C86" w:rsidP="00F21C86">
      <w:pPr>
        <w:spacing w:line="360" w:lineRule="auto"/>
        <w:jc w:val="both"/>
        <w:rPr>
          <w:lang w:val="en-GB"/>
        </w:rPr>
      </w:pPr>
      <w:r w:rsidRPr="0035337B">
        <w:rPr>
          <w:lang w:val="en-GB"/>
        </w:rPr>
        <w:t>For most sectors the terrain demand is predicted by the same method although with different sources and studies. At the base are predictions of economic figures such as GDP, the state of the world economy and growth of various relevant industrial sectors. With these figures predictions are made for the size and future path of the sector which are then, via market share analysis, translated to figures for the Port of Rotterdam. Lastly the Port of Rotterdam sector figures are translated to potential terrain demand and adjusted for the estimated increase in spatial productivity.</w:t>
      </w:r>
    </w:p>
    <w:p w:rsidR="00F21C86" w:rsidRPr="0035337B" w:rsidRDefault="00F21C86" w:rsidP="00F21C86">
      <w:pPr>
        <w:spacing w:line="360" w:lineRule="auto"/>
        <w:jc w:val="both"/>
        <w:rPr>
          <w:lang w:val="en-GB"/>
        </w:rPr>
      </w:pPr>
      <w:r w:rsidRPr="0035337B">
        <w:rPr>
          <w:lang w:val="en-GB"/>
        </w:rPr>
        <w:t>In some cases the three different scenarios are treated separately from the start of this procedure. For other sectors only the final figure is adjusted per scenario or three paths are followed from one of the intermediate points.</w:t>
      </w:r>
    </w:p>
    <w:p w:rsidR="00F21C86" w:rsidRPr="0035337B" w:rsidRDefault="00F21C86" w:rsidP="00F21C86">
      <w:pPr>
        <w:spacing w:line="360" w:lineRule="auto"/>
        <w:jc w:val="both"/>
        <w:rPr>
          <w:lang w:val="en-GB"/>
        </w:rPr>
      </w:pPr>
      <w:r w:rsidRPr="0035337B">
        <w:rPr>
          <w:lang w:val="en-GB"/>
        </w:rPr>
        <w:t>The figure below shows, per step of the process, the main study or document used, the analysis taking place and the results of that step. While not all the separate sections follow this exact path it is the backbone of the prediction process.</w:t>
      </w:r>
    </w:p>
    <w:p w:rsidR="00F21C86" w:rsidRDefault="00F21C86" w:rsidP="00F21C86">
      <w:pPr>
        <w:keepNext/>
      </w:pPr>
      <w:r w:rsidRPr="0035337B">
        <w:rPr>
          <w:noProof/>
        </w:rPr>
        <w:drawing>
          <wp:inline distT="0" distB="0" distL="0" distR="0">
            <wp:extent cx="5486400" cy="3768919"/>
            <wp:effectExtent l="3810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A2DA9" w:rsidRPr="00981F21" w:rsidRDefault="00F21C86" w:rsidP="00F21C86">
      <w:pPr>
        <w:pStyle w:val="Caption"/>
        <w:rPr>
          <w:lang w:val="en-GB"/>
        </w:rPr>
      </w:pPr>
      <w:r>
        <w:t>Figure 3.1</w:t>
      </w:r>
    </w:p>
    <w:p w:rsidR="00BA2DA9" w:rsidRDefault="00BA2DA9" w:rsidP="00F21C86">
      <w:pPr>
        <w:rPr>
          <w:lang w:val="en-GB"/>
        </w:rPr>
      </w:pPr>
    </w:p>
    <w:p w:rsidR="00F21C86" w:rsidRDefault="00F21C86" w:rsidP="00F21C86">
      <w:pPr>
        <w:rPr>
          <w:lang w:val="en-GB"/>
        </w:rPr>
      </w:pPr>
    </w:p>
    <w:p w:rsidR="00F21C86" w:rsidRDefault="00F21C86" w:rsidP="00F21C86">
      <w:pPr>
        <w:rPr>
          <w:lang w:val="en-GB"/>
        </w:rPr>
      </w:pPr>
    </w:p>
    <w:p w:rsidR="00F21C86" w:rsidRDefault="00CA6934" w:rsidP="00CA6934">
      <w:pPr>
        <w:pStyle w:val="Heading2"/>
        <w:jc w:val="left"/>
        <w:rPr>
          <w:lang w:val="en-GB"/>
        </w:rPr>
      </w:pPr>
      <w:bookmarkStart w:id="14" w:name="_Toc363737828"/>
      <w:r>
        <w:rPr>
          <w:lang w:val="en-GB"/>
        </w:rPr>
        <w:lastRenderedPageBreak/>
        <w:t>3.5 Chemical sector</w:t>
      </w:r>
      <w:bookmarkEnd w:id="14"/>
    </w:p>
    <w:p w:rsidR="00CA6934" w:rsidRPr="0035337B" w:rsidRDefault="00CA6934" w:rsidP="00CA6934">
      <w:pPr>
        <w:spacing w:line="360" w:lineRule="auto"/>
        <w:jc w:val="both"/>
        <w:rPr>
          <w:lang w:val="en-GB"/>
        </w:rPr>
      </w:pPr>
      <w:r w:rsidRPr="0035337B">
        <w:rPr>
          <w:lang w:val="en-GB"/>
        </w:rPr>
        <w:t xml:space="preserve">The main source for the predictions in the cost benefit analysis is a study by Arthur D. Little </w:t>
      </w:r>
      <w:sdt>
        <w:sdtPr>
          <w:rPr>
            <w:lang w:val="en-GB"/>
          </w:rPr>
          <w:id w:val="1022363742"/>
          <w:citation/>
        </w:sdtPr>
        <w:sdtContent>
          <w:r w:rsidR="00FD0314" w:rsidRPr="0035337B">
            <w:rPr>
              <w:lang w:val="en-GB"/>
            </w:rPr>
            <w:fldChar w:fldCharType="begin"/>
          </w:r>
          <w:r w:rsidRPr="0035337B">
            <w:rPr>
              <w:lang w:val="en-GB"/>
            </w:rPr>
            <w:instrText xml:space="preserve">CITATION ADL99 \n  \t  \l 1033 </w:instrText>
          </w:r>
          <w:r w:rsidR="00FD0314" w:rsidRPr="0035337B">
            <w:rPr>
              <w:lang w:val="en-GB"/>
            </w:rPr>
            <w:fldChar w:fldCharType="separate"/>
          </w:r>
          <w:r w:rsidR="006A4AA8" w:rsidRPr="006A4AA8">
            <w:rPr>
              <w:noProof/>
              <w:lang w:val="en-GB"/>
            </w:rPr>
            <w:t>(1999)</w:t>
          </w:r>
          <w:r w:rsidR="00FD0314" w:rsidRPr="0035337B">
            <w:rPr>
              <w:lang w:val="en-GB"/>
            </w:rPr>
            <w:fldChar w:fldCharType="end"/>
          </w:r>
        </w:sdtContent>
      </w:sdt>
      <w:r w:rsidRPr="0035337B">
        <w:rPr>
          <w:lang w:val="en-GB"/>
        </w:rPr>
        <w:t xml:space="preserve"> International Inc., henceforth ADL. ADL is well suited to conduct a sector study on the chemical industry since a majority of their employees come from a chemical background and consultancy for chemical firms is a large part of their business. They have conducted similar studies before and after the 1999 one.</w:t>
      </w:r>
    </w:p>
    <w:p w:rsidR="00CA6934" w:rsidRPr="0035337B" w:rsidRDefault="00CA6934" w:rsidP="00CA6934">
      <w:pPr>
        <w:spacing w:line="360" w:lineRule="auto"/>
        <w:jc w:val="both"/>
        <w:rPr>
          <w:lang w:val="en-GB"/>
        </w:rPr>
      </w:pPr>
      <w:r w:rsidRPr="0035337B">
        <w:rPr>
          <w:lang w:val="en-GB"/>
        </w:rPr>
        <w:t>The goal of the sector study was to predict the potential terrain requirement of the chemical sector in the Netherlands from 2000 to 2020. For the cost benefit analysis a potential demand figure had to be made for the port of Rotterdam in particular. While this wasn’t an official goal of the 1999 study, ADL did provide a prediction of the market share for the port of Rotterdam. The figure that was used in the cost benefit analysis is based directly on a combination of the total chemical industry terrain demand for the Netherlands and the projected market share of the port of Rotterdam.</w:t>
      </w:r>
    </w:p>
    <w:p w:rsidR="00CA6934" w:rsidRPr="00CA6934" w:rsidRDefault="00CA6934" w:rsidP="00CA6934">
      <w:pPr>
        <w:spacing w:line="360" w:lineRule="auto"/>
        <w:jc w:val="both"/>
        <w:rPr>
          <w:lang w:val="en-GB"/>
        </w:rPr>
      </w:pPr>
      <w:r w:rsidRPr="00CA6934">
        <w:rPr>
          <w:lang w:val="en-GB"/>
        </w:rPr>
        <w:t>The following assumptions were made as a base for the study.</w:t>
      </w:r>
    </w:p>
    <w:p w:rsidR="00CA6934" w:rsidRDefault="00CA6934" w:rsidP="00CA6934">
      <w:pPr>
        <w:pStyle w:val="ListParagraph"/>
        <w:numPr>
          <w:ilvl w:val="0"/>
          <w:numId w:val="4"/>
        </w:numPr>
        <w:spacing w:line="360" w:lineRule="auto"/>
        <w:jc w:val="both"/>
        <w:rPr>
          <w:lang w:val="en-GB"/>
        </w:rPr>
      </w:pPr>
      <w:r w:rsidRPr="00CA6934">
        <w:rPr>
          <w:lang w:val="en-GB"/>
        </w:rPr>
        <w:t>The share of the chemical industry of the Netherlands in the West European market will stay constant while the spatial productivity will grow by 25% from 2000 to 2020.</w:t>
      </w:r>
    </w:p>
    <w:p w:rsidR="00CA6934" w:rsidRDefault="00CA6934" w:rsidP="00CA6934">
      <w:pPr>
        <w:pStyle w:val="ListParagraph"/>
        <w:numPr>
          <w:ilvl w:val="0"/>
          <w:numId w:val="4"/>
        </w:numPr>
        <w:spacing w:line="360" w:lineRule="auto"/>
        <w:jc w:val="both"/>
        <w:rPr>
          <w:lang w:val="en-GB"/>
        </w:rPr>
      </w:pPr>
      <w:r w:rsidRPr="00CA6934">
        <w:rPr>
          <w:lang w:val="en-GB"/>
        </w:rPr>
        <w:t>The predicted demand for terrain does not account for buffer zones that usually surround chemical factories and thus represents an absolute minimal figure for terrain demand.</w:t>
      </w:r>
    </w:p>
    <w:p w:rsidR="00CA6934" w:rsidRDefault="00CA6934" w:rsidP="00CA6934">
      <w:pPr>
        <w:pStyle w:val="ListParagraph"/>
        <w:numPr>
          <w:ilvl w:val="0"/>
          <w:numId w:val="4"/>
        </w:numPr>
        <w:spacing w:line="360" w:lineRule="auto"/>
        <w:jc w:val="both"/>
        <w:rPr>
          <w:lang w:val="en-GB"/>
        </w:rPr>
      </w:pPr>
      <w:r w:rsidRPr="00CA6934">
        <w:rPr>
          <w:lang w:val="en-GB"/>
        </w:rPr>
        <w:t>The predicted demand of terrain is based on a 100% mark-up over actual factory terrain demand.</w:t>
      </w:r>
    </w:p>
    <w:p w:rsidR="00CA6934" w:rsidRPr="00CA6934" w:rsidRDefault="00CA6934" w:rsidP="00CA6934">
      <w:pPr>
        <w:pStyle w:val="ListParagraph"/>
        <w:numPr>
          <w:ilvl w:val="0"/>
          <w:numId w:val="4"/>
        </w:numPr>
        <w:spacing w:line="360" w:lineRule="auto"/>
        <w:jc w:val="both"/>
        <w:rPr>
          <w:lang w:val="en-GB"/>
        </w:rPr>
      </w:pPr>
      <w:r w:rsidRPr="00CA6934">
        <w:rPr>
          <w:lang w:val="en-GB"/>
        </w:rPr>
        <w:t>While environmental and safety regulations regarding buffer zones have been considered in the analysis, terrain demand for strategic reasons has not.</w:t>
      </w:r>
    </w:p>
    <w:p w:rsidR="00CA6934" w:rsidRPr="0035337B" w:rsidRDefault="00CA6934" w:rsidP="00CA6934">
      <w:pPr>
        <w:spacing w:line="360" w:lineRule="auto"/>
        <w:jc w:val="both"/>
        <w:rPr>
          <w:lang w:val="en-GB"/>
        </w:rPr>
      </w:pPr>
      <w:r w:rsidRPr="0035337B">
        <w:rPr>
          <w:lang w:val="en-GB"/>
        </w:rPr>
        <w:t xml:space="preserve">The study consists of two steps. Step one provides a selection of chemical clusters that are relevant to the Netherlands, starting out with a large list of possible clusters and narrowing it down by the process of elimination. The second step is an analysis of the potential demand for terrain generated by the aforementioned clusters. The demand for terrain in the Port of Rotterdam is derived from an estimate of its competitiveness. ADL did not use a multiple scenarios approach and as a result only provided two figures, a minimum and a maximum demand for terrain in the Netherlands, depending on the area that is required as a buffer zone surrounding a chemical facility. While not disclosing any GDP figures, the chemical production growth figures ADL used match those of the European Coordination scenario as predicted by </w:t>
      </w:r>
      <w:r w:rsidRPr="0035337B">
        <w:rPr>
          <w:lang w:val="en-GB"/>
        </w:rPr>
        <w:lastRenderedPageBreak/>
        <w:t>the CPB and so the final value was connected to that scenario. The various steps are shown in table 3.3.</w:t>
      </w:r>
    </w:p>
    <w:tbl>
      <w:tblPr>
        <w:tblStyle w:val="ColorfulList"/>
        <w:tblW w:w="0" w:type="auto"/>
        <w:tblLook w:val="04A0"/>
      </w:tblPr>
      <w:tblGrid>
        <w:gridCol w:w="4621"/>
        <w:gridCol w:w="4621"/>
      </w:tblGrid>
      <w:tr w:rsidR="00CA6934" w:rsidRPr="00CA6934" w:rsidTr="00CA6934">
        <w:trPr>
          <w:cnfStyle w:val="100000000000"/>
        </w:trPr>
        <w:tc>
          <w:tcPr>
            <w:cnfStyle w:val="001000000000"/>
            <w:tcW w:w="4621" w:type="dxa"/>
          </w:tcPr>
          <w:p w:rsidR="00CA6934" w:rsidRPr="00CA6934" w:rsidRDefault="00CA6934" w:rsidP="001C1FCC">
            <w:pPr>
              <w:spacing w:line="360" w:lineRule="auto"/>
              <w:jc w:val="both"/>
              <w:rPr>
                <w:b w:val="0"/>
                <w:sz w:val="18"/>
                <w:szCs w:val="18"/>
                <w:lang w:val="en-GB"/>
              </w:rPr>
            </w:pPr>
            <w:r w:rsidRPr="00CA6934">
              <w:rPr>
                <w:b w:val="0"/>
                <w:sz w:val="18"/>
                <w:szCs w:val="18"/>
                <w:lang w:val="en-GB"/>
              </w:rPr>
              <w:t>Table 3.3</w:t>
            </w:r>
          </w:p>
        </w:tc>
        <w:tc>
          <w:tcPr>
            <w:tcW w:w="4621" w:type="dxa"/>
          </w:tcPr>
          <w:p w:rsidR="00CA6934" w:rsidRPr="00503B45" w:rsidRDefault="00CA6934" w:rsidP="001C1FCC">
            <w:pPr>
              <w:spacing w:line="360" w:lineRule="auto"/>
              <w:jc w:val="both"/>
              <w:cnfStyle w:val="100000000000"/>
              <w:rPr>
                <w:sz w:val="18"/>
                <w:szCs w:val="18"/>
                <w:lang w:val="en-GB"/>
              </w:rPr>
            </w:pPr>
            <w:r w:rsidRPr="00503B45">
              <w:rPr>
                <w:sz w:val="18"/>
                <w:szCs w:val="18"/>
                <w:lang w:val="en-GB"/>
              </w:rPr>
              <w:t>Estimated for period 1999-2020</w:t>
            </w:r>
          </w:p>
        </w:tc>
      </w:tr>
      <w:tr w:rsidR="00CA6934" w:rsidRPr="00CA6934" w:rsidTr="00CA6934">
        <w:trPr>
          <w:cnfStyle w:val="000000100000"/>
        </w:trPr>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Total Dutch plot terrain demand</w:t>
            </w:r>
          </w:p>
        </w:tc>
        <w:tc>
          <w:tcPr>
            <w:tcW w:w="4621" w:type="dxa"/>
          </w:tcPr>
          <w:p w:rsidR="00CA6934" w:rsidRPr="00CA6934" w:rsidRDefault="00CA6934" w:rsidP="001C1FCC">
            <w:pPr>
              <w:spacing w:line="360" w:lineRule="auto"/>
              <w:jc w:val="both"/>
              <w:cnfStyle w:val="000000100000"/>
              <w:rPr>
                <w:sz w:val="18"/>
                <w:szCs w:val="18"/>
                <w:lang w:val="en-GB"/>
              </w:rPr>
            </w:pPr>
            <w:r w:rsidRPr="00CA6934">
              <w:rPr>
                <w:sz w:val="18"/>
                <w:szCs w:val="18"/>
                <w:lang w:val="en-GB"/>
              </w:rPr>
              <w:t>238 hectares</w:t>
            </w:r>
          </w:p>
        </w:tc>
      </w:tr>
      <w:tr w:rsidR="00CA6934" w:rsidRPr="00CA6934" w:rsidTr="00CA6934">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Rotterdam market share</w:t>
            </w:r>
          </w:p>
        </w:tc>
        <w:tc>
          <w:tcPr>
            <w:tcW w:w="4621" w:type="dxa"/>
          </w:tcPr>
          <w:p w:rsidR="00CA6934" w:rsidRPr="00CA6934" w:rsidRDefault="00CA6934" w:rsidP="001C1FCC">
            <w:pPr>
              <w:spacing w:line="360" w:lineRule="auto"/>
              <w:jc w:val="both"/>
              <w:cnfStyle w:val="000000000000"/>
              <w:rPr>
                <w:sz w:val="18"/>
                <w:szCs w:val="18"/>
                <w:lang w:val="en-GB"/>
              </w:rPr>
            </w:pPr>
            <w:r w:rsidRPr="00CA6934">
              <w:rPr>
                <w:sz w:val="18"/>
                <w:szCs w:val="18"/>
                <w:lang w:val="en-GB"/>
              </w:rPr>
              <w:t>43%</w:t>
            </w:r>
          </w:p>
        </w:tc>
      </w:tr>
      <w:tr w:rsidR="00CA6934" w:rsidRPr="00CA6934" w:rsidTr="00CA6934">
        <w:trPr>
          <w:cnfStyle w:val="000000100000"/>
        </w:trPr>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Rotterdam plot terrain demand</w:t>
            </w:r>
          </w:p>
        </w:tc>
        <w:tc>
          <w:tcPr>
            <w:tcW w:w="4621" w:type="dxa"/>
          </w:tcPr>
          <w:p w:rsidR="00CA6934" w:rsidRPr="00CA6934" w:rsidRDefault="00CA6934" w:rsidP="001C1FCC">
            <w:pPr>
              <w:spacing w:line="360" w:lineRule="auto"/>
              <w:jc w:val="both"/>
              <w:cnfStyle w:val="000000100000"/>
              <w:rPr>
                <w:sz w:val="18"/>
                <w:szCs w:val="18"/>
                <w:lang w:val="en-GB"/>
              </w:rPr>
            </w:pPr>
            <w:r w:rsidRPr="00CA6934">
              <w:rPr>
                <w:sz w:val="18"/>
                <w:szCs w:val="18"/>
                <w:lang w:val="en-GB"/>
              </w:rPr>
              <w:t>102 hectares</w:t>
            </w:r>
          </w:p>
        </w:tc>
      </w:tr>
      <w:tr w:rsidR="00CA6934" w:rsidRPr="00CA6934" w:rsidTr="00CA6934">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Site-plot factor</w:t>
            </w:r>
          </w:p>
        </w:tc>
        <w:tc>
          <w:tcPr>
            <w:tcW w:w="4621" w:type="dxa"/>
          </w:tcPr>
          <w:p w:rsidR="00CA6934" w:rsidRPr="00CA6934" w:rsidRDefault="00CA6934" w:rsidP="001C1FCC">
            <w:pPr>
              <w:spacing w:line="360" w:lineRule="auto"/>
              <w:jc w:val="both"/>
              <w:cnfStyle w:val="000000000000"/>
              <w:rPr>
                <w:sz w:val="18"/>
                <w:szCs w:val="18"/>
                <w:lang w:val="en-GB"/>
              </w:rPr>
            </w:pPr>
            <w:r w:rsidRPr="00CA6934">
              <w:rPr>
                <w:sz w:val="18"/>
                <w:szCs w:val="18"/>
                <w:lang w:val="en-GB"/>
              </w:rPr>
              <w:t>1.5</w:t>
            </w:r>
          </w:p>
        </w:tc>
      </w:tr>
      <w:tr w:rsidR="00CA6934" w:rsidRPr="00CA6934" w:rsidTr="00CA6934">
        <w:trPr>
          <w:cnfStyle w:val="000000100000"/>
        </w:trPr>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Rotterdam site terrain demand</w:t>
            </w:r>
          </w:p>
        </w:tc>
        <w:tc>
          <w:tcPr>
            <w:tcW w:w="4621" w:type="dxa"/>
          </w:tcPr>
          <w:p w:rsidR="00CA6934" w:rsidRPr="00CA6934" w:rsidRDefault="00CA6934" w:rsidP="001C1FCC">
            <w:pPr>
              <w:spacing w:line="360" w:lineRule="auto"/>
              <w:jc w:val="both"/>
              <w:cnfStyle w:val="000000100000"/>
              <w:rPr>
                <w:sz w:val="18"/>
                <w:szCs w:val="18"/>
                <w:lang w:val="en-GB"/>
              </w:rPr>
            </w:pPr>
            <w:r w:rsidRPr="00CA6934">
              <w:rPr>
                <w:sz w:val="18"/>
                <w:szCs w:val="18"/>
                <w:lang w:val="en-GB"/>
              </w:rPr>
              <w:t>153 hectares</w:t>
            </w:r>
          </w:p>
        </w:tc>
      </w:tr>
      <w:tr w:rsidR="00CA6934" w:rsidRPr="00CA6934" w:rsidTr="00CA6934">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Rotterdam site terrain demand incl. int. Reserves</w:t>
            </w:r>
          </w:p>
        </w:tc>
        <w:tc>
          <w:tcPr>
            <w:tcW w:w="4621" w:type="dxa"/>
          </w:tcPr>
          <w:p w:rsidR="00CA6934" w:rsidRPr="00CA6934" w:rsidRDefault="00CA6934" w:rsidP="001C1FCC">
            <w:pPr>
              <w:spacing w:line="360" w:lineRule="auto"/>
              <w:jc w:val="both"/>
              <w:cnfStyle w:val="000000000000"/>
              <w:rPr>
                <w:sz w:val="18"/>
                <w:szCs w:val="18"/>
                <w:lang w:val="en-GB"/>
              </w:rPr>
            </w:pPr>
            <w:r w:rsidRPr="00CA6934">
              <w:rPr>
                <w:sz w:val="18"/>
                <w:szCs w:val="18"/>
                <w:lang w:val="en-GB"/>
              </w:rPr>
              <w:t>175 hectares</w:t>
            </w:r>
          </w:p>
        </w:tc>
      </w:tr>
      <w:tr w:rsidR="00CA6934" w:rsidRPr="00CA6934" w:rsidTr="00CA6934">
        <w:trPr>
          <w:cnfStyle w:val="000000100000"/>
        </w:trPr>
        <w:tc>
          <w:tcPr>
            <w:cnfStyle w:val="001000000000"/>
            <w:tcW w:w="4621" w:type="dxa"/>
          </w:tcPr>
          <w:p w:rsidR="00CA6934" w:rsidRPr="00503B45" w:rsidRDefault="00CA6934" w:rsidP="001C1FCC">
            <w:pPr>
              <w:spacing w:line="360" w:lineRule="auto"/>
              <w:jc w:val="both"/>
              <w:rPr>
                <w:b w:val="0"/>
                <w:sz w:val="18"/>
                <w:szCs w:val="18"/>
                <w:lang w:val="en-GB"/>
              </w:rPr>
            </w:pPr>
          </w:p>
        </w:tc>
        <w:tc>
          <w:tcPr>
            <w:tcW w:w="4621" w:type="dxa"/>
          </w:tcPr>
          <w:p w:rsidR="00CA6934" w:rsidRPr="00CA6934" w:rsidRDefault="00CA6934" w:rsidP="001C1FCC">
            <w:pPr>
              <w:spacing w:line="360" w:lineRule="auto"/>
              <w:jc w:val="both"/>
              <w:cnfStyle w:val="000000100000"/>
              <w:rPr>
                <w:sz w:val="18"/>
                <w:szCs w:val="18"/>
                <w:lang w:val="en-GB"/>
              </w:rPr>
            </w:pPr>
            <w:r w:rsidRPr="00CA6934">
              <w:rPr>
                <w:b/>
                <w:sz w:val="18"/>
                <w:szCs w:val="18"/>
                <w:lang w:val="en-GB"/>
              </w:rPr>
              <w:t>Adjusted for 2000-2020</w:t>
            </w:r>
          </w:p>
        </w:tc>
      </w:tr>
      <w:tr w:rsidR="00CA6934" w:rsidRPr="00CA6934" w:rsidTr="00CA6934">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Rotterdam site terrain demand incl. int. Reserves</w:t>
            </w:r>
          </w:p>
        </w:tc>
        <w:tc>
          <w:tcPr>
            <w:tcW w:w="4621" w:type="dxa"/>
          </w:tcPr>
          <w:p w:rsidR="00CA6934" w:rsidRPr="00CA6934" w:rsidRDefault="00CA6934" w:rsidP="001C1FCC">
            <w:pPr>
              <w:spacing w:line="360" w:lineRule="auto"/>
              <w:jc w:val="both"/>
              <w:cnfStyle w:val="000000000000"/>
              <w:rPr>
                <w:sz w:val="18"/>
                <w:szCs w:val="18"/>
                <w:lang w:val="en-GB"/>
              </w:rPr>
            </w:pPr>
            <w:r w:rsidRPr="00CA6934">
              <w:rPr>
                <w:sz w:val="18"/>
                <w:szCs w:val="18"/>
                <w:lang w:val="en-GB"/>
              </w:rPr>
              <w:t>168 hectares</w:t>
            </w:r>
          </w:p>
        </w:tc>
      </w:tr>
      <w:tr w:rsidR="00CA6934" w:rsidRPr="00CA6934" w:rsidTr="00CA6934">
        <w:trPr>
          <w:cnfStyle w:val="000000100000"/>
        </w:trPr>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As above adjusted for DE scenario*</w:t>
            </w:r>
          </w:p>
        </w:tc>
        <w:tc>
          <w:tcPr>
            <w:tcW w:w="4621" w:type="dxa"/>
          </w:tcPr>
          <w:p w:rsidR="00CA6934" w:rsidRPr="00CA6934" w:rsidRDefault="00CA6934" w:rsidP="001C1FCC">
            <w:pPr>
              <w:spacing w:line="360" w:lineRule="auto"/>
              <w:jc w:val="both"/>
              <w:cnfStyle w:val="000000100000"/>
              <w:rPr>
                <w:sz w:val="18"/>
                <w:szCs w:val="18"/>
                <w:lang w:val="en-GB"/>
              </w:rPr>
            </w:pPr>
            <w:r w:rsidRPr="00CA6934">
              <w:rPr>
                <w:sz w:val="18"/>
                <w:szCs w:val="18"/>
                <w:lang w:val="en-GB"/>
              </w:rPr>
              <w:t>79</w:t>
            </w:r>
          </w:p>
        </w:tc>
      </w:tr>
      <w:tr w:rsidR="00CA6934" w:rsidRPr="00CA6934" w:rsidTr="00CA6934">
        <w:tc>
          <w:tcPr>
            <w:cnfStyle w:val="001000000000"/>
            <w:tcW w:w="4621" w:type="dxa"/>
          </w:tcPr>
          <w:p w:rsidR="00CA6934" w:rsidRPr="00503B45" w:rsidRDefault="00CA6934" w:rsidP="001C1FCC">
            <w:pPr>
              <w:spacing w:line="360" w:lineRule="auto"/>
              <w:jc w:val="both"/>
              <w:rPr>
                <w:b w:val="0"/>
                <w:sz w:val="18"/>
                <w:szCs w:val="18"/>
                <w:lang w:val="en-GB"/>
              </w:rPr>
            </w:pPr>
            <w:r w:rsidRPr="00503B45">
              <w:rPr>
                <w:b w:val="0"/>
                <w:sz w:val="18"/>
                <w:szCs w:val="18"/>
                <w:lang w:val="en-GB"/>
              </w:rPr>
              <w:t>As above adjusted for GC scenario*</w:t>
            </w:r>
          </w:p>
        </w:tc>
        <w:tc>
          <w:tcPr>
            <w:tcW w:w="4621" w:type="dxa"/>
          </w:tcPr>
          <w:p w:rsidR="00CA6934" w:rsidRPr="00CA6934" w:rsidRDefault="00CA6934" w:rsidP="001C1FCC">
            <w:pPr>
              <w:spacing w:line="360" w:lineRule="auto"/>
              <w:jc w:val="both"/>
              <w:cnfStyle w:val="000000000000"/>
              <w:rPr>
                <w:sz w:val="18"/>
                <w:szCs w:val="18"/>
                <w:lang w:val="en-GB"/>
              </w:rPr>
            </w:pPr>
            <w:r w:rsidRPr="00CA6934">
              <w:rPr>
                <w:sz w:val="18"/>
                <w:szCs w:val="18"/>
                <w:lang w:val="en-GB"/>
              </w:rPr>
              <w:t>205</w:t>
            </w:r>
          </w:p>
        </w:tc>
      </w:tr>
    </w:tbl>
    <w:p w:rsidR="00CA6934" w:rsidRPr="0035337B" w:rsidRDefault="00CA6934" w:rsidP="00CA6934">
      <w:pPr>
        <w:spacing w:line="360" w:lineRule="auto"/>
        <w:jc w:val="both"/>
        <w:rPr>
          <w:sz w:val="20"/>
          <w:szCs w:val="20"/>
          <w:lang w:val="en-GB"/>
        </w:rPr>
      </w:pPr>
      <w:r w:rsidRPr="0035337B">
        <w:rPr>
          <w:sz w:val="20"/>
          <w:szCs w:val="20"/>
          <w:lang w:val="en-GB"/>
        </w:rPr>
        <w:t>*These figures were not estimated by ADL. They were derived from the ADL figure and are scaled up- and downwards relative to GDP figures for the three scenarios.</w:t>
      </w:r>
    </w:p>
    <w:p w:rsidR="00CA6934" w:rsidRPr="0035337B" w:rsidRDefault="00CA6934" w:rsidP="00CA6934">
      <w:pPr>
        <w:spacing w:line="360" w:lineRule="auto"/>
        <w:jc w:val="both"/>
        <w:rPr>
          <w:lang w:val="en-GB"/>
        </w:rPr>
      </w:pPr>
      <w:r w:rsidRPr="0035337B">
        <w:rPr>
          <w:lang w:val="en-GB"/>
        </w:rPr>
        <w:t xml:space="preserve">The results of the ADL study were taken over completely and the results of a 1996 study by </w:t>
      </w:r>
      <w:proofErr w:type="spellStart"/>
      <w:r w:rsidRPr="0035337B">
        <w:rPr>
          <w:lang w:val="en-GB"/>
        </w:rPr>
        <w:t>Chem</w:t>
      </w:r>
      <w:proofErr w:type="spellEnd"/>
      <w:r w:rsidRPr="0035337B">
        <w:rPr>
          <w:lang w:val="en-GB"/>
        </w:rPr>
        <w:t xml:space="preserve"> Systems were wholly discarded. ADL did not provide estimates for the Divided Europe and Global Competition scenario. Those were estimated by the people preparing the cost benefit analysis by scaling the ADL figure relative to the GDP figures from the scenarios.</w:t>
      </w:r>
    </w:p>
    <w:p w:rsidR="00CA6934" w:rsidRDefault="009B081B" w:rsidP="000149FB">
      <w:pPr>
        <w:pStyle w:val="Heading2"/>
        <w:jc w:val="left"/>
        <w:rPr>
          <w:lang w:val="en-GB"/>
        </w:rPr>
      </w:pPr>
      <w:bookmarkStart w:id="15" w:name="_Toc363737829"/>
      <w:r>
        <w:rPr>
          <w:lang w:val="en-GB"/>
        </w:rPr>
        <w:t>3.6 Oil industry</w:t>
      </w:r>
      <w:bookmarkEnd w:id="15"/>
    </w:p>
    <w:p w:rsidR="009B081B" w:rsidRPr="0035337B" w:rsidRDefault="009B081B" w:rsidP="009B081B">
      <w:pPr>
        <w:spacing w:line="360" w:lineRule="auto"/>
        <w:jc w:val="both"/>
        <w:rPr>
          <w:lang w:val="en-GB"/>
        </w:rPr>
      </w:pPr>
      <w:r w:rsidRPr="0035337B">
        <w:rPr>
          <w:lang w:val="en-GB"/>
        </w:rPr>
        <w:t xml:space="preserve">Studies by ETIN </w:t>
      </w:r>
      <w:sdt>
        <w:sdtPr>
          <w:rPr>
            <w:lang w:val="en-GB"/>
          </w:rPr>
          <w:id w:val="1545176721"/>
          <w:citation/>
        </w:sdtPr>
        <w:sdtContent>
          <w:r w:rsidR="00FD0314" w:rsidRPr="0035337B">
            <w:rPr>
              <w:lang w:val="en-GB"/>
            </w:rPr>
            <w:fldChar w:fldCharType="begin"/>
          </w:r>
          <w:r w:rsidRPr="0035337B">
            <w:rPr>
              <w:lang w:val="en-GB"/>
            </w:rPr>
            <w:instrText xml:space="preserve">CITATION ETI99 \n  \t  \l 1033 </w:instrText>
          </w:r>
          <w:r w:rsidR="00FD0314" w:rsidRPr="0035337B">
            <w:rPr>
              <w:lang w:val="en-GB"/>
            </w:rPr>
            <w:fldChar w:fldCharType="separate"/>
          </w:r>
          <w:r w:rsidR="006A4AA8" w:rsidRPr="006A4AA8">
            <w:rPr>
              <w:noProof/>
              <w:lang w:val="en-GB"/>
            </w:rPr>
            <w:t>(1999)</w:t>
          </w:r>
          <w:r w:rsidR="00FD0314" w:rsidRPr="0035337B">
            <w:rPr>
              <w:lang w:val="en-GB"/>
            </w:rPr>
            <w:fldChar w:fldCharType="end"/>
          </w:r>
        </w:sdtContent>
      </w:sdt>
      <w:r w:rsidRPr="0035337B">
        <w:rPr>
          <w:lang w:val="en-GB"/>
        </w:rPr>
        <w:t xml:space="preserve"> and GHR</w:t>
      </w:r>
      <w:sdt>
        <w:sdtPr>
          <w:rPr>
            <w:lang w:val="en-GB"/>
          </w:rPr>
          <w:id w:val="2017256436"/>
          <w:citation/>
        </w:sdtPr>
        <w:sdtContent>
          <w:r w:rsidR="00FD0314" w:rsidRPr="0035337B">
            <w:rPr>
              <w:lang w:val="en-GB"/>
            </w:rPr>
            <w:fldChar w:fldCharType="begin"/>
          </w:r>
          <w:r w:rsidRPr="0035337B">
            <w:rPr>
              <w:lang w:val="en-GB"/>
            </w:rPr>
            <w:instrText xml:space="preserve">CITATION GHR8a \n  \t  \l 1033 </w:instrText>
          </w:r>
          <w:r w:rsidR="00FD0314" w:rsidRPr="0035337B">
            <w:rPr>
              <w:lang w:val="en-GB"/>
            </w:rPr>
            <w:fldChar w:fldCharType="separate"/>
          </w:r>
          <w:r w:rsidR="006A4AA8">
            <w:rPr>
              <w:noProof/>
              <w:lang w:val="en-GB"/>
            </w:rPr>
            <w:t xml:space="preserve"> </w:t>
          </w:r>
          <w:r w:rsidR="006A4AA8" w:rsidRPr="006A4AA8">
            <w:rPr>
              <w:noProof/>
              <w:lang w:val="en-GB"/>
            </w:rPr>
            <w:t>(1998a)</w:t>
          </w:r>
          <w:r w:rsidR="00FD0314" w:rsidRPr="0035337B">
            <w:rPr>
              <w:lang w:val="en-GB"/>
            </w:rPr>
            <w:fldChar w:fldCharType="end"/>
          </w:r>
        </w:sdtContent>
      </w:sdt>
      <w:r w:rsidRPr="0035337B">
        <w:rPr>
          <w:lang w:val="en-GB"/>
        </w:rPr>
        <w:t xml:space="preserve">, which was the Rotterdam Port Authority at the time, were mentioned in the CBA section predicting the terrain demand changes for the oil industry. ETIN was declared bankrupt in 2010 and apparently specialised in consultancy and providing financial services. There is no indication of their expertise in the relevant field. The Rotterdam Port Authority refused to disclose the GHR study for the purpose of this thesis. </w:t>
      </w:r>
    </w:p>
    <w:p w:rsidR="009B081B" w:rsidRPr="0035337B" w:rsidRDefault="009B081B" w:rsidP="009B081B">
      <w:pPr>
        <w:spacing w:line="360" w:lineRule="auto"/>
        <w:jc w:val="both"/>
        <w:rPr>
          <w:lang w:val="en-GB"/>
        </w:rPr>
      </w:pPr>
      <w:r w:rsidRPr="0035337B">
        <w:rPr>
          <w:lang w:val="en-GB"/>
        </w:rPr>
        <w:t>The ETIN study explored the oil and refinement industry on a European scale to provide data for use in the cost benefit analysis. One of the many goals of the GHR document was to map the developments in the oil and refinement industry that are relevant to the Port of Rotterdam.  The methods used in either study are not specified.</w:t>
      </w:r>
    </w:p>
    <w:p w:rsidR="009B081B" w:rsidRDefault="009B081B" w:rsidP="009B081B">
      <w:pPr>
        <w:spacing w:line="360" w:lineRule="auto"/>
        <w:rPr>
          <w:lang w:val="en-GB"/>
        </w:rPr>
      </w:pPr>
      <w:r w:rsidRPr="009B081B">
        <w:rPr>
          <w:lang w:val="en-GB"/>
        </w:rPr>
        <w:t>ETIN reported an overcapacity for the refinement industry in Northwest Europe of 10 to 15 per cent. Their prediction that the demand for oil products would be relatively stable for the next 35 years was also used in the cost benefit analysis.</w:t>
      </w:r>
      <w:r>
        <w:rPr>
          <w:lang w:val="en-GB"/>
        </w:rPr>
        <w:t xml:space="preserve"> </w:t>
      </w:r>
    </w:p>
    <w:p w:rsidR="006A4AA8" w:rsidRDefault="006A4AA8" w:rsidP="009B081B">
      <w:pPr>
        <w:spacing w:line="360" w:lineRule="auto"/>
        <w:rPr>
          <w:lang w:val="en-GB"/>
        </w:rPr>
      </w:pPr>
    </w:p>
    <w:p w:rsidR="009B081B" w:rsidRPr="009B081B" w:rsidRDefault="009B081B" w:rsidP="009B081B">
      <w:pPr>
        <w:spacing w:line="360" w:lineRule="auto"/>
        <w:rPr>
          <w:lang w:val="en-GB"/>
        </w:rPr>
      </w:pPr>
      <w:r w:rsidRPr="009B081B">
        <w:rPr>
          <w:lang w:val="en-GB"/>
        </w:rPr>
        <w:lastRenderedPageBreak/>
        <w:t xml:space="preserve">The GHR document </w:t>
      </w:r>
      <w:r>
        <w:rPr>
          <w:lang w:val="en-GB"/>
        </w:rPr>
        <w:t>contains the following predictions</w:t>
      </w:r>
      <w:r w:rsidRPr="009B081B">
        <w:rPr>
          <w:lang w:val="en-GB"/>
        </w:rPr>
        <w:t xml:space="preserve"> that are relevant to the Port of Rotterdam.</w:t>
      </w:r>
    </w:p>
    <w:p w:rsidR="009B081B" w:rsidRDefault="009B081B" w:rsidP="009B081B">
      <w:pPr>
        <w:pStyle w:val="ListParagraph"/>
        <w:numPr>
          <w:ilvl w:val="0"/>
          <w:numId w:val="6"/>
        </w:numPr>
        <w:spacing w:line="360" w:lineRule="auto"/>
        <w:rPr>
          <w:lang w:val="en-GB"/>
        </w:rPr>
      </w:pPr>
      <w:r w:rsidRPr="009B081B">
        <w:rPr>
          <w:lang w:val="en-GB"/>
        </w:rPr>
        <w:t xml:space="preserve">A future surplus of refinement capacity in Western Europe. </w:t>
      </w:r>
    </w:p>
    <w:p w:rsidR="009B081B" w:rsidRDefault="009B081B" w:rsidP="009B081B">
      <w:pPr>
        <w:pStyle w:val="ListParagraph"/>
        <w:numPr>
          <w:ilvl w:val="0"/>
          <w:numId w:val="6"/>
        </w:numPr>
        <w:spacing w:line="360" w:lineRule="auto"/>
        <w:rPr>
          <w:lang w:val="en-GB"/>
        </w:rPr>
      </w:pPr>
      <w:r w:rsidRPr="009B081B">
        <w:rPr>
          <w:lang w:val="en-GB"/>
        </w:rPr>
        <w:t>A further penetration of gas in Germany.</w:t>
      </w:r>
    </w:p>
    <w:p w:rsidR="009B081B" w:rsidRDefault="009B081B" w:rsidP="009B081B">
      <w:pPr>
        <w:pStyle w:val="ListParagraph"/>
        <w:numPr>
          <w:ilvl w:val="0"/>
          <w:numId w:val="6"/>
        </w:numPr>
        <w:spacing w:line="360" w:lineRule="auto"/>
        <w:rPr>
          <w:lang w:val="en-GB"/>
        </w:rPr>
      </w:pPr>
      <w:r w:rsidRPr="009B081B">
        <w:rPr>
          <w:lang w:val="en-GB"/>
        </w:rPr>
        <w:t>Closing of refinement capacity in Western Europe and an increase in Eastern Europe</w:t>
      </w:r>
    </w:p>
    <w:p w:rsidR="009B081B" w:rsidRPr="009B081B" w:rsidRDefault="009B081B" w:rsidP="009B081B">
      <w:pPr>
        <w:pStyle w:val="ListParagraph"/>
        <w:numPr>
          <w:ilvl w:val="0"/>
          <w:numId w:val="6"/>
        </w:numPr>
        <w:spacing w:line="360" w:lineRule="auto"/>
        <w:rPr>
          <w:lang w:val="en-GB"/>
        </w:rPr>
      </w:pPr>
      <w:r w:rsidRPr="009B081B">
        <w:rPr>
          <w:lang w:val="en-GB"/>
        </w:rPr>
        <w:t>An increasing share of the supply from the Middle East for Western Europe</w:t>
      </w:r>
    </w:p>
    <w:p w:rsidR="009B081B" w:rsidRPr="0035337B" w:rsidRDefault="009B081B" w:rsidP="009B081B">
      <w:pPr>
        <w:spacing w:line="360" w:lineRule="auto"/>
        <w:jc w:val="both"/>
        <w:rPr>
          <w:lang w:val="en-GB"/>
        </w:rPr>
      </w:pPr>
      <w:r w:rsidRPr="0035337B">
        <w:rPr>
          <w:lang w:val="en-GB"/>
        </w:rPr>
        <w:t xml:space="preserve">The predicted terrain demand presented in the CBA was not a result of either one of the studies. The already planned shutdown of refinement activities in the </w:t>
      </w:r>
      <w:proofErr w:type="spellStart"/>
      <w:r w:rsidRPr="0035337B">
        <w:rPr>
          <w:lang w:val="en-GB"/>
        </w:rPr>
        <w:t>Pernis</w:t>
      </w:r>
      <w:proofErr w:type="spellEnd"/>
      <w:r w:rsidRPr="0035337B">
        <w:rPr>
          <w:lang w:val="en-GB"/>
        </w:rPr>
        <w:t xml:space="preserve"> area was expected to yield 60 hectares of which 45 would go to internal reserves of the remaining factories, resulting in a prediction of a negative terrain demand of 15 hectares for the 2000 to 2020 period regardless of the scenario.</w:t>
      </w:r>
    </w:p>
    <w:p w:rsidR="009B081B" w:rsidRDefault="009B081B" w:rsidP="000149FB">
      <w:pPr>
        <w:pStyle w:val="Heading2"/>
        <w:jc w:val="left"/>
        <w:rPr>
          <w:lang w:val="en-GB"/>
        </w:rPr>
      </w:pPr>
      <w:bookmarkStart w:id="16" w:name="_Toc363737830"/>
      <w:r>
        <w:rPr>
          <w:lang w:val="en-GB"/>
        </w:rPr>
        <w:t>3.7 Storage and throughput of liquid mass goods</w:t>
      </w:r>
      <w:bookmarkEnd w:id="16"/>
    </w:p>
    <w:p w:rsidR="009B081B" w:rsidRPr="0035337B" w:rsidRDefault="009B081B" w:rsidP="009B081B">
      <w:pPr>
        <w:spacing w:line="360" w:lineRule="auto"/>
        <w:jc w:val="both"/>
        <w:rPr>
          <w:lang w:val="en-GB"/>
        </w:rPr>
      </w:pPr>
      <w:r w:rsidRPr="0035337B">
        <w:rPr>
          <w:lang w:val="en-GB"/>
        </w:rPr>
        <w:t xml:space="preserve">The analysis of liquid mass goods in the cost benefit analysis was broken down into crude oil and oil products, energy gasses (notably LNG) and chemical products. Because these three have their own distinctive properties, their terrain demand figures were based on separate studies and this analysis will look at the separate parts as well. It should be noted that this section concerns the throughput and storage of the liquid mass goods that aren’t transported in containers or by </w:t>
      </w:r>
      <w:proofErr w:type="spellStart"/>
      <w:r w:rsidRPr="0035337B">
        <w:rPr>
          <w:lang w:val="en-GB"/>
        </w:rPr>
        <w:t>ro-ro</w:t>
      </w:r>
      <w:proofErr w:type="spellEnd"/>
      <w:r w:rsidRPr="0035337B">
        <w:rPr>
          <w:lang w:val="en-GB"/>
        </w:rPr>
        <w:t>, and not the production or refinement.</w:t>
      </w:r>
    </w:p>
    <w:p w:rsidR="009B081B" w:rsidRDefault="009B081B" w:rsidP="000149FB">
      <w:pPr>
        <w:pStyle w:val="Heading3"/>
        <w:jc w:val="left"/>
        <w:rPr>
          <w:lang w:val="en-GB"/>
        </w:rPr>
      </w:pPr>
      <w:bookmarkStart w:id="17" w:name="_Toc363737831"/>
      <w:r>
        <w:rPr>
          <w:lang w:val="en-GB"/>
        </w:rPr>
        <w:t>3.7.1 Crude oil and oil products</w:t>
      </w:r>
      <w:bookmarkEnd w:id="17"/>
    </w:p>
    <w:p w:rsidR="009B081B" w:rsidRPr="0035337B" w:rsidRDefault="009B081B" w:rsidP="009B081B">
      <w:pPr>
        <w:spacing w:line="360" w:lineRule="auto"/>
        <w:jc w:val="both"/>
        <w:rPr>
          <w:lang w:val="en-GB"/>
        </w:rPr>
      </w:pPr>
      <w:r w:rsidRPr="0035337B">
        <w:rPr>
          <w:lang w:val="en-GB"/>
        </w:rPr>
        <w:t>The prediction of terrain demand in 2020 for the crude oil and oil products sector was based on a document by a collective that was assigned to look at the then current Port of Rotterdam area. This collective, called the “</w:t>
      </w:r>
      <w:proofErr w:type="spellStart"/>
      <w:r w:rsidRPr="0035337B">
        <w:rPr>
          <w:lang w:val="en-GB"/>
        </w:rPr>
        <w:t>Samenwerkingsverband</w:t>
      </w:r>
      <w:proofErr w:type="spellEnd"/>
      <w:r w:rsidRPr="0035337B">
        <w:rPr>
          <w:lang w:val="en-GB"/>
        </w:rPr>
        <w:t xml:space="preserve"> </w:t>
      </w:r>
      <w:proofErr w:type="spellStart"/>
      <w:r w:rsidRPr="0035337B">
        <w:rPr>
          <w:lang w:val="en-GB"/>
        </w:rPr>
        <w:t>Bestaand</w:t>
      </w:r>
      <w:proofErr w:type="spellEnd"/>
      <w:r w:rsidRPr="0035337B">
        <w:rPr>
          <w:lang w:val="en-GB"/>
        </w:rPr>
        <w:t xml:space="preserve"> </w:t>
      </w:r>
      <w:proofErr w:type="spellStart"/>
      <w:r w:rsidRPr="0035337B">
        <w:rPr>
          <w:lang w:val="en-GB"/>
        </w:rPr>
        <w:t>Rotterdams</w:t>
      </w:r>
      <w:proofErr w:type="spellEnd"/>
      <w:r w:rsidRPr="0035337B">
        <w:rPr>
          <w:lang w:val="en-GB"/>
        </w:rPr>
        <w:t xml:space="preserve"> </w:t>
      </w:r>
      <w:proofErr w:type="spellStart"/>
      <w:r w:rsidRPr="0035337B">
        <w:rPr>
          <w:lang w:val="en-GB"/>
        </w:rPr>
        <w:t>Gebied</w:t>
      </w:r>
      <w:proofErr w:type="spellEnd"/>
      <w:r w:rsidRPr="0035337B">
        <w:rPr>
          <w:lang w:val="en-GB"/>
        </w:rPr>
        <w:t xml:space="preserve">”, henceforth SBRG, was not scientific in nature but rather tasked to observe and interview and then compile the results. </w:t>
      </w:r>
    </w:p>
    <w:p w:rsidR="009B081B" w:rsidRDefault="009B081B" w:rsidP="009B081B">
      <w:pPr>
        <w:spacing w:line="360" w:lineRule="auto"/>
        <w:jc w:val="both"/>
        <w:rPr>
          <w:lang w:val="en-GB"/>
        </w:rPr>
      </w:pPr>
      <w:r w:rsidRPr="0035337B">
        <w:rPr>
          <w:lang w:val="en-GB"/>
        </w:rPr>
        <w:t xml:space="preserve">The goal of the SBRG study was to compile a number of possible projects for a more efficient use of the then current terrain of the Port of Rotterdam. Since this was one of the studies started up to support the </w:t>
      </w:r>
      <w:proofErr w:type="spellStart"/>
      <w:r w:rsidRPr="0035337B">
        <w:rPr>
          <w:lang w:val="en-GB"/>
        </w:rPr>
        <w:t>Maasvlakte</w:t>
      </w:r>
      <w:proofErr w:type="spellEnd"/>
      <w:r w:rsidRPr="0035337B">
        <w:rPr>
          <w:lang w:val="en-GB"/>
        </w:rPr>
        <w:t xml:space="preserve"> 2 decision making procedure it is well aligned with the cost benefit analysis. The projects that were compiled had to serve one or more of three purposes. They had to improve the spatial quality and alleviate the pressure on the environment, to improve existing natural areas or to develop new natural areas or offer new terrain for recreation.</w:t>
      </w:r>
    </w:p>
    <w:p w:rsidR="006A4AA8" w:rsidRPr="0035337B" w:rsidRDefault="006A4AA8" w:rsidP="009B081B">
      <w:pPr>
        <w:spacing w:line="360" w:lineRule="auto"/>
        <w:jc w:val="both"/>
        <w:rPr>
          <w:lang w:val="en-GB"/>
        </w:rPr>
      </w:pPr>
    </w:p>
    <w:p w:rsidR="009B081B" w:rsidRPr="0035337B" w:rsidRDefault="009B081B" w:rsidP="009B081B">
      <w:pPr>
        <w:spacing w:line="360" w:lineRule="auto"/>
        <w:jc w:val="both"/>
        <w:rPr>
          <w:lang w:val="en-GB"/>
        </w:rPr>
      </w:pPr>
      <w:r w:rsidRPr="0035337B">
        <w:rPr>
          <w:lang w:val="en-GB"/>
        </w:rPr>
        <w:lastRenderedPageBreak/>
        <w:t>The study was conducted in two phases. Phase one consisted of interviews and workshops with stakeholders, such as local businesses and interested parties, to gather ideas for spatial improvement. During the second phase the ideas were compiled into six larger scaled plans by a collaboration of stakeholders and experts. It is not defined who these experts are.</w:t>
      </w:r>
    </w:p>
    <w:p w:rsidR="009B081B" w:rsidRPr="0035337B" w:rsidRDefault="009B081B" w:rsidP="009B081B">
      <w:pPr>
        <w:spacing w:line="360" w:lineRule="auto"/>
        <w:jc w:val="both"/>
        <w:rPr>
          <w:lang w:val="en-GB"/>
        </w:rPr>
      </w:pPr>
      <w:r w:rsidRPr="0035337B">
        <w:rPr>
          <w:lang w:val="en-GB"/>
        </w:rPr>
        <w:t>The conclusion was that there was a possibility to intensify the use of terrain in the current Port of Rotterdam area and avoid the potential terrain shortage. This would however put an increasingly heavy strain on the environment and the quality of life in the adjacent residential areas.</w:t>
      </w:r>
      <w:r w:rsidRPr="0035337B">
        <w:rPr>
          <w:lang w:val="en-GB"/>
        </w:rPr>
        <w:br/>
        <w:t xml:space="preserve">Since the study was not conducted specifically to predict the terrain demand figure of crude oil but rather to present an alternative to land reclamation, these results are irrelevant here. </w:t>
      </w:r>
    </w:p>
    <w:p w:rsidR="009B081B" w:rsidRPr="0035337B" w:rsidRDefault="009B081B" w:rsidP="009B081B">
      <w:pPr>
        <w:spacing w:line="360" w:lineRule="auto"/>
        <w:jc w:val="both"/>
        <w:rPr>
          <w:lang w:val="en-GB"/>
        </w:rPr>
      </w:pPr>
      <w:r w:rsidRPr="0035337B">
        <w:rPr>
          <w:lang w:val="en-GB"/>
        </w:rPr>
        <w:t xml:space="preserve">Only two results of the SBRG study were used to justify the predicted demand figure; a potential gain of 40 hectares by a collaboration of various companies and the potential return of 20 hectares of internal reserves due to a collaboration of two terminals. It is also mentioned that 70 hectares of terrain would be returned based on the GHR </w:t>
      </w:r>
      <w:sdt>
        <w:sdtPr>
          <w:rPr>
            <w:lang w:val="en-GB"/>
          </w:rPr>
          <w:id w:val="1410038551"/>
          <w:citation/>
        </w:sdtPr>
        <w:sdtContent>
          <w:r w:rsidR="00FD0314" w:rsidRPr="0035337B">
            <w:rPr>
              <w:lang w:val="en-GB"/>
            </w:rPr>
            <w:fldChar w:fldCharType="begin"/>
          </w:r>
          <w:r w:rsidRPr="0035337B">
            <w:rPr>
              <w:lang w:val="en-GB"/>
            </w:rPr>
            <w:instrText xml:space="preserve">CITATION GHR8c \n  \t  \l 1033 </w:instrText>
          </w:r>
          <w:r w:rsidR="00FD0314" w:rsidRPr="0035337B">
            <w:rPr>
              <w:lang w:val="en-GB"/>
            </w:rPr>
            <w:fldChar w:fldCharType="separate"/>
          </w:r>
          <w:r w:rsidR="006A4AA8" w:rsidRPr="006A4AA8">
            <w:rPr>
              <w:noProof/>
              <w:lang w:val="en-GB"/>
            </w:rPr>
            <w:t>(1998c)</w:t>
          </w:r>
          <w:r w:rsidR="00FD0314" w:rsidRPr="0035337B">
            <w:rPr>
              <w:lang w:val="en-GB"/>
            </w:rPr>
            <w:fldChar w:fldCharType="end"/>
          </w:r>
        </w:sdtContent>
      </w:sdt>
      <w:r w:rsidRPr="0035337B">
        <w:rPr>
          <w:lang w:val="en-GB"/>
        </w:rPr>
        <w:t xml:space="preserve"> document ‘</w:t>
      </w:r>
      <w:proofErr w:type="spellStart"/>
      <w:r w:rsidRPr="0035337B">
        <w:rPr>
          <w:lang w:val="en-GB"/>
        </w:rPr>
        <w:t>Verkenningen</w:t>
      </w:r>
      <w:proofErr w:type="spellEnd"/>
      <w:r w:rsidRPr="0035337B">
        <w:rPr>
          <w:lang w:val="en-GB"/>
        </w:rPr>
        <w:t xml:space="preserve"> 2020’. It is not explained how the makers of the cost benefit analysis determined the final prediction that the crude oil and oil products sector would represent a negative demand of 51 hectares from 2000 to 2020.</w:t>
      </w:r>
    </w:p>
    <w:p w:rsidR="009B081B" w:rsidRDefault="005D0A5D" w:rsidP="000149FB">
      <w:pPr>
        <w:pStyle w:val="Heading3"/>
        <w:jc w:val="left"/>
        <w:rPr>
          <w:lang w:val="en-GB"/>
        </w:rPr>
      </w:pPr>
      <w:bookmarkStart w:id="18" w:name="_Toc363737832"/>
      <w:r>
        <w:rPr>
          <w:lang w:val="en-GB"/>
        </w:rPr>
        <w:t>3.7.2 Energy gasses</w:t>
      </w:r>
      <w:bookmarkEnd w:id="18"/>
    </w:p>
    <w:p w:rsidR="005D0A5D" w:rsidRPr="0035337B" w:rsidRDefault="005D0A5D" w:rsidP="005D0A5D">
      <w:pPr>
        <w:spacing w:line="360" w:lineRule="auto"/>
        <w:jc w:val="both"/>
        <w:rPr>
          <w:lang w:val="en-GB"/>
        </w:rPr>
      </w:pPr>
      <w:r w:rsidRPr="0035337B">
        <w:rPr>
          <w:lang w:val="en-GB"/>
        </w:rPr>
        <w:t xml:space="preserve">The predicted additional terrain demand for energy gasses for 2000 till 2020 comes solely from the projected opening of a new LNG terminal. A study by Holland Innovation Team </w:t>
      </w:r>
      <w:sdt>
        <w:sdtPr>
          <w:rPr>
            <w:lang w:val="en-GB"/>
          </w:rPr>
          <w:id w:val="263200774"/>
          <w:citation/>
        </w:sdtPr>
        <w:sdtContent>
          <w:r w:rsidR="00FD0314" w:rsidRPr="0035337B">
            <w:rPr>
              <w:lang w:val="en-GB"/>
            </w:rPr>
            <w:fldChar w:fldCharType="begin"/>
          </w:r>
          <w:r w:rsidRPr="0035337B">
            <w:rPr>
              <w:lang w:val="en-GB"/>
            </w:rPr>
            <w:instrText xml:space="preserve">CITATION HIT00 \n  \t  \l 1033 </w:instrText>
          </w:r>
          <w:r w:rsidR="00FD0314" w:rsidRPr="0035337B">
            <w:rPr>
              <w:lang w:val="en-GB"/>
            </w:rPr>
            <w:fldChar w:fldCharType="separate"/>
          </w:r>
          <w:r w:rsidR="006A4AA8" w:rsidRPr="006A4AA8">
            <w:rPr>
              <w:noProof/>
              <w:lang w:val="en-GB"/>
            </w:rPr>
            <w:t>(2000)</w:t>
          </w:r>
          <w:r w:rsidR="00FD0314" w:rsidRPr="0035337B">
            <w:rPr>
              <w:lang w:val="en-GB"/>
            </w:rPr>
            <w:fldChar w:fldCharType="end"/>
          </w:r>
        </w:sdtContent>
      </w:sdt>
      <w:r w:rsidRPr="0035337B">
        <w:rPr>
          <w:lang w:val="en-GB"/>
        </w:rPr>
        <w:t xml:space="preserve">, henceforth HIT, was referenced to support this prediction. HIT is specialised in consultancy regarding LNG, biofuels and combinations of relatively new technologies. They have conducted various studies on the chemical and energy industry. The lead researcher </w:t>
      </w:r>
      <w:proofErr w:type="spellStart"/>
      <w:proofErr w:type="gramStart"/>
      <w:r w:rsidRPr="0035337B">
        <w:rPr>
          <w:lang w:val="en-GB"/>
        </w:rPr>
        <w:t>drs</w:t>
      </w:r>
      <w:proofErr w:type="gramEnd"/>
      <w:r w:rsidRPr="0035337B">
        <w:rPr>
          <w:lang w:val="en-GB"/>
        </w:rPr>
        <w:t>.</w:t>
      </w:r>
      <w:proofErr w:type="spellEnd"/>
      <w:r w:rsidRPr="0035337B">
        <w:rPr>
          <w:lang w:val="en-GB"/>
        </w:rPr>
        <w:t xml:space="preserve"> Peter van der </w:t>
      </w:r>
      <w:proofErr w:type="spellStart"/>
      <w:r w:rsidRPr="0035337B">
        <w:rPr>
          <w:lang w:val="en-GB"/>
        </w:rPr>
        <w:t>Gaag</w:t>
      </w:r>
      <w:proofErr w:type="spellEnd"/>
      <w:r w:rsidRPr="0035337B">
        <w:rPr>
          <w:lang w:val="en-GB"/>
        </w:rPr>
        <w:t xml:space="preserve"> had worked at the Rotterdam Port Authority for 8 years prior to writing the report.</w:t>
      </w:r>
    </w:p>
    <w:p w:rsidR="005D0A5D" w:rsidRPr="0035337B" w:rsidRDefault="005D0A5D" w:rsidP="005D0A5D">
      <w:pPr>
        <w:spacing w:line="360" w:lineRule="auto"/>
        <w:jc w:val="both"/>
        <w:rPr>
          <w:lang w:val="en-GB"/>
        </w:rPr>
      </w:pPr>
      <w:r w:rsidRPr="0035337B">
        <w:rPr>
          <w:lang w:val="en-GB"/>
        </w:rPr>
        <w:t>HIT was tasked by the Rotterdam Port Authority to explore the possibilities for innovative and upcoming industries to settle in the Port of Rotterdam. For the makers of the cost benefit analysis this would provide a useful tool when predicting the total terrain demand. Due to the noncommittal nature of the report there are no specific conditions involved. The conclusion does paint a picture of a potential terrain demand of 350 to 500 hectares that depends on the Port of Rotterdam running a proactive acquisition and industry policy.</w:t>
      </w:r>
    </w:p>
    <w:p w:rsidR="005D0A5D" w:rsidRPr="0035337B" w:rsidRDefault="005D0A5D" w:rsidP="005D0A5D">
      <w:pPr>
        <w:spacing w:line="360" w:lineRule="auto"/>
        <w:jc w:val="both"/>
        <w:rPr>
          <w:lang w:val="en-GB"/>
        </w:rPr>
      </w:pPr>
      <w:r w:rsidRPr="0035337B">
        <w:rPr>
          <w:lang w:val="en-GB"/>
        </w:rPr>
        <w:t xml:space="preserve">For the study various new or innovative industries were identified and the likelihood that they would settle in Rotterdam was assessed. Due to the large number of unknown variables </w:t>
      </w:r>
      <w:r w:rsidRPr="0035337B">
        <w:rPr>
          <w:lang w:val="en-GB"/>
        </w:rPr>
        <w:lastRenderedPageBreak/>
        <w:t>influencing such settlement decisions no actual odds were estimated. A list of requirements for settlement was given per potential industry.</w:t>
      </w:r>
    </w:p>
    <w:p w:rsidR="005D0A5D" w:rsidRPr="0035337B" w:rsidRDefault="005D0A5D" w:rsidP="005D0A5D">
      <w:pPr>
        <w:spacing w:line="360" w:lineRule="auto"/>
        <w:jc w:val="both"/>
        <w:rPr>
          <w:lang w:val="en-GB"/>
        </w:rPr>
      </w:pPr>
      <w:r w:rsidRPr="0035337B">
        <w:rPr>
          <w:lang w:val="en-GB"/>
        </w:rPr>
        <w:t>The part that made it to the cost benefit analysis is the strong prediction, which is not supported by numbers, that a LNG terminal will be settled in the Port of Rotterdam. HIT distinguishes between a large terminal of 70 hectares and a small terminal of 30 hectares which was ultimately used in the CBA.</w:t>
      </w:r>
    </w:p>
    <w:p w:rsidR="005D0A5D" w:rsidRDefault="005D0A5D" w:rsidP="000149FB">
      <w:pPr>
        <w:pStyle w:val="Heading3"/>
        <w:jc w:val="left"/>
        <w:rPr>
          <w:lang w:val="en-GB"/>
        </w:rPr>
      </w:pPr>
      <w:bookmarkStart w:id="19" w:name="_Toc363737833"/>
      <w:r>
        <w:rPr>
          <w:lang w:val="en-GB"/>
        </w:rPr>
        <w:t>3.7.3 Chemical products</w:t>
      </w:r>
      <w:bookmarkEnd w:id="19"/>
    </w:p>
    <w:p w:rsidR="000149FB" w:rsidRPr="0035337B" w:rsidRDefault="000149FB" w:rsidP="000149FB">
      <w:pPr>
        <w:spacing w:line="360" w:lineRule="auto"/>
        <w:jc w:val="both"/>
        <w:rPr>
          <w:lang w:val="en-GB"/>
        </w:rPr>
      </w:pPr>
      <w:r w:rsidRPr="0035337B">
        <w:rPr>
          <w:lang w:val="en-GB"/>
        </w:rPr>
        <w:t xml:space="preserve">Though the projection of terrain demand was made using the GSM7 model developed by the </w:t>
      </w:r>
      <w:r w:rsidRPr="000149FB">
        <w:rPr>
          <w:lang w:val="en-GB"/>
        </w:rPr>
        <w:t>GHR, the</w:t>
      </w:r>
      <w:r w:rsidRPr="0035337B">
        <w:rPr>
          <w:lang w:val="en-GB"/>
        </w:rPr>
        <w:t xml:space="preserve"> variables were estimated by Frederic R. Harris B.V. This company has vast experience in research, consultancy and construction supervision for port, waterway and transport projects. </w:t>
      </w:r>
    </w:p>
    <w:p w:rsidR="000149FB" w:rsidRPr="0035337B" w:rsidRDefault="000149FB" w:rsidP="000149FB">
      <w:pPr>
        <w:spacing w:line="360" w:lineRule="auto"/>
        <w:jc w:val="both"/>
        <w:rPr>
          <w:lang w:val="en-GB"/>
        </w:rPr>
      </w:pPr>
      <w:r w:rsidRPr="0035337B">
        <w:rPr>
          <w:lang w:val="en-GB"/>
        </w:rPr>
        <w:t>The Harris</w:t>
      </w:r>
      <w:sdt>
        <w:sdtPr>
          <w:rPr>
            <w:lang w:val="en-GB"/>
          </w:rPr>
          <w:id w:val="-12768381"/>
          <w:citation/>
        </w:sdtPr>
        <w:sdtContent>
          <w:r w:rsidR="00FD0314" w:rsidRPr="0035337B">
            <w:rPr>
              <w:lang w:val="en-GB"/>
            </w:rPr>
            <w:fldChar w:fldCharType="begin"/>
          </w:r>
          <w:r w:rsidRPr="0035337B">
            <w:rPr>
              <w:lang w:val="en-GB"/>
            </w:rPr>
            <w:instrText xml:space="preserve">CITATION Har96 \n  \t  \l 1033 </w:instrText>
          </w:r>
          <w:r w:rsidR="00FD0314" w:rsidRPr="0035337B">
            <w:rPr>
              <w:lang w:val="en-GB"/>
            </w:rPr>
            <w:fldChar w:fldCharType="separate"/>
          </w:r>
          <w:r w:rsidR="006A4AA8">
            <w:rPr>
              <w:noProof/>
              <w:lang w:val="en-GB"/>
            </w:rPr>
            <w:t xml:space="preserve"> </w:t>
          </w:r>
          <w:r w:rsidR="006A4AA8" w:rsidRPr="006A4AA8">
            <w:rPr>
              <w:noProof/>
              <w:lang w:val="en-GB"/>
            </w:rPr>
            <w:t>(1996)</w:t>
          </w:r>
          <w:r w:rsidR="00FD0314" w:rsidRPr="0035337B">
            <w:rPr>
              <w:lang w:val="en-GB"/>
            </w:rPr>
            <w:fldChar w:fldCharType="end"/>
          </w:r>
        </w:sdtContent>
      </w:sdt>
      <w:r w:rsidRPr="0035337B">
        <w:rPr>
          <w:lang w:val="en-GB"/>
        </w:rPr>
        <w:t xml:space="preserve"> sector study was focussed on storage and throughput of dry and liquid mass goods and roll-on/roll-off transport. It was commissioned to provide estimates of the variables that were needed to calculate volumes using the GSM7 model. Harris predicted a continuously strong competitive position for the Port of Rotterdam due to the solid chemical distribution and pipeline facilities. Based on the report the GHR assumed a 0.3% yearly spatial productivity growth for the GC and EC scenarios and 0.15% per year for the DE scenario.</w:t>
      </w:r>
    </w:p>
    <w:p w:rsidR="000149FB" w:rsidRPr="0035337B" w:rsidRDefault="000149FB" w:rsidP="000149FB">
      <w:pPr>
        <w:spacing w:line="360" w:lineRule="auto"/>
        <w:jc w:val="both"/>
        <w:rPr>
          <w:lang w:val="en-GB"/>
        </w:rPr>
      </w:pPr>
      <w:r w:rsidRPr="0035337B">
        <w:rPr>
          <w:lang w:val="en-GB"/>
        </w:rPr>
        <w:t xml:space="preserve">The GSM7 model results for the period 2000-2020 are shown in table </w:t>
      </w:r>
      <w:r w:rsidR="0054446B">
        <w:rPr>
          <w:lang w:val="en-GB"/>
        </w:rPr>
        <w:t>3</w:t>
      </w:r>
      <w:r w:rsidRPr="0035337B">
        <w:rPr>
          <w:lang w:val="en-GB"/>
        </w:rPr>
        <w:t>.2 along with the results of the energy gasses and oil subsectors.</w:t>
      </w:r>
    </w:p>
    <w:tbl>
      <w:tblPr>
        <w:tblStyle w:val="ColorfulList"/>
        <w:tblW w:w="0" w:type="auto"/>
        <w:tblLook w:val="04A0"/>
      </w:tblPr>
      <w:tblGrid>
        <w:gridCol w:w="2943"/>
        <w:gridCol w:w="2074"/>
        <w:gridCol w:w="2074"/>
        <w:gridCol w:w="2075"/>
      </w:tblGrid>
      <w:tr w:rsidR="000149FB" w:rsidRPr="0035337B" w:rsidTr="000149FB">
        <w:trPr>
          <w:cnfStyle w:val="100000000000"/>
          <w:trHeight w:val="269"/>
        </w:trPr>
        <w:tc>
          <w:tcPr>
            <w:cnfStyle w:val="001000000000"/>
            <w:tcW w:w="2943" w:type="dxa"/>
          </w:tcPr>
          <w:p w:rsidR="000149FB" w:rsidRPr="000149FB" w:rsidRDefault="000149FB" w:rsidP="001C1FCC">
            <w:pPr>
              <w:spacing w:line="360" w:lineRule="auto"/>
              <w:jc w:val="both"/>
              <w:rPr>
                <w:sz w:val="18"/>
                <w:szCs w:val="18"/>
                <w:lang w:val="en-GB"/>
              </w:rPr>
            </w:pPr>
            <w:r w:rsidRPr="000149FB">
              <w:rPr>
                <w:sz w:val="18"/>
                <w:szCs w:val="18"/>
                <w:lang w:val="en-GB"/>
              </w:rPr>
              <w:t>Table 3.4</w:t>
            </w:r>
          </w:p>
        </w:tc>
        <w:tc>
          <w:tcPr>
            <w:tcW w:w="2074" w:type="dxa"/>
          </w:tcPr>
          <w:p w:rsidR="000149FB" w:rsidRPr="000149FB" w:rsidRDefault="000149FB" w:rsidP="001C1FCC">
            <w:pPr>
              <w:spacing w:line="360" w:lineRule="auto"/>
              <w:jc w:val="both"/>
              <w:cnfStyle w:val="100000000000"/>
              <w:rPr>
                <w:sz w:val="18"/>
                <w:szCs w:val="18"/>
                <w:lang w:val="en-GB"/>
              </w:rPr>
            </w:pPr>
            <w:r w:rsidRPr="000149FB">
              <w:rPr>
                <w:sz w:val="18"/>
                <w:szCs w:val="18"/>
                <w:lang w:val="en-GB"/>
              </w:rPr>
              <w:t>GC</w:t>
            </w:r>
          </w:p>
        </w:tc>
        <w:tc>
          <w:tcPr>
            <w:tcW w:w="2074" w:type="dxa"/>
          </w:tcPr>
          <w:p w:rsidR="000149FB" w:rsidRPr="000149FB" w:rsidRDefault="000149FB" w:rsidP="001C1FCC">
            <w:pPr>
              <w:spacing w:line="360" w:lineRule="auto"/>
              <w:jc w:val="both"/>
              <w:cnfStyle w:val="100000000000"/>
              <w:rPr>
                <w:sz w:val="18"/>
                <w:szCs w:val="18"/>
                <w:lang w:val="en-GB"/>
              </w:rPr>
            </w:pPr>
            <w:r w:rsidRPr="000149FB">
              <w:rPr>
                <w:sz w:val="18"/>
                <w:szCs w:val="18"/>
                <w:lang w:val="en-GB"/>
              </w:rPr>
              <w:t>EC</w:t>
            </w:r>
          </w:p>
        </w:tc>
        <w:tc>
          <w:tcPr>
            <w:tcW w:w="2075" w:type="dxa"/>
          </w:tcPr>
          <w:p w:rsidR="000149FB" w:rsidRPr="000149FB" w:rsidRDefault="000149FB" w:rsidP="001C1FCC">
            <w:pPr>
              <w:spacing w:line="360" w:lineRule="auto"/>
              <w:jc w:val="both"/>
              <w:cnfStyle w:val="100000000000"/>
              <w:rPr>
                <w:sz w:val="18"/>
                <w:szCs w:val="18"/>
                <w:lang w:val="en-GB"/>
              </w:rPr>
            </w:pPr>
            <w:r w:rsidRPr="000149FB">
              <w:rPr>
                <w:sz w:val="18"/>
                <w:szCs w:val="18"/>
                <w:lang w:val="en-GB"/>
              </w:rPr>
              <w:t>DE</w:t>
            </w:r>
          </w:p>
        </w:tc>
      </w:tr>
      <w:tr w:rsidR="000149FB" w:rsidRPr="0035337B" w:rsidTr="000149FB">
        <w:trPr>
          <w:cnfStyle w:val="000000100000"/>
          <w:trHeight w:val="269"/>
        </w:trPr>
        <w:tc>
          <w:tcPr>
            <w:cnfStyle w:val="001000000000"/>
            <w:tcW w:w="2943" w:type="dxa"/>
          </w:tcPr>
          <w:p w:rsidR="000149FB" w:rsidRPr="000149FB" w:rsidRDefault="000149FB" w:rsidP="001C1FCC">
            <w:pPr>
              <w:spacing w:line="360" w:lineRule="auto"/>
              <w:jc w:val="both"/>
              <w:rPr>
                <w:sz w:val="18"/>
                <w:szCs w:val="18"/>
                <w:lang w:val="en-GB"/>
              </w:rPr>
            </w:pPr>
            <w:r w:rsidRPr="000149FB">
              <w:rPr>
                <w:sz w:val="18"/>
                <w:szCs w:val="18"/>
                <w:lang w:val="en-GB"/>
              </w:rPr>
              <w:t>Crude oil &amp; oil products</w:t>
            </w:r>
          </w:p>
        </w:tc>
        <w:tc>
          <w:tcPr>
            <w:tcW w:w="2074" w:type="dxa"/>
          </w:tcPr>
          <w:p w:rsidR="000149FB" w:rsidRPr="000149FB" w:rsidRDefault="000149FB" w:rsidP="001C1FCC">
            <w:pPr>
              <w:spacing w:line="360" w:lineRule="auto"/>
              <w:jc w:val="both"/>
              <w:cnfStyle w:val="000000100000"/>
              <w:rPr>
                <w:sz w:val="18"/>
                <w:szCs w:val="18"/>
                <w:lang w:val="en-GB"/>
              </w:rPr>
            </w:pPr>
            <w:r w:rsidRPr="000149FB">
              <w:rPr>
                <w:sz w:val="18"/>
                <w:szCs w:val="18"/>
                <w:lang w:val="en-GB"/>
              </w:rPr>
              <w:t>-51</w:t>
            </w:r>
          </w:p>
        </w:tc>
        <w:tc>
          <w:tcPr>
            <w:tcW w:w="2074" w:type="dxa"/>
          </w:tcPr>
          <w:p w:rsidR="000149FB" w:rsidRPr="000149FB" w:rsidRDefault="000149FB" w:rsidP="001C1FCC">
            <w:pPr>
              <w:spacing w:line="360" w:lineRule="auto"/>
              <w:jc w:val="both"/>
              <w:cnfStyle w:val="000000100000"/>
              <w:rPr>
                <w:sz w:val="18"/>
                <w:szCs w:val="18"/>
                <w:lang w:val="en-GB"/>
              </w:rPr>
            </w:pPr>
            <w:r w:rsidRPr="000149FB">
              <w:rPr>
                <w:sz w:val="18"/>
                <w:szCs w:val="18"/>
                <w:lang w:val="en-GB"/>
              </w:rPr>
              <w:t>-51</w:t>
            </w:r>
          </w:p>
        </w:tc>
        <w:tc>
          <w:tcPr>
            <w:tcW w:w="2075" w:type="dxa"/>
          </w:tcPr>
          <w:p w:rsidR="000149FB" w:rsidRPr="000149FB" w:rsidRDefault="000149FB" w:rsidP="001C1FCC">
            <w:pPr>
              <w:spacing w:line="360" w:lineRule="auto"/>
              <w:jc w:val="both"/>
              <w:cnfStyle w:val="000000100000"/>
              <w:rPr>
                <w:sz w:val="18"/>
                <w:szCs w:val="18"/>
                <w:lang w:val="en-GB"/>
              </w:rPr>
            </w:pPr>
            <w:r w:rsidRPr="000149FB">
              <w:rPr>
                <w:sz w:val="18"/>
                <w:szCs w:val="18"/>
                <w:lang w:val="en-GB"/>
              </w:rPr>
              <w:t>-51</w:t>
            </w:r>
          </w:p>
        </w:tc>
      </w:tr>
      <w:tr w:rsidR="000149FB" w:rsidRPr="0035337B" w:rsidTr="000149FB">
        <w:trPr>
          <w:trHeight w:val="269"/>
        </w:trPr>
        <w:tc>
          <w:tcPr>
            <w:cnfStyle w:val="001000000000"/>
            <w:tcW w:w="2943" w:type="dxa"/>
          </w:tcPr>
          <w:p w:rsidR="000149FB" w:rsidRPr="000149FB" w:rsidRDefault="000149FB" w:rsidP="001C1FCC">
            <w:pPr>
              <w:spacing w:line="360" w:lineRule="auto"/>
              <w:jc w:val="both"/>
              <w:rPr>
                <w:sz w:val="18"/>
                <w:szCs w:val="18"/>
                <w:lang w:val="en-GB"/>
              </w:rPr>
            </w:pPr>
            <w:r w:rsidRPr="000149FB">
              <w:rPr>
                <w:sz w:val="18"/>
                <w:szCs w:val="18"/>
                <w:lang w:val="en-GB"/>
              </w:rPr>
              <w:t>Energy gasses (LNG terminal)</w:t>
            </w:r>
          </w:p>
        </w:tc>
        <w:tc>
          <w:tcPr>
            <w:tcW w:w="2074" w:type="dxa"/>
          </w:tcPr>
          <w:p w:rsidR="000149FB" w:rsidRPr="000149FB" w:rsidRDefault="000149FB" w:rsidP="001C1FCC">
            <w:pPr>
              <w:spacing w:line="360" w:lineRule="auto"/>
              <w:jc w:val="both"/>
              <w:cnfStyle w:val="000000000000"/>
              <w:rPr>
                <w:sz w:val="18"/>
                <w:szCs w:val="18"/>
                <w:lang w:val="en-GB"/>
              </w:rPr>
            </w:pPr>
            <w:r w:rsidRPr="000149FB">
              <w:rPr>
                <w:sz w:val="18"/>
                <w:szCs w:val="18"/>
                <w:lang w:val="en-GB"/>
              </w:rPr>
              <w:t>30</w:t>
            </w:r>
          </w:p>
        </w:tc>
        <w:tc>
          <w:tcPr>
            <w:tcW w:w="2074" w:type="dxa"/>
          </w:tcPr>
          <w:p w:rsidR="000149FB" w:rsidRPr="000149FB" w:rsidRDefault="000149FB" w:rsidP="001C1FCC">
            <w:pPr>
              <w:spacing w:line="360" w:lineRule="auto"/>
              <w:jc w:val="both"/>
              <w:cnfStyle w:val="000000000000"/>
              <w:rPr>
                <w:sz w:val="18"/>
                <w:szCs w:val="18"/>
                <w:lang w:val="en-GB"/>
              </w:rPr>
            </w:pPr>
            <w:r w:rsidRPr="000149FB">
              <w:rPr>
                <w:sz w:val="18"/>
                <w:szCs w:val="18"/>
                <w:lang w:val="en-GB"/>
              </w:rPr>
              <w:t>30</w:t>
            </w:r>
          </w:p>
        </w:tc>
        <w:tc>
          <w:tcPr>
            <w:tcW w:w="2075" w:type="dxa"/>
          </w:tcPr>
          <w:p w:rsidR="000149FB" w:rsidRPr="000149FB" w:rsidRDefault="000149FB" w:rsidP="001C1FCC">
            <w:pPr>
              <w:spacing w:line="360" w:lineRule="auto"/>
              <w:jc w:val="both"/>
              <w:cnfStyle w:val="000000000000"/>
              <w:rPr>
                <w:sz w:val="18"/>
                <w:szCs w:val="18"/>
                <w:lang w:val="en-GB"/>
              </w:rPr>
            </w:pPr>
            <w:r w:rsidRPr="000149FB">
              <w:rPr>
                <w:sz w:val="18"/>
                <w:szCs w:val="18"/>
                <w:lang w:val="en-GB"/>
              </w:rPr>
              <w:t>0</w:t>
            </w:r>
          </w:p>
        </w:tc>
      </w:tr>
      <w:tr w:rsidR="000149FB" w:rsidRPr="0035337B" w:rsidTr="000149FB">
        <w:trPr>
          <w:cnfStyle w:val="000000100000"/>
          <w:trHeight w:val="269"/>
        </w:trPr>
        <w:tc>
          <w:tcPr>
            <w:cnfStyle w:val="001000000000"/>
            <w:tcW w:w="2943" w:type="dxa"/>
          </w:tcPr>
          <w:p w:rsidR="000149FB" w:rsidRPr="000149FB" w:rsidRDefault="000149FB" w:rsidP="001C1FCC">
            <w:pPr>
              <w:spacing w:line="360" w:lineRule="auto"/>
              <w:jc w:val="both"/>
              <w:rPr>
                <w:sz w:val="18"/>
                <w:szCs w:val="18"/>
                <w:lang w:val="en-GB"/>
              </w:rPr>
            </w:pPr>
            <w:r w:rsidRPr="000149FB">
              <w:rPr>
                <w:sz w:val="18"/>
                <w:szCs w:val="18"/>
                <w:lang w:val="en-GB"/>
              </w:rPr>
              <w:t>Chemical products</w:t>
            </w:r>
          </w:p>
        </w:tc>
        <w:tc>
          <w:tcPr>
            <w:tcW w:w="2074" w:type="dxa"/>
          </w:tcPr>
          <w:p w:rsidR="000149FB" w:rsidRPr="000149FB" w:rsidRDefault="000149FB" w:rsidP="001C1FCC">
            <w:pPr>
              <w:spacing w:line="360" w:lineRule="auto"/>
              <w:jc w:val="both"/>
              <w:cnfStyle w:val="000000100000"/>
              <w:rPr>
                <w:sz w:val="18"/>
                <w:szCs w:val="18"/>
                <w:lang w:val="en-GB"/>
              </w:rPr>
            </w:pPr>
            <w:r w:rsidRPr="000149FB">
              <w:rPr>
                <w:sz w:val="18"/>
                <w:szCs w:val="18"/>
                <w:lang w:val="en-GB"/>
              </w:rPr>
              <w:t>85</w:t>
            </w:r>
          </w:p>
        </w:tc>
        <w:tc>
          <w:tcPr>
            <w:tcW w:w="2074" w:type="dxa"/>
          </w:tcPr>
          <w:p w:rsidR="000149FB" w:rsidRPr="000149FB" w:rsidRDefault="000149FB" w:rsidP="001C1FCC">
            <w:pPr>
              <w:spacing w:line="360" w:lineRule="auto"/>
              <w:jc w:val="both"/>
              <w:cnfStyle w:val="000000100000"/>
              <w:rPr>
                <w:sz w:val="18"/>
                <w:szCs w:val="18"/>
                <w:lang w:val="en-GB"/>
              </w:rPr>
            </w:pPr>
            <w:r w:rsidRPr="000149FB">
              <w:rPr>
                <w:sz w:val="18"/>
                <w:szCs w:val="18"/>
                <w:lang w:val="en-GB"/>
              </w:rPr>
              <w:t>25</w:t>
            </w:r>
          </w:p>
        </w:tc>
        <w:tc>
          <w:tcPr>
            <w:tcW w:w="2075" w:type="dxa"/>
          </w:tcPr>
          <w:p w:rsidR="000149FB" w:rsidRPr="000149FB" w:rsidRDefault="000149FB" w:rsidP="001C1FCC">
            <w:pPr>
              <w:spacing w:line="360" w:lineRule="auto"/>
              <w:jc w:val="both"/>
              <w:cnfStyle w:val="000000100000"/>
              <w:rPr>
                <w:sz w:val="18"/>
                <w:szCs w:val="18"/>
                <w:lang w:val="en-GB"/>
              </w:rPr>
            </w:pPr>
            <w:r w:rsidRPr="000149FB">
              <w:rPr>
                <w:sz w:val="18"/>
                <w:szCs w:val="18"/>
                <w:lang w:val="en-GB"/>
              </w:rPr>
              <w:t>0</w:t>
            </w:r>
          </w:p>
        </w:tc>
      </w:tr>
    </w:tbl>
    <w:p w:rsidR="000149FB" w:rsidRPr="0035337B" w:rsidRDefault="000149FB" w:rsidP="000149FB">
      <w:pPr>
        <w:tabs>
          <w:tab w:val="left" w:pos="1265"/>
        </w:tabs>
        <w:spacing w:line="360" w:lineRule="auto"/>
        <w:jc w:val="right"/>
        <w:rPr>
          <w:sz w:val="18"/>
          <w:szCs w:val="18"/>
          <w:lang w:val="en-GB"/>
        </w:rPr>
      </w:pPr>
      <w:r w:rsidRPr="0035337B">
        <w:rPr>
          <w:sz w:val="18"/>
          <w:szCs w:val="18"/>
          <w:lang w:val="en-GB"/>
        </w:rPr>
        <w:t>In hectares</w:t>
      </w:r>
    </w:p>
    <w:p w:rsidR="005D0A5D" w:rsidRPr="005D0A5D" w:rsidRDefault="0054446B" w:rsidP="0054446B">
      <w:pPr>
        <w:pStyle w:val="Heading2"/>
        <w:jc w:val="left"/>
        <w:rPr>
          <w:lang w:val="en-GB"/>
        </w:rPr>
      </w:pPr>
      <w:bookmarkStart w:id="20" w:name="_Toc363737834"/>
      <w:r>
        <w:rPr>
          <w:lang w:val="en-GB"/>
        </w:rPr>
        <w:t>3.8 Container sector</w:t>
      </w:r>
      <w:r w:rsidRPr="0035337B">
        <w:rPr>
          <w:rStyle w:val="FootnoteReference"/>
          <w:lang w:val="en-GB"/>
        </w:rPr>
        <w:footnoteReference w:id="3"/>
      </w:r>
      <w:bookmarkEnd w:id="20"/>
    </w:p>
    <w:p w:rsidR="0054446B" w:rsidRPr="0035337B" w:rsidRDefault="0054446B" w:rsidP="0054446B">
      <w:pPr>
        <w:spacing w:line="360" w:lineRule="auto"/>
        <w:jc w:val="both"/>
        <w:rPr>
          <w:lang w:val="en-GB"/>
        </w:rPr>
      </w:pPr>
      <w:r w:rsidRPr="0035337B">
        <w:rPr>
          <w:lang w:val="en-GB"/>
        </w:rPr>
        <w:t>The figures for container throughput are based on the CPB</w:t>
      </w:r>
      <w:sdt>
        <w:sdtPr>
          <w:rPr>
            <w:lang w:val="en-GB"/>
          </w:rPr>
          <w:id w:val="-1455707898"/>
          <w:citation/>
        </w:sdtPr>
        <w:sdtContent>
          <w:r w:rsidR="00FD0314" w:rsidRPr="0035337B">
            <w:rPr>
              <w:lang w:val="en-GB"/>
            </w:rPr>
            <w:fldChar w:fldCharType="begin"/>
          </w:r>
          <w:r w:rsidRPr="0035337B">
            <w:rPr>
              <w:lang w:val="en-GB"/>
            </w:rPr>
            <w:instrText xml:space="preserve">CITATION Cen96 \n  \t  \l 1033 </w:instrText>
          </w:r>
          <w:r w:rsidR="00FD0314" w:rsidRPr="0035337B">
            <w:rPr>
              <w:lang w:val="en-GB"/>
            </w:rPr>
            <w:fldChar w:fldCharType="separate"/>
          </w:r>
          <w:r w:rsidR="006A4AA8">
            <w:rPr>
              <w:noProof/>
              <w:lang w:val="en-GB"/>
            </w:rPr>
            <w:t xml:space="preserve"> </w:t>
          </w:r>
          <w:r w:rsidR="006A4AA8" w:rsidRPr="006A4AA8">
            <w:rPr>
              <w:noProof/>
              <w:lang w:val="en-GB"/>
            </w:rPr>
            <w:t>(1996)</w:t>
          </w:r>
          <w:r w:rsidR="00FD0314" w:rsidRPr="0035337B">
            <w:rPr>
              <w:lang w:val="en-GB"/>
            </w:rPr>
            <w:fldChar w:fldCharType="end"/>
          </w:r>
        </w:sdtContent>
      </w:sdt>
      <w:r w:rsidRPr="0035337B">
        <w:rPr>
          <w:lang w:val="en-GB"/>
        </w:rPr>
        <w:t xml:space="preserve"> growth scenarios, the GHR </w:t>
      </w:r>
      <w:sdt>
        <w:sdtPr>
          <w:rPr>
            <w:lang w:val="en-GB"/>
          </w:rPr>
          <w:id w:val="1939488093"/>
          <w:citation/>
        </w:sdtPr>
        <w:sdtContent>
          <w:r w:rsidR="00FD0314" w:rsidRPr="0035337B">
            <w:rPr>
              <w:lang w:val="en-GB"/>
            </w:rPr>
            <w:fldChar w:fldCharType="begin"/>
          </w:r>
          <w:r w:rsidRPr="0035337B">
            <w:rPr>
              <w:lang w:val="en-GB"/>
            </w:rPr>
            <w:instrText xml:space="preserve">CITATION GHR8b \n  \t  \l 1033 </w:instrText>
          </w:r>
          <w:r w:rsidR="00FD0314" w:rsidRPr="0035337B">
            <w:rPr>
              <w:lang w:val="en-GB"/>
            </w:rPr>
            <w:fldChar w:fldCharType="separate"/>
          </w:r>
          <w:r w:rsidR="006A4AA8" w:rsidRPr="006A4AA8">
            <w:rPr>
              <w:noProof/>
              <w:lang w:val="en-GB"/>
            </w:rPr>
            <w:t>(1998b)</w:t>
          </w:r>
          <w:r w:rsidR="00FD0314" w:rsidRPr="0035337B">
            <w:rPr>
              <w:lang w:val="en-GB"/>
            </w:rPr>
            <w:fldChar w:fldCharType="end"/>
          </w:r>
        </w:sdtContent>
      </w:sdt>
      <w:r w:rsidRPr="0035337B">
        <w:rPr>
          <w:lang w:val="en-GB"/>
        </w:rPr>
        <w:t xml:space="preserve"> GSM7 model and the 1999 study by Ocean Shipping Consultants Ltd </w:t>
      </w:r>
      <w:sdt>
        <w:sdtPr>
          <w:rPr>
            <w:lang w:val="en-GB"/>
          </w:rPr>
          <w:id w:val="1840349522"/>
          <w:citation/>
        </w:sdtPr>
        <w:sdtContent>
          <w:r w:rsidR="00FD0314" w:rsidRPr="0035337B">
            <w:rPr>
              <w:lang w:val="en-GB"/>
            </w:rPr>
            <w:fldChar w:fldCharType="begin"/>
          </w:r>
          <w:r w:rsidRPr="0035337B">
            <w:rPr>
              <w:lang w:val="en-GB"/>
            </w:rPr>
            <w:instrText xml:space="preserve">CITATION OSC99 \n  \t  \l 1033 </w:instrText>
          </w:r>
          <w:r w:rsidR="00FD0314" w:rsidRPr="0035337B">
            <w:rPr>
              <w:lang w:val="en-GB"/>
            </w:rPr>
            <w:fldChar w:fldCharType="separate"/>
          </w:r>
          <w:r w:rsidR="006A4AA8" w:rsidRPr="006A4AA8">
            <w:rPr>
              <w:noProof/>
              <w:lang w:val="en-GB"/>
            </w:rPr>
            <w:t>(1999)</w:t>
          </w:r>
          <w:r w:rsidR="00FD0314" w:rsidRPr="0035337B">
            <w:rPr>
              <w:lang w:val="en-GB"/>
            </w:rPr>
            <w:fldChar w:fldCharType="end"/>
          </w:r>
        </w:sdtContent>
      </w:sdt>
      <w:r w:rsidRPr="0035337B">
        <w:rPr>
          <w:lang w:val="en-GB"/>
        </w:rPr>
        <w:t xml:space="preserve">, henceforth OSC. The CPB scenarios mentioned above were at the base of many of the studies that were conducted specifically for the cost benefit analysis.  The Netherlands Bureau for Economic Policy Analysis has a long history of outlining scenarios and predicting economic variables. OSC </w:t>
      </w:r>
      <w:r w:rsidRPr="0035337B">
        <w:rPr>
          <w:lang w:val="en-GB"/>
        </w:rPr>
        <w:lastRenderedPageBreak/>
        <w:t>is a large firm focussed on trade and shipping market analysis, they have made dozens of large publications in the relevant field.</w:t>
      </w:r>
    </w:p>
    <w:p w:rsidR="0054446B" w:rsidRPr="0035337B" w:rsidRDefault="0054446B" w:rsidP="0054446B">
      <w:pPr>
        <w:spacing w:line="360" w:lineRule="auto"/>
        <w:jc w:val="both"/>
        <w:rPr>
          <w:lang w:val="en-GB"/>
        </w:rPr>
      </w:pPr>
      <w:r w:rsidRPr="0035337B">
        <w:rPr>
          <w:lang w:val="en-GB"/>
        </w:rPr>
        <w:t>The CPB provided growth predictions of relevant variables, namely GDP growth and physical production growth, for three potential scenarios. These figures were used as input for the GSM7 model to estimate container throughput for the Port of Rotterdam as well as predictions for a large number of other categories. The GSM7 document is based on a model for projecting container flows. The development of flows of goods is linked to the development of sectors or other relevant variables. These flows are then coupled with country or region specific projections. Lastly a scenario based competitive analysis determines the market share per flow resulting in a prediction of container throughput per scenario.</w:t>
      </w:r>
    </w:p>
    <w:p w:rsidR="0054446B" w:rsidRPr="0035337B" w:rsidRDefault="0054446B" w:rsidP="0054446B">
      <w:pPr>
        <w:spacing w:line="360" w:lineRule="auto"/>
        <w:jc w:val="both"/>
        <w:rPr>
          <w:lang w:val="en-GB"/>
        </w:rPr>
      </w:pPr>
      <w:r w:rsidRPr="0035337B">
        <w:rPr>
          <w:lang w:val="en-GB"/>
        </w:rPr>
        <w:t xml:space="preserve">Presented below are the results of the GSM7 model per scenario. </w:t>
      </w:r>
    </w:p>
    <w:tbl>
      <w:tblPr>
        <w:tblStyle w:val="ColorfulList"/>
        <w:tblW w:w="0" w:type="auto"/>
        <w:tblLook w:val="04A0"/>
      </w:tblPr>
      <w:tblGrid>
        <w:gridCol w:w="3055"/>
        <w:gridCol w:w="3055"/>
        <w:gridCol w:w="3056"/>
      </w:tblGrid>
      <w:tr w:rsidR="0054446B" w:rsidRPr="0054446B" w:rsidTr="0054446B">
        <w:trPr>
          <w:cnfStyle w:val="100000000000"/>
        </w:trPr>
        <w:tc>
          <w:tcPr>
            <w:cnfStyle w:val="001000000000"/>
            <w:tcW w:w="3055" w:type="dxa"/>
          </w:tcPr>
          <w:p w:rsidR="0054446B" w:rsidRPr="0054446B" w:rsidRDefault="0054446B" w:rsidP="001C1FCC">
            <w:pPr>
              <w:spacing w:line="360" w:lineRule="auto"/>
              <w:jc w:val="both"/>
              <w:rPr>
                <w:sz w:val="18"/>
                <w:szCs w:val="18"/>
                <w:lang w:val="en-GB"/>
              </w:rPr>
            </w:pPr>
            <w:r w:rsidRPr="0054446B">
              <w:rPr>
                <w:sz w:val="18"/>
                <w:szCs w:val="18"/>
                <w:lang w:val="en-GB"/>
              </w:rPr>
              <w:t>Table 3.5</w:t>
            </w:r>
          </w:p>
        </w:tc>
        <w:tc>
          <w:tcPr>
            <w:tcW w:w="3055" w:type="dxa"/>
          </w:tcPr>
          <w:p w:rsidR="0054446B" w:rsidRPr="0054446B" w:rsidRDefault="0054446B" w:rsidP="001C1FCC">
            <w:pPr>
              <w:spacing w:line="360" w:lineRule="auto"/>
              <w:jc w:val="both"/>
              <w:cnfStyle w:val="100000000000"/>
              <w:rPr>
                <w:sz w:val="18"/>
                <w:szCs w:val="18"/>
                <w:lang w:val="en-GB"/>
              </w:rPr>
            </w:pPr>
            <w:r w:rsidRPr="0054446B">
              <w:rPr>
                <w:sz w:val="18"/>
                <w:szCs w:val="18"/>
                <w:lang w:val="en-GB"/>
              </w:rPr>
              <w:t>1995 (real)</w:t>
            </w:r>
          </w:p>
        </w:tc>
        <w:tc>
          <w:tcPr>
            <w:tcW w:w="3056" w:type="dxa"/>
          </w:tcPr>
          <w:p w:rsidR="0054446B" w:rsidRPr="0054446B" w:rsidRDefault="0054446B" w:rsidP="001C1FCC">
            <w:pPr>
              <w:spacing w:line="360" w:lineRule="auto"/>
              <w:jc w:val="both"/>
              <w:cnfStyle w:val="100000000000"/>
              <w:rPr>
                <w:sz w:val="18"/>
                <w:szCs w:val="18"/>
                <w:lang w:val="en-GB"/>
              </w:rPr>
            </w:pPr>
            <w:r w:rsidRPr="0054446B">
              <w:rPr>
                <w:sz w:val="18"/>
                <w:szCs w:val="18"/>
                <w:lang w:val="en-GB"/>
              </w:rPr>
              <w:t>2020</w:t>
            </w:r>
          </w:p>
        </w:tc>
      </w:tr>
      <w:tr w:rsidR="0054446B" w:rsidRPr="0054446B" w:rsidTr="0054446B">
        <w:trPr>
          <w:cnfStyle w:val="000000100000"/>
        </w:trPr>
        <w:tc>
          <w:tcPr>
            <w:cnfStyle w:val="001000000000"/>
            <w:tcW w:w="3055" w:type="dxa"/>
          </w:tcPr>
          <w:p w:rsidR="0054446B" w:rsidRPr="0054446B" w:rsidRDefault="0054446B" w:rsidP="001C1FCC">
            <w:pPr>
              <w:spacing w:line="360" w:lineRule="auto"/>
              <w:jc w:val="both"/>
              <w:rPr>
                <w:sz w:val="18"/>
                <w:szCs w:val="18"/>
                <w:lang w:val="en-GB"/>
              </w:rPr>
            </w:pPr>
            <w:r w:rsidRPr="0054446B">
              <w:rPr>
                <w:sz w:val="18"/>
                <w:szCs w:val="18"/>
                <w:lang w:val="en-GB"/>
              </w:rPr>
              <w:t>Global Competition</w:t>
            </w:r>
          </w:p>
        </w:tc>
        <w:tc>
          <w:tcPr>
            <w:tcW w:w="3055" w:type="dxa"/>
          </w:tcPr>
          <w:p w:rsidR="0054446B" w:rsidRPr="0054446B" w:rsidRDefault="0054446B" w:rsidP="001C1FCC">
            <w:pPr>
              <w:spacing w:line="360" w:lineRule="auto"/>
              <w:jc w:val="both"/>
              <w:cnfStyle w:val="000000100000"/>
              <w:rPr>
                <w:sz w:val="18"/>
                <w:szCs w:val="18"/>
                <w:lang w:val="en-GB"/>
              </w:rPr>
            </w:pPr>
            <w:r w:rsidRPr="0054446B">
              <w:rPr>
                <w:sz w:val="18"/>
                <w:szCs w:val="18"/>
                <w:lang w:val="en-GB"/>
              </w:rPr>
              <w:t>4.8</w:t>
            </w:r>
          </w:p>
        </w:tc>
        <w:tc>
          <w:tcPr>
            <w:tcW w:w="3056" w:type="dxa"/>
          </w:tcPr>
          <w:p w:rsidR="0054446B" w:rsidRPr="0054446B" w:rsidRDefault="0054446B" w:rsidP="001C1FCC">
            <w:pPr>
              <w:spacing w:line="360" w:lineRule="auto"/>
              <w:jc w:val="both"/>
              <w:cnfStyle w:val="000000100000"/>
              <w:rPr>
                <w:sz w:val="18"/>
                <w:szCs w:val="18"/>
                <w:lang w:val="en-GB"/>
              </w:rPr>
            </w:pPr>
            <w:r w:rsidRPr="0054446B">
              <w:rPr>
                <w:sz w:val="18"/>
                <w:szCs w:val="18"/>
                <w:lang w:val="en-GB"/>
              </w:rPr>
              <w:t>17.6</w:t>
            </w:r>
          </w:p>
        </w:tc>
      </w:tr>
      <w:tr w:rsidR="0054446B" w:rsidRPr="0054446B" w:rsidTr="0054446B">
        <w:tc>
          <w:tcPr>
            <w:cnfStyle w:val="001000000000"/>
            <w:tcW w:w="3055" w:type="dxa"/>
          </w:tcPr>
          <w:p w:rsidR="0054446B" w:rsidRPr="0054446B" w:rsidRDefault="0054446B" w:rsidP="001C1FCC">
            <w:pPr>
              <w:spacing w:line="360" w:lineRule="auto"/>
              <w:jc w:val="both"/>
              <w:rPr>
                <w:sz w:val="18"/>
                <w:szCs w:val="18"/>
                <w:lang w:val="en-GB"/>
              </w:rPr>
            </w:pPr>
            <w:r w:rsidRPr="0054446B">
              <w:rPr>
                <w:sz w:val="18"/>
                <w:szCs w:val="18"/>
                <w:lang w:val="en-GB"/>
              </w:rPr>
              <w:t>European Coordination</w:t>
            </w:r>
          </w:p>
        </w:tc>
        <w:tc>
          <w:tcPr>
            <w:tcW w:w="3055" w:type="dxa"/>
          </w:tcPr>
          <w:p w:rsidR="0054446B" w:rsidRPr="0054446B" w:rsidRDefault="0054446B" w:rsidP="001C1FCC">
            <w:pPr>
              <w:spacing w:line="360" w:lineRule="auto"/>
              <w:jc w:val="both"/>
              <w:cnfStyle w:val="000000000000"/>
              <w:rPr>
                <w:sz w:val="18"/>
                <w:szCs w:val="18"/>
                <w:lang w:val="en-GB"/>
              </w:rPr>
            </w:pPr>
            <w:r w:rsidRPr="0054446B">
              <w:rPr>
                <w:sz w:val="18"/>
                <w:szCs w:val="18"/>
                <w:lang w:val="en-GB"/>
              </w:rPr>
              <w:t>4.8</w:t>
            </w:r>
          </w:p>
        </w:tc>
        <w:tc>
          <w:tcPr>
            <w:tcW w:w="3056" w:type="dxa"/>
          </w:tcPr>
          <w:p w:rsidR="0054446B" w:rsidRPr="0054446B" w:rsidRDefault="0054446B" w:rsidP="001C1FCC">
            <w:pPr>
              <w:spacing w:line="360" w:lineRule="auto"/>
              <w:jc w:val="both"/>
              <w:cnfStyle w:val="000000000000"/>
              <w:rPr>
                <w:sz w:val="18"/>
                <w:szCs w:val="18"/>
                <w:lang w:val="en-GB"/>
              </w:rPr>
            </w:pPr>
            <w:r w:rsidRPr="0054446B">
              <w:rPr>
                <w:sz w:val="18"/>
                <w:szCs w:val="18"/>
                <w:lang w:val="en-GB"/>
              </w:rPr>
              <w:t>15.1</w:t>
            </w:r>
          </w:p>
        </w:tc>
      </w:tr>
      <w:tr w:rsidR="0054446B" w:rsidRPr="0054446B" w:rsidTr="0054446B">
        <w:trPr>
          <w:cnfStyle w:val="000000100000"/>
        </w:trPr>
        <w:tc>
          <w:tcPr>
            <w:cnfStyle w:val="001000000000"/>
            <w:tcW w:w="3055" w:type="dxa"/>
          </w:tcPr>
          <w:p w:rsidR="0054446B" w:rsidRPr="0054446B" w:rsidRDefault="0054446B" w:rsidP="001C1FCC">
            <w:pPr>
              <w:spacing w:line="360" w:lineRule="auto"/>
              <w:jc w:val="both"/>
              <w:rPr>
                <w:sz w:val="18"/>
                <w:szCs w:val="18"/>
                <w:lang w:val="en-GB"/>
              </w:rPr>
            </w:pPr>
            <w:r w:rsidRPr="0054446B">
              <w:rPr>
                <w:sz w:val="18"/>
                <w:szCs w:val="18"/>
                <w:lang w:val="en-GB"/>
              </w:rPr>
              <w:t>Divided Europe</w:t>
            </w:r>
          </w:p>
        </w:tc>
        <w:tc>
          <w:tcPr>
            <w:tcW w:w="3055" w:type="dxa"/>
          </w:tcPr>
          <w:p w:rsidR="0054446B" w:rsidRPr="0054446B" w:rsidRDefault="0054446B" w:rsidP="001C1FCC">
            <w:pPr>
              <w:spacing w:line="360" w:lineRule="auto"/>
              <w:jc w:val="both"/>
              <w:cnfStyle w:val="000000100000"/>
              <w:rPr>
                <w:sz w:val="18"/>
                <w:szCs w:val="18"/>
                <w:lang w:val="en-GB"/>
              </w:rPr>
            </w:pPr>
            <w:r w:rsidRPr="0054446B">
              <w:rPr>
                <w:sz w:val="18"/>
                <w:szCs w:val="18"/>
                <w:lang w:val="en-GB"/>
              </w:rPr>
              <w:t>4.8</w:t>
            </w:r>
          </w:p>
        </w:tc>
        <w:tc>
          <w:tcPr>
            <w:tcW w:w="3056" w:type="dxa"/>
          </w:tcPr>
          <w:p w:rsidR="0054446B" w:rsidRPr="0054446B" w:rsidRDefault="0054446B" w:rsidP="001C1FCC">
            <w:pPr>
              <w:spacing w:line="360" w:lineRule="auto"/>
              <w:jc w:val="both"/>
              <w:cnfStyle w:val="000000100000"/>
              <w:rPr>
                <w:sz w:val="18"/>
                <w:szCs w:val="18"/>
                <w:lang w:val="en-GB"/>
              </w:rPr>
            </w:pPr>
            <w:r w:rsidRPr="0054446B">
              <w:rPr>
                <w:sz w:val="18"/>
                <w:szCs w:val="18"/>
                <w:lang w:val="en-GB"/>
              </w:rPr>
              <w:t>10.5</w:t>
            </w:r>
          </w:p>
        </w:tc>
      </w:tr>
    </w:tbl>
    <w:p w:rsidR="0054446B" w:rsidRPr="0035337B" w:rsidRDefault="0054446B" w:rsidP="004356EC">
      <w:pPr>
        <w:spacing w:line="360" w:lineRule="auto"/>
        <w:jc w:val="right"/>
        <w:rPr>
          <w:sz w:val="18"/>
          <w:szCs w:val="18"/>
          <w:lang w:val="en-GB"/>
        </w:rPr>
      </w:pPr>
      <w:r w:rsidRPr="0035337B">
        <w:rPr>
          <w:sz w:val="18"/>
          <w:szCs w:val="18"/>
          <w:lang w:val="en-GB"/>
        </w:rPr>
        <w:t>In million TEUs</w:t>
      </w:r>
    </w:p>
    <w:p w:rsidR="0054446B" w:rsidRPr="0035337B" w:rsidRDefault="0054446B" w:rsidP="0054446B">
      <w:pPr>
        <w:spacing w:line="360" w:lineRule="auto"/>
        <w:jc w:val="both"/>
        <w:rPr>
          <w:lang w:val="en-GB"/>
        </w:rPr>
      </w:pPr>
      <w:r w:rsidRPr="0035337B">
        <w:rPr>
          <w:lang w:val="en-GB"/>
        </w:rPr>
        <w:t>After the publication of the GSM7 document it was announced that new container terminals would be built in Amsterdam and Vlissingen with relative capacities of 0.8 and 2.4 million TEUs. OSC predicted that in the case of the GC scenario about 75% of the Amsterdam capacity and 25% of the Vlissingen capacity would be taken from Rotterdam. Since the EC and DE scenarios project lower cargo flows across the board, the nominal effects of the new terminals would be less. The figures were scaled down accordingly for the GC and EC scenarios. The DE figure ended up higher because more recent growth figures that exceeded the 1996 scenario estimations were included in the calculation. The final result is shown in table 3.6.</w:t>
      </w:r>
    </w:p>
    <w:tbl>
      <w:tblPr>
        <w:tblStyle w:val="ColorfulList"/>
        <w:tblW w:w="0" w:type="auto"/>
        <w:tblLook w:val="04A0"/>
      </w:tblPr>
      <w:tblGrid>
        <w:gridCol w:w="3055"/>
        <w:gridCol w:w="3055"/>
        <w:gridCol w:w="3056"/>
      </w:tblGrid>
      <w:tr w:rsidR="0054446B" w:rsidRPr="00BD0064" w:rsidTr="00BD0064">
        <w:trPr>
          <w:cnfStyle w:val="100000000000"/>
        </w:trPr>
        <w:tc>
          <w:tcPr>
            <w:cnfStyle w:val="001000000000"/>
            <w:tcW w:w="3055" w:type="dxa"/>
          </w:tcPr>
          <w:p w:rsidR="0054446B" w:rsidRPr="00BD0064" w:rsidRDefault="0054446B" w:rsidP="001C1FCC">
            <w:pPr>
              <w:spacing w:line="360" w:lineRule="auto"/>
              <w:jc w:val="both"/>
              <w:rPr>
                <w:sz w:val="18"/>
                <w:szCs w:val="18"/>
                <w:lang w:val="en-GB"/>
              </w:rPr>
            </w:pPr>
            <w:r w:rsidRPr="00BD0064">
              <w:rPr>
                <w:sz w:val="18"/>
                <w:szCs w:val="18"/>
                <w:lang w:val="en-GB"/>
              </w:rPr>
              <w:t>Table 3.6</w:t>
            </w:r>
          </w:p>
        </w:tc>
        <w:tc>
          <w:tcPr>
            <w:tcW w:w="3055" w:type="dxa"/>
          </w:tcPr>
          <w:p w:rsidR="0054446B" w:rsidRPr="00BD0064" w:rsidRDefault="0054446B" w:rsidP="001C1FCC">
            <w:pPr>
              <w:spacing w:line="360" w:lineRule="auto"/>
              <w:jc w:val="both"/>
              <w:cnfStyle w:val="100000000000"/>
              <w:rPr>
                <w:sz w:val="18"/>
                <w:szCs w:val="18"/>
                <w:lang w:val="en-GB"/>
              </w:rPr>
            </w:pPr>
            <w:r w:rsidRPr="00BD0064">
              <w:rPr>
                <w:sz w:val="18"/>
                <w:szCs w:val="18"/>
                <w:lang w:val="en-GB"/>
              </w:rPr>
              <w:t>1995 (real)</w:t>
            </w:r>
          </w:p>
        </w:tc>
        <w:tc>
          <w:tcPr>
            <w:tcW w:w="3056" w:type="dxa"/>
          </w:tcPr>
          <w:p w:rsidR="0054446B" w:rsidRPr="00BD0064" w:rsidRDefault="0054446B" w:rsidP="001C1FCC">
            <w:pPr>
              <w:spacing w:line="360" w:lineRule="auto"/>
              <w:jc w:val="both"/>
              <w:cnfStyle w:val="100000000000"/>
              <w:rPr>
                <w:sz w:val="18"/>
                <w:szCs w:val="18"/>
                <w:lang w:val="en-GB"/>
              </w:rPr>
            </w:pPr>
            <w:r w:rsidRPr="00BD0064">
              <w:rPr>
                <w:sz w:val="18"/>
                <w:szCs w:val="18"/>
                <w:lang w:val="en-GB"/>
              </w:rPr>
              <w:t>2020</w:t>
            </w:r>
          </w:p>
        </w:tc>
      </w:tr>
      <w:tr w:rsidR="0054446B" w:rsidRPr="00BD0064" w:rsidTr="00BD0064">
        <w:trPr>
          <w:cnfStyle w:val="000000100000"/>
        </w:trPr>
        <w:tc>
          <w:tcPr>
            <w:cnfStyle w:val="001000000000"/>
            <w:tcW w:w="3055" w:type="dxa"/>
          </w:tcPr>
          <w:p w:rsidR="0054446B" w:rsidRPr="00BD0064" w:rsidRDefault="0054446B" w:rsidP="001C1FCC">
            <w:pPr>
              <w:spacing w:line="360" w:lineRule="auto"/>
              <w:jc w:val="both"/>
              <w:rPr>
                <w:sz w:val="18"/>
                <w:szCs w:val="18"/>
                <w:lang w:val="en-GB"/>
              </w:rPr>
            </w:pPr>
            <w:r w:rsidRPr="00BD0064">
              <w:rPr>
                <w:sz w:val="18"/>
                <w:szCs w:val="18"/>
                <w:lang w:val="en-GB"/>
              </w:rPr>
              <w:t>Global Competition</w:t>
            </w:r>
          </w:p>
        </w:tc>
        <w:tc>
          <w:tcPr>
            <w:tcW w:w="3055" w:type="dxa"/>
          </w:tcPr>
          <w:p w:rsidR="0054446B" w:rsidRPr="00BD0064" w:rsidRDefault="0054446B" w:rsidP="001C1FCC">
            <w:pPr>
              <w:spacing w:line="360" w:lineRule="auto"/>
              <w:jc w:val="both"/>
              <w:cnfStyle w:val="000000100000"/>
              <w:rPr>
                <w:sz w:val="18"/>
                <w:szCs w:val="18"/>
                <w:lang w:val="en-GB"/>
              </w:rPr>
            </w:pPr>
            <w:r w:rsidRPr="00BD0064">
              <w:rPr>
                <w:sz w:val="18"/>
                <w:szCs w:val="18"/>
                <w:lang w:val="en-GB"/>
              </w:rPr>
              <w:t>4.8</w:t>
            </w:r>
          </w:p>
        </w:tc>
        <w:tc>
          <w:tcPr>
            <w:tcW w:w="3056" w:type="dxa"/>
          </w:tcPr>
          <w:p w:rsidR="0054446B" w:rsidRPr="00BD0064" w:rsidRDefault="0054446B" w:rsidP="001C1FCC">
            <w:pPr>
              <w:spacing w:line="360" w:lineRule="auto"/>
              <w:jc w:val="both"/>
              <w:cnfStyle w:val="000000100000"/>
              <w:rPr>
                <w:sz w:val="18"/>
                <w:szCs w:val="18"/>
                <w:lang w:val="en-GB"/>
              </w:rPr>
            </w:pPr>
            <w:r w:rsidRPr="00BD0064">
              <w:rPr>
                <w:sz w:val="18"/>
                <w:szCs w:val="18"/>
                <w:lang w:val="en-GB"/>
              </w:rPr>
              <w:t>16.4</w:t>
            </w:r>
          </w:p>
        </w:tc>
      </w:tr>
      <w:tr w:rsidR="0054446B" w:rsidRPr="00BD0064" w:rsidTr="00BD0064">
        <w:tc>
          <w:tcPr>
            <w:cnfStyle w:val="001000000000"/>
            <w:tcW w:w="3055" w:type="dxa"/>
          </w:tcPr>
          <w:p w:rsidR="0054446B" w:rsidRPr="00BD0064" w:rsidRDefault="0054446B" w:rsidP="001C1FCC">
            <w:pPr>
              <w:spacing w:line="360" w:lineRule="auto"/>
              <w:jc w:val="both"/>
              <w:rPr>
                <w:sz w:val="18"/>
                <w:szCs w:val="18"/>
                <w:lang w:val="en-GB"/>
              </w:rPr>
            </w:pPr>
            <w:r w:rsidRPr="00BD0064">
              <w:rPr>
                <w:sz w:val="18"/>
                <w:szCs w:val="18"/>
                <w:lang w:val="en-GB"/>
              </w:rPr>
              <w:t>European Coordination</w:t>
            </w:r>
          </w:p>
        </w:tc>
        <w:tc>
          <w:tcPr>
            <w:tcW w:w="3055" w:type="dxa"/>
          </w:tcPr>
          <w:p w:rsidR="0054446B" w:rsidRPr="00BD0064" w:rsidRDefault="0054446B" w:rsidP="001C1FCC">
            <w:pPr>
              <w:spacing w:line="360" w:lineRule="auto"/>
              <w:jc w:val="both"/>
              <w:cnfStyle w:val="000000000000"/>
              <w:rPr>
                <w:sz w:val="18"/>
                <w:szCs w:val="18"/>
                <w:lang w:val="en-GB"/>
              </w:rPr>
            </w:pPr>
            <w:r w:rsidRPr="00BD0064">
              <w:rPr>
                <w:sz w:val="18"/>
                <w:szCs w:val="18"/>
                <w:lang w:val="en-GB"/>
              </w:rPr>
              <w:t>4.8</w:t>
            </w:r>
          </w:p>
        </w:tc>
        <w:tc>
          <w:tcPr>
            <w:tcW w:w="3056" w:type="dxa"/>
          </w:tcPr>
          <w:p w:rsidR="0054446B" w:rsidRPr="00BD0064" w:rsidRDefault="0054446B" w:rsidP="001C1FCC">
            <w:pPr>
              <w:spacing w:line="360" w:lineRule="auto"/>
              <w:jc w:val="both"/>
              <w:cnfStyle w:val="000000000000"/>
              <w:rPr>
                <w:sz w:val="18"/>
                <w:szCs w:val="18"/>
                <w:lang w:val="en-GB"/>
              </w:rPr>
            </w:pPr>
            <w:r w:rsidRPr="00BD0064">
              <w:rPr>
                <w:sz w:val="18"/>
                <w:szCs w:val="18"/>
                <w:lang w:val="en-GB"/>
              </w:rPr>
              <w:t>14.1</w:t>
            </w:r>
          </w:p>
        </w:tc>
      </w:tr>
      <w:tr w:rsidR="0054446B" w:rsidRPr="00BD0064" w:rsidTr="00BD0064">
        <w:trPr>
          <w:cnfStyle w:val="000000100000"/>
        </w:trPr>
        <w:tc>
          <w:tcPr>
            <w:cnfStyle w:val="001000000000"/>
            <w:tcW w:w="3055" w:type="dxa"/>
          </w:tcPr>
          <w:p w:rsidR="0054446B" w:rsidRPr="00BD0064" w:rsidRDefault="0054446B" w:rsidP="001C1FCC">
            <w:pPr>
              <w:spacing w:line="360" w:lineRule="auto"/>
              <w:jc w:val="both"/>
              <w:rPr>
                <w:sz w:val="18"/>
                <w:szCs w:val="18"/>
                <w:lang w:val="en-GB"/>
              </w:rPr>
            </w:pPr>
            <w:r w:rsidRPr="00BD0064">
              <w:rPr>
                <w:sz w:val="18"/>
                <w:szCs w:val="18"/>
                <w:lang w:val="en-GB"/>
              </w:rPr>
              <w:t>Divided Europe</w:t>
            </w:r>
          </w:p>
        </w:tc>
        <w:tc>
          <w:tcPr>
            <w:tcW w:w="3055" w:type="dxa"/>
          </w:tcPr>
          <w:p w:rsidR="0054446B" w:rsidRPr="00BD0064" w:rsidRDefault="0054446B" w:rsidP="001C1FCC">
            <w:pPr>
              <w:spacing w:line="360" w:lineRule="auto"/>
              <w:jc w:val="both"/>
              <w:cnfStyle w:val="000000100000"/>
              <w:rPr>
                <w:sz w:val="18"/>
                <w:szCs w:val="18"/>
                <w:lang w:val="en-GB"/>
              </w:rPr>
            </w:pPr>
            <w:r w:rsidRPr="00BD0064">
              <w:rPr>
                <w:sz w:val="18"/>
                <w:szCs w:val="18"/>
                <w:lang w:val="en-GB"/>
              </w:rPr>
              <w:t>4.8</w:t>
            </w:r>
          </w:p>
        </w:tc>
        <w:tc>
          <w:tcPr>
            <w:tcW w:w="3056" w:type="dxa"/>
          </w:tcPr>
          <w:p w:rsidR="0054446B" w:rsidRPr="00BD0064" w:rsidRDefault="0054446B" w:rsidP="001C1FCC">
            <w:pPr>
              <w:spacing w:line="360" w:lineRule="auto"/>
              <w:jc w:val="both"/>
              <w:cnfStyle w:val="000000100000"/>
              <w:rPr>
                <w:sz w:val="18"/>
                <w:szCs w:val="18"/>
                <w:lang w:val="en-GB"/>
              </w:rPr>
            </w:pPr>
            <w:r w:rsidRPr="00BD0064">
              <w:rPr>
                <w:sz w:val="18"/>
                <w:szCs w:val="18"/>
                <w:lang w:val="en-GB"/>
              </w:rPr>
              <w:t>11.0</w:t>
            </w:r>
          </w:p>
        </w:tc>
      </w:tr>
    </w:tbl>
    <w:p w:rsidR="0054446B" w:rsidRPr="0035337B" w:rsidRDefault="0054446B" w:rsidP="00BD0064">
      <w:pPr>
        <w:spacing w:line="360" w:lineRule="auto"/>
        <w:jc w:val="right"/>
        <w:rPr>
          <w:sz w:val="18"/>
          <w:szCs w:val="18"/>
          <w:lang w:val="en-GB"/>
        </w:rPr>
      </w:pPr>
      <w:r w:rsidRPr="0035337B">
        <w:rPr>
          <w:sz w:val="18"/>
          <w:szCs w:val="18"/>
          <w:lang w:val="en-GB"/>
        </w:rPr>
        <w:t>In million TEUs</w:t>
      </w:r>
    </w:p>
    <w:p w:rsidR="0054446B" w:rsidRPr="0035337B" w:rsidRDefault="0054446B" w:rsidP="0054446B">
      <w:pPr>
        <w:spacing w:line="360" w:lineRule="auto"/>
        <w:jc w:val="both"/>
        <w:rPr>
          <w:lang w:val="en-GB"/>
        </w:rPr>
      </w:pPr>
      <w:r w:rsidRPr="0035337B">
        <w:rPr>
          <w:lang w:val="en-GB"/>
        </w:rPr>
        <w:t xml:space="preserve">To translate the TEUs to hectares of terrain demand the makers of the cost benefit analysis used the following conversions. For 2020 an average terminal occupancy of 80% is predicted and at this occupancy the terminals are estimated to have a capacity of 29000 TEU per hectare. Every TEU in excess of the projected capacity of the Port of Rotterdam without </w:t>
      </w:r>
      <w:proofErr w:type="spellStart"/>
      <w:r w:rsidRPr="0035337B">
        <w:rPr>
          <w:lang w:val="en-GB"/>
        </w:rPr>
        <w:t>Maasvlakte</w:t>
      </w:r>
      <w:proofErr w:type="spellEnd"/>
      <w:r w:rsidRPr="0035337B">
        <w:rPr>
          <w:lang w:val="en-GB"/>
        </w:rPr>
        <w:t xml:space="preserve"> 2 is </w:t>
      </w:r>
      <w:r w:rsidRPr="0035337B">
        <w:rPr>
          <w:lang w:val="en-GB"/>
        </w:rPr>
        <w:lastRenderedPageBreak/>
        <w:t>translated into potential terrain demand by the aforementioned conversion. The final predicted demand figures can be found in table 3.2.</w:t>
      </w:r>
    </w:p>
    <w:p w:rsidR="00BA2DA9" w:rsidRPr="00981F21" w:rsidRDefault="00BD0064" w:rsidP="00BD0064">
      <w:pPr>
        <w:pStyle w:val="Heading2"/>
        <w:jc w:val="left"/>
        <w:rPr>
          <w:lang w:val="en-GB"/>
        </w:rPr>
      </w:pPr>
      <w:bookmarkStart w:id="21" w:name="_Toc363737835"/>
      <w:r>
        <w:rPr>
          <w:lang w:val="en-GB"/>
        </w:rPr>
        <w:t>3.9 Roll-on/Roll-off</w:t>
      </w:r>
      <w:bookmarkEnd w:id="21"/>
    </w:p>
    <w:p w:rsidR="00BD0064" w:rsidRPr="0035337B" w:rsidRDefault="00BD0064" w:rsidP="00BD0064">
      <w:pPr>
        <w:spacing w:line="360" w:lineRule="auto"/>
        <w:jc w:val="both"/>
        <w:rPr>
          <w:lang w:val="en-GB"/>
        </w:rPr>
      </w:pPr>
      <w:r w:rsidRPr="0035337B">
        <w:rPr>
          <w:lang w:val="en-GB"/>
        </w:rPr>
        <w:t>The Roll-on roll-off sector largely consists of transport between Great Britain and the European mainland. The GSM7 model was used to predict the transport flows.</w:t>
      </w:r>
    </w:p>
    <w:p w:rsidR="00BD0064" w:rsidRPr="0035337B" w:rsidRDefault="00BD0064" w:rsidP="00BD0064">
      <w:pPr>
        <w:spacing w:line="360" w:lineRule="auto"/>
        <w:jc w:val="both"/>
        <w:rPr>
          <w:lang w:val="en-GB"/>
        </w:rPr>
      </w:pPr>
      <w:r w:rsidRPr="0035337B">
        <w:rPr>
          <w:lang w:val="en-GB"/>
        </w:rPr>
        <w:t xml:space="preserve">The model used the predicted variables of various flows of goods between Great Britain and Europe combined with the percentages of </w:t>
      </w:r>
      <w:proofErr w:type="spellStart"/>
      <w:r w:rsidRPr="0035337B">
        <w:rPr>
          <w:lang w:val="en-GB"/>
        </w:rPr>
        <w:t>ro-ro</w:t>
      </w:r>
      <w:proofErr w:type="spellEnd"/>
      <w:r w:rsidRPr="0035337B">
        <w:rPr>
          <w:lang w:val="en-GB"/>
        </w:rPr>
        <w:t xml:space="preserve"> transport per product group to predict the tonnage. An adjustment was made on account of the Channel tunnel, which dampens the </w:t>
      </w:r>
      <w:proofErr w:type="spellStart"/>
      <w:r w:rsidRPr="0035337B">
        <w:rPr>
          <w:lang w:val="en-GB"/>
        </w:rPr>
        <w:t>ro-ro</w:t>
      </w:r>
      <w:proofErr w:type="spellEnd"/>
      <w:r w:rsidRPr="0035337B">
        <w:rPr>
          <w:lang w:val="en-GB"/>
        </w:rPr>
        <w:t xml:space="preserve"> throughput. The results of the GSM7 model for 2020 were a yearly 26, 22 and 17 million tonnes for the GC, EC and DE scenario respectively. </w:t>
      </w:r>
    </w:p>
    <w:p w:rsidR="00BD0064" w:rsidRPr="0035337B" w:rsidRDefault="00BD0064" w:rsidP="00BD0064">
      <w:pPr>
        <w:spacing w:line="360" w:lineRule="auto"/>
        <w:jc w:val="both"/>
        <w:rPr>
          <w:lang w:val="en-GB"/>
        </w:rPr>
      </w:pPr>
      <w:r w:rsidRPr="0035337B">
        <w:rPr>
          <w:lang w:val="en-GB"/>
        </w:rPr>
        <w:t>The potential demand for terrain was estimated by scaling the projected tonnage on the current throughput and adjusting for a 2.5%, 2.4% and 2.2% yearly increase in spatial productivity for the GC, EC and DE scenario respectively. The increase in productivity was estimated in by the GHR (1998c). The final numbers for additional terrain demand are presented in table 3.2.</w:t>
      </w:r>
    </w:p>
    <w:p w:rsidR="00BA2DA9" w:rsidRDefault="00BD0064" w:rsidP="0094129F">
      <w:pPr>
        <w:pStyle w:val="Heading2"/>
        <w:jc w:val="left"/>
        <w:rPr>
          <w:lang w:val="en-GB"/>
        </w:rPr>
      </w:pPr>
      <w:bookmarkStart w:id="22" w:name="_Toc363737836"/>
      <w:r>
        <w:rPr>
          <w:lang w:val="en-GB"/>
        </w:rPr>
        <w:t>3.10 Remaining general cargo</w:t>
      </w:r>
      <w:bookmarkEnd w:id="22"/>
    </w:p>
    <w:p w:rsidR="00BD0064" w:rsidRPr="0035337B" w:rsidRDefault="00BD0064" w:rsidP="00BD0064">
      <w:pPr>
        <w:spacing w:line="360" w:lineRule="auto"/>
        <w:jc w:val="both"/>
        <w:rPr>
          <w:lang w:val="en-GB"/>
        </w:rPr>
      </w:pPr>
      <w:r w:rsidRPr="0035337B">
        <w:rPr>
          <w:lang w:val="en-GB"/>
        </w:rPr>
        <w:t xml:space="preserve">The remaining general cargo sector consists of the general cargo that does not get shipped by container or </w:t>
      </w:r>
      <w:proofErr w:type="spellStart"/>
      <w:r w:rsidRPr="0035337B">
        <w:rPr>
          <w:lang w:val="en-GB"/>
        </w:rPr>
        <w:t>ro-ro</w:t>
      </w:r>
      <w:proofErr w:type="spellEnd"/>
      <w:r w:rsidRPr="0035337B">
        <w:rPr>
          <w:lang w:val="en-GB"/>
        </w:rPr>
        <w:t>. All the research backing up the terrain demand prediction was done by the GHR.</w:t>
      </w:r>
    </w:p>
    <w:p w:rsidR="00BD0064" w:rsidRPr="0035337B" w:rsidRDefault="00BD0064" w:rsidP="00BD0064">
      <w:pPr>
        <w:spacing w:line="360" w:lineRule="auto"/>
        <w:jc w:val="both"/>
        <w:rPr>
          <w:lang w:val="en-GB"/>
        </w:rPr>
      </w:pPr>
      <w:r w:rsidRPr="0035337B">
        <w:rPr>
          <w:lang w:val="en-GB"/>
        </w:rPr>
        <w:t>The GSM7 model was used to predict the potential tonnages for the three scenarios. One condition was a stable competitive position of the Port of Rotterdam in the remaining general cargo market. In the ‘</w:t>
      </w:r>
      <w:proofErr w:type="spellStart"/>
      <w:r w:rsidRPr="0035337B">
        <w:rPr>
          <w:lang w:val="en-GB"/>
        </w:rPr>
        <w:t>Verkenningen</w:t>
      </w:r>
      <w:proofErr w:type="spellEnd"/>
      <w:r w:rsidRPr="0035337B">
        <w:rPr>
          <w:lang w:val="en-GB"/>
        </w:rPr>
        <w:t xml:space="preserve"> 2020’ </w:t>
      </w:r>
      <w:sdt>
        <w:sdtPr>
          <w:rPr>
            <w:lang w:val="en-GB"/>
          </w:rPr>
          <w:id w:val="-1247185062"/>
          <w:citation/>
        </w:sdtPr>
        <w:sdtContent>
          <w:r w:rsidR="00FD0314" w:rsidRPr="0035337B">
            <w:rPr>
              <w:lang w:val="en-GB"/>
            </w:rPr>
            <w:fldChar w:fldCharType="begin"/>
          </w:r>
          <w:r w:rsidRPr="0035337B">
            <w:rPr>
              <w:lang w:val="en-GB"/>
            </w:rPr>
            <w:instrText xml:space="preserve"> CITATION GHR8a \l 1033 </w:instrText>
          </w:r>
          <w:r w:rsidR="00FD0314" w:rsidRPr="0035337B">
            <w:rPr>
              <w:lang w:val="en-GB"/>
            </w:rPr>
            <w:fldChar w:fldCharType="separate"/>
          </w:r>
          <w:r w:rsidR="006A4AA8" w:rsidRPr="006A4AA8">
            <w:rPr>
              <w:noProof/>
              <w:lang w:val="en-GB"/>
            </w:rPr>
            <w:t>(GHR, 1998a)</w:t>
          </w:r>
          <w:r w:rsidR="00FD0314" w:rsidRPr="0035337B">
            <w:rPr>
              <w:lang w:val="en-GB"/>
            </w:rPr>
            <w:fldChar w:fldCharType="end"/>
          </w:r>
        </w:sdtContent>
      </w:sdt>
      <w:r w:rsidRPr="0035337B">
        <w:rPr>
          <w:lang w:val="en-GB"/>
        </w:rPr>
        <w:t xml:space="preserve"> document the effect of a shrinking sector in terms of required terrain was explored.</w:t>
      </w:r>
    </w:p>
    <w:p w:rsidR="00BD0064" w:rsidRPr="0035337B" w:rsidRDefault="00BD0064" w:rsidP="00BD0064">
      <w:pPr>
        <w:spacing w:line="360" w:lineRule="auto"/>
        <w:jc w:val="both"/>
        <w:rPr>
          <w:lang w:val="en-GB"/>
        </w:rPr>
      </w:pPr>
      <w:r w:rsidRPr="0035337B">
        <w:rPr>
          <w:lang w:val="en-GB"/>
        </w:rPr>
        <w:t xml:space="preserve">Where the 1995 tonnage of this sector was 10.5 million tonnes, the GSM7 model projected 10.2, 9.3 and 7.7 for the GC, EC and DE scenarios respectively in the year 2020. This lower tonnage, coupled with an approximately constant spatial productivity, which is an unsupported assumption in the CBA, results in the return of terrain. According to the GHR about 50% of the terrain yielded in shrinking sectors will be available for other port activities. </w:t>
      </w:r>
    </w:p>
    <w:p w:rsidR="00BD0064" w:rsidRDefault="00BD0064" w:rsidP="00BD0064">
      <w:pPr>
        <w:spacing w:line="360" w:lineRule="auto"/>
        <w:jc w:val="both"/>
        <w:rPr>
          <w:lang w:val="en-GB"/>
        </w:rPr>
      </w:pPr>
      <w:r w:rsidRPr="0035337B">
        <w:rPr>
          <w:lang w:val="en-GB"/>
        </w:rPr>
        <w:t>The final results for the terrain demand in the period 2000-2020 are listed in table 3.2.</w:t>
      </w:r>
    </w:p>
    <w:p w:rsidR="006A4AA8" w:rsidRPr="0035337B" w:rsidRDefault="006A4AA8" w:rsidP="00BD0064">
      <w:pPr>
        <w:spacing w:line="360" w:lineRule="auto"/>
        <w:jc w:val="both"/>
        <w:rPr>
          <w:lang w:val="en-GB"/>
        </w:rPr>
      </w:pPr>
    </w:p>
    <w:p w:rsidR="00BD0064" w:rsidRDefault="00BD0064" w:rsidP="0094129F">
      <w:pPr>
        <w:pStyle w:val="Heading2"/>
        <w:jc w:val="left"/>
        <w:rPr>
          <w:lang w:val="en-GB"/>
        </w:rPr>
      </w:pPr>
      <w:bookmarkStart w:id="23" w:name="_Toc363737837"/>
      <w:r>
        <w:rPr>
          <w:lang w:val="en-GB"/>
        </w:rPr>
        <w:lastRenderedPageBreak/>
        <w:t>3.11 Distribution</w:t>
      </w:r>
      <w:bookmarkEnd w:id="23"/>
    </w:p>
    <w:p w:rsidR="00BD0064" w:rsidRPr="0035337B" w:rsidRDefault="00BD0064" w:rsidP="00BD0064">
      <w:pPr>
        <w:spacing w:line="360" w:lineRule="auto"/>
        <w:jc w:val="both"/>
        <w:rPr>
          <w:lang w:val="en-GB"/>
        </w:rPr>
      </w:pPr>
      <w:r w:rsidRPr="0035337B">
        <w:rPr>
          <w:lang w:val="en-GB"/>
        </w:rPr>
        <w:t xml:space="preserve">To map the potential terrain demand for the distribution sector three separate studies were considered. The CPB </w:t>
      </w:r>
      <w:sdt>
        <w:sdtPr>
          <w:rPr>
            <w:lang w:val="en-GB"/>
          </w:rPr>
          <w:id w:val="319165979"/>
          <w:citation/>
        </w:sdtPr>
        <w:sdtContent>
          <w:r w:rsidR="00FD0314" w:rsidRPr="0035337B">
            <w:rPr>
              <w:lang w:val="en-GB"/>
            </w:rPr>
            <w:fldChar w:fldCharType="begin"/>
          </w:r>
          <w:r w:rsidRPr="0035337B">
            <w:rPr>
              <w:lang w:val="en-GB"/>
            </w:rPr>
            <w:instrText xml:space="preserve">CITATION CPB97 \n  \t  \l 1033 </w:instrText>
          </w:r>
          <w:r w:rsidR="00FD0314" w:rsidRPr="0035337B">
            <w:rPr>
              <w:lang w:val="en-GB"/>
            </w:rPr>
            <w:fldChar w:fldCharType="separate"/>
          </w:r>
          <w:r w:rsidR="006A4AA8" w:rsidRPr="006A4AA8">
            <w:rPr>
              <w:noProof/>
              <w:lang w:val="en-GB"/>
            </w:rPr>
            <w:t>(1997)</w:t>
          </w:r>
          <w:r w:rsidR="00FD0314" w:rsidRPr="0035337B">
            <w:rPr>
              <w:lang w:val="en-GB"/>
            </w:rPr>
            <w:fldChar w:fldCharType="end"/>
          </w:r>
        </w:sdtContent>
      </w:sdt>
      <w:r w:rsidRPr="0035337B">
        <w:rPr>
          <w:lang w:val="en-GB"/>
        </w:rPr>
        <w:t xml:space="preserve">, GHR and Buck Consultants International </w:t>
      </w:r>
      <w:sdt>
        <w:sdtPr>
          <w:rPr>
            <w:lang w:val="en-GB"/>
          </w:rPr>
          <w:id w:val="1822997218"/>
          <w:citation/>
        </w:sdtPr>
        <w:sdtContent>
          <w:r w:rsidR="00FD0314" w:rsidRPr="0035337B">
            <w:rPr>
              <w:lang w:val="en-GB"/>
            </w:rPr>
            <w:fldChar w:fldCharType="begin"/>
          </w:r>
          <w:r w:rsidRPr="0035337B">
            <w:rPr>
              <w:lang w:val="en-GB"/>
            </w:rPr>
            <w:instrText xml:space="preserve">CITATION BCI99 \n  \t  \l 1033 </w:instrText>
          </w:r>
          <w:r w:rsidR="00FD0314" w:rsidRPr="0035337B">
            <w:rPr>
              <w:lang w:val="en-GB"/>
            </w:rPr>
            <w:fldChar w:fldCharType="separate"/>
          </w:r>
          <w:r w:rsidR="006A4AA8" w:rsidRPr="006A4AA8">
            <w:rPr>
              <w:noProof/>
              <w:lang w:val="en-GB"/>
            </w:rPr>
            <w:t>(1999)</w:t>
          </w:r>
          <w:r w:rsidR="00FD0314" w:rsidRPr="0035337B">
            <w:rPr>
              <w:lang w:val="en-GB"/>
            </w:rPr>
            <w:fldChar w:fldCharType="end"/>
          </w:r>
        </w:sdtContent>
      </w:sdt>
      <w:r w:rsidRPr="0035337B">
        <w:rPr>
          <w:lang w:val="en-GB"/>
        </w:rPr>
        <w:t>, henceforth BCI, studies produced three terrain demand growth figures. BCI is a research and consultancy firm that specialises in, among other things, infrastructure, logistics and transport. They have a long history of working in the relevant field for private businesses, governments and combinations of the two.</w:t>
      </w:r>
    </w:p>
    <w:p w:rsidR="00BD0064" w:rsidRPr="0035337B" w:rsidRDefault="00BD0064" w:rsidP="00BD0064">
      <w:pPr>
        <w:spacing w:line="360" w:lineRule="auto"/>
        <w:jc w:val="both"/>
        <w:rPr>
          <w:lang w:val="en-GB"/>
        </w:rPr>
      </w:pPr>
      <w:r w:rsidRPr="0035337B">
        <w:rPr>
          <w:lang w:val="en-GB"/>
        </w:rPr>
        <w:t xml:space="preserve">In the CPB and GHR documents the estimate of the terrain demand for distribution is one of many goals for the study. The BCI study was commissioned by the makers of the cost benefit analysis solely to explore the potential terrain demand of distribution and provide a side by side comparison of the results from the three studies.  All three studies are based on the economic variables growth figures from the CPB </w:t>
      </w:r>
      <w:sdt>
        <w:sdtPr>
          <w:rPr>
            <w:lang w:val="en-GB"/>
          </w:rPr>
          <w:id w:val="-92398780"/>
          <w:citation/>
        </w:sdtPr>
        <w:sdtContent>
          <w:r w:rsidR="00FD0314" w:rsidRPr="0035337B">
            <w:rPr>
              <w:lang w:val="en-GB"/>
            </w:rPr>
            <w:fldChar w:fldCharType="begin"/>
          </w:r>
          <w:r w:rsidRPr="0035337B">
            <w:rPr>
              <w:lang w:val="en-GB"/>
            </w:rPr>
            <w:instrText xml:space="preserve">CITATION Cen96 \n  \t  \l 1033 </w:instrText>
          </w:r>
          <w:r w:rsidR="00FD0314" w:rsidRPr="0035337B">
            <w:rPr>
              <w:lang w:val="en-GB"/>
            </w:rPr>
            <w:fldChar w:fldCharType="separate"/>
          </w:r>
          <w:r w:rsidR="006A4AA8" w:rsidRPr="006A4AA8">
            <w:rPr>
              <w:noProof/>
              <w:lang w:val="en-GB"/>
            </w:rPr>
            <w:t>(1996)</w:t>
          </w:r>
          <w:r w:rsidR="00FD0314" w:rsidRPr="0035337B">
            <w:rPr>
              <w:lang w:val="en-GB"/>
            </w:rPr>
            <w:fldChar w:fldCharType="end"/>
          </w:r>
        </w:sdtContent>
      </w:sdt>
      <w:r w:rsidRPr="0035337B">
        <w:rPr>
          <w:lang w:val="en-GB"/>
        </w:rPr>
        <w:t xml:space="preserve"> scenarios. The BCI study provides a figure for the period 2000-2020 whereas the figures in the other two studies are for 1995-2020.</w:t>
      </w:r>
    </w:p>
    <w:p w:rsidR="00BD0064" w:rsidRPr="0035337B" w:rsidRDefault="00BD0064" w:rsidP="00BD0064">
      <w:pPr>
        <w:spacing w:line="360" w:lineRule="auto"/>
        <w:jc w:val="both"/>
        <w:rPr>
          <w:lang w:val="en-GB"/>
        </w:rPr>
      </w:pPr>
      <w:r w:rsidRPr="0035337B">
        <w:rPr>
          <w:lang w:val="en-GB"/>
        </w:rPr>
        <w:t>The CPB study linked the distribution to throughput of other sectors and made a projection based on the predicted growth figures for aforementioned sectors. An adjustment was made for an increase in spatial productivity similar to that of the container sector.</w:t>
      </w:r>
      <w:r w:rsidRPr="0035337B">
        <w:rPr>
          <w:lang w:val="en-GB"/>
        </w:rPr>
        <w:br/>
        <w:t>The CBI study consisted of several steps. First the boundaries of the current and future distribution sector and its separate segments were defined. Secondly the developments in the logistics chains per segment were analysed. Next the data was specified for the Port of Rotterdam by means of a preferred location analysis, SWOT analysis and market share analysis. Lastly the future spatial productivity was estimated to predict the total terrain demand.</w:t>
      </w:r>
    </w:p>
    <w:p w:rsidR="00BD0064" w:rsidRPr="0035337B" w:rsidRDefault="00BD0064" w:rsidP="00E86689">
      <w:pPr>
        <w:spacing w:line="360" w:lineRule="auto"/>
        <w:rPr>
          <w:lang w:val="en-GB"/>
        </w:rPr>
      </w:pPr>
      <w:r w:rsidRPr="0035337B">
        <w:rPr>
          <w:lang w:val="en-GB"/>
        </w:rPr>
        <w:t>The table below shows the results per study for the two most extreme scenarios adjusted for the period 1995-2020.</w:t>
      </w:r>
      <w:r w:rsidRPr="0035337B">
        <w:rPr>
          <w:lang w:val="en-GB"/>
        </w:rPr>
        <w:br/>
      </w:r>
    </w:p>
    <w:tbl>
      <w:tblPr>
        <w:tblStyle w:val="ColorfulList"/>
        <w:tblW w:w="0" w:type="auto"/>
        <w:tblLook w:val="04A0"/>
      </w:tblPr>
      <w:tblGrid>
        <w:gridCol w:w="3055"/>
        <w:gridCol w:w="3055"/>
        <w:gridCol w:w="3056"/>
      </w:tblGrid>
      <w:tr w:rsidR="00BD0064" w:rsidRPr="00E86689" w:rsidTr="00E86689">
        <w:trPr>
          <w:cnfStyle w:val="100000000000"/>
        </w:trPr>
        <w:tc>
          <w:tcPr>
            <w:cnfStyle w:val="001000000000"/>
            <w:tcW w:w="3055" w:type="dxa"/>
          </w:tcPr>
          <w:p w:rsidR="00BD0064" w:rsidRPr="00E86689" w:rsidRDefault="00BD0064" w:rsidP="001C1FCC">
            <w:pPr>
              <w:spacing w:line="360" w:lineRule="auto"/>
              <w:jc w:val="both"/>
              <w:rPr>
                <w:sz w:val="18"/>
                <w:szCs w:val="18"/>
                <w:lang w:val="en-GB"/>
              </w:rPr>
            </w:pPr>
            <w:r w:rsidRPr="00E86689">
              <w:rPr>
                <w:sz w:val="18"/>
                <w:szCs w:val="18"/>
                <w:lang w:val="en-GB"/>
              </w:rPr>
              <w:t>Table 3.7</w:t>
            </w:r>
          </w:p>
        </w:tc>
        <w:tc>
          <w:tcPr>
            <w:tcW w:w="3055" w:type="dxa"/>
          </w:tcPr>
          <w:p w:rsidR="00BD0064" w:rsidRPr="00E86689" w:rsidRDefault="00BD0064" w:rsidP="001C1FCC">
            <w:pPr>
              <w:spacing w:line="360" w:lineRule="auto"/>
              <w:jc w:val="both"/>
              <w:cnfStyle w:val="100000000000"/>
              <w:rPr>
                <w:sz w:val="18"/>
                <w:szCs w:val="18"/>
                <w:lang w:val="en-GB"/>
              </w:rPr>
            </w:pPr>
            <w:r w:rsidRPr="00E86689">
              <w:rPr>
                <w:sz w:val="18"/>
                <w:szCs w:val="18"/>
                <w:lang w:val="en-GB"/>
              </w:rPr>
              <w:t>Divided Europe</w:t>
            </w:r>
          </w:p>
        </w:tc>
        <w:tc>
          <w:tcPr>
            <w:tcW w:w="3056" w:type="dxa"/>
          </w:tcPr>
          <w:p w:rsidR="00BD0064" w:rsidRPr="00E86689" w:rsidRDefault="00BD0064" w:rsidP="001C1FCC">
            <w:pPr>
              <w:spacing w:line="360" w:lineRule="auto"/>
              <w:jc w:val="both"/>
              <w:cnfStyle w:val="100000000000"/>
              <w:rPr>
                <w:sz w:val="18"/>
                <w:szCs w:val="18"/>
                <w:lang w:val="en-GB"/>
              </w:rPr>
            </w:pPr>
            <w:r w:rsidRPr="00E86689">
              <w:rPr>
                <w:sz w:val="18"/>
                <w:szCs w:val="18"/>
                <w:lang w:val="en-GB"/>
              </w:rPr>
              <w:t>Global Competition</w:t>
            </w:r>
          </w:p>
        </w:tc>
      </w:tr>
      <w:tr w:rsidR="00BD0064" w:rsidRPr="00E86689" w:rsidTr="00E86689">
        <w:trPr>
          <w:cnfStyle w:val="000000100000"/>
        </w:trPr>
        <w:tc>
          <w:tcPr>
            <w:cnfStyle w:val="001000000000"/>
            <w:tcW w:w="3055" w:type="dxa"/>
          </w:tcPr>
          <w:p w:rsidR="00BD0064" w:rsidRPr="00E86689" w:rsidRDefault="00BD0064" w:rsidP="001C1FCC">
            <w:pPr>
              <w:spacing w:line="360" w:lineRule="auto"/>
              <w:jc w:val="both"/>
              <w:rPr>
                <w:sz w:val="18"/>
                <w:szCs w:val="18"/>
                <w:lang w:val="en-GB"/>
              </w:rPr>
            </w:pPr>
            <w:r w:rsidRPr="00E86689">
              <w:rPr>
                <w:sz w:val="18"/>
                <w:szCs w:val="18"/>
                <w:lang w:val="en-GB"/>
              </w:rPr>
              <w:t>CPB</w:t>
            </w:r>
          </w:p>
        </w:tc>
        <w:tc>
          <w:tcPr>
            <w:tcW w:w="3055" w:type="dxa"/>
          </w:tcPr>
          <w:p w:rsidR="00BD0064" w:rsidRPr="00E86689" w:rsidRDefault="00BD0064" w:rsidP="001C1FCC">
            <w:pPr>
              <w:spacing w:line="360" w:lineRule="auto"/>
              <w:jc w:val="both"/>
              <w:cnfStyle w:val="000000100000"/>
              <w:rPr>
                <w:sz w:val="18"/>
                <w:szCs w:val="18"/>
                <w:lang w:val="en-GB"/>
              </w:rPr>
            </w:pPr>
            <w:r w:rsidRPr="00E86689">
              <w:rPr>
                <w:sz w:val="18"/>
                <w:szCs w:val="18"/>
                <w:lang w:val="en-GB"/>
              </w:rPr>
              <w:t>81</w:t>
            </w:r>
          </w:p>
        </w:tc>
        <w:tc>
          <w:tcPr>
            <w:tcW w:w="3056" w:type="dxa"/>
          </w:tcPr>
          <w:p w:rsidR="00BD0064" w:rsidRPr="00E86689" w:rsidRDefault="00BD0064" w:rsidP="001C1FCC">
            <w:pPr>
              <w:spacing w:line="360" w:lineRule="auto"/>
              <w:jc w:val="both"/>
              <w:cnfStyle w:val="000000100000"/>
              <w:rPr>
                <w:sz w:val="18"/>
                <w:szCs w:val="18"/>
                <w:lang w:val="en-GB"/>
              </w:rPr>
            </w:pPr>
            <w:r w:rsidRPr="00E86689">
              <w:rPr>
                <w:sz w:val="18"/>
                <w:szCs w:val="18"/>
                <w:lang w:val="en-GB"/>
              </w:rPr>
              <w:t>165</w:t>
            </w:r>
          </w:p>
        </w:tc>
      </w:tr>
      <w:tr w:rsidR="00BD0064" w:rsidRPr="00E86689" w:rsidTr="00E86689">
        <w:tc>
          <w:tcPr>
            <w:cnfStyle w:val="001000000000"/>
            <w:tcW w:w="3055" w:type="dxa"/>
          </w:tcPr>
          <w:p w:rsidR="00BD0064" w:rsidRPr="00E86689" w:rsidRDefault="00BD0064" w:rsidP="001C1FCC">
            <w:pPr>
              <w:spacing w:line="360" w:lineRule="auto"/>
              <w:jc w:val="both"/>
              <w:rPr>
                <w:sz w:val="18"/>
                <w:szCs w:val="18"/>
                <w:lang w:val="en-GB"/>
              </w:rPr>
            </w:pPr>
            <w:r w:rsidRPr="00E86689">
              <w:rPr>
                <w:sz w:val="18"/>
                <w:szCs w:val="18"/>
                <w:lang w:val="en-GB"/>
              </w:rPr>
              <w:t>GHR</w:t>
            </w:r>
          </w:p>
        </w:tc>
        <w:tc>
          <w:tcPr>
            <w:tcW w:w="3055" w:type="dxa"/>
          </w:tcPr>
          <w:p w:rsidR="00BD0064" w:rsidRPr="00E86689" w:rsidRDefault="00BD0064" w:rsidP="001C1FCC">
            <w:pPr>
              <w:spacing w:line="360" w:lineRule="auto"/>
              <w:jc w:val="both"/>
              <w:cnfStyle w:val="000000000000"/>
              <w:rPr>
                <w:sz w:val="18"/>
                <w:szCs w:val="18"/>
                <w:lang w:val="en-GB"/>
              </w:rPr>
            </w:pPr>
            <w:r w:rsidRPr="00E86689">
              <w:rPr>
                <w:sz w:val="18"/>
                <w:szCs w:val="18"/>
                <w:lang w:val="en-GB"/>
              </w:rPr>
              <w:t>70</w:t>
            </w:r>
          </w:p>
        </w:tc>
        <w:tc>
          <w:tcPr>
            <w:tcW w:w="3056" w:type="dxa"/>
          </w:tcPr>
          <w:p w:rsidR="00BD0064" w:rsidRPr="00E86689" w:rsidRDefault="00BD0064" w:rsidP="001C1FCC">
            <w:pPr>
              <w:spacing w:line="360" w:lineRule="auto"/>
              <w:jc w:val="both"/>
              <w:cnfStyle w:val="000000000000"/>
              <w:rPr>
                <w:sz w:val="18"/>
                <w:szCs w:val="18"/>
                <w:lang w:val="en-GB"/>
              </w:rPr>
            </w:pPr>
            <w:r w:rsidRPr="00E86689">
              <w:rPr>
                <w:sz w:val="18"/>
                <w:szCs w:val="18"/>
                <w:lang w:val="en-GB"/>
              </w:rPr>
              <w:t>190</w:t>
            </w:r>
          </w:p>
        </w:tc>
      </w:tr>
      <w:tr w:rsidR="00BD0064" w:rsidRPr="00E86689" w:rsidTr="00E86689">
        <w:trPr>
          <w:cnfStyle w:val="000000100000"/>
        </w:trPr>
        <w:tc>
          <w:tcPr>
            <w:cnfStyle w:val="001000000000"/>
            <w:tcW w:w="3055" w:type="dxa"/>
          </w:tcPr>
          <w:p w:rsidR="00BD0064" w:rsidRPr="00E86689" w:rsidRDefault="00BD0064" w:rsidP="001C1FCC">
            <w:pPr>
              <w:spacing w:line="360" w:lineRule="auto"/>
              <w:jc w:val="both"/>
              <w:rPr>
                <w:sz w:val="18"/>
                <w:szCs w:val="18"/>
                <w:lang w:val="en-GB"/>
              </w:rPr>
            </w:pPr>
            <w:r w:rsidRPr="00E86689">
              <w:rPr>
                <w:sz w:val="18"/>
                <w:szCs w:val="18"/>
                <w:lang w:val="en-GB"/>
              </w:rPr>
              <w:t>BCI</w:t>
            </w:r>
          </w:p>
        </w:tc>
        <w:tc>
          <w:tcPr>
            <w:tcW w:w="3055" w:type="dxa"/>
          </w:tcPr>
          <w:p w:rsidR="00BD0064" w:rsidRPr="00E86689" w:rsidRDefault="00BD0064" w:rsidP="001C1FCC">
            <w:pPr>
              <w:spacing w:line="360" w:lineRule="auto"/>
              <w:jc w:val="both"/>
              <w:cnfStyle w:val="000000100000"/>
              <w:rPr>
                <w:sz w:val="18"/>
                <w:szCs w:val="18"/>
                <w:lang w:val="en-GB"/>
              </w:rPr>
            </w:pPr>
            <w:r w:rsidRPr="00E86689">
              <w:rPr>
                <w:sz w:val="18"/>
                <w:szCs w:val="18"/>
                <w:lang w:val="en-GB"/>
              </w:rPr>
              <w:t>110</w:t>
            </w:r>
          </w:p>
        </w:tc>
        <w:tc>
          <w:tcPr>
            <w:tcW w:w="3056" w:type="dxa"/>
          </w:tcPr>
          <w:p w:rsidR="00BD0064" w:rsidRPr="00E86689" w:rsidRDefault="00BD0064" w:rsidP="001C1FCC">
            <w:pPr>
              <w:spacing w:line="360" w:lineRule="auto"/>
              <w:jc w:val="both"/>
              <w:cnfStyle w:val="000000100000"/>
              <w:rPr>
                <w:sz w:val="18"/>
                <w:szCs w:val="18"/>
                <w:lang w:val="en-GB"/>
              </w:rPr>
            </w:pPr>
            <w:r w:rsidRPr="00E86689">
              <w:rPr>
                <w:sz w:val="18"/>
                <w:szCs w:val="18"/>
                <w:lang w:val="en-GB"/>
              </w:rPr>
              <w:t>205</w:t>
            </w:r>
          </w:p>
        </w:tc>
      </w:tr>
    </w:tbl>
    <w:p w:rsidR="00BD0064" w:rsidRPr="0035337B" w:rsidRDefault="00BD0064" w:rsidP="00E86689">
      <w:pPr>
        <w:spacing w:line="360" w:lineRule="auto"/>
        <w:jc w:val="right"/>
        <w:rPr>
          <w:sz w:val="18"/>
          <w:szCs w:val="18"/>
          <w:lang w:val="en-GB"/>
        </w:rPr>
      </w:pPr>
      <w:r w:rsidRPr="0035337B">
        <w:rPr>
          <w:sz w:val="18"/>
          <w:szCs w:val="18"/>
          <w:lang w:val="en-GB"/>
        </w:rPr>
        <w:t>In hectares (BCI, 1999)</w:t>
      </w:r>
    </w:p>
    <w:p w:rsidR="00BD0064" w:rsidRDefault="00BD0064" w:rsidP="00BD0064">
      <w:pPr>
        <w:spacing w:line="360" w:lineRule="auto"/>
        <w:jc w:val="both"/>
        <w:rPr>
          <w:lang w:val="en-GB"/>
        </w:rPr>
      </w:pPr>
      <w:r w:rsidRPr="0035337B">
        <w:rPr>
          <w:lang w:val="en-GB"/>
        </w:rPr>
        <w:t>Ultimately the GHR results were used in the cost benefit analysis. They were adjusted for new predictions for the container throughput which aren’t defined further. The final results for the period 2000-2020 can be found in table 3.2.</w:t>
      </w:r>
    </w:p>
    <w:p w:rsidR="006A4AA8" w:rsidRDefault="006A4AA8" w:rsidP="00BD0064">
      <w:pPr>
        <w:spacing w:line="360" w:lineRule="auto"/>
        <w:jc w:val="both"/>
        <w:rPr>
          <w:lang w:val="en-GB"/>
        </w:rPr>
      </w:pPr>
    </w:p>
    <w:p w:rsidR="00E86689" w:rsidRDefault="0094129F" w:rsidP="0094129F">
      <w:pPr>
        <w:pStyle w:val="Heading2"/>
        <w:jc w:val="left"/>
        <w:rPr>
          <w:lang w:val="en-GB"/>
        </w:rPr>
      </w:pPr>
      <w:bookmarkStart w:id="24" w:name="_Toc363737838"/>
      <w:r>
        <w:rPr>
          <w:lang w:val="en-GB"/>
        </w:rPr>
        <w:lastRenderedPageBreak/>
        <w:t>3.12 Empty depots</w:t>
      </w:r>
      <w:bookmarkEnd w:id="24"/>
    </w:p>
    <w:p w:rsidR="0094129F" w:rsidRPr="0035337B" w:rsidRDefault="0094129F" w:rsidP="0094129F">
      <w:pPr>
        <w:spacing w:line="360" w:lineRule="auto"/>
        <w:jc w:val="both"/>
        <w:rPr>
          <w:lang w:val="en-GB"/>
        </w:rPr>
      </w:pPr>
      <w:r w:rsidRPr="0035337B">
        <w:rPr>
          <w:lang w:val="en-GB"/>
        </w:rPr>
        <w:t>The predicted terrain demand for empty depots</w:t>
      </w:r>
      <w:r w:rsidRPr="0035337B">
        <w:rPr>
          <w:rStyle w:val="FootnoteReference"/>
          <w:lang w:val="en-GB"/>
        </w:rPr>
        <w:footnoteReference w:id="4"/>
      </w:r>
      <w:r w:rsidRPr="0035337B">
        <w:rPr>
          <w:lang w:val="en-GB"/>
        </w:rPr>
        <w:t xml:space="preserve"> is linked to the container throughput predictions and adjusted. The study ‘</w:t>
      </w:r>
      <w:proofErr w:type="spellStart"/>
      <w:r w:rsidRPr="0035337B">
        <w:rPr>
          <w:lang w:val="en-GB"/>
        </w:rPr>
        <w:t>Verkenningen</w:t>
      </w:r>
      <w:proofErr w:type="spellEnd"/>
      <w:r w:rsidRPr="0035337B">
        <w:rPr>
          <w:lang w:val="en-GB"/>
        </w:rPr>
        <w:t xml:space="preserve"> 2020’</w:t>
      </w:r>
      <w:sdt>
        <w:sdtPr>
          <w:rPr>
            <w:lang w:val="en-GB"/>
          </w:rPr>
          <w:id w:val="1556429374"/>
          <w:citation/>
        </w:sdtPr>
        <w:sdtContent>
          <w:r w:rsidR="00FD0314" w:rsidRPr="0035337B">
            <w:rPr>
              <w:lang w:val="en-GB"/>
            </w:rPr>
            <w:fldChar w:fldCharType="begin"/>
          </w:r>
          <w:r w:rsidRPr="0035337B">
            <w:rPr>
              <w:lang w:val="en-GB"/>
            </w:rPr>
            <w:instrText xml:space="preserve"> CITATION GHR8c \l 1033 </w:instrText>
          </w:r>
          <w:r w:rsidR="00FD0314" w:rsidRPr="0035337B">
            <w:rPr>
              <w:lang w:val="en-GB"/>
            </w:rPr>
            <w:fldChar w:fldCharType="separate"/>
          </w:r>
          <w:r w:rsidR="006A4AA8">
            <w:rPr>
              <w:noProof/>
              <w:lang w:val="en-GB"/>
            </w:rPr>
            <w:t xml:space="preserve"> </w:t>
          </w:r>
          <w:r w:rsidR="006A4AA8" w:rsidRPr="006A4AA8">
            <w:rPr>
              <w:noProof/>
              <w:lang w:val="en-GB"/>
            </w:rPr>
            <w:t>(GHR, 1998c)</w:t>
          </w:r>
          <w:r w:rsidR="00FD0314" w:rsidRPr="0035337B">
            <w:rPr>
              <w:lang w:val="en-GB"/>
            </w:rPr>
            <w:fldChar w:fldCharType="end"/>
          </w:r>
        </w:sdtContent>
      </w:sdt>
      <w:r w:rsidRPr="0035337B">
        <w:rPr>
          <w:lang w:val="en-GB"/>
        </w:rPr>
        <w:t xml:space="preserve"> was used. </w:t>
      </w:r>
    </w:p>
    <w:p w:rsidR="0094129F" w:rsidRPr="0035337B" w:rsidRDefault="0094129F" w:rsidP="0094129F">
      <w:pPr>
        <w:spacing w:line="360" w:lineRule="auto"/>
        <w:jc w:val="both"/>
        <w:rPr>
          <w:lang w:val="en-GB"/>
        </w:rPr>
      </w:pPr>
      <w:r w:rsidRPr="0035337B">
        <w:rPr>
          <w:lang w:val="en-GB"/>
        </w:rPr>
        <w:t>To estimate the figure with which the growth would be adjusted, GHR looked into the trends of empty container throughput for the Port of Rotterdam. These trends were then quantified to get to the results. It was concluded that the empty depot terrain demand growth would follow the container sector growth figures minus 2%, 1.8% and 1.25% for the GC, EC and DE scenarios respectively.</w:t>
      </w:r>
      <w:r>
        <w:rPr>
          <w:lang w:val="en-GB"/>
        </w:rPr>
        <w:t xml:space="preserve"> </w:t>
      </w:r>
      <w:r w:rsidRPr="0035337B">
        <w:rPr>
          <w:lang w:val="en-GB"/>
        </w:rPr>
        <w:t>These growth figures were translated to predicted terrain demand. The results can be found in table 3.2.</w:t>
      </w:r>
    </w:p>
    <w:p w:rsidR="0094129F" w:rsidRDefault="0094129F" w:rsidP="0094129F">
      <w:pPr>
        <w:pStyle w:val="Heading2"/>
        <w:jc w:val="left"/>
        <w:rPr>
          <w:lang w:val="en-GB"/>
        </w:rPr>
      </w:pPr>
      <w:bookmarkStart w:id="25" w:name="_Toc363737839"/>
      <w:r>
        <w:rPr>
          <w:lang w:val="en-GB"/>
        </w:rPr>
        <w:t>3.13 Dry mass goods</w:t>
      </w:r>
      <w:bookmarkEnd w:id="25"/>
    </w:p>
    <w:p w:rsidR="0094129F" w:rsidRPr="0035337B" w:rsidRDefault="0094129F" w:rsidP="0094129F">
      <w:pPr>
        <w:spacing w:line="360" w:lineRule="auto"/>
        <w:jc w:val="both"/>
        <w:rPr>
          <w:lang w:val="en-GB"/>
        </w:rPr>
      </w:pPr>
      <w:r w:rsidRPr="0035337B">
        <w:rPr>
          <w:lang w:val="en-GB"/>
        </w:rPr>
        <w:t xml:space="preserve">Dry mass goods are a collection of all throughputs that aren’t included in container throughput, </w:t>
      </w:r>
      <w:proofErr w:type="spellStart"/>
      <w:r w:rsidRPr="0035337B">
        <w:rPr>
          <w:lang w:val="en-GB"/>
        </w:rPr>
        <w:t>ro-ro</w:t>
      </w:r>
      <w:proofErr w:type="spellEnd"/>
      <w:r w:rsidRPr="0035337B">
        <w:rPr>
          <w:lang w:val="en-GB"/>
        </w:rPr>
        <w:t>, remaining general cargo or liquid bulk throughput.  Primarily it is made up of agricultural bulk, coals and iron ore throughput. Some forms of processing the aforementioned goods on site are also included.</w:t>
      </w:r>
    </w:p>
    <w:p w:rsidR="0094129F" w:rsidRPr="0035337B" w:rsidRDefault="0094129F" w:rsidP="0094129F">
      <w:pPr>
        <w:spacing w:line="360" w:lineRule="auto"/>
        <w:jc w:val="both"/>
        <w:rPr>
          <w:u w:val="single"/>
          <w:lang w:val="en-GB"/>
        </w:rPr>
      </w:pPr>
      <w:r w:rsidRPr="0035337B">
        <w:rPr>
          <w:lang w:val="en-GB"/>
        </w:rPr>
        <w:t xml:space="preserve">The results for dry mass goods throughput were derived from the GSM7 model </w:t>
      </w:r>
      <w:sdt>
        <w:sdtPr>
          <w:rPr>
            <w:lang w:val="en-GB"/>
          </w:rPr>
          <w:id w:val="-1244249378"/>
          <w:citation/>
        </w:sdtPr>
        <w:sdtContent>
          <w:r w:rsidR="00FD0314" w:rsidRPr="0035337B">
            <w:rPr>
              <w:lang w:val="en-GB"/>
            </w:rPr>
            <w:fldChar w:fldCharType="begin"/>
          </w:r>
          <w:r w:rsidRPr="0035337B">
            <w:rPr>
              <w:lang w:val="en-GB"/>
            </w:rPr>
            <w:instrText xml:space="preserve"> CITATION GHR8b \l 1033 </w:instrText>
          </w:r>
          <w:r w:rsidR="00FD0314" w:rsidRPr="0035337B">
            <w:rPr>
              <w:lang w:val="en-GB"/>
            </w:rPr>
            <w:fldChar w:fldCharType="separate"/>
          </w:r>
          <w:r w:rsidR="006A4AA8" w:rsidRPr="006A4AA8">
            <w:rPr>
              <w:noProof/>
              <w:lang w:val="en-GB"/>
            </w:rPr>
            <w:t>(GHR, 1998b)</w:t>
          </w:r>
          <w:r w:rsidR="00FD0314" w:rsidRPr="0035337B">
            <w:rPr>
              <w:lang w:val="en-GB"/>
            </w:rPr>
            <w:fldChar w:fldCharType="end"/>
          </w:r>
        </w:sdtContent>
      </w:sdt>
      <w:r w:rsidRPr="0035337B">
        <w:rPr>
          <w:lang w:val="en-GB"/>
        </w:rPr>
        <w:t xml:space="preserve">. Other studies by Harris </w:t>
      </w:r>
      <w:sdt>
        <w:sdtPr>
          <w:rPr>
            <w:lang w:val="en-GB"/>
          </w:rPr>
          <w:id w:val="-1911299950"/>
          <w:citation/>
        </w:sdtPr>
        <w:sdtContent>
          <w:r w:rsidR="00FD0314" w:rsidRPr="0035337B">
            <w:rPr>
              <w:lang w:val="en-GB"/>
            </w:rPr>
            <w:fldChar w:fldCharType="begin"/>
          </w:r>
          <w:r w:rsidRPr="0035337B">
            <w:rPr>
              <w:lang w:val="en-GB"/>
            </w:rPr>
            <w:instrText xml:space="preserve">CITATION Har96 \n  \t  \l 1033 </w:instrText>
          </w:r>
          <w:r w:rsidR="00FD0314" w:rsidRPr="0035337B">
            <w:rPr>
              <w:lang w:val="en-GB"/>
            </w:rPr>
            <w:fldChar w:fldCharType="separate"/>
          </w:r>
          <w:r w:rsidR="006A4AA8" w:rsidRPr="006A4AA8">
            <w:rPr>
              <w:noProof/>
              <w:lang w:val="en-GB"/>
            </w:rPr>
            <w:t>(1996)</w:t>
          </w:r>
          <w:r w:rsidR="00FD0314" w:rsidRPr="0035337B">
            <w:rPr>
              <w:lang w:val="en-GB"/>
            </w:rPr>
            <w:fldChar w:fldCharType="end"/>
          </w:r>
        </w:sdtContent>
      </w:sdt>
      <w:r w:rsidRPr="0035337B">
        <w:rPr>
          <w:lang w:val="en-GB"/>
        </w:rPr>
        <w:t xml:space="preserve">, the CPB </w:t>
      </w:r>
      <w:sdt>
        <w:sdtPr>
          <w:rPr>
            <w:lang w:val="en-GB"/>
          </w:rPr>
          <w:id w:val="172612591"/>
          <w:citation/>
        </w:sdtPr>
        <w:sdtContent>
          <w:r w:rsidR="00FD0314" w:rsidRPr="0035337B">
            <w:rPr>
              <w:lang w:val="en-GB"/>
            </w:rPr>
            <w:fldChar w:fldCharType="begin"/>
          </w:r>
          <w:r w:rsidRPr="0035337B">
            <w:rPr>
              <w:lang w:val="en-GB"/>
            </w:rPr>
            <w:instrText xml:space="preserve">CITATION CPB97 \n  \t  \l 1033 </w:instrText>
          </w:r>
          <w:r w:rsidR="00FD0314" w:rsidRPr="0035337B">
            <w:rPr>
              <w:lang w:val="en-GB"/>
            </w:rPr>
            <w:fldChar w:fldCharType="separate"/>
          </w:r>
          <w:r w:rsidR="006A4AA8" w:rsidRPr="006A4AA8">
            <w:rPr>
              <w:noProof/>
              <w:lang w:val="en-GB"/>
            </w:rPr>
            <w:t>(1997)</w:t>
          </w:r>
          <w:r w:rsidR="00FD0314" w:rsidRPr="0035337B">
            <w:rPr>
              <w:lang w:val="en-GB"/>
            </w:rPr>
            <w:fldChar w:fldCharType="end"/>
          </w:r>
        </w:sdtContent>
      </w:sdt>
      <w:r w:rsidRPr="0035337B">
        <w:rPr>
          <w:lang w:val="en-GB"/>
        </w:rPr>
        <w:t xml:space="preserve">, </w:t>
      </w:r>
      <w:proofErr w:type="spellStart"/>
      <w:r w:rsidRPr="0035337B">
        <w:rPr>
          <w:lang w:val="en-GB"/>
        </w:rPr>
        <w:t>Tauw</w:t>
      </w:r>
      <w:proofErr w:type="spellEnd"/>
      <w:r w:rsidRPr="0035337B">
        <w:rPr>
          <w:lang w:val="en-GB"/>
        </w:rPr>
        <w:t xml:space="preserve"> </w:t>
      </w:r>
      <w:sdt>
        <w:sdtPr>
          <w:rPr>
            <w:lang w:val="en-GB"/>
          </w:rPr>
          <w:id w:val="1171758371"/>
          <w:citation/>
        </w:sdtPr>
        <w:sdtContent>
          <w:r w:rsidR="00FD0314" w:rsidRPr="0035337B">
            <w:rPr>
              <w:lang w:val="en-GB"/>
            </w:rPr>
            <w:fldChar w:fldCharType="begin"/>
          </w:r>
          <w:r w:rsidRPr="0035337B">
            <w:rPr>
              <w:lang w:val="en-GB"/>
            </w:rPr>
            <w:instrText xml:space="preserve">CITATION Tau98 \n  \t  \l 1033 </w:instrText>
          </w:r>
          <w:r w:rsidR="00FD0314" w:rsidRPr="0035337B">
            <w:rPr>
              <w:lang w:val="en-GB"/>
            </w:rPr>
            <w:fldChar w:fldCharType="separate"/>
          </w:r>
          <w:r w:rsidR="006A4AA8" w:rsidRPr="006A4AA8">
            <w:rPr>
              <w:noProof/>
              <w:lang w:val="en-GB"/>
            </w:rPr>
            <w:t>(1998)</w:t>
          </w:r>
          <w:r w:rsidR="00FD0314" w:rsidRPr="0035337B">
            <w:rPr>
              <w:lang w:val="en-GB"/>
            </w:rPr>
            <w:fldChar w:fldCharType="end"/>
          </w:r>
        </w:sdtContent>
      </w:sdt>
      <w:r w:rsidRPr="0035337B">
        <w:rPr>
          <w:lang w:val="en-GB"/>
        </w:rPr>
        <w:t xml:space="preserve"> and PMR</w:t>
      </w:r>
      <w:sdt>
        <w:sdtPr>
          <w:rPr>
            <w:lang w:val="en-GB"/>
          </w:rPr>
          <w:id w:val="-1249576658"/>
          <w:citation/>
        </w:sdtPr>
        <w:sdtContent>
          <w:r w:rsidR="00FD0314" w:rsidRPr="0035337B">
            <w:rPr>
              <w:lang w:val="en-GB"/>
            </w:rPr>
            <w:fldChar w:fldCharType="begin"/>
          </w:r>
          <w:r w:rsidRPr="0035337B">
            <w:rPr>
              <w:lang w:val="en-GB"/>
            </w:rPr>
            <w:instrText xml:space="preserve">CITATION PMR00 \n  \t  \l 1033 </w:instrText>
          </w:r>
          <w:r w:rsidR="00FD0314" w:rsidRPr="0035337B">
            <w:rPr>
              <w:lang w:val="en-GB"/>
            </w:rPr>
            <w:fldChar w:fldCharType="separate"/>
          </w:r>
          <w:r w:rsidR="006A4AA8">
            <w:rPr>
              <w:noProof/>
              <w:lang w:val="en-GB"/>
            </w:rPr>
            <w:t xml:space="preserve"> </w:t>
          </w:r>
          <w:r w:rsidR="006A4AA8" w:rsidRPr="006A4AA8">
            <w:rPr>
              <w:noProof/>
              <w:lang w:val="en-GB"/>
            </w:rPr>
            <w:t>(2000)</w:t>
          </w:r>
          <w:r w:rsidR="00FD0314" w:rsidRPr="0035337B">
            <w:rPr>
              <w:lang w:val="en-GB"/>
            </w:rPr>
            <w:fldChar w:fldCharType="end"/>
          </w:r>
        </w:sdtContent>
      </w:sdt>
      <w:r w:rsidRPr="0035337B">
        <w:rPr>
          <w:lang w:val="en-GB"/>
        </w:rPr>
        <w:t xml:space="preserve"> were used for input and adjustments. </w:t>
      </w:r>
      <w:proofErr w:type="spellStart"/>
      <w:r w:rsidRPr="0035337B">
        <w:rPr>
          <w:lang w:val="en-GB"/>
        </w:rPr>
        <w:t>Tauw</w:t>
      </w:r>
      <w:proofErr w:type="spellEnd"/>
      <w:r w:rsidRPr="0035337B">
        <w:rPr>
          <w:lang w:val="en-GB"/>
        </w:rPr>
        <w:t xml:space="preserve"> is a consultancy and engineering bureau with a focus on the environment and sustainability. </w:t>
      </w:r>
    </w:p>
    <w:p w:rsidR="0094129F" w:rsidRPr="0035337B" w:rsidRDefault="0094129F" w:rsidP="0094129F">
      <w:pPr>
        <w:spacing w:line="360" w:lineRule="auto"/>
        <w:jc w:val="both"/>
        <w:rPr>
          <w:lang w:val="en-GB"/>
        </w:rPr>
      </w:pPr>
      <w:r w:rsidRPr="0035337B">
        <w:rPr>
          <w:lang w:val="en-GB"/>
        </w:rPr>
        <w:t>Results from the various studies were put together in the cost benefit analysis to separately construct a potential terrain demand figure for each of the three scenarios. It was broken down into the effects of coals, iron ore, agricultural bulk throughput and processing and the remaining goods. The resulting predicted terrain demand for the dry mass goods sector is listed in table 3.2.</w:t>
      </w:r>
    </w:p>
    <w:p w:rsidR="0094129F" w:rsidRDefault="0094129F" w:rsidP="0094129F">
      <w:pPr>
        <w:pStyle w:val="Heading2"/>
        <w:jc w:val="left"/>
        <w:rPr>
          <w:lang w:val="en-GB"/>
        </w:rPr>
      </w:pPr>
      <w:bookmarkStart w:id="26" w:name="_Toc363737840"/>
      <w:r>
        <w:rPr>
          <w:lang w:val="en-GB"/>
        </w:rPr>
        <w:t>3.14 Remaining industries</w:t>
      </w:r>
      <w:bookmarkEnd w:id="26"/>
    </w:p>
    <w:p w:rsidR="0094129F" w:rsidRPr="0035337B" w:rsidRDefault="0094129F" w:rsidP="0094129F">
      <w:pPr>
        <w:spacing w:line="360" w:lineRule="auto"/>
        <w:jc w:val="both"/>
        <w:rPr>
          <w:lang w:val="en-GB"/>
        </w:rPr>
      </w:pPr>
      <w:r w:rsidRPr="0035337B">
        <w:rPr>
          <w:lang w:val="en-GB"/>
        </w:rPr>
        <w:t>The remaining industries terrain demand prediction was made by combining the results of various smaller studies and three larger ones by the GHR</w:t>
      </w:r>
      <w:sdt>
        <w:sdtPr>
          <w:rPr>
            <w:lang w:val="en-GB"/>
          </w:rPr>
          <w:id w:val="-1183576736"/>
          <w:citation/>
        </w:sdtPr>
        <w:sdtContent>
          <w:r w:rsidR="00FD0314" w:rsidRPr="0035337B">
            <w:rPr>
              <w:lang w:val="en-GB"/>
            </w:rPr>
            <w:fldChar w:fldCharType="begin"/>
          </w:r>
          <w:r w:rsidRPr="0035337B">
            <w:rPr>
              <w:lang w:val="en-GB"/>
            </w:rPr>
            <w:instrText xml:space="preserve">CITATION GHR8c \n  \t  \l 1033 </w:instrText>
          </w:r>
          <w:r w:rsidR="00FD0314" w:rsidRPr="0035337B">
            <w:rPr>
              <w:lang w:val="en-GB"/>
            </w:rPr>
            <w:fldChar w:fldCharType="separate"/>
          </w:r>
          <w:r w:rsidR="006A4AA8">
            <w:rPr>
              <w:noProof/>
              <w:lang w:val="en-GB"/>
            </w:rPr>
            <w:t xml:space="preserve"> </w:t>
          </w:r>
          <w:r w:rsidR="006A4AA8" w:rsidRPr="006A4AA8">
            <w:rPr>
              <w:noProof/>
              <w:lang w:val="en-GB"/>
            </w:rPr>
            <w:t>(1998c)</w:t>
          </w:r>
          <w:r w:rsidR="00FD0314" w:rsidRPr="0035337B">
            <w:rPr>
              <w:lang w:val="en-GB"/>
            </w:rPr>
            <w:fldChar w:fldCharType="end"/>
          </w:r>
        </w:sdtContent>
      </w:sdt>
      <w:r w:rsidRPr="0035337B">
        <w:rPr>
          <w:lang w:val="en-GB"/>
        </w:rPr>
        <w:t xml:space="preserve">, the CPB </w:t>
      </w:r>
      <w:sdt>
        <w:sdtPr>
          <w:rPr>
            <w:lang w:val="en-GB"/>
          </w:rPr>
          <w:id w:val="-532960061"/>
          <w:citation/>
        </w:sdtPr>
        <w:sdtContent>
          <w:r w:rsidR="00FD0314" w:rsidRPr="0035337B">
            <w:rPr>
              <w:lang w:val="en-GB"/>
            </w:rPr>
            <w:fldChar w:fldCharType="begin"/>
          </w:r>
          <w:r w:rsidRPr="0035337B">
            <w:rPr>
              <w:lang w:val="en-GB"/>
            </w:rPr>
            <w:instrText xml:space="preserve">CITATION CPB97 \n  \t  \l 1033 </w:instrText>
          </w:r>
          <w:r w:rsidR="00FD0314" w:rsidRPr="0035337B">
            <w:rPr>
              <w:lang w:val="en-GB"/>
            </w:rPr>
            <w:fldChar w:fldCharType="separate"/>
          </w:r>
          <w:r w:rsidR="006A4AA8" w:rsidRPr="006A4AA8">
            <w:rPr>
              <w:noProof/>
              <w:lang w:val="en-GB"/>
            </w:rPr>
            <w:t>(1997)</w:t>
          </w:r>
          <w:r w:rsidR="00FD0314" w:rsidRPr="0035337B">
            <w:rPr>
              <w:lang w:val="en-GB"/>
            </w:rPr>
            <w:fldChar w:fldCharType="end"/>
          </w:r>
        </w:sdtContent>
      </w:sdt>
      <w:r w:rsidRPr="0035337B">
        <w:rPr>
          <w:lang w:val="en-GB"/>
        </w:rPr>
        <w:t xml:space="preserve"> and, most prominently, NEI &amp; DHV </w:t>
      </w:r>
      <w:sdt>
        <w:sdtPr>
          <w:rPr>
            <w:lang w:val="en-GB"/>
          </w:rPr>
          <w:id w:val="-256915346"/>
          <w:citation/>
        </w:sdtPr>
        <w:sdtContent>
          <w:r w:rsidR="00FD0314" w:rsidRPr="0035337B">
            <w:rPr>
              <w:lang w:val="en-GB"/>
            </w:rPr>
            <w:fldChar w:fldCharType="begin"/>
          </w:r>
          <w:r w:rsidRPr="0035337B">
            <w:rPr>
              <w:lang w:val="en-GB"/>
            </w:rPr>
            <w:instrText xml:space="preserve">CITATION NEI99 \n  \t  \l 1033 </w:instrText>
          </w:r>
          <w:r w:rsidR="00FD0314" w:rsidRPr="0035337B">
            <w:rPr>
              <w:lang w:val="en-GB"/>
            </w:rPr>
            <w:fldChar w:fldCharType="separate"/>
          </w:r>
          <w:r w:rsidR="006A4AA8" w:rsidRPr="006A4AA8">
            <w:rPr>
              <w:noProof/>
              <w:lang w:val="en-GB"/>
            </w:rPr>
            <w:t>(1999)</w:t>
          </w:r>
          <w:r w:rsidR="00FD0314" w:rsidRPr="0035337B">
            <w:rPr>
              <w:lang w:val="en-GB"/>
            </w:rPr>
            <w:fldChar w:fldCharType="end"/>
          </w:r>
        </w:sdtContent>
      </w:sdt>
      <w:r w:rsidRPr="0035337B">
        <w:rPr>
          <w:lang w:val="en-GB"/>
        </w:rPr>
        <w:t xml:space="preserve">. NEI, the Netherlands Economics institute, was one of the parties responsible for the production of the cost benefit analysis. It has been in the business of applied economic research for more than 82 years and produced countless studies for clients all </w:t>
      </w:r>
      <w:r w:rsidRPr="0035337B">
        <w:rPr>
          <w:lang w:val="en-GB"/>
        </w:rPr>
        <w:lastRenderedPageBreak/>
        <w:t xml:space="preserve">over the world. DHV, known as Royal </w:t>
      </w:r>
      <w:proofErr w:type="spellStart"/>
      <w:r w:rsidRPr="0035337B">
        <w:rPr>
          <w:lang w:val="en-GB"/>
        </w:rPr>
        <w:t>Haskoning</w:t>
      </w:r>
      <w:proofErr w:type="spellEnd"/>
      <w:r w:rsidRPr="0035337B">
        <w:rPr>
          <w:lang w:val="en-GB"/>
        </w:rPr>
        <w:t xml:space="preserve"> DHV since a 2012 merger, also has a long history of project management and consultancy for global clients.</w:t>
      </w:r>
    </w:p>
    <w:p w:rsidR="0094129F" w:rsidRPr="0035337B" w:rsidRDefault="0094129F" w:rsidP="0094129F">
      <w:pPr>
        <w:spacing w:line="360" w:lineRule="auto"/>
        <w:jc w:val="both"/>
        <w:rPr>
          <w:lang w:val="en-GB"/>
        </w:rPr>
      </w:pPr>
      <w:r w:rsidRPr="0035337B">
        <w:rPr>
          <w:lang w:val="en-GB"/>
        </w:rPr>
        <w:t>NEI &amp; DHV made a sector study specifically exploring the industrial subsectors that weren’t included in the other sectors. For these sectors they analysed industrial trends and potential terrain demand. Since the study was conducted on behalf of the project team working on the cost benefit analysis the goals of the study are in line with the CBA.</w:t>
      </w:r>
    </w:p>
    <w:p w:rsidR="0094129F" w:rsidRPr="0035337B" w:rsidRDefault="0094129F" w:rsidP="0094129F">
      <w:pPr>
        <w:spacing w:line="360" w:lineRule="auto"/>
        <w:jc w:val="both"/>
        <w:rPr>
          <w:lang w:val="en-GB"/>
        </w:rPr>
      </w:pPr>
      <w:r w:rsidRPr="0035337B">
        <w:rPr>
          <w:lang w:val="en-GB"/>
        </w:rPr>
        <w:t xml:space="preserve">They used two steps to predict the terrain demand. First, the terrain demand is linked to the predicted employment opportunity developments in the </w:t>
      </w:r>
      <w:proofErr w:type="spellStart"/>
      <w:r w:rsidRPr="0035337B">
        <w:rPr>
          <w:lang w:val="en-GB"/>
        </w:rPr>
        <w:t>Rijnmond</w:t>
      </w:r>
      <w:proofErr w:type="spellEnd"/>
      <w:r w:rsidRPr="0035337B">
        <w:rPr>
          <w:lang w:val="en-GB"/>
        </w:rPr>
        <w:t xml:space="preserve"> area for the period 2000-2020. A model called the RUBIAE-model was used to make this conversion. The resulting prediction was then adjusted on a more detailed level based on information from interviews and surveys among companies and branch organisations.</w:t>
      </w:r>
    </w:p>
    <w:p w:rsidR="0094129F" w:rsidRPr="0035337B" w:rsidRDefault="0094129F" w:rsidP="0094129F">
      <w:pPr>
        <w:spacing w:line="360" w:lineRule="auto"/>
        <w:jc w:val="both"/>
        <w:rPr>
          <w:u w:val="single"/>
          <w:lang w:val="en-GB"/>
        </w:rPr>
      </w:pPr>
      <w:r w:rsidRPr="0035337B">
        <w:rPr>
          <w:lang w:val="en-GB"/>
        </w:rPr>
        <w:t xml:space="preserve">The result of the NEI/DHV study only covers the EC scenario and comes down to 115 hectares of additional predicted terrain demand for 2000-2020. To fit the cost benefit analysis a GC and DE figure had to be estimated. The total estimated terrain demand for the EC scenario consists of several subgroups that were estimated separately. For each of these subgroups the makers of the cost benefit analysis made an estimate of the conversion factor needed to calculate the GC and DE figures. The compiled figures can be found in table 3.2. </w:t>
      </w:r>
    </w:p>
    <w:p w:rsidR="0094129F" w:rsidRDefault="0094129F" w:rsidP="0094129F">
      <w:pPr>
        <w:pStyle w:val="Heading2"/>
        <w:jc w:val="left"/>
        <w:rPr>
          <w:lang w:val="en-GB"/>
        </w:rPr>
      </w:pPr>
      <w:bookmarkStart w:id="27" w:name="_Toc363737841"/>
      <w:r>
        <w:rPr>
          <w:lang w:val="en-GB"/>
        </w:rPr>
        <w:t>3.15 Other activities</w:t>
      </w:r>
      <w:bookmarkEnd w:id="27"/>
    </w:p>
    <w:p w:rsidR="0094129F" w:rsidRPr="0035337B" w:rsidRDefault="0094129F" w:rsidP="0094129F">
      <w:pPr>
        <w:spacing w:line="360" w:lineRule="auto"/>
        <w:jc w:val="both"/>
        <w:rPr>
          <w:lang w:val="en-GB"/>
        </w:rPr>
      </w:pPr>
      <w:r w:rsidRPr="0035337B">
        <w:rPr>
          <w:lang w:val="en-GB"/>
        </w:rPr>
        <w:t xml:space="preserve">The other activities sector encompasses activities such as commerce, transport and service. It contains both port related activities, e.g. tugboats and customs, and activities unrelated to the port, e.g. recreation and environmental services. </w:t>
      </w:r>
    </w:p>
    <w:p w:rsidR="0094129F" w:rsidRPr="0035337B" w:rsidRDefault="0094129F" w:rsidP="0094129F">
      <w:pPr>
        <w:spacing w:line="360" w:lineRule="auto"/>
        <w:jc w:val="both"/>
        <w:rPr>
          <w:lang w:val="en-GB"/>
        </w:rPr>
      </w:pPr>
      <w:r w:rsidRPr="0035337B">
        <w:rPr>
          <w:lang w:val="en-GB"/>
        </w:rPr>
        <w:t xml:space="preserve">To predict the demand a CPB </w:t>
      </w:r>
      <w:sdt>
        <w:sdtPr>
          <w:rPr>
            <w:lang w:val="en-GB"/>
          </w:rPr>
          <w:id w:val="1911880181"/>
          <w:citation/>
        </w:sdtPr>
        <w:sdtContent>
          <w:r w:rsidR="00FD0314" w:rsidRPr="0035337B">
            <w:rPr>
              <w:lang w:val="en-GB"/>
            </w:rPr>
            <w:fldChar w:fldCharType="begin"/>
          </w:r>
          <w:r w:rsidRPr="0035337B">
            <w:rPr>
              <w:lang w:val="en-GB"/>
            </w:rPr>
            <w:instrText xml:space="preserve">CITATION CPB97 \n  \t  \l 1033 </w:instrText>
          </w:r>
          <w:r w:rsidR="00FD0314" w:rsidRPr="0035337B">
            <w:rPr>
              <w:lang w:val="en-GB"/>
            </w:rPr>
            <w:fldChar w:fldCharType="separate"/>
          </w:r>
          <w:r w:rsidR="006A4AA8" w:rsidRPr="006A4AA8">
            <w:rPr>
              <w:noProof/>
              <w:lang w:val="en-GB"/>
            </w:rPr>
            <w:t>(1997)</w:t>
          </w:r>
          <w:r w:rsidR="00FD0314" w:rsidRPr="0035337B">
            <w:rPr>
              <w:lang w:val="en-GB"/>
            </w:rPr>
            <w:fldChar w:fldCharType="end"/>
          </w:r>
        </w:sdtContent>
      </w:sdt>
      <w:r w:rsidRPr="0035337B">
        <w:rPr>
          <w:lang w:val="en-GB"/>
        </w:rPr>
        <w:t xml:space="preserve"> study was used as the main document and a GHR </w:t>
      </w:r>
      <w:sdt>
        <w:sdtPr>
          <w:rPr>
            <w:lang w:val="en-GB"/>
          </w:rPr>
          <w:id w:val="326795869"/>
          <w:citation/>
        </w:sdtPr>
        <w:sdtContent>
          <w:r w:rsidR="00FD0314" w:rsidRPr="0035337B">
            <w:rPr>
              <w:lang w:val="en-GB"/>
            </w:rPr>
            <w:fldChar w:fldCharType="begin"/>
          </w:r>
          <w:r w:rsidRPr="0035337B">
            <w:rPr>
              <w:lang w:val="en-GB"/>
            </w:rPr>
            <w:instrText xml:space="preserve">CITATION GHR8a \n  \t  \l 1033 </w:instrText>
          </w:r>
          <w:r w:rsidR="00FD0314" w:rsidRPr="0035337B">
            <w:rPr>
              <w:lang w:val="en-GB"/>
            </w:rPr>
            <w:fldChar w:fldCharType="separate"/>
          </w:r>
          <w:r w:rsidR="006A4AA8" w:rsidRPr="006A4AA8">
            <w:rPr>
              <w:noProof/>
              <w:lang w:val="en-GB"/>
            </w:rPr>
            <w:t>(1998a)</w:t>
          </w:r>
          <w:r w:rsidR="00FD0314" w:rsidRPr="0035337B">
            <w:rPr>
              <w:lang w:val="en-GB"/>
            </w:rPr>
            <w:fldChar w:fldCharType="end"/>
          </w:r>
        </w:sdtContent>
      </w:sdt>
      <w:r w:rsidRPr="0035337B">
        <w:rPr>
          <w:lang w:val="en-GB"/>
        </w:rPr>
        <w:t xml:space="preserve"> one for background information. In predicting the demand it was assumed based on previous experience that many of the companies in this sector are small and fill up, for large companies, obsolete lots. This is not expected to change in the future.</w:t>
      </w:r>
    </w:p>
    <w:p w:rsidR="0094129F" w:rsidRDefault="0094129F" w:rsidP="0094129F">
      <w:pPr>
        <w:spacing w:line="360" w:lineRule="auto"/>
        <w:jc w:val="both"/>
        <w:rPr>
          <w:lang w:val="en-GB"/>
        </w:rPr>
      </w:pPr>
      <w:r w:rsidRPr="0035337B">
        <w:rPr>
          <w:lang w:val="en-GB"/>
        </w:rPr>
        <w:t>The demand figure was composed in two steps. Firstly by estimating the growth of commerce and services based on the national projections and adjusting for the fact that it is expected to grow less in the Port of Rotterdam. Secondly some specific activities that represent a large terrain demand were individually added. The final results for the ‘other activities’ sector can be found in table 3.2.</w:t>
      </w:r>
    </w:p>
    <w:p w:rsidR="006A4AA8" w:rsidRPr="0035337B" w:rsidRDefault="006A4AA8" w:rsidP="0094129F">
      <w:pPr>
        <w:spacing w:line="360" w:lineRule="auto"/>
        <w:jc w:val="both"/>
        <w:rPr>
          <w:lang w:val="en-GB"/>
        </w:rPr>
      </w:pPr>
    </w:p>
    <w:p w:rsidR="003A7894" w:rsidRDefault="003A7894" w:rsidP="003A7894">
      <w:pPr>
        <w:pStyle w:val="Heading1"/>
        <w:jc w:val="left"/>
        <w:rPr>
          <w:lang w:val="en-GB"/>
        </w:rPr>
      </w:pPr>
      <w:bookmarkStart w:id="28" w:name="_Toc363737842"/>
      <w:r>
        <w:rPr>
          <w:lang w:val="en-GB"/>
        </w:rPr>
        <w:lastRenderedPageBreak/>
        <w:t>Chapter 4; Economic analysis</w:t>
      </w:r>
      <w:bookmarkEnd w:id="28"/>
    </w:p>
    <w:p w:rsidR="003A7894" w:rsidRPr="0035337B" w:rsidRDefault="003A7894" w:rsidP="003A7894">
      <w:pPr>
        <w:spacing w:line="360" w:lineRule="auto"/>
        <w:jc w:val="both"/>
        <w:rPr>
          <w:lang w:val="en-GB"/>
        </w:rPr>
      </w:pPr>
      <w:r w:rsidRPr="0035337B">
        <w:rPr>
          <w:lang w:val="en-GB"/>
        </w:rPr>
        <w:t>In this chapter of the thesis I will compare the available data with the data presented in the cost benefit analysis. The comparison will be on a sector by sector basis while, when relevant, different variables per sector will be examined. For example, the container sector can be examined by comparing the both the predicted terrain demand and the predicted throughput in TEUs with the actual figures.</w:t>
      </w:r>
    </w:p>
    <w:p w:rsidR="003A7894" w:rsidRPr="0035337B" w:rsidRDefault="003A7894" w:rsidP="003A7894">
      <w:pPr>
        <w:spacing w:line="360" w:lineRule="auto"/>
        <w:jc w:val="both"/>
        <w:rPr>
          <w:lang w:val="en-GB"/>
        </w:rPr>
      </w:pPr>
      <w:r w:rsidRPr="0035337B">
        <w:rPr>
          <w:lang w:val="en-GB"/>
        </w:rPr>
        <w:t>If available, data from 2010 and the most recent data will be included. The 2010 data are relevant and easy to compare since it is in the middle of the 2000-2020 period that was considered in the previous chapter and the cost benefit analysis. 2012 Data are obviously the most recent and might lead to new insights relating to recent events. The predictions in the Cost Benefit Analysis are for the year 2020 and the 2010 figures are calculated under the assumption of linear growth over the period 2000-2020. Along with a side by side comparison of the data a short evaluation will be given with any noteworthy information regarding the path of the data.</w:t>
      </w:r>
    </w:p>
    <w:p w:rsidR="003A7894" w:rsidRPr="0035337B" w:rsidRDefault="003A7894" w:rsidP="003A7894">
      <w:pPr>
        <w:spacing w:line="360" w:lineRule="auto"/>
        <w:jc w:val="both"/>
        <w:rPr>
          <w:lang w:val="en-GB"/>
        </w:rPr>
      </w:pPr>
      <w:r w:rsidRPr="0035337B">
        <w:rPr>
          <w:lang w:val="en-GB"/>
        </w:rPr>
        <w:t>Any observed discrepancies will then be analysed by answering the following questions.</w:t>
      </w:r>
    </w:p>
    <w:p w:rsidR="003A7894" w:rsidRPr="0035337B" w:rsidRDefault="003A7894" w:rsidP="003A7894">
      <w:pPr>
        <w:pStyle w:val="ListParagraph"/>
        <w:numPr>
          <w:ilvl w:val="0"/>
          <w:numId w:val="7"/>
        </w:numPr>
        <w:spacing w:line="360" w:lineRule="auto"/>
        <w:jc w:val="both"/>
        <w:rPr>
          <w:lang w:val="en-GB"/>
        </w:rPr>
      </w:pPr>
      <w:r w:rsidRPr="0035337B">
        <w:rPr>
          <w:lang w:val="en-GB"/>
        </w:rPr>
        <w:t>What is the most likely cause of the observed difference between the predicted and the historic figures?</w:t>
      </w:r>
    </w:p>
    <w:p w:rsidR="003A7894" w:rsidRPr="0035337B" w:rsidRDefault="003A7894" w:rsidP="003A7894">
      <w:pPr>
        <w:pStyle w:val="ListParagraph"/>
        <w:numPr>
          <w:ilvl w:val="0"/>
          <w:numId w:val="7"/>
        </w:numPr>
        <w:spacing w:line="360" w:lineRule="auto"/>
        <w:jc w:val="both"/>
        <w:rPr>
          <w:lang w:val="en-GB"/>
        </w:rPr>
      </w:pPr>
      <w:r w:rsidRPr="0035337B">
        <w:rPr>
          <w:lang w:val="en-GB"/>
        </w:rPr>
        <w:t>Could this have been foreseen in the cost benefit analysis?</w:t>
      </w:r>
    </w:p>
    <w:p w:rsidR="003A7894" w:rsidRPr="0035337B" w:rsidRDefault="003A7894" w:rsidP="003A7894">
      <w:pPr>
        <w:pStyle w:val="ListParagraph"/>
        <w:numPr>
          <w:ilvl w:val="0"/>
          <w:numId w:val="7"/>
        </w:numPr>
        <w:spacing w:line="360" w:lineRule="auto"/>
        <w:jc w:val="both"/>
        <w:rPr>
          <w:lang w:val="en-GB"/>
        </w:rPr>
      </w:pPr>
      <w:r w:rsidRPr="0035337B">
        <w:rPr>
          <w:lang w:val="en-GB"/>
        </w:rPr>
        <w:t>Is there a suitable alternative method of prediction?</w:t>
      </w:r>
    </w:p>
    <w:p w:rsidR="003A7894" w:rsidRPr="0035337B" w:rsidRDefault="003A7894" w:rsidP="003A7894">
      <w:pPr>
        <w:spacing w:line="360" w:lineRule="auto"/>
        <w:jc w:val="both"/>
        <w:rPr>
          <w:lang w:val="en-GB"/>
        </w:rPr>
      </w:pPr>
      <w:r w:rsidRPr="0035337B">
        <w:rPr>
          <w:lang w:val="en-GB"/>
        </w:rPr>
        <w:t>The two sectors that show a significant deviation from the predictions and will be analysed further are the container sector and dry mass goods. The remaining general cargo sector will, although a discrepancy was observed, not be examined due to its negligible size.</w:t>
      </w:r>
    </w:p>
    <w:p w:rsidR="003A7894" w:rsidRDefault="003A7894" w:rsidP="006D0BC3">
      <w:pPr>
        <w:pStyle w:val="Heading2"/>
        <w:jc w:val="left"/>
        <w:rPr>
          <w:lang w:val="en-GB"/>
        </w:rPr>
      </w:pPr>
      <w:bookmarkStart w:id="29" w:name="_Toc363737843"/>
      <w:r>
        <w:rPr>
          <w:lang w:val="en-GB"/>
        </w:rPr>
        <w:t>4.1 Container sector</w:t>
      </w:r>
      <w:bookmarkEnd w:id="29"/>
    </w:p>
    <w:p w:rsidR="003A7894" w:rsidRPr="0035337B" w:rsidRDefault="003A7894" w:rsidP="003A7894">
      <w:pPr>
        <w:spacing w:line="360" w:lineRule="auto"/>
        <w:jc w:val="both"/>
        <w:rPr>
          <w:lang w:val="en-GB"/>
        </w:rPr>
      </w:pPr>
      <w:r w:rsidRPr="0035337B">
        <w:rPr>
          <w:lang w:val="en-GB"/>
        </w:rPr>
        <w:t>Table 4.1 shows the container throughput figures of the port of Rotterdam as observed and predicted by the CBA per scenario. The numbers represent million TEUs and the observed values are in line with the GC scenario.</w:t>
      </w:r>
      <w:sdt>
        <w:sdtPr>
          <w:rPr>
            <w:lang w:val="en-GB"/>
          </w:rPr>
          <w:id w:val="368803666"/>
          <w:citation/>
        </w:sdtPr>
        <w:sdtContent>
          <w:r w:rsidR="00FD0314" w:rsidRPr="0035337B">
            <w:rPr>
              <w:lang w:val="en-GB"/>
            </w:rPr>
            <w:fldChar w:fldCharType="begin"/>
          </w:r>
          <w:r w:rsidRPr="0035337B">
            <w:rPr>
              <w:lang w:val="en-GB"/>
            </w:rPr>
            <w:instrText xml:space="preserve">CITATION Por13 \t  \l 1033 </w:instrText>
          </w:r>
          <w:r w:rsidR="00FD0314" w:rsidRPr="0035337B">
            <w:rPr>
              <w:lang w:val="en-GB"/>
            </w:rPr>
            <w:fldChar w:fldCharType="separate"/>
          </w:r>
          <w:r w:rsidR="006A4AA8">
            <w:rPr>
              <w:noProof/>
              <w:lang w:val="en-GB"/>
            </w:rPr>
            <w:t xml:space="preserve"> </w:t>
          </w:r>
          <w:r w:rsidR="006A4AA8" w:rsidRPr="006A4AA8">
            <w:rPr>
              <w:noProof/>
              <w:lang w:val="en-GB"/>
            </w:rPr>
            <w:t>(HbR, 2013a)</w:t>
          </w:r>
          <w:r w:rsidR="00FD0314" w:rsidRPr="0035337B">
            <w:rPr>
              <w:lang w:val="en-GB"/>
            </w:rPr>
            <w:fldChar w:fldCharType="end"/>
          </w:r>
        </w:sdtContent>
      </w:sdt>
    </w:p>
    <w:tbl>
      <w:tblPr>
        <w:tblStyle w:val="ColorfulList"/>
        <w:tblW w:w="0" w:type="auto"/>
        <w:tblLook w:val="04A0"/>
      </w:tblPr>
      <w:tblGrid>
        <w:gridCol w:w="1902"/>
        <w:gridCol w:w="1042"/>
        <w:gridCol w:w="1042"/>
        <w:gridCol w:w="1042"/>
        <w:gridCol w:w="1043"/>
        <w:gridCol w:w="1042"/>
        <w:gridCol w:w="1042"/>
        <w:gridCol w:w="1043"/>
      </w:tblGrid>
      <w:tr w:rsidR="003A7894" w:rsidRPr="003A7894" w:rsidTr="003F390D">
        <w:trPr>
          <w:cnfStyle w:val="100000000000"/>
        </w:trPr>
        <w:tc>
          <w:tcPr>
            <w:cnfStyle w:val="001000000000"/>
            <w:tcW w:w="1902" w:type="dxa"/>
          </w:tcPr>
          <w:p w:rsidR="003A7894" w:rsidRPr="003A7894" w:rsidRDefault="003A7894" w:rsidP="001C1FCC">
            <w:pPr>
              <w:spacing w:line="360" w:lineRule="auto"/>
              <w:jc w:val="both"/>
              <w:rPr>
                <w:sz w:val="18"/>
                <w:szCs w:val="18"/>
                <w:lang w:val="en-GB"/>
              </w:rPr>
            </w:pPr>
            <w:r w:rsidRPr="003A7894">
              <w:rPr>
                <w:sz w:val="18"/>
                <w:szCs w:val="18"/>
                <w:lang w:val="en-GB"/>
              </w:rPr>
              <w:t>Table 4.1</w:t>
            </w:r>
          </w:p>
        </w:tc>
        <w:tc>
          <w:tcPr>
            <w:tcW w:w="1042" w:type="dxa"/>
          </w:tcPr>
          <w:p w:rsidR="003A7894" w:rsidRPr="003A7894" w:rsidRDefault="003A7894" w:rsidP="001C1FCC">
            <w:pPr>
              <w:spacing w:line="360" w:lineRule="auto"/>
              <w:jc w:val="both"/>
              <w:cnfStyle w:val="100000000000"/>
              <w:rPr>
                <w:sz w:val="18"/>
                <w:szCs w:val="18"/>
                <w:lang w:val="en-GB"/>
              </w:rPr>
            </w:pPr>
            <w:r w:rsidRPr="003A7894">
              <w:rPr>
                <w:sz w:val="18"/>
                <w:szCs w:val="18"/>
                <w:lang w:val="en-GB"/>
              </w:rPr>
              <w:t>Real</w:t>
            </w:r>
          </w:p>
        </w:tc>
        <w:tc>
          <w:tcPr>
            <w:tcW w:w="1042" w:type="dxa"/>
          </w:tcPr>
          <w:p w:rsidR="003A7894" w:rsidRPr="003A7894" w:rsidRDefault="003A7894" w:rsidP="001C1FCC">
            <w:pPr>
              <w:spacing w:line="360" w:lineRule="auto"/>
              <w:jc w:val="both"/>
              <w:cnfStyle w:val="100000000000"/>
              <w:rPr>
                <w:sz w:val="18"/>
                <w:szCs w:val="18"/>
                <w:lang w:val="en-GB"/>
              </w:rPr>
            </w:pPr>
            <w:r w:rsidRPr="003A7894">
              <w:rPr>
                <w:sz w:val="18"/>
                <w:szCs w:val="18"/>
                <w:lang w:val="en-GB"/>
              </w:rPr>
              <w:t>Real</w:t>
            </w:r>
          </w:p>
        </w:tc>
        <w:tc>
          <w:tcPr>
            <w:tcW w:w="1042" w:type="dxa"/>
          </w:tcPr>
          <w:p w:rsidR="003A7894" w:rsidRPr="003A7894" w:rsidRDefault="003A7894" w:rsidP="001C1FCC">
            <w:pPr>
              <w:spacing w:line="360" w:lineRule="auto"/>
              <w:jc w:val="both"/>
              <w:cnfStyle w:val="100000000000"/>
              <w:rPr>
                <w:sz w:val="18"/>
                <w:szCs w:val="18"/>
                <w:lang w:val="en-GB"/>
              </w:rPr>
            </w:pPr>
            <w:r w:rsidRPr="003A7894">
              <w:rPr>
                <w:sz w:val="18"/>
                <w:szCs w:val="18"/>
                <w:lang w:val="en-GB"/>
              </w:rPr>
              <w:t>Real</w:t>
            </w:r>
          </w:p>
        </w:tc>
        <w:tc>
          <w:tcPr>
            <w:tcW w:w="1043" w:type="dxa"/>
          </w:tcPr>
          <w:p w:rsidR="003A7894" w:rsidRPr="003A7894" w:rsidRDefault="003A7894" w:rsidP="001C1FCC">
            <w:pPr>
              <w:spacing w:line="360" w:lineRule="auto"/>
              <w:jc w:val="both"/>
              <w:cnfStyle w:val="100000000000"/>
              <w:rPr>
                <w:sz w:val="18"/>
                <w:szCs w:val="18"/>
                <w:lang w:val="en-GB"/>
              </w:rPr>
            </w:pPr>
            <w:r w:rsidRPr="003A7894">
              <w:rPr>
                <w:sz w:val="18"/>
                <w:szCs w:val="18"/>
                <w:lang w:val="en-GB"/>
              </w:rPr>
              <w:t>Real</w:t>
            </w:r>
          </w:p>
        </w:tc>
        <w:tc>
          <w:tcPr>
            <w:tcW w:w="1042" w:type="dxa"/>
          </w:tcPr>
          <w:p w:rsidR="003A7894" w:rsidRPr="003A7894" w:rsidRDefault="003A7894" w:rsidP="001C1FCC">
            <w:pPr>
              <w:spacing w:line="360" w:lineRule="auto"/>
              <w:jc w:val="both"/>
              <w:cnfStyle w:val="100000000000"/>
              <w:rPr>
                <w:sz w:val="18"/>
                <w:szCs w:val="18"/>
                <w:lang w:val="en-GB"/>
              </w:rPr>
            </w:pPr>
            <w:r w:rsidRPr="003A7894">
              <w:rPr>
                <w:sz w:val="18"/>
                <w:szCs w:val="18"/>
                <w:lang w:val="en-GB"/>
              </w:rPr>
              <w:t>DE</w:t>
            </w:r>
          </w:p>
        </w:tc>
        <w:tc>
          <w:tcPr>
            <w:tcW w:w="1042" w:type="dxa"/>
          </w:tcPr>
          <w:p w:rsidR="003A7894" w:rsidRPr="003A7894" w:rsidRDefault="003A7894" w:rsidP="001C1FCC">
            <w:pPr>
              <w:spacing w:line="360" w:lineRule="auto"/>
              <w:jc w:val="both"/>
              <w:cnfStyle w:val="100000000000"/>
              <w:rPr>
                <w:sz w:val="18"/>
                <w:szCs w:val="18"/>
                <w:lang w:val="en-GB"/>
              </w:rPr>
            </w:pPr>
            <w:r w:rsidRPr="003A7894">
              <w:rPr>
                <w:sz w:val="18"/>
                <w:szCs w:val="18"/>
                <w:lang w:val="en-GB"/>
              </w:rPr>
              <w:t>EC</w:t>
            </w:r>
          </w:p>
        </w:tc>
        <w:tc>
          <w:tcPr>
            <w:tcW w:w="1043" w:type="dxa"/>
          </w:tcPr>
          <w:p w:rsidR="003A7894" w:rsidRPr="003A7894" w:rsidRDefault="003A7894" w:rsidP="001C1FCC">
            <w:pPr>
              <w:spacing w:line="360" w:lineRule="auto"/>
              <w:jc w:val="both"/>
              <w:cnfStyle w:val="100000000000"/>
              <w:rPr>
                <w:sz w:val="18"/>
                <w:szCs w:val="18"/>
                <w:lang w:val="en-GB"/>
              </w:rPr>
            </w:pPr>
            <w:r w:rsidRPr="003A7894">
              <w:rPr>
                <w:sz w:val="18"/>
                <w:szCs w:val="18"/>
                <w:lang w:val="en-GB"/>
              </w:rPr>
              <w:t>GC</w:t>
            </w:r>
          </w:p>
        </w:tc>
      </w:tr>
      <w:tr w:rsidR="003A7894" w:rsidRPr="003A7894" w:rsidTr="003F390D">
        <w:trPr>
          <w:cnfStyle w:val="000000100000"/>
        </w:trPr>
        <w:tc>
          <w:tcPr>
            <w:cnfStyle w:val="001000000000"/>
            <w:tcW w:w="1902" w:type="dxa"/>
          </w:tcPr>
          <w:p w:rsidR="003A7894" w:rsidRPr="003A7894" w:rsidRDefault="003A7894" w:rsidP="001C1FCC">
            <w:pPr>
              <w:spacing w:line="360" w:lineRule="auto"/>
              <w:jc w:val="both"/>
              <w:rPr>
                <w:sz w:val="18"/>
                <w:szCs w:val="18"/>
                <w:lang w:val="en-GB"/>
              </w:rPr>
            </w:pPr>
          </w:p>
        </w:tc>
        <w:tc>
          <w:tcPr>
            <w:tcW w:w="1042" w:type="dxa"/>
          </w:tcPr>
          <w:p w:rsidR="003A7894" w:rsidRPr="003A7894" w:rsidRDefault="003A7894" w:rsidP="001C1FCC">
            <w:pPr>
              <w:spacing w:line="360" w:lineRule="auto"/>
              <w:jc w:val="both"/>
              <w:cnfStyle w:val="000000100000"/>
              <w:rPr>
                <w:b/>
                <w:sz w:val="18"/>
                <w:szCs w:val="18"/>
                <w:lang w:val="en-GB"/>
              </w:rPr>
            </w:pPr>
            <w:r w:rsidRPr="003A7894">
              <w:rPr>
                <w:b/>
                <w:sz w:val="18"/>
                <w:szCs w:val="18"/>
                <w:lang w:val="en-GB"/>
              </w:rPr>
              <w:t>1999</w:t>
            </w:r>
          </w:p>
        </w:tc>
        <w:tc>
          <w:tcPr>
            <w:tcW w:w="1042" w:type="dxa"/>
          </w:tcPr>
          <w:p w:rsidR="003A7894" w:rsidRPr="003A7894" w:rsidRDefault="003A7894" w:rsidP="001C1FCC">
            <w:pPr>
              <w:spacing w:line="360" w:lineRule="auto"/>
              <w:jc w:val="both"/>
              <w:cnfStyle w:val="000000100000"/>
              <w:rPr>
                <w:b/>
                <w:sz w:val="18"/>
                <w:szCs w:val="18"/>
                <w:lang w:val="en-GB"/>
              </w:rPr>
            </w:pPr>
            <w:r w:rsidRPr="003A7894">
              <w:rPr>
                <w:b/>
                <w:sz w:val="18"/>
                <w:szCs w:val="18"/>
                <w:lang w:val="en-GB"/>
              </w:rPr>
              <w:t>2005</w:t>
            </w:r>
          </w:p>
        </w:tc>
        <w:tc>
          <w:tcPr>
            <w:tcW w:w="1042" w:type="dxa"/>
          </w:tcPr>
          <w:p w:rsidR="003A7894" w:rsidRPr="003A7894" w:rsidRDefault="003A7894" w:rsidP="001C1FCC">
            <w:pPr>
              <w:spacing w:line="360" w:lineRule="auto"/>
              <w:jc w:val="both"/>
              <w:cnfStyle w:val="000000100000"/>
              <w:rPr>
                <w:b/>
                <w:sz w:val="18"/>
                <w:szCs w:val="18"/>
                <w:lang w:val="en-GB"/>
              </w:rPr>
            </w:pPr>
            <w:r w:rsidRPr="003A7894">
              <w:rPr>
                <w:b/>
                <w:sz w:val="18"/>
                <w:szCs w:val="18"/>
                <w:lang w:val="en-GB"/>
              </w:rPr>
              <w:t>2010</w:t>
            </w:r>
          </w:p>
        </w:tc>
        <w:tc>
          <w:tcPr>
            <w:tcW w:w="1043" w:type="dxa"/>
          </w:tcPr>
          <w:p w:rsidR="003A7894" w:rsidRPr="003A7894" w:rsidRDefault="003A7894" w:rsidP="001C1FCC">
            <w:pPr>
              <w:spacing w:line="360" w:lineRule="auto"/>
              <w:jc w:val="both"/>
              <w:cnfStyle w:val="000000100000"/>
              <w:rPr>
                <w:b/>
                <w:sz w:val="18"/>
                <w:szCs w:val="18"/>
                <w:lang w:val="en-GB"/>
              </w:rPr>
            </w:pPr>
            <w:r w:rsidRPr="003A7894">
              <w:rPr>
                <w:b/>
                <w:sz w:val="18"/>
                <w:szCs w:val="18"/>
                <w:lang w:val="en-GB"/>
              </w:rPr>
              <w:t>2012</w:t>
            </w:r>
          </w:p>
        </w:tc>
        <w:tc>
          <w:tcPr>
            <w:tcW w:w="1042" w:type="dxa"/>
          </w:tcPr>
          <w:p w:rsidR="003A7894" w:rsidRPr="003A7894" w:rsidRDefault="003A7894" w:rsidP="001C1FCC">
            <w:pPr>
              <w:spacing w:line="360" w:lineRule="auto"/>
              <w:jc w:val="both"/>
              <w:cnfStyle w:val="000000100000"/>
              <w:rPr>
                <w:b/>
                <w:sz w:val="18"/>
                <w:szCs w:val="18"/>
                <w:lang w:val="en-GB"/>
              </w:rPr>
            </w:pPr>
            <w:r w:rsidRPr="003A7894">
              <w:rPr>
                <w:b/>
                <w:sz w:val="18"/>
                <w:szCs w:val="18"/>
                <w:lang w:val="en-GB"/>
              </w:rPr>
              <w:t>2010</w:t>
            </w:r>
          </w:p>
        </w:tc>
        <w:tc>
          <w:tcPr>
            <w:tcW w:w="1042" w:type="dxa"/>
          </w:tcPr>
          <w:p w:rsidR="003A7894" w:rsidRPr="003A7894" w:rsidRDefault="003A7894" w:rsidP="001C1FCC">
            <w:pPr>
              <w:spacing w:line="360" w:lineRule="auto"/>
              <w:jc w:val="both"/>
              <w:cnfStyle w:val="000000100000"/>
              <w:rPr>
                <w:b/>
                <w:sz w:val="18"/>
                <w:szCs w:val="18"/>
                <w:lang w:val="en-GB"/>
              </w:rPr>
            </w:pPr>
            <w:r w:rsidRPr="003A7894">
              <w:rPr>
                <w:b/>
                <w:sz w:val="18"/>
                <w:szCs w:val="18"/>
                <w:lang w:val="en-GB"/>
              </w:rPr>
              <w:t>2010</w:t>
            </w:r>
          </w:p>
        </w:tc>
        <w:tc>
          <w:tcPr>
            <w:tcW w:w="1043" w:type="dxa"/>
          </w:tcPr>
          <w:p w:rsidR="003A7894" w:rsidRPr="003A7894" w:rsidRDefault="003A7894" w:rsidP="001C1FCC">
            <w:pPr>
              <w:spacing w:line="360" w:lineRule="auto"/>
              <w:jc w:val="both"/>
              <w:cnfStyle w:val="000000100000"/>
              <w:rPr>
                <w:b/>
                <w:sz w:val="18"/>
                <w:szCs w:val="18"/>
                <w:lang w:val="en-GB"/>
              </w:rPr>
            </w:pPr>
            <w:r w:rsidRPr="003A7894">
              <w:rPr>
                <w:b/>
                <w:sz w:val="18"/>
                <w:szCs w:val="18"/>
                <w:lang w:val="en-GB"/>
              </w:rPr>
              <w:t>2010</w:t>
            </w:r>
          </w:p>
        </w:tc>
      </w:tr>
      <w:tr w:rsidR="003A7894" w:rsidRPr="003A7894" w:rsidTr="003F390D">
        <w:tc>
          <w:tcPr>
            <w:cnfStyle w:val="001000000000"/>
            <w:tcW w:w="1902" w:type="dxa"/>
          </w:tcPr>
          <w:p w:rsidR="003A7894" w:rsidRPr="003A7894" w:rsidRDefault="003A7894" w:rsidP="001C1FCC">
            <w:pPr>
              <w:spacing w:line="360" w:lineRule="auto"/>
              <w:jc w:val="both"/>
              <w:rPr>
                <w:b w:val="0"/>
                <w:sz w:val="18"/>
                <w:szCs w:val="18"/>
                <w:lang w:val="en-GB"/>
              </w:rPr>
            </w:pPr>
            <w:proofErr w:type="spellStart"/>
            <w:r w:rsidRPr="003A7894">
              <w:rPr>
                <w:b w:val="0"/>
                <w:sz w:val="18"/>
                <w:szCs w:val="18"/>
                <w:lang w:val="en-GB"/>
              </w:rPr>
              <w:t>Maasvlakte</w:t>
            </w:r>
            <w:proofErr w:type="spellEnd"/>
            <w:r w:rsidRPr="003A7894">
              <w:rPr>
                <w:b w:val="0"/>
                <w:sz w:val="18"/>
                <w:szCs w:val="18"/>
                <w:lang w:val="en-GB"/>
              </w:rPr>
              <w:t xml:space="preserve"> Bound</w:t>
            </w:r>
          </w:p>
        </w:tc>
        <w:tc>
          <w:tcPr>
            <w:tcW w:w="1042" w:type="dxa"/>
          </w:tcPr>
          <w:p w:rsidR="003A7894" w:rsidRPr="003A7894" w:rsidRDefault="003A7894" w:rsidP="001C1FCC">
            <w:pPr>
              <w:spacing w:line="360" w:lineRule="auto"/>
              <w:jc w:val="both"/>
              <w:cnfStyle w:val="000000000000"/>
              <w:rPr>
                <w:sz w:val="18"/>
                <w:szCs w:val="18"/>
                <w:lang w:val="en-GB"/>
              </w:rPr>
            </w:pPr>
            <w:r w:rsidRPr="003A7894">
              <w:rPr>
                <w:sz w:val="18"/>
                <w:szCs w:val="18"/>
                <w:lang w:val="en-GB"/>
              </w:rPr>
              <w:t>3.5</w:t>
            </w:r>
          </w:p>
        </w:tc>
        <w:tc>
          <w:tcPr>
            <w:tcW w:w="1042" w:type="dxa"/>
          </w:tcPr>
          <w:p w:rsidR="003A7894" w:rsidRPr="003A7894" w:rsidRDefault="003A7894" w:rsidP="001C1FCC">
            <w:pPr>
              <w:spacing w:line="360" w:lineRule="auto"/>
              <w:jc w:val="both"/>
              <w:cnfStyle w:val="000000000000"/>
              <w:rPr>
                <w:sz w:val="18"/>
                <w:szCs w:val="18"/>
                <w:lang w:val="en-GB"/>
              </w:rPr>
            </w:pPr>
          </w:p>
        </w:tc>
        <w:tc>
          <w:tcPr>
            <w:tcW w:w="1042" w:type="dxa"/>
          </w:tcPr>
          <w:p w:rsidR="003A7894" w:rsidRPr="003A7894" w:rsidRDefault="003A7894" w:rsidP="001C1FCC">
            <w:pPr>
              <w:spacing w:line="360" w:lineRule="auto"/>
              <w:jc w:val="both"/>
              <w:cnfStyle w:val="000000000000"/>
              <w:rPr>
                <w:sz w:val="18"/>
                <w:szCs w:val="18"/>
                <w:lang w:val="en-GB"/>
              </w:rPr>
            </w:pPr>
          </w:p>
        </w:tc>
        <w:tc>
          <w:tcPr>
            <w:tcW w:w="1043" w:type="dxa"/>
          </w:tcPr>
          <w:p w:rsidR="003A7894" w:rsidRPr="003A7894" w:rsidRDefault="003A7894" w:rsidP="001C1FCC">
            <w:pPr>
              <w:spacing w:line="360" w:lineRule="auto"/>
              <w:jc w:val="both"/>
              <w:cnfStyle w:val="000000000000"/>
              <w:rPr>
                <w:sz w:val="18"/>
                <w:szCs w:val="18"/>
                <w:lang w:val="en-GB"/>
              </w:rPr>
            </w:pPr>
          </w:p>
        </w:tc>
        <w:tc>
          <w:tcPr>
            <w:tcW w:w="1042" w:type="dxa"/>
          </w:tcPr>
          <w:p w:rsidR="003A7894" w:rsidRPr="003A7894" w:rsidRDefault="003A7894" w:rsidP="001C1FCC">
            <w:pPr>
              <w:spacing w:line="360" w:lineRule="auto"/>
              <w:jc w:val="both"/>
              <w:cnfStyle w:val="000000000000"/>
              <w:rPr>
                <w:sz w:val="18"/>
                <w:szCs w:val="18"/>
                <w:lang w:val="en-GB"/>
              </w:rPr>
            </w:pPr>
            <w:r w:rsidRPr="003A7894">
              <w:rPr>
                <w:sz w:val="18"/>
                <w:szCs w:val="18"/>
                <w:lang w:val="en-GB"/>
              </w:rPr>
              <w:t>5.7</w:t>
            </w:r>
          </w:p>
        </w:tc>
        <w:tc>
          <w:tcPr>
            <w:tcW w:w="1042" w:type="dxa"/>
          </w:tcPr>
          <w:p w:rsidR="003A7894" w:rsidRPr="003A7894" w:rsidRDefault="003A7894" w:rsidP="001C1FCC">
            <w:pPr>
              <w:spacing w:line="360" w:lineRule="auto"/>
              <w:jc w:val="both"/>
              <w:cnfStyle w:val="000000000000"/>
              <w:rPr>
                <w:sz w:val="18"/>
                <w:szCs w:val="18"/>
                <w:lang w:val="en-GB"/>
              </w:rPr>
            </w:pPr>
            <w:r w:rsidRPr="003A7894">
              <w:rPr>
                <w:sz w:val="18"/>
                <w:szCs w:val="18"/>
                <w:lang w:val="en-GB"/>
              </w:rPr>
              <w:t>7.43</w:t>
            </w:r>
          </w:p>
        </w:tc>
        <w:tc>
          <w:tcPr>
            <w:tcW w:w="1043" w:type="dxa"/>
          </w:tcPr>
          <w:p w:rsidR="003A7894" w:rsidRPr="003A7894" w:rsidRDefault="003A7894" w:rsidP="001C1FCC">
            <w:pPr>
              <w:spacing w:line="360" w:lineRule="auto"/>
              <w:jc w:val="both"/>
              <w:cnfStyle w:val="000000000000"/>
              <w:rPr>
                <w:sz w:val="18"/>
                <w:szCs w:val="18"/>
                <w:lang w:val="en-GB"/>
              </w:rPr>
            </w:pPr>
            <w:r w:rsidRPr="003A7894">
              <w:rPr>
                <w:sz w:val="18"/>
                <w:szCs w:val="18"/>
                <w:lang w:val="en-GB"/>
              </w:rPr>
              <w:t>8.58</w:t>
            </w:r>
          </w:p>
        </w:tc>
      </w:tr>
      <w:tr w:rsidR="003A7894" w:rsidRPr="003A7894" w:rsidTr="003F390D">
        <w:trPr>
          <w:cnfStyle w:val="000000100000"/>
        </w:trPr>
        <w:tc>
          <w:tcPr>
            <w:cnfStyle w:val="001000000000"/>
            <w:tcW w:w="1902" w:type="dxa"/>
          </w:tcPr>
          <w:p w:rsidR="003A7894" w:rsidRPr="003A7894" w:rsidRDefault="003A7894" w:rsidP="001C1FCC">
            <w:pPr>
              <w:spacing w:line="360" w:lineRule="auto"/>
              <w:jc w:val="both"/>
              <w:rPr>
                <w:b w:val="0"/>
                <w:sz w:val="18"/>
                <w:szCs w:val="18"/>
                <w:lang w:val="en-GB"/>
              </w:rPr>
            </w:pPr>
            <w:r w:rsidRPr="003A7894">
              <w:rPr>
                <w:b w:val="0"/>
                <w:sz w:val="18"/>
                <w:szCs w:val="18"/>
                <w:lang w:val="en-GB"/>
              </w:rPr>
              <w:t>Other deep-sea</w:t>
            </w:r>
          </w:p>
        </w:tc>
        <w:tc>
          <w:tcPr>
            <w:tcW w:w="1042"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2.0</w:t>
            </w:r>
          </w:p>
        </w:tc>
        <w:tc>
          <w:tcPr>
            <w:tcW w:w="1042" w:type="dxa"/>
          </w:tcPr>
          <w:p w:rsidR="003A7894" w:rsidRPr="003A7894" w:rsidRDefault="003A7894" w:rsidP="001C1FCC">
            <w:pPr>
              <w:spacing w:line="360" w:lineRule="auto"/>
              <w:jc w:val="both"/>
              <w:cnfStyle w:val="000000100000"/>
              <w:rPr>
                <w:sz w:val="18"/>
                <w:szCs w:val="18"/>
                <w:lang w:val="en-GB"/>
              </w:rPr>
            </w:pPr>
          </w:p>
        </w:tc>
        <w:tc>
          <w:tcPr>
            <w:tcW w:w="1042" w:type="dxa"/>
          </w:tcPr>
          <w:p w:rsidR="003A7894" w:rsidRPr="003A7894" w:rsidRDefault="003A7894" w:rsidP="001C1FCC">
            <w:pPr>
              <w:spacing w:line="360" w:lineRule="auto"/>
              <w:jc w:val="both"/>
              <w:cnfStyle w:val="000000100000"/>
              <w:rPr>
                <w:sz w:val="18"/>
                <w:szCs w:val="18"/>
                <w:lang w:val="en-GB"/>
              </w:rPr>
            </w:pPr>
          </w:p>
        </w:tc>
        <w:tc>
          <w:tcPr>
            <w:tcW w:w="1043" w:type="dxa"/>
          </w:tcPr>
          <w:p w:rsidR="003A7894" w:rsidRPr="003A7894" w:rsidRDefault="003A7894" w:rsidP="001C1FCC">
            <w:pPr>
              <w:spacing w:line="360" w:lineRule="auto"/>
              <w:jc w:val="both"/>
              <w:cnfStyle w:val="000000100000"/>
              <w:rPr>
                <w:sz w:val="18"/>
                <w:szCs w:val="18"/>
                <w:lang w:val="en-GB"/>
              </w:rPr>
            </w:pPr>
          </w:p>
        </w:tc>
        <w:tc>
          <w:tcPr>
            <w:tcW w:w="1042"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2.0</w:t>
            </w:r>
          </w:p>
        </w:tc>
        <w:tc>
          <w:tcPr>
            <w:tcW w:w="1042"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1.84</w:t>
            </w:r>
          </w:p>
        </w:tc>
        <w:tc>
          <w:tcPr>
            <w:tcW w:w="1043"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1.74</w:t>
            </w:r>
          </w:p>
        </w:tc>
      </w:tr>
      <w:tr w:rsidR="003A7894" w:rsidRPr="003A7894" w:rsidTr="003F390D">
        <w:tc>
          <w:tcPr>
            <w:cnfStyle w:val="001000000000"/>
            <w:tcW w:w="1902" w:type="dxa"/>
          </w:tcPr>
          <w:p w:rsidR="003A7894" w:rsidRPr="003A7894" w:rsidRDefault="003A7894" w:rsidP="001C1FCC">
            <w:pPr>
              <w:spacing w:line="360" w:lineRule="auto"/>
              <w:jc w:val="both"/>
              <w:rPr>
                <w:b w:val="0"/>
                <w:sz w:val="18"/>
                <w:szCs w:val="18"/>
                <w:lang w:val="en-GB"/>
              </w:rPr>
            </w:pPr>
            <w:r w:rsidRPr="003A7894">
              <w:rPr>
                <w:b w:val="0"/>
                <w:sz w:val="18"/>
                <w:szCs w:val="18"/>
                <w:lang w:val="en-GB"/>
              </w:rPr>
              <w:t>Short-sea</w:t>
            </w:r>
          </w:p>
        </w:tc>
        <w:tc>
          <w:tcPr>
            <w:tcW w:w="1042" w:type="dxa"/>
          </w:tcPr>
          <w:p w:rsidR="003A7894" w:rsidRPr="003A7894" w:rsidRDefault="003A7894" w:rsidP="001C1FCC">
            <w:pPr>
              <w:spacing w:line="360" w:lineRule="auto"/>
              <w:jc w:val="both"/>
              <w:cnfStyle w:val="000000000000"/>
              <w:rPr>
                <w:sz w:val="18"/>
                <w:szCs w:val="18"/>
                <w:lang w:val="en-GB"/>
              </w:rPr>
            </w:pPr>
            <w:r w:rsidRPr="003A7894">
              <w:rPr>
                <w:sz w:val="18"/>
                <w:szCs w:val="18"/>
                <w:lang w:val="en-GB"/>
              </w:rPr>
              <w:t>0.8</w:t>
            </w:r>
          </w:p>
        </w:tc>
        <w:tc>
          <w:tcPr>
            <w:tcW w:w="1042" w:type="dxa"/>
          </w:tcPr>
          <w:p w:rsidR="003A7894" w:rsidRPr="003A7894" w:rsidRDefault="003A7894" w:rsidP="001C1FCC">
            <w:pPr>
              <w:spacing w:line="360" w:lineRule="auto"/>
              <w:jc w:val="both"/>
              <w:cnfStyle w:val="000000000000"/>
              <w:rPr>
                <w:sz w:val="18"/>
                <w:szCs w:val="18"/>
                <w:lang w:val="en-GB"/>
              </w:rPr>
            </w:pPr>
          </w:p>
        </w:tc>
        <w:tc>
          <w:tcPr>
            <w:tcW w:w="1042" w:type="dxa"/>
          </w:tcPr>
          <w:p w:rsidR="003A7894" w:rsidRPr="003A7894" w:rsidRDefault="003A7894" w:rsidP="001C1FCC">
            <w:pPr>
              <w:spacing w:line="360" w:lineRule="auto"/>
              <w:jc w:val="both"/>
              <w:cnfStyle w:val="000000000000"/>
              <w:rPr>
                <w:sz w:val="18"/>
                <w:szCs w:val="18"/>
                <w:lang w:val="en-GB"/>
              </w:rPr>
            </w:pPr>
          </w:p>
        </w:tc>
        <w:tc>
          <w:tcPr>
            <w:tcW w:w="1043" w:type="dxa"/>
          </w:tcPr>
          <w:p w:rsidR="003A7894" w:rsidRPr="003A7894" w:rsidRDefault="003A7894" w:rsidP="001C1FCC">
            <w:pPr>
              <w:spacing w:line="360" w:lineRule="auto"/>
              <w:jc w:val="both"/>
              <w:cnfStyle w:val="000000000000"/>
              <w:rPr>
                <w:sz w:val="18"/>
                <w:szCs w:val="18"/>
                <w:lang w:val="en-GB"/>
              </w:rPr>
            </w:pPr>
          </w:p>
        </w:tc>
        <w:tc>
          <w:tcPr>
            <w:tcW w:w="1042" w:type="dxa"/>
          </w:tcPr>
          <w:p w:rsidR="003A7894" w:rsidRPr="003A7894" w:rsidRDefault="003A7894" w:rsidP="001C1FCC">
            <w:pPr>
              <w:spacing w:line="360" w:lineRule="auto"/>
              <w:jc w:val="both"/>
              <w:cnfStyle w:val="000000000000"/>
              <w:rPr>
                <w:sz w:val="18"/>
                <w:szCs w:val="18"/>
                <w:lang w:val="en-GB"/>
              </w:rPr>
            </w:pPr>
            <w:r w:rsidRPr="003A7894">
              <w:rPr>
                <w:sz w:val="18"/>
                <w:szCs w:val="18"/>
                <w:lang w:val="en-GB"/>
              </w:rPr>
              <w:t>1.06</w:t>
            </w:r>
          </w:p>
        </w:tc>
        <w:tc>
          <w:tcPr>
            <w:tcW w:w="1042" w:type="dxa"/>
          </w:tcPr>
          <w:p w:rsidR="003A7894" w:rsidRPr="003A7894" w:rsidRDefault="003A7894" w:rsidP="001C1FCC">
            <w:pPr>
              <w:spacing w:line="360" w:lineRule="auto"/>
              <w:jc w:val="both"/>
              <w:cnfStyle w:val="000000000000"/>
              <w:rPr>
                <w:sz w:val="18"/>
                <w:szCs w:val="18"/>
                <w:lang w:val="en-GB"/>
              </w:rPr>
            </w:pPr>
            <w:r w:rsidRPr="003A7894">
              <w:rPr>
                <w:sz w:val="18"/>
                <w:szCs w:val="18"/>
                <w:lang w:val="en-GB"/>
              </w:rPr>
              <w:t>1.13</w:t>
            </w:r>
          </w:p>
        </w:tc>
        <w:tc>
          <w:tcPr>
            <w:tcW w:w="1043" w:type="dxa"/>
          </w:tcPr>
          <w:p w:rsidR="003A7894" w:rsidRPr="003A7894" w:rsidRDefault="003A7894" w:rsidP="001C1FCC">
            <w:pPr>
              <w:spacing w:line="360" w:lineRule="auto"/>
              <w:jc w:val="both"/>
              <w:cnfStyle w:val="000000000000"/>
              <w:rPr>
                <w:sz w:val="18"/>
                <w:szCs w:val="18"/>
                <w:lang w:val="en-GB"/>
              </w:rPr>
            </w:pPr>
            <w:r w:rsidRPr="003A7894">
              <w:rPr>
                <w:sz w:val="18"/>
                <w:szCs w:val="18"/>
                <w:lang w:val="en-GB"/>
              </w:rPr>
              <w:t>1.27</w:t>
            </w:r>
          </w:p>
        </w:tc>
      </w:tr>
      <w:tr w:rsidR="003A7894" w:rsidRPr="003A7894" w:rsidTr="003F390D">
        <w:trPr>
          <w:cnfStyle w:val="000000100000"/>
        </w:trPr>
        <w:tc>
          <w:tcPr>
            <w:cnfStyle w:val="001000000000"/>
            <w:tcW w:w="1902" w:type="dxa"/>
          </w:tcPr>
          <w:p w:rsidR="003A7894" w:rsidRPr="003A7894" w:rsidRDefault="003A7894" w:rsidP="001C1FCC">
            <w:pPr>
              <w:spacing w:line="360" w:lineRule="auto"/>
              <w:jc w:val="both"/>
              <w:rPr>
                <w:b w:val="0"/>
                <w:sz w:val="18"/>
                <w:szCs w:val="18"/>
                <w:lang w:val="en-GB"/>
              </w:rPr>
            </w:pPr>
            <w:r w:rsidRPr="003A7894">
              <w:rPr>
                <w:b w:val="0"/>
                <w:sz w:val="18"/>
                <w:szCs w:val="18"/>
                <w:lang w:val="en-GB"/>
              </w:rPr>
              <w:t>Total</w:t>
            </w:r>
          </w:p>
        </w:tc>
        <w:tc>
          <w:tcPr>
            <w:tcW w:w="1042"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6.3</w:t>
            </w:r>
          </w:p>
        </w:tc>
        <w:tc>
          <w:tcPr>
            <w:tcW w:w="1042"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9.3</w:t>
            </w:r>
          </w:p>
        </w:tc>
        <w:tc>
          <w:tcPr>
            <w:tcW w:w="1042"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11.15</w:t>
            </w:r>
          </w:p>
        </w:tc>
        <w:tc>
          <w:tcPr>
            <w:tcW w:w="1043"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11.87</w:t>
            </w:r>
          </w:p>
        </w:tc>
        <w:tc>
          <w:tcPr>
            <w:tcW w:w="1042"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8.76</w:t>
            </w:r>
          </w:p>
        </w:tc>
        <w:tc>
          <w:tcPr>
            <w:tcW w:w="1042"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10.39</w:t>
            </w:r>
          </w:p>
        </w:tc>
        <w:tc>
          <w:tcPr>
            <w:tcW w:w="1043" w:type="dxa"/>
          </w:tcPr>
          <w:p w:rsidR="003A7894" w:rsidRPr="003A7894" w:rsidRDefault="003A7894" w:rsidP="001C1FCC">
            <w:pPr>
              <w:spacing w:line="360" w:lineRule="auto"/>
              <w:jc w:val="both"/>
              <w:cnfStyle w:val="000000100000"/>
              <w:rPr>
                <w:sz w:val="18"/>
                <w:szCs w:val="18"/>
                <w:lang w:val="en-GB"/>
              </w:rPr>
            </w:pPr>
            <w:r w:rsidRPr="003A7894">
              <w:rPr>
                <w:sz w:val="18"/>
                <w:szCs w:val="18"/>
                <w:lang w:val="en-GB"/>
              </w:rPr>
              <w:t>11.59</w:t>
            </w:r>
          </w:p>
        </w:tc>
      </w:tr>
    </w:tbl>
    <w:p w:rsidR="003A7894" w:rsidRPr="0035337B" w:rsidRDefault="003A7894" w:rsidP="003A7894">
      <w:pPr>
        <w:spacing w:line="360" w:lineRule="auto"/>
        <w:jc w:val="right"/>
        <w:rPr>
          <w:sz w:val="18"/>
          <w:szCs w:val="18"/>
          <w:lang w:val="en-GB"/>
        </w:rPr>
      </w:pPr>
      <w:r w:rsidRPr="0035337B">
        <w:rPr>
          <w:sz w:val="18"/>
          <w:szCs w:val="18"/>
          <w:lang w:val="en-GB"/>
        </w:rPr>
        <w:t>In million TEUs</w:t>
      </w:r>
    </w:p>
    <w:p w:rsidR="003A7894" w:rsidRPr="0035337B" w:rsidRDefault="003A7894" w:rsidP="003A7894">
      <w:pPr>
        <w:spacing w:line="360" w:lineRule="auto"/>
        <w:jc w:val="both"/>
        <w:rPr>
          <w:lang w:val="en-GB"/>
        </w:rPr>
      </w:pPr>
      <w:r w:rsidRPr="0035337B">
        <w:rPr>
          <w:lang w:val="en-GB"/>
        </w:rPr>
        <w:lastRenderedPageBreak/>
        <w:t>Table 4.2</w:t>
      </w:r>
      <w:r w:rsidRPr="0035337B">
        <w:rPr>
          <w:rStyle w:val="FootnoteReference"/>
          <w:lang w:val="en-GB"/>
        </w:rPr>
        <w:footnoteReference w:id="5"/>
      </w:r>
      <w:r w:rsidRPr="0035337B">
        <w:rPr>
          <w:lang w:val="en-GB"/>
        </w:rPr>
        <w:t xml:space="preserve"> shows the terrain demand of the container sector and the empty depots sector combined. Empty depots are included in the container sector for two reasons.</w:t>
      </w:r>
      <w:r w:rsidRPr="0035337B">
        <w:rPr>
          <w:lang w:val="en-GB"/>
        </w:rPr>
        <w:br/>
        <w:t xml:space="preserve"> - The Rotterdam Port Authority does not provide terrain usage data in which they are separate</w:t>
      </w:r>
      <w:r w:rsidRPr="0035337B">
        <w:rPr>
          <w:lang w:val="en-GB"/>
        </w:rPr>
        <w:br/>
        <w:t>- The growth figures predicted in the CBA follow the same pattern as those of the container sector so the analysis of the two combined sectors makes sense.</w:t>
      </w:r>
    </w:p>
    <w:tbl>
      <w:tblPr>
        <w:tblStyle w:val="ColorfulList"/>
        <w:tblW w:w="0" w:type="auto"/>
        <w:tblLook w:val="04A0"/>
      </w:tblPr>
      <w:tblGrid>
        <w:gridCol w:w="2023"/>
        <w:gridCol w:w="1044"/>
        <w:gridCol w:w="1044"/>
        <w:gridCol w:w="940"/>
        <w:gridCol w:w="1058"/>
        <w:gridCol w:w="1044"/>
        <w:gridCol w:w="1044"/>
        <w:gridCol w:w="1045"/>
      </w:tblGrid>
      <w:tr w:rsidR="003A7894" w:rsidRPr="003F390D" w:rsidTr="003F390D">
        <w:trPr>
          <w:cnfStyle w:val="100000000000"/>
        </w:trPr>
        <w:tc>
          <w:tcPr>
            <w:cnfStyle w:val="001000000000"/>
            <w:tcW w:w="2023" w:type="dxa"/>
          </w:tcPr>
          <w:p w:rsidR="003A7894" w:rsidRPr="003F390D" w:rsidRDefault="003A7894" w:rsidP="001C1FCC">
            <w:pPr>
              <w:spacing w:line="360" w:lineRule="auto"/>
              <w:jc w:val="both"/>
              <w:rPr>
                <w:sz w:val="18"/>
                <w:szCs w:val="18"/>
                <w:lang w:val="en-GB"/>
              </w:rPr>
            </w:pPr>
            <w:r w:rsidRPr="003F390D">
              <w:rPr>
                <w:sz w:val="18"/>
                <w:szCs w:val="18"/>
                <w:lang w:val="en-GB"/>
              </w:rPr>
              <w:t>Table 4.2</w:t>
            </w:r>
          </w:p>
        </w:tc>
        <w:tc>
          <w:tcPr>
            <w:tcW w:w="1044"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Real</w:t>
            </w:r>
          </w:p>
        </w:tc>
        <w:tc>
          <w:tcPr>
            <w:tcW w:w="1044"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 xml:space="preserve">Real </w:t>
            </w:r>
          </w:p>
        </w:tc>
        <w:tc>
          <w:tcPr>
            <w:tcW w:w="940"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Real</w:t>
            </w:r>
          </w:p>
        </w:tc>
        <w:tc>
          <w:tcPr>
            <w:tcW w:w="1058"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Real</w:t>
            </w:r>
          </w:p>
        </w:tc>
        <w:tc>
          <w:tcPr>
            <w:tcW w:w="1044"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DE</w:t>
            </w:r>
          </w:p>
        </w:tc>
        <w:tc>
          <w:tcPr>
            <w:tcW w:w="1044"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EC</w:t>
            </w:r>
          </w:p>
        </w:tc>
        <w:tc>
          <w:tcPr>
            <w:tcW w:w="1045"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GC</w:t>
            </w:r>
          </w:p>
        </w:tc>
      </w:tr>
      <w:tr w:rsidR="003A7894" w:rsidRPr="003F390D" w:rsidTr="003F390D">
        <w:trPr>
          <w:cnfStyle w:val="000000100000"/>
        </w:trPr>
        <w:tc>
          <w:tcPr>
            <w:cnfStyle w:val="001000000000"/>
            <w:tcW w:w="2023" w:type="dxa"/>
          </w:tcPr>
          <w:p w:rsidR="003A7894" w:rsidRPr="003F390D" w:rsidRDefault="003A7894" w:rsidP="001C1FCC">
            <w:pPr>
              <w:spacing w:line="360" w:lineRule="auto"/>
              <w:jc w:val="both"/>
              <w:rPr>
                <w:sz w:val="18"/>
                <w:szCs w:val="18"/>
                <w:lang w:val="en-GB"/>
              </w:rPr>
            </w:pPr>
          </w:p>
        </w:tc>
        <w:tc>
          <w:tcPr>
            <w:tcW w:w="1044" w:type="dxa"/>
          </w:tcPr>
          <w:p w:rsidR="003A7894" w:rsidRPr="003F390D" w:rsidRDefault="003A7894" w:rsidP="001C1FCC">
            <w:pPr>
              <w:spacing w:line="360" w:lineRule="auto"/>
              <w:jc w:val="both"/>
              <w:cnfStyle w:val="000000100000"/>
              <w:rPr>
                <w:b/>
                <w:sz w:val="18"/>
                <w:szCs w:val="18"/>
                <w:lang w:val="en-GB"/>
              </w:rPr>
            </w:pPr>
            <w:r w:rsidRPr="003F390D">
              <w:rPr>
                <w:b/>
                <w:sz w:val="18"/>
                <w:szCs w:val="18"/>
                <w:lang w:val="en-GB"/>
              </w:rPr>
              <w:t>2000</w:t>
            </w:r>
          </w:p>
        </w:tc>
        <w:tc>
          <w:tcPr>
            <w:tcW w:w="1044" w:type="dxa"/>
          </w:tcPr>
          <w:p w:rsidR="003A7894" w:rsidRPr="003F390D" w:rsidRDefault="003A7894" w:rsidP="001C1FCC">
            <w:pPr>
              <w:spacing w:line="360" w:lineRule="auto"/>
              <w:jc w:val="both"/>
              <w:cnfStyle w:val="000000100000"/>
              <w:rPr>
                <w:b/>
                <w:sz w:val="18"/>
                <w:szCs w:val="18"/>
                <w:lang w:val="en-GB"/>
              </w:rPr>
            </w:pPr>
            <w:r w:rsidRPr="003F390D">
              <w:rPr>
                <w:b/>
                <w:sz w:val="18"/>
                <w:szCs w:val="18"/>
                <w:lang w:val="en-GB"/>
              </w:rPr>
              <w:t>2008</w:t>
            </w:r>
          </w:p>
        </w:tc>
        <w:tc>
          <w:tcPr>
            <w:tcW w:w="940" w:type="dxa"/>
          </w:tcPr>
          <w:p w:rsidR="003A7894" w:rsidRPr="003F390D" w:rsidRDefault="003A7894" w:rsidP="001C1FCC">
            <w:pPr>
              <w:spacing w:line="360" w:lineRule="auto"/>
              <w:jc w:val="both"/>
              <w:cnfStyle w:val="000000100000"/>
              <w:rPr>
                <w:b/>
                <w:sz w:val="18"/>
                <w:szCs w:val="18"/>
                <w:lang w:val="en-GB"/>
              </w:rPr>
            </w:pPr>
            <w:r w:rsidRPr="003F390D">
              <w:rPr>
                <w:b/>
                <w:sz w:val="18"/>
                <w:szCs w:val="18"/>
                <w:lang w:val="en-GB"/>
              </w:rPr>
              <w:t>2010</w:t>
            </w:r>
          </w:p>
        </w:tc>
        <w:tc>
          <w:tcPr>
            <w:tcW w:w="1058" w:type="dxa"/>
          </w:tcPr>
          <w:p w:rsidR="003A7894" w:rsidRPr="003F390D" w:rsidRDefault="003A7894" w:rsidP="001C1FCC">
            <w:pPr>
              <w:spacing w:line="360" w:lineRule="auto"/>
              <w:jc w:val="both"/>
              <w:cnfStyle w:val="000000100000"/>
              <w:rPr>
                <w:b/>
                <w:sz w:val="18"/>
                <w:szCs w:val="18"/>
                <w:lang w:val="en-GB"/>
              </w:rPr>
            </w:pPr>
            <w:r w:rsidRPr="003F390D">
              <w:rPr>
                <w:b/>
                <w:sz w:val="18"/>
                <w:szCs w:val="18"/>
                <w:lang w:val="en-GB"/>
              </w:rPr>
              <w:t>2012</w:t>
            </w:r>
          </w:p>
        </w:tc>
        <w:tc>
          <w:tcPr>
            <w:tcW w:w="1044" w:type="dxa"/>
          </w:tcPr>
          <w:p w:rsidR="003A7894" w:rsidRPr="003F390D" w:rsidRDefault="003A7894" w:rsidP="001C1FCC">
            <w:pPr>
              <w:spacing w:line="360" w:lineRule="auto"/>
              <w:jc w:val="both"/>
              <w:cnfStyle w:val="000000100000"/>
              <w:rPr>
                <w:b/>
                <w:sz w:val="18"/>
                <w:szCs w:val="18"/>
                <w:lang w:val="en-GB"/>
              </w:rPr>
            </w:pPr>
            <w:r w:rsidRPr="003F390D">
              <w:rPr>
                <w:b/>
                <w:sz w:val="18"/>
                <w:szCs w:val="18"/>
                <w:lang w:val="en-GB"/>
              </w:rPr>
              <w:t>2020</w:t>
            </w:r>
          </w:p>
        </w:tc>
        <w:tc>
          <w:tcPr>
            <w:tcW w:w="1044" w:type="dxa"/>
          </w:tcPr>
          <w:p w:rsidR="003A7894" w:rsidRPr="003F390D" w:rsidRDefault="003A7894" w:rsidP="001C1FCC">
            <w:pPr>
              <w:spacing w:line="360" w:lineRule="auto"/>
              <w:jc w:val="both"/>
              <w:cnfStyle w:val="000000100000"/>
              <w:rPr>
                <w:b/>
                <w:sz w:val="18"/>
                <w:szCs w:val="18"/>
                <w:lang w:val="en-GB"/>
              </w:rPr>
            </w:pPr>
            <w:r w:rsidRPr="003F390D">
              <w:rPr>
                <w:b/>
                <w:sz w:val="18"/>
                <w:szCs w:val="18"/>
                <w:lang w:val="en-GB"/>
              </w:rPr>
              <w:t>2020</w:t>
            </w:r>
          </w:p>
        </w:tc>
        <w:tc>
          <w:tcPr>
            <w:tcW w:w="1045" w:type="dxa"/>
          </w:tcPr>
          <w:p w:rsidR="003A7894" w:rsidRPr="003F390D" w:rsidRDefault="003A7894" w:rsidP="001C1FCC">
            <w:pPr>
              <w:spacing w:line="360" w:lineRule="auto"/>
              <w:jc w:val="both"/>
              <w:cnfStyle w:val="000000100000"/>
              <w:rPr>
                <w:b/>
                <w:sz w:val="18"/>
                <w:szCs w:val="18"/>
                <w:lang w:val="en-GB"/>
              </w:rPr>
            </w:pPr>
            <w:r w:rsidRPr="003F390D">
              <w:rPr>
                <w:b/>
                <w:sz w:val="18"/>
                <w:szCs w:val="18"/>
                <w:lang w:val="en-GB"/>
              </w:rPr>
              <w:t>2020</w:t>
            </w:r>
          </w:p>
        </w:tc>
      </w:tr>
      <w:tr w:rsidR="003A7894" w:rsidRPr="003F390D" w:rsidTr="003F390D">
        <w:tc>
          <w:tcPr>
            <w:cnfStyle w:val="001000000000"/>
            <w:tcW w:w="2023"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Container terminals</w:t>
            </w:r>
          </w:p>
        </w:tc>
        <w:tc>
          <w:tcPr>
            <w:tcW w:w="104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473</w:t>
            </w:r>
          </w:p>
        </w:tc>
        <w:tc>
          <w:tcPr>
            <w:tcW w:w="1044" w:type="dxa"/>
          </w:tcPr>
          <w:p w:rsidR="003A7894" w:rsidRPr="003F390D" w:rsidRDefault="003A7894" w:rsidP="001C1FCC">
            <w:pPr>
              <w:spacing w:line="360" w:lineRule="auto"/>
              <w:jc w:val="both"/>
              <w:cnfStyle w:val="000000000000"/>
              <w:rPr>
                <w:sz w:val="18"/>
                <w:szCs w:val="18"/>
                <w:lang w:val="en-GB"/>
              </w:rPr>
            </w:pPr>
          </w:p>
        </w:tc>
        <w:tc>
          <w:tcPr>
            <w:tcW w:w="940" w:type="dxa"/>
          </w:tcPr>
          <w:p w:rsidR="003A7894" w:rsidRPr="003F390D" w:rsidRDefault="003A7894" w:rsidP="001C1FCC">
            <w:pPr>
              <w:spacing w:line="360" w:lineRule="auto"/>
              <w:jc w:val="both"/>
              <w:cnfStyle w:val="000000000000"/>
              <w:rPr>
                <w:sz w:val="18"/>
                <w:szCs w:val="18"/>
                <w:lang w:val="en-GB"/>
              </w:rPr>
            </w:pPr>
          </w:p>
        </w:tc>
        <w:tc>
          <w:tcPr>
            <w:tcW w:w="1058"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997</w:t>
            </w:r>
          </w:p>
        </w:tc>
        <w:tc>
          <w:tcPr>
            <w:tcW w:w="104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560</w:t>
            </w:r>
          </w:p>
        </w:tc>
        <w:tc>
          <w:tcPr>
            <w:tcW w:w="104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680</w:t>
            </w:r>
          </w:p>
        </w:tc>
        <w:tc>
          <w:tcPr>
            <w:tcW w:w="1045"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775</w:t>
            </w:r>
          </w:p>
        </w:tc>
      </w:tr>
      <w:tr w:rsidR="003A7894" w:rsidRPr="003F390D" w:rsidTr="003F390D">
        <w:trPr>
          <w:cnfStyle w:val="000000100000"/>
        </w:trPr>
        <w:tc>
          <w:tcPr>
            <w:cnfStyle w:val="001000000000"/>
            <w:tcW w:w="2023"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Empty depots</w:t>
            </w:r>
          </w:p>
        </w:tc>
        <w:tc>
          <w:tcPr>
            <w:tcW w:w="1044"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95</w:t>
            </w:r>
          </w:p>
        </w:tc>
        <w:tc>
          <w:tcPr>
            <w:tcW w:w="1044" w:type="dxa"/>
          </w:tcPr>
          <w:p w:rsidR="003A7894" w:rsidRPr="003F390D" w:rsidRDefault="003A7894" w:rsidP="001C1FCC">
            <w:pPr>
              <w:spacing w:line="360" w:lineRule="auto"/>
              <w:jc w:val="both"/>
              <w:cnfStyle w:val="000000100000"/>
              <w:rPr>
                <w:sz w:val="18"/>
                <w:szCs w:val="18"/>
                <w:lang w:val="en-GB"/>
              </w:rPr>
            </w:pPr>
          </w:p>
        </w:tc>
        <w:tc>
          <w:tcPr>
            <w:tcW w:w="940" w:type="dxa"/>
          </w:tcPr>
          <w:p w:rsidR="003A7894" w:rsidRPr="003F390D" w:rsidRDefault="003A7894" w:rsidP="001C1FCC">
            <w:pPr>
              <w:spacing w:line="360" w:lineRule="auto"/>
              <w:jc w:val="both"/>
              <w:cnfStyle w:val="000000100000"/>
              <w:rPr>
                <w:sz w:val="18"/>
                <w:szCs w:val="18"/>
                <w:lang w:val="en-GB"/>
              </w:rPr>
            </w:pPr>
          </w:p>
        </w:tc>
        <w:tc>
          <w:tcPr>
            <w:tcW w:w="1058"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109</w:t>
            </w:r>
          </w:p>
        </w:tc>
        <w:tc>
          <w:tcPr>
            <w:tcW w:w="1044"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115</w:t>
            </w:r>
          </w:p>
        </w:tc>
        <w:tc>
          <w:tcPr>
            <w:tcW w:w="1044"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130</w:t>
            </w:r>
          </w:p>
        </w:tc>
        <w:tc>
          <w:tcPr>
            <w:tcW w:w="104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145</w:t>
            </w:r>
          </w:p>
        </w:tc>
      </w:tr>
      <w:tr w:rsidR="003A7894" w:rsidRPr="003F390D" w:rsidTr="003F390D">
        <w:tc>
          <w:tcPr>
            <w:cnfStyle w:val="001000000000"/>
            <w:tcW w:w="2023"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Total</w:t>
            </w:r>
          </w:p>
        </w:tc>
        <w:tc>
          <w:tcPr>
            <w:tcW w:w="104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568</w:t>
            </w:r>
          </w:p>
        </w:tc>
        <w:tc>
          <w:tcPr>
            <w:tcW w:w="104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904</w:t>
            </w:r>
          </w:p>
        </w:tc>
        <w:tc>
          <w:tcPr>
            <w:tcW w:w="940"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917</w:t>
            </w:r>
          </w:p>
        </w:tc>
        <w:tc>
          <w:tcPr>
            <w:tcW w:w="1058"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1106</w:t>
            </w:r>
          </w:p>
        </w:tc>
        <w:tc>
          <w:tcPr>
            <w:tcW w:w="104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675</w:t>
            </w:r>
          </w:p>
        </w:tc>
        <w:tc>
          <w:tcPr>
            <w:tcW w:w="104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810</w:t>
            </w:r>
          </w:p>
        </w:tc>
        <w:tc>
          <w:tcPr>
            <w:tcW w:w="1045"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920</w:t>
            </w:r>
          </w:p>
        </w:tc>
      </w:tr>
    </w:tbl>
    <w:p w:rsidR="003A7894" w:rsidRPr="0035337B" w:rsidRDefault="003A7894" w:rsidP="003F390D">
      <w:pPr>
        <w:spacing w:line="360" w:lineRule="auto"/>
        <w:jc w:val="right"/>
        <w:rPr>
          <w:sz w:val="18"/>
          <w:szCs w:val="18"/>
          <w:lang w:val="en-GB"/>
        </w:rPr>
      </w:pPr>
      <w:r w:rsidRPr="0035337B">
        <w:rPr>
          <w:sz w:val="18"/>
          <w:szCs w:val="18"/>
          <w:lang w:val="en-GB"/>
        </w:rPr>
        <w:t>In hectares</w:t>
      </w:r>
    </w:p>
    <w:p w:rsidR="003A7894" w:rsidRPr="0035337B" w:rsidRDefault="003A7894" w:rsidP="003A7894">
      <w:pPr>
        <w:spacing w:line="360" w:lineRule="auto"/>
        <w:jc w:val="both"/>
        <w:rPr>
          <w:lang w:val="en-GB"/>
        </w:rPr>
      </w:pPr>
      <w:r w:rsidRPr="0035337B">
        <w:rPr>
          <w:lang w:val="en-GB"/>
        </w:rPr>
        <w:t xml:space="preserve">The separate 2012 figures for container terminals and empty depots are estimations. They were derived by taking the known total terrain demand figure of 2012 and comparing this with the terrain demand of the new container terminals that have been established on the </w:t>
      </w:r>
      <w:proofErr w:type="spellStart"/>
      <w:r w:rsidRPr="0035337B">
        <w:rPr>
          <w:lang w:val="en-GB"/>
        </w:rPr>
        <w:t>Maasvlakte</w:t>
      </w:r>
      <w:proofErr w:type="spellEnd"/>
      <w:r w:rsidRPr="0035337B">
        <w:rPr>
          <w:lang w:val="en-GB"/>
        </w:rPr>
        <w:t xml:space="preserve"> since 2000.  </w:t>
      </w:r>
    </w:p>
    <w:p w:rsidR="003A7894" w:rsidRPr="0035337B" w:rsidRDefault="003A7894" w:rsidP="003A7894">
      <w:pPr>
        <w:spacing w:line="360" w:lineRule="auto"/>
        <w:jc w:val="both"/>
        <w:rPr>
          <w:lang w:val="en-GB"/>
        </w:rPr>
      </w:pPr>
      <w:r w:rsidRPr="0035337B">
        <w:rPr>
          <w:lang w:val="en-GB"/>
        </w:rPr>
        <w:t>Table 4.3</w:t>
      </w:r>
      <w:r w:rsidRPr="0035337B">
        <w:rPr>
          <w:rStyle w:val="FootnoteReference"/>
          <w:lang w:val="en-GB"/>
        </w:rPr>
        <w:footnoteReference w:id="6"/>
      </w:r>
      <w:r w:rsidRPr="0035337B">
        <w:rPr>
          <w:lang w:val="en-GB"/>
        </w:rPr>
        <w:t xml:space="preserve"> breaks down the real terrain demand figure from table 4.2 per terminal. </w:t>
      </w:r>
    </w:p>
    <w:tbl>
      <w:tblPr>
        <w:tblStyle w:val="ColorfulList"/>
        <w:tblW w:w="0" w:type="auto"/>
        <w:tblLook w:val="04A0"/>
      </w:tblPr>
      <w:tblGrid>
        <w:gridCol w:w="2538"/>
        <w:gridCol w:w="2234"/>
        <w:gridCol w:w="2235"/>
        <w:gridCol w:w="2235"/>
      </w:tblGrid>
      <w:tr w:rsidR="003A7894" w:rsidRPr="003F390D" w:rsidTr="003F390D">
        <w:trPr>
          <w:cnfStyle w:val="100000000000"/>
        </w:trPr>
        <w:tc>
          <w:tcPr>
            <w:cnfStyle w:val="001000000000"/>
            <w:tcW w:w="2538" w:type="dxa"/>
          </w:tcPr>
          <w:p w:rsidR="003A7894" w:rsidRPr="003F390D" w:rsidRDefault="003A7894" w:rsidP="001C1FCC">
            <w:pPr>
              <w:spacing w:line="360" w:lineRule="auto"/>
              <w:jc w:val="both"/>
              <w:rPr>
                <w:sz w:val="18"/>
                <w:szCs w:val="18"/>
                <w:lang w:val="en-GB"/>
              </w:rPr>
            </w:pPr>
            <w:r w:rsidRPr="003F390D">
              <w:rPr>
                <w:sz w:val="18"/>
                <w:szCs w:val="18"/>
                <w:lang w:val="en-GB"/>
              </w:rPr>
              <w:t>Table 4.3</w:t>
            </w:r>
          </w:p>
        </w:tc>
        <w:tc>
          <w:tcPr>
            <w:tcW w:w="2234"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2000</w:t>
            </w:r>
          </w:p>
        </w:tc>
        <w:tc>
          <w:tcPr>
            <w:tcW w:w="2235"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2008</w:t>
            </w:r>
          </w:p>
        </w:tc>
        <w:tc>
          <w:tcPr>
            <w:tcW w:w="2235" w:type="dxa"/>
          </w:tcPr>
          <w:p w:rsidR="003A7894" w:rsidRPr="003F390D" w:rsidRDefault="003A7894" w:rsidP="001C1FCC">
            <w:pPr>
              <w:spacing w:line="360" w:lineRule="auto"/>
              <w:jc w:val="both"/>
              <w:cnfStyle w:val="100000000000"/>
              <w:rPr>
                <w:sz w:val="18"/>
                <w:szCs w:val="18"/>
                <w:lang w:val="en-GB"/>
              </w:rPr>
            </w:pPr>
            <w:r w:rsidRPr="003F390D">
              <w:rPr>
                <w:sz w:val="18"/>
                <w:szCs w:val="18"/>
                <w:lang w:val="en-GB"/>
              </w:rPr>
              <w:t>2012</w:t>
            </w:r>
          </w:p>
        </w:tc>
      </w:tr>
      <w:tr w:rsidR="003A7894" w:rsidRPr="003F390D" w:rsidTr="003F390D">
        <w:trPr>
          <w:cnfStyle w:val="000000100000"/>
        </w:trPr>
        <w:tc>
          <w:tcPr>
            <w:cnfStyle w:val="001000000000"/>
            <w:tcW w:w="2538"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Pre 2000 terminals</w:t>
            </w:r>
          </w:p>
        </w:tc>
        <w:tc>
          <w:tcPr>
            <w:tcW w:w="2234"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473**</w:t>
            </w:r>
          </w:p>
        </w:tc>
        <w:tc>
          <w:tcPr>
            <w:tcW w:w="223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473</w:t>
            </w:r>
          </w:p>
        </w:tc>
        <w:tc>
          <w:tcPr>
            <w:tcW w:w="223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473</w:t>
            </w:r>
          </w:p>
        </w:tc>
      </w:tr>
      <w:tr w:rsidR="003A7894" w:rsidRPr="003F390D" w:rsidTr="003F390D">
        <w:tc>
          <w:tcPr>
            <w:cnfStyle w:val="001000000000"/>
            <w:tcW w:w="2538"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Delta terminal ECT</w:t>
            </w:r>
          </w:p>
        </w:tc>
        <w:tc>
          <w:tcPr>
            <w:tcW w:w="223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0</w:t>
            </w:r>
          </w:p>
        </w:tc>
        <w:tc>
          <w:tcPr>
            <w:tcW w:w="2235"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270</w:t>
            </w:r>
          </w:p>
        </w:tc>
        <w:tc>
          <w:tcPr>
            <w:tcW w:w="2235"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270</w:t>
            </w:r>
          </w:p>
        </w:tc>
      </w:tr>
      <w:tr w:rsidR="003A7894" w:rsidRPr="003F390D" w:rsidTr="003F390D">
        <w:trPr>
          <w:cnfStyle w:val="000000100000"/>
        </w:trPr>
        <w:tc>
          <w:tcPr>
            <w:cnfStyle w:val="001000000000"/>
            <w:tcW w:w="2538" w:type="dxa"/>
          </w:tcPr>
          <w:p w:rsidR="003A7894" w:rsidRPr="003F390D" w:rsidRDefault="003A7894" w:rsidP="001C1FCC">
            <w:pPr>
              <w:spacing w:line="360" w:lineRule="auto"/>
              <w:jc w:val="both"/>
              <w:rPr>
                <w:b w:val="0"/>
                <w:sz w:val="18"/>
                <w:szCs w:val="18"/>
                <w:lang w:val="en-GB"/>
              </w:rPr>
            </w:pPr>
            <w:proofErr w:type="spellStart"/>
            <w:r w:rsidRPr="003F390D">
              <w:rPr>
                <w:b w:val="0"/>
                <w:sz w:val="18"/>
                <w:szCs w:val="18"/>
                <w:lang w:val="en-GB"/>
              </w:rPr>
              <w:t>Euromax</w:t>
            </w:r>
            <w:proofErr w:type="spellEnd"/>
            <w:r w:rsidRPr="003F390D">
              <w:rPr>
                <w:b w:val="0"/>
                <w:sz w:val="18"/>
                <w:szCs w:val="18"/>
                <w:lang w:val="en-GB"/>
              </w:rPr>
              <w:t xml:space="preserve"> terminal ECT</w:t>
            </w:r>
          </w:p>
        </w:tc>
        <w:tc>
          <w:tcPr>
            <w:tcW w:w="2234"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0</w:t>
            </w:r>
          </w:p>
        </w:tc>
        <w:tc>
          <w:tcPr>
            <w:tcW w:w="223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0</w:t>
            </w:r>
          </w:p>
        </w:tc>
        <w:tc>
          <w:tcPr>
            <w:tcW w:w="223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84</w:t>
            </w:r>
          </w:p>
        </w:tc>
      </w:tr>
      <w:tr w:rsidR="003A7894" w:rsidRPr="003F390D" w:rsidTr="003F390D">
        <w:tc>
          <w:tcPr>
            <w:cnfStyle w:val="001000000000"/>
            <w:tcW w:w="2538"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APM terminal</w:t>
            </w:r>
          </w:p>
        </w:tc>
        <w:tc>
          <w:tcPr>
            <w:tcW w:w="223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0</w:t>
            </w:r>
          </w:p>
        </w:tc>
        <w:tc>
          <w:tcPr>
            <w:tcW w:w="2235"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0</w:t>
            </w:r>
          </w:p>
        </w:tc>
        <w:tc>
          <w:tcPr>
            <w:tcW w:w="2235"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60</w:t>
            </w:r>
          </w:p>
        </w:tc>
      </w:tr>
      <w:tr w:rsidR="003A7894" w:rsidRPr="003F390D" w:rsidTr="003F390D">
        <w:trPr>
          <w:cnfStyle w:val="000000100000"/>
        </w:trPr>
        <w:tc>
          <w:tcPr>
            <w:cnfStyle w:val="001000000000"/>
            <w:tcW w:w="2538"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RWG terminal</w:t>
            </w:r>
          </w:p>
        </w:tc>
        <w:tc>
          <w:tcPr>
            <w:tcW w:w="2234"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0</w:t>
            </w:r>
          </w:p>
        </w:tc>
        <w:tc>
          <w:tcPr>
            <w:tcW w:w="223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0</w:t>
            </w:r>
          </w:p>
        </w:tc>
        <w:tc>
          <w:tcPr>
            <w:tcW w:w="223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110</w:t>
            </w:r>
          </w:p>
        </w:tc>
      </w:tr>
      <w:tr w:rsidR="003A7894" w:rsidRPr="003F390D" w:rsidTr="003F390D">
        <w:tc>
          <w:tcPr>
            <w:cnfStyle w:val="001000000000"/>
            <w:tcW w:w="2538"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Empty depots</w:t>
            </w:r>
          </w:p>
        </w:tc>
        <w:tc>
          <w:tcPr>
            <w:tcW w:w="2234"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95</w:t>
            </w:r>
          </w:p>
        </w:tc>
        <w:tc>
          <w:tcPr>
            <w:tcW w:w="2235"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161*</w:t>
            </w:r>
          </w:p>
        </w:tc>
        <w:tc>
          <w:tcPr>
            <w:tcW w:w="2235" w:type="dxa"/>
          </w:tcPr>
          <w:p w:rsidR="003A7894" w:rsidRPr="003F390D" w:rsidRDefault="003A7894" w:rsidP="001C1FCC">
            <w:pPr>
              <w:spacing w:line="360" w:lineRule="auto"/>
              <w:jc w:val="both"/>
              <w:cnfStyle w:val="000000000000"/>
              <w:rPr>
                <w:sz w:val="18"/>
                <w:szCs w:val="18"/>
                <w:lang w:val="en-GB"/>
              </w:rPr>
            </w:pPr>
            <w:r w:rsidRPr="003F390D">
              <w:rPr>
                <w:sz w:val="18"/>
                <w:szCs w:val="18"/>
                <w:lang w:val="en-GB"/>
              </w:rPr>
              <w:t>109*</w:t>
            </w:r>
          </w:p>
        </w:tc>
      </w:tr>
      <w:tr w:rsidR="003A7894" w:rsidRPr="003F390D" w:rsidTr="003F390D">
        <w:trPr>
          <w:cnfStyle w:val="000000100000"/>
          <w:trHeight w:val="70"/>
        </w:trPr>
        <w:tc>
          <w:tcPr>
            <w:cnfStyle w:val="001000000000"/>
            <w:tcW w:w="2538" w:type="dxa"/>
          </w:tcPr>
          <w:p w:rsidR="003A7894" w:rsidRPr="003F390D" w:rsidRDefault="003A7894" w:rsidP="001C1FCC">
            <w:pPr>
              <w:spacing w:line="360" w:lineRule="auto"/>
              <w:jc w:val="both"/>
              <w:rPr>
                <w:b w:val="0"/>
                <w:sz w:val="18"/>
                <w:szCs w:val="18"/>
                <w:lang w:val="en-GB"/>
              </w:rPr>
            </w:pPr>
            <w:r w:rsidRPr="003F390D">
              <w:rPr>
                <w:b w:val="0"/>
                <w:sz w:val="18"/>
                <w:szCs w:val="18"/>
                <w:lang w:val="en-GB"/>
              </w:rPr>
              <w:t>Total terrain demand</w:t>
            </w:r>
          </w:p>
        </w:tc>
        <w:tc>
          <w:tcPr>
            <w:tcW w:w="2234"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568</w:t>
            </w:r>
          </w:p>
        </w:tc>
        <w:tc>
          <w:tcPr>
            <w:tcW w:w="223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904</w:t>
            </w:r>
          </w:p>
        </w:tc>
        <w:tc>
          <w:tcPr>
            <w:tcW w:w="2235" w:type="dxa"/>
          </w:tcPr>
          <w:p w:rsidR="003A7894" w:rsidRPr="003F390D" w:rsidRDefault="003A7894" w:rsidP="001C1FCC">
            <w:pPr>
              <w:spacing w:line="360" w:lineRule="auto"/>
              <w:jc w:val="both"/>
              <w:cnfStyle w:val="000000100000"/>
              <w:rPr>
                <w:sz w:val="18"/>
                <w:szCs w:val="18"/>
                <w:lang w:val="en-GB"/>
              </w:rPr>
            </w:pPr>
            <w:r w:rsidRPr="003F390D">
              <w:rPr>
                <w:sz w:val="18"/>
                <w:szCs w:val="18"/>
                <w:lang w:val="en-GB"/>
              </w:rPr>
              <w:t>1106**</w:t>
            </w:r>
          </w:p>
        </w:tc>
      </w:tr>
    </w:tbl>
    <w:p w:rsidR="003A7894" w:rsidRPr="0035337B" w:rsidRDefault="003A7894" w:rsidP="003F390D">
      <w:pPr>
        <w:spacing w:line="360" w:lineRule="auto"/>
        <w:jc w:val="right"/>
        <w:rPr>
          <w:sz w:val="18"/>
          <w:szCs w:val="18"/>
          <w:lang w:val="en-GB"/>
        </w:rPr>
      </w:pPr>
      <w:r w:rsidRPr="0035337B">
        <w:rPr>
          <w:sz w:val="18"/>
          <w:szCs w:val="18"/>
          <w:lang w:val="en-GB"/>
        </w:rPr>
        <w:t>In hectares</w:t>
      </w:r>
    </w:p>
    <w:p w:rsidR="003F390D" w:rsidRDefault="003A7894" w:rsidP="003A7894">
      <w:pPr>
        <w:spacing w:line="360" w:lineRule="auto"/>
        <w:jc w:val="both"/>
        <w:rPr>
          <w:lang w:val="en-GB"/>
        </w:rPr>
      </w:pPr>
      <w:r w:rsidRPr="0035337B">
        <w:rPr>
          <w:lang w:val="en-GB"/>
        </w:rPr>
        <w:t>*The 2008 and 2012 figures of empty depots aren’t actually based on evidence but rather serve as error terms to explain the discrepancy that arises under the assumption that the only changes in the container sector terrain demand since 2000 are those related to the four</w:t>
      </w:r>
      <w:r w:rsidR="003F390D">
        <w:rPr>
          <w:lang w:val="en-GB"/>
        </w:rPr>
        <w:t xml:space="preserve"> </w:t>
      </w:r>
      <w:r w:rsidRPr="0035337B">
        <w:rPr>
          <w:lang w:val="en-GB"/>
        </w:rPr>
        <w:t>terminals in table 4.3.</w:t>
      </w:r>
    </w:p>
    <w:p w:rsidR="003A7894" w:rsidRPr="0035337B" w:rsidRDefault="003A7894" w:rsidP="003A7894">
      <w:pPr>
        <w:spacing w:line="360" w:lineRule="auto"/>
        <w:jc w:val="both"/>
        <w:rPr>
          <w:lang w:val="en-GB"/>
        </w:rPr>
      </w:pPr>
      <w:r w:rsidRPr="0035337B">
        <w:rPr>
          <w:lang w:val="en-GB"/>
        </w:rPr>
        <w:t>**Excluding options</w:t>
      </w:r>
    </w:p>
    <w:p w:rsidR="003A7894" w:rsidRPr="0035337B" w:rsidRDefault="003A7894" w:rsidP="003A7894">
      <w:pPr>
        <w:spacing w:line="360" w:lineRule="auto"/>
        <w:jc w:val="both"/>
        <w:rPr>
          <w:lang w:val="en-GB"/>
        </w:rPr>
      </w:pPr>
      <w:r w:rsidRPr="0035337B">
        <w:rPr>
          <w:lang w:val="en-GB"/>
        </w:rPr>
        <w:t>In table 4.2 it is shown that the container sector historic values diverge significantly from the path predicted in the cost benefit analysis. These figures do include terrain demand for empty depots which is, because of its insignificant share, not considered in the rest of the analysis.</w:t>
      </w:r>
    </w:p>
    <w:p w:rsidR="003A7894" w:rsidRDefault="006D0BC3" w:rsidP="006D0BC3">
      <w:pPr>
        <w:pStyle w:val="Heading3"/>
        <w:jc w:val="left"/>
        <w:rPr>
          <w:lang w:val="en-GB"/>
        </w:rPr>
      </w:pPr>
      <w:bookmarkStart w:id="30" w:name="_Toc363737844"/>
      <w:r>
        <w:rPr>
          <w:lang w:val="en-GB"/>
        </w:rPr>
        <w:lastRenderedPageBreak/>
        <w:t>4.1.1 What caused the difference?</w:t>
      </w:r>
      <w:bookmarkEnd w:id="30"/>
    </w:p>
    <w:p w:rsidR="006D0BC3" w:rsidRPr="0035337B" w:rsidRDefault="006D0BC3" w:rsidP="006D0BC3">
      <w:pPr>
        <w:spacing w:line="360" w:lineRule="auto"/>
        <w:jc w:val="both"/>
        <w:rPr>
          <w:lang w:val="en-GB"/>
        </w:rPr>
      </w:pPr>
      <w:r w:rsidRPr="0035337B">
        <w:rPr>
          <w:lang w:val="en-GB"/>
        </w:rPr>
        <w:t xml:space="preserve">The predicted terrain demand was initially derived by scaling it along the predicted throughput volumes. The fact that terminals have to be built before throughput demand arises rather than after was incorporated by considering an 80% occupation up to 2020 </w:t>
      </w:r>
      <w:sdt>
        <w:sdtPr>
          <w:rPr>
            <w:u w:val="single"/>
            <w:lang w:val="en-GB"/>
          </w:rPr>
          <w:id w:val="-1242091599"/>
          <w:citation/>
        </w:sdtPr>
        <w:sdtContent>
          <w:r w:rsidR="00FD0314" w:rsidRPr="0035337B">
            <w:rPr>
              <w:u w:val="single"/>
              <w:lang w:val="en-GB"/>
            </w:rPr>
            <w:fldChar w:fldCharType="begin"/>
          </w:r>
          <w:r w:rsidRPr="0035337B">
            <w:rPr>
              <w:u w:val="single"/>
              <w:lang w:val="en-GB"/>
            </w:rPr>
            <w:instrText xml:space="preserve">CITATION CPB01 \t  \l 1033 </w:instrText>
          </w:r>
          <w:r w:rsidR="00FD0314" w:rsidRPr="0035337B">
            <w:rPr>
              <w:u w:val="single"/>
              <w:lang w:val="en-GB"/>
            </w:rPr>
            <w:fldChar w:fldCharType="separate"/>
          </w:r>
          <w:r w:rsidR="006A4AA8" w:rsidRPr="006A4AA8">
            <w:rPr>
              <w:noProof/>
              <w:lang w:val="en-GB"/>
            </w:rPr>
            <w:t>(CPB, NEI &amp; RIVM, 2001)</w:t>
          </w:r>
          <w:r w:rsidR="00FD0314" w:rsidRPr="0035337B">
            <w:rPr>
              <w:u w:val="single"/>
              <w:lang w:val="en-GB"/>
            </w:rPr>
            <w:fldChar w:fldCharType="end"/>
          </w:r>
        </w:sdtContent>
      </w:sdt>
      <w:r w:rsidRPr="0035337B">
        <w:rPr>
          <w:lang w:val="en-GB"/>
        </w:rPr>
        <w:t>.</w:t>
      </w:r>
    </w:p>
    <w:p w:rsidR="006D0BC3" w:rsidRPr="0035337B" w:rsidRDefault="006D0BC3" w:rsidP="006D0BC3">
      <w:pPr>
        <w:spacing w:line="360" w:lineRule="auto"/>
        <w:jc w:val="both"/>
        <w:rPr>
          <w:lang w:val="en-GB"/>
        </w:rPr>
      </w:pPr>
      <w:r w:rsidRPr="0035337B">
        <w:rPr>
          <w:lang w:val="en-GB"/>
        </w:rPr>
        <w:t>A more or less smooth increase in container terminal terrain demand was predicted, the fact that container terminal expansion usually progresses by large increments notwithstanding. What actually happened, the construction of two large new terminals and one sizable expansion, was not accounted for. The construction of the Rotterdam World Gateway, APM and ECT terminals puts the terrain demand for container terminal terrain well above the predictions of the most optimistic scenario. On top of that all three terminals have options for potential expansion.</w:t>
      </w:r>
    </w:p>
    <w:p w:rsidR="006D0BC3" w:rsidRPr="0035337B" w:rsidRDefault="006D0BC3" w:rsidP="006D0BC3">
      <w:pPr>
        <w:spacing w:line="360" w:lineRule="auto"/>
        <w:jc w:val="both"/>
        <w:rPr>
          <w:lang w:val="en-GB"/>
        </w:rPr>
      </w:pPr>
      <w:r w:rsidRPr="0035337B">
        <w:rPr>
          <w:lang w:val="en-GB"/>
        </w:rPr>
        <w:t>The difference between the predictions and the historic figures seems to be caused by the assumption of gradual expansion that is made for the cost benefit analysis. A large expansion, that would cause low occupancy for an extended period of time, was ignored as a possibility.</w:t>
      </w:r>
    </w:p>
    <w:p w:rsidR="006D0BC3" w:rsidRDefault="004F2DF0" w:rsidP="004F2DF0">
      <w:pPr>
        <w:pStyle w:val="Heading3"/>
        <w:jc w:val="left"/>
        <w:rPr>
          <w:lang w:val="en-GB"/>
        </w:rPr>
      </w:pPr>
      <w:bookmarkStart w:id="31" w:name="_Toc363737845"/>
      <w:r>
        <w:rPr>
          <w:lang w:val="en-GB"/>
        </w:rPr>
        <w:t>4.1.2 Could it have been foreseen?</w:t>
      </w:r>
      <w:bookmarkEnd w:id="31"/>
    </w:p>
    <w:p w:rsidR="004F2DF0" w:rsidRPr="0035337B" w:rsidRDefault="004F2DF0" w:rsidP="004F2DF0">
      <w:pPr>
        <w:spacing w:line="360" w:lineRule="auto"/>
        <w:jc w:val="both"/>
        <w:rPr>
          <w:lang w:val="en-GB"/>
        </w:rPr>
      </w:pPr>
      <w:r w:rsidRPr="0035337B">
        <w:rPr>
          <w:lang w:val="en-GB"/>
        </w:rPr>
        <w:t>To evaluate whether the large expansion, which is the most likely cause of the discrepancy, could have been foreseen the business climate at the time will have to be examined.</w:t>
      </w:r>
    </w:p>
    <w:p w:rsidR="004F2DF0" w:rsidRPr="0035337B" w:rsidRDefault="004F2DF0" w:rsidP="004F2DF0">
      <w:pPr>
        <w:spacing w:line="360" w:lineRule="auto"/>
        <w:jc w:val="both"/>
        <w:rPr>
          <w:lang w:val="en-GB"/>
        </w:rPr>
      </w:pPr>
      <w:r w:rsidRPr="0035337B">
        <w:rPr>
          <w:lang w:val="en-GB"/>
        </w:rPr>
        <w:t>One distinct indicator would be the relation between Maersk and ECT. In the years before the creation of the cost benefit analysis Maersk expressed the desire to leave ECT, who was the main provider of container throughput at the time, and set up their own terminal as soon as their contract ended</w:t>
      </w:r>
      <w:sdt>
        <w:sdtPr>
          <w:rPr>
            <w:lang w:val="en-GB"/>
          </w:rPr>
          <w:id w:val="-1691831328"/>
          <w:citation/>
        </w:sdtPr>
        <w:sdtContent>
          <w:r w:rsidR="00FD0314" w:rsidRPr="0035337B">
            <w:rPr>
              <w:lang w:val="en-GB"/>
            </w:rPr>
            <w:fldChar w:fldCharType="begin"/>
          </w:r>
          <w:r w:rsidRPr="0035337B">
            <w:rPr>
              <w:lang w:val="en-GB"/>
            </w:rPr>
            <w:instrText xml:space="preserve"> CITATION Bru97 \l 1033 </w:instrText>
          </w:r>
          <w:r w:rsidR="00FD0314" w:rsidRPr="0035337B">
            <w:rPr>
              <w:lang w:val="en-GB"/>
            </w:rPr>
            <w:fldChar w:fldCharType="separate"/>
          </w:r>
          <w:r w:rsidR="006A4AA8">
            <w:rPr>
              <w:noProof/>
              <w:lang w:val="en-GB"/>
            </w:rPr>
            <w:t xml:space="preserve"> </w:t>
          </w:r>
          <w:r w:rsidR="006A4AA8" w:rsidRPr="006A4AA8">
            <w:rPr>
              <w:noProof/>
              <w:lang w:val="en-GB"/>
            </w:rPr>
            <w:t>(Barnard, 1997)</w:t>
          </w:r>
          <w:r w:rsidR="00FD0314" w:rsidRPr="0035337B">
            <w:rPr>
              <w:lang w:val="en-GB"/>
            </w:rPr>
            <w:fldChar w:fldCharType="end"/>
          </w:r>
        </w:sdtContent>
      </w:sdt>
      <w:r w:rsidRPr="0035337B">
        <w:rPr>
          <w:lang w:val="en-GB"/>
        </w:rPr>
        <w:t>. Eventually it was agreed that Maersk and ECT would operate a new terminal together and ECT would not lose their largest customer</w:t>
      </w:r>
      <w:sdt>
        <w:sdtPr>
          <w:rPr>
            <w:lang w:val="en-GB"/>
          </w:rPr>
          <w:id w:val="1088041803"/>
          <w:citation/>
        </w:sdtPr>
        <w:sdtContent>
          <w:r w:rsidR="00FD0314" w:rsidRPr="0035337B">
            <w:rPr>
              <w:lang w:val="en-GB"/>
            </w:rPr>
            <w:fldChar w:fldCharType="begin"/>
          </w:r>
          <w:r w:rsidRPr="0035337B">
            <w:rPr>
              <w:lang w:val="en-GB"/>
            </w:rPr>
            <w:instrText xml:space="preserve"> CITATION Cha98 \l 1033 </w:instrText>
          </w:r>
          <w:r w:rsidR="00FD0314" w:rsidRPr="0035337B">
            <w:rPr>
              <w:lang w:val="en-GB"/>
            </w:rPr>
            <w:fldChar w:fldCharType="separate"/>
          </w:r>
          <w:r w:rsidR="006A4AA8">
            <w:rPr>
              <w:noProof/>
              <w:lang w:val="en-GB"/>
            </w:rPr>
            <w:t xml:space="preserve"> </w:t>
          </w:r>
          <w:r w:rsidR="006A4AA8" w:rsidRPr="006A4AA8">
            <w:rPr>
              <w:noProof/>
              <w:lang w:val="en-GB"/>
            </w:rPr>
            <w:t>(Chan, 1998)</w:t>
          </w:r>
          <w:r w:rsidR="00FD0314" w:rsidRPr="0035337B">
            <w:rPr>
              <w:lang w:val="en-GB"/>
            </w:rPr>
            <w:fldChar w:fldCharType="end"/>
          </w:r>
        </w:sdtContent>
      </w:sdt>
      <w:r w:rsidRPr="0035337B">
        <w:rPr>
          <w:lang w:val="en-GB"/>
        </w:rPr>
        <w:t>.</w:t>
      </w:r>
    </w:p>
    <w:p w:rsidR="004F2DF0" w:rsidRPr="0035337B" w:rsidRDefault="004F2DF0" w:rsidP="004F2DF0">
      <w:pPr>
        <w:spacing w:line="360" w:lineRule="auto"/>
        <w:jc w:val="both"/>
        <w:rPr>
          <w:lang w:val="en-GB"/>
        </w:rPr>
      </w:pPr>
      <w:r w:rsidRPr="0035337B">
        <w:rPr>
          <w:lang w:val="en-GB"/>
        </w:rPr>
        <w:t xml:space="preserve">This is only one indicator that large shipping companies were eager to become less dependent on the near monopolist ECT for their business in the Port of Rotterdam. An analysis of the current players in the port of Rotterdam and their long term plans should have been included in the prediction process of the terrain demand. </w:t>
      </w:r>
    </w:p>
    <w:p w:rsidR="004F2DF0" w:rsidRPr="004F2DF0" w:rsidRDefault="004F2DF0" w:rsidP="004F2DF0">
      <w:pPr>
        <w:pStyle w:val="Heading3"/>
        <w:jc w:val="left"/>
        <w:rPr>
          <w:lang w:val="en-GB"/>
        </w:rPr>
      </w:pPr>
      <w:bookmarkStart w:id="32" w:name="_Toc363737846"/>
      <w:r>
        <w:rPr>
          <w:lang w:val="en-GB"/>
        </w:rPr>
        <w:t>4.1.3 Alternative method</w:t>
      </w:r>
      <w:bookmarkEnd w:id="32"/>
    </w:p>
    <w:p w:rsidR="00BE16A1" w:rsidRPr="0035337B" w:rsidRDefault="00BE16A1" w:rsidP="00BE16A1">
      <w:pPr>
        <w:spacing w:line="360" w:lineRule="auto"/>
        <w:jc w:val="both"/>
        <w:rPr>
          <w:lang w:val="en-GB"/>
        </w:rPr>
      </w:pPr>
      <w:r w:rsidRPr="0035337B">
        <w:rPr>
          <w:lang w:val="en-GB"/>
        </w:rPr>
        <w:t>To identify indicators of the aforementioned kind, a well-known method can be used. Due to the relatively low number of large players in the container throughput business in the Port of Rotterdam it is possible to perform individual SWOT analyses for each of the companies involved.</w:t>
      </w:r>
    </w:p>
    <w:p w:rsidR="00BE16A1" w:rsidRPr="0035337B" w:rsidRDefault="00BE16A1" w:rsidP="00BE16A1">
      <w:pPr>
        <w:spacing w:line="360" w:lineRule="auto"/>
        <w:jc w:val="both"/>
        <w:rPr>
          <w:lang w:val="en-GB"/>
        </w:rPr>
      </w:pPr>
      <w:r w:rsidRPr="0035337B">
        <w:rPr>
          <w:lang w:val="en-GB"/>
        </w:rPr>
        <w:lastRenderedPageBreak/>
        <w:t>The following things might have come up if this method had been applied for the cost benefit analysis. For large volume container shipping companies such as Maersk the opportunity to exploit their own terminal would be listed as an opportunity. ECT on the other hand stands to lose their near monopolistic position as well as large clients in case of expansion, marking it as a threat.</w:t>
      </w:r>
    </w:p>
    <w:p w:rsidR="00BE16A1" w:rsidRPr="0035337B" w:rsidRDefault="00BE16A1" w:rsidP="00BE16A1">
      <w:pPr>
        <w:spacing w:line="360" w:lineRule="auto"/>
        <w:jc w:val="both"/>
        <w:rPr>
          <w:lang w:val="en-GB"/>
        </w:rPr>
      </w:pPr>
      <w:r w:rsidRPr="0035337B">
        <w:rPr>
          <w:lang w:val="en-GB"/>
        </w:rPr>
        <w:t xml:space="preserve">Once it would have been established that current ECT customers wanted to start exploiting their own terminal the presence of entry barriers could have been observed. It seems reasonable to assume that locational entry barriers were present in the form of terrain constraints and that they were largely lifted when </w:t>
      </w:r>
      <w:proofErr w:type="spellStart"/>
      <w:r w:rsidRPr="0035337B">
        <w:rPr>
          <w:lang w:val="en-GB"/>
        </w:rPr>
        <w:t>Maasvlakte</w:t>
      </w:r>
      <w:proofErr w:type="spellEnd"/>
      <w:r w:rsidRPr="0035337B">
        <w:rPr>
          <w:lang w:val="en-GB"/>
        </w:rPr>
        <w:t xml:space="preserve"> 2 was finally built. It is then also reasonable to assume that the model that was used to estimate the potential terrain demand of the container sector did not include entry barriers. By including entry barriers in the economic modelling it is possible that the large instantaneous expansion could have been foreseen.</w:t>
      </w:r>
    </w:p>
    <w:p w:rsidR="00BD0064" w:rsidRDefault="00BE16A1" w:rsidP="00F2137C">
      <w:pPr>
        <w:pStyle w:val="Heading2"/>
        <w:jc w:val="left"/>
        <w:rPr>
          <w:lang w:val="en-GB"/>
        </w:rPr>
      </w:pPr>
      <w:bookmarkStart w:id="33" w:name="_Toc363737847"/>
      <w:r>
        <w:rPr>
          <w:lang w:val="en-GB"/>
        </w:rPr>
        <w:t>4.2 Dry mass goods</w:t>
      </w:r>
      <w:bookmarkEnd w:id="33"/>
    </w:p>
    <w:p w:rsidR="00BE16A1" w:rsidRPr="0035337B" w:rsidRDefault="00BE16A1" w:rsidP="00BE16A1">
      <w:pPr>
        <w:spacing w:line="360" w:lineRule="auto"/>
        <w:jc w:val="both"/>
        <w:rPr>
          <w:lang w:val="en-GB"/>
        </w:rPr>
      </w:pPr>
      <w:r w:rsidRPr="0035337B">
        <w:rPr>
          <w:lang w:val="en-GB"/>
        </w:rPr>
        <w:t>Table 4.4</w:t>
      </w:r>
      <w:r w:rsidRPr="0035337B">
        <w:rPr>
          <w:rStyle w:val="FootnoteReference"/>
          <w:lang w:val="en-GB"/>
        </w:rPr>
        <w:footnoteReference w:id="7"/>
      </w:r>
      <w:r w:rsidRPr="0035337B">
        <w:rPr>
          <w:lang w:val="en-GB"/>
        </w:rPr>
        <w:t xml:space="preserve"> contains the historic and predicted values for the dry mass goods terrain demand</w:t>
      </w:r>
    </w:p>
    <w:tbl>
      <w:tblPr>
        <w:tblStyle w:val="ColorfulList"/>
        <w:tblW w:w="0" w:type="auto"/>
        <w:tblLayout w:type="fixed"/>
        <w:tblLook w:val="04A0"/>
      </w:tblPr>
      <w:tblGrid>
        <w:gridCol w:w="1998"/>
        <w:gridCol w:w="804"/>
        <w:gridCol w:w="403"/>
        <w:gridCol w:w="402"/>
        <w:gridCol w:w="805"/>
        <w:gridCol w:w="805"/>
        <w:gridCol w:w="403"/>
        <w:gridCol w:w="402"/>
        <w:gridCol w:w="805"/>
        <w:gridCol w:w="805"/>
        <w:gridCol w:w="402"/>
        <w:gridCol w:w="403"/>
        <w:gridCol w:w="805"/>
      </w:tblGrid>
      <w:tr w:rsidR="00BE16A1" w:rsidRPr="00BE16A1" w:rsidTr="00BE16A1">
        <w:trPr>
          <w:cnfStyle w:val="100000000000"/>
        </w:trPr>
        <w:tc>
          <w:tcPr>
            <w:cnfStyle w:val="001000000000"/>
            <w:tcW w:w="1998" w:type="dxa"/>
          </w:tcPr>
          <w:p w:rsidR="00BE16A1" w:rsidRPr="00BE16A1" w:rsidRDefault="00BE16A1" w:rsidP="001C1FCC">
            <w:pPr>
              <w:spacing w:line="360" w:lineRule="auto"/>
              <w:jc w:val="both"/>
              <w:rPr>
                <w:sz w:val="18"/>
                <w:szCs w:val="18"/>
                <w:lang w:val="en-GB"/>
              </w:rPr>
            </w:pPr>
            <w:r w:rsidRPr="00BE16A1">
              <w:rPr>
                <w:sz w:val="18"/>
                <w:szCs w:val="18"/>
                <w:lang w:val="en-GB"/>
              </w:rPr>
              <w:t>4.4</w:t>
            </w:r>
          </w:p>
        </w:tc>
        <w:tc>
          <w:tcPr>
            <w:tcW w:w="1207" w:type="dxa"/>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Real</w:t>
            </w:r>
          </w:p>
        </w:tc>
        <w:tc>
          <w:tcPr>
            <w:tcW w:w="1207" w:type="dxa"/>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Real</w:t>
            </w:r>
          </w:p>
        </w:tc>
        <w:tc>
          <w:tcPr>
            <w:tcW w:w="1208" w:type="dxa"/>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Real</w:t>
            </w:r>
          </w:p>
        </w:tc>
        <w:tc>
          <w:tcPr>
            <w:tcW w:w="1207" w:type="dxa"/>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DE</w:t>
            </w:r>
          </w:p>
        </w:tc>
        <w:tc>
          <w:tcPr>
            <w:tcW w:w="1207" w:type="dxa"/>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EC</w:t>
            </w:r>
          </w:p>
        </w:tc>
        <w:tc>
          <w:tcPr>
            <w:tcW w:w="1208" w:type="dxa"/>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GC</w:t>
            </w:r>
          </w:p>
        </w:tc>
      </w:tr>
      <w:tr w:rsidR="00BE16A1" w:rsidRPr="00BE16A1" w:rsidTr="00BE16A1">
        <w:trPr>
          <w:cnfStyle w:val="000000100000"/>
        </w:trPr>
        <w:tc>
          <w:tcPr>
            <w:cnfStyle w:val="001000000000"/>
            <w:tcW w:w="1998" w:type="dxa"/>
          </w:tcPr>
          <w:p w:rsidR="00BE16A1" w:rsidRPr="00BE16A1" w:rsidRDefault="00BE16A1" w:rsidP="001C1FCC">
            <w:pPr>
              <w:spacing w:line="360" w:lineRule="auto"/>
              <w:jc w:val="both"/>
              <w:rPr>
                <w:sz w:val="18"/>
                <w:szCs w:val="18"/>
                <w:lang w:val="en-GB"/>
              </w:rPr>
            </w:pPr>
          </w:p>
        </w:tc>
        <w:tc>
          <w:tcPr>
            <w:tcW w:w="804" w:type="dxa"/>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2000</w:t>
            </w:r>
          </w:p>
        </w:tc>
        <w:tc>
          <w:tcPr>
            <w:tcW w:w="805" w:type="dxa"/>
            <w:gridSpan w:val="2"/>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2010</w:t>
            </w:r>
          </w:p>
        </w:tc>
        <w:tc>
          <w:tcPr>
            <w:tcW w:w="805" w:type="dxa"/>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2012</w:t>
            </w:r>
          </w:p>
        </w:tc>
        <w:tc>
          <w:tcPr>
            <w:tcW w:w="805" w:type="dxa"/>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2010</w:t>
            </w:r>
          </w:p>
        </w:tc>
        <w:tc>
          <w:tcPr>
            <w:tcW w:w="805" w:type="dxa"/>
            <w:gridSpan w:val="2"/>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2020</w:t>
            </w:r>
          </w:p>
        </w:tc>
        <w:tc>
          <w:tcPr>
            <w:tcW w:w="805" w:type="dxa"/>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2010</w:t>
            </w:r>
          </w:p>
        </w:tc>
        <w:tc>
          <w:tcPr>
            <w:tcW w:w="805" w:type="dxa"/>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2020</w:t>
            </w:r>
          </w:p>
        </w:tc>
        <w:tc>
          <w:tcPr>
            <w:tcW w:w="805" w:type="dxa"/>
            <w:gridSpan w:val="2"/>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2020</w:t>
            </w:r>
          </w:p>
        </w:tc>
        <w:tc>
          <w:tcPr>
            <w:tcW w:w="805" w:type="dxa"/>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2020</w:t>
            </w:r>
          </w:p>
        </w:tc>
      </w:tr>
      <w:tr w:rsidR="00BE16A1" w:rsidRPr="00BE16A1" w:rsidTr="00BE16A1">
        <w:tc>
          <w:tcPr>
            <w:cnfStyle w:val="001000000000"/>
            <w:tcW w:w="1998" w:type="dxa"/>
          </w:tcPr>
          <w:p w:rsidR="00BE16A1" w:rsidRPr="00BE16A1" w:rsidRDefault="00BE16A1" w:rsidP="001C1FCC">
            <w:pPr>
              <w:spacing w:line="360" w:lineRule="auto"/>
              <w:jc w:val="both"/>
              <w:rPr>
                <w:b w:val="0"/>
                <w:sz w:val="18"/>
                <w:szCs w:val="18"/>
                <w:lang w:val="en-GB"/>
              </w:rPr>
            </w:pPr>
            <w:r w:rsidRPr="00BE16A1">
              <w:rPr>
                <w:b w:val="0"/>
                <w:sz w:val="18"/>
                <w:szCs w:val="18"/>
                <w:lang w:val="en-GB"/>
              </w:rPr>
              <w:t>Total terrain demand</w:t>
            </w:r>
          </w:p>
        </w:tc>
        <w:tc>
          <w:tcPr>
            <w:tcW w:w="804" w:type="dxa"/>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342*</w:t>
            </w:r>
          </w:p>
        </w:tc>
        <w:tc>
          <w:tcPr>
            <w:tcW w:w="805" w:type="dxa"/>
            <w:gridSpan w:val="2"/>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381</w:t>
            </w:r>
          </w:p>
        </w:tc>
        <w:tc>
          <w:tcPr>
            <w:tcW w:w="805" w:type="dxa"/>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435</w:t>
            </w:r>
          </w:p>
        </w:tc>
        <w:tc>
          <w:tcPr>
            <w:tcW w:w="805" w:type="dxa"/>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359</w:t>
            </w:r>
          </w:p>
        </w:tc>
        <w:tc>
          <w:tcPr>
            <w:tcW w:w="805" w:type="dxa"/>
            <w:gridSpan w:val="2"/>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376</w:t>
            </w:r>
          </w:p>
        </w:tc>
        <w:tc>
          <w:tcPr>
            <w:tcW w:w="805" w:type="dxa"/>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391</w:t>
            </w:r>
          </w:p>
        </w:tc>
        <w:tc>
          <w:tcPr>
            <w:tcW w:w="805" w:type="dxa"/>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440</w:t>
            </w:r>
          </w:p>
        </w:tc>
        <w:tc>
          <w:tcPr>
            <w:tcW w:w="805" w:type="dxa"/>
            <w:gridSpan w:val="2"/>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393</w:t>
            </w:r>
          </w:p>
        </w:tc>
        <w:tc>
          <w:tcPr>
            <w:tcW w:w="805" w:type="dxa"/>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443</w:t>
            </w:r>
          </w:p>
        </w:tc>
      </w:tr>
    </w:tbl>
    <w:p w:rsidR="00BE16A1" w:rsidRPr="0035337B" w:rsidRDefault="00BE16A1" w:rsidP="00BE16A1">
      <w:pPr>
        <w:spacing w:line="360" w:lineRule="auto"/>
        <w:jc w:val="right"/>
        <w:rPr>
          <w:sz w:val="18"/>
          <w:szCs w:val="18"/>
          <w:lang w:val="en-GB"/>
        </w:rPr>
      </w:pPr>
      <w:r w:rsidRPr="0035337B">
        <w:rPr>
          <w:sz w:val="18"/>
          <w:szCs w:val="18"/>
          <w:lang w:val="en-GB"/>
        </w:rPr>
        <w:t>In hectares</w:t>
      </w:r>
      <w:r>
        <w:rPr>
          <w:sz w:val="18"/>
          <w:szCs w:val="18"/>
          <w:lang w:val="en-GB"/>
        </w:rPr>
        <w:t xml:space="preserve"> </w:t>
      </w:r>
      <w:r>
        <w:rPr>
          <w:sz w:val="18"/>
          <w:szCs w:val="18"/>
          <w:lang w:val="en-GB"/>
        </w:rPr>
        <w:tab/>
      </w:r>
      <w:r w:rsidRPr="0035337B">
        <w:rPr>
          <w:sz w:val="18"/>
          <w:szCs w:val="18"/>
          <w:lang w:val="en-GB"/>
        </w:rPr>
        <w:t>*including options</w:t>
      </w:r>
    </w:p>
    <w:p w:rsidR="00BE16A1" w:rsidRPr="0035337B" w:rsidRDefault="00BE16A1" w:rsidP="00BE16A1">
      <w:pPr>
        <w:spacing w:line="360" w:lineRule="auto"/>
        <w:jc w:val="both"/>
        <w:rPr>
          <w:lang w:val="en-GB"/>
        </w:rPr>
      </w:pPr>
      <w:r w:rsidRPr="0035337B">
        <w:rPr>
          <w:lang w:val="en-GB"/>
        </w:rPr>
        <w:t xml:space="preserve">The most recent figures on the terrain demand for dry mass goods throughput suggest that the cost benefit analysis estimations were too low. </w:t>
      </w:r>
    </w:p>
    <w:p w:rsidR="00BE16A1" w:rsidRDefault="00BE16A1" w:rsidP="00BE16A1">
      <w:pPr>
        <w:spacing w:line="360" w:lineRule="auto"/>
        <w:jc w:val="both"/>
        <w:rPr>
          <w:lang w:val="en-GB"/>
        </w:rPr>
      </w:pPr>
      <w:r w:rsidRPr="0035337B">
        <w:rPr>
          <w:lang w:val="en-GB"/>
        </w:rPr>
        <w:t xml:space="preserve">The historic values in the table below were taken from a document published by the Rotterdam Port Authority and the predicted 2010 figures adapted from the CPB (1997a) document. A discrepancy exists since the CPB document reports a real tonnage figure of 82,300 for 1995, which will also be used to calculate the predicted figure for 2010, while the Port Authority reports 89,572. It is unclear what was omitted or modified since the CPB document does not provide a breakdown of the total tonnage. </w:t>
      </w:r>
      <w:sdt>
        <w:sdtPr>
          <w:rPr>
            <w:lang w:val="en-GB"/>
          </w:rPr>
          <w:id w:val="1180543458"/>
          <w:citation/>
        </w:sdtPr>
        <w:sdtContent>
          <w:r w:rsidR="00FD0314" w:rsidRPr="0035337B">
            <w:rPr>
              <w:lang w:val="en-GB"/>
            </w:rPr>
            <w:fldChar w:fldCharType="begin"/>
          </w:r>
          <w:r w:rsidRPr="0035337B">
            <w:rPr>
              <w:u w:val="single"/>
              <w:lang w:val="en-GB"/>
            </w:rPr>
            <w:instrText xml:space="preserve">CITATION HbR13 \l 1033 </w:instrText>
          </w:r>
          <w:r w:rsidR="00FD0314" w:rsidRPr="0035337B">
            <w:rPr>
              <w:lang w:val="en-GB"/>
            </w:rPr>
            <w:fldChar w:fldCharType="separate"/>
          </w:r>
          <w:r w:rsidR="006A4AA8" w:rsidRPr="006A4AA8">
            <w:rPr>
              <w:noProof/>
              <w:lang w:val="en-GB"/>
            </w:rPr>
            <w:t>(HbR, 2013b)</w:t>
          </w:r>
          <w:r w:rsidR="00FD0314" w:rsidRPr="0035337B">
            <w:rPr>
              <w:lang w:val="en-GB"/>
            </w:rPr>
            <w:fldChar w:fldCharType="end"/>
          </w:r>
        </w:sdtContent>
      </w:sdt>
    </w:p>
    <w:p w:rsidR="006A4AA8" w:rsidRDefault="006A4AA8" w:rsidP="00BE16A1">
      <w:pPr>
        <w:spacing w:line="360" w:lineRule="auto"/>
        <w:jc w:val="both"/>
        <w:rPr>
          <w:lang w:val="en-GB"/>
        </w:rPr>
      </w:pPr>
    </w:p>
    <w:p w:rsidR="006A4AA8" w:rsidRDefault="006A4AA8" w:rsidP="00BE16A1">
      <w:pPr>
        <w:spacing w:line="360" w:lineRule="auto"/>
        <w:jc w:val="both"/>
        <w:rPr>
          <w:lang w:val="en-GB"/>
        </w:rPr>
      </w:pPr>
    </w:p>
    <w:p w:rsidR="006A4AA8" w:rsidRDefault="006A4AA8" w:rsidP="00BE16A1">
      <w:pPr>
        <w:spacing w:line="360" w:lineRule="auto"/>
        <w:jc w:val="both"/>
        <w:rPr>
          <w:lang w:val="en-GB"/>
        </w:rPr>
      </w:pPr>
    </w:p>
    <w:p w:rsidR="006A4AA8" w:rsidRDefault="006A4AA8" w:rsidP="00BE16A1">
      <w:pPr>
        <w:spacing w:line="360" w:lineRule="auto"/>
        <w:jc w:val="both"/>
        <w:rPr>
          <w:lang w:val="en-GB"/>
        </w:rPr>
      </w:pPr>
    </w:p>
    <w:tbl>
      <w:tblPr>
        <w:tblStyle w:val="ColorfulList"/>
        <w:tblW w:w="5000" w:type="pct"/>
        <w:tblLook w:val="04A0"/>
      </w:tblPr>
      <w:tblGrid>
        <w:gridCol w:w="2036"/>
        <w:gridCol w:w="778"/>
        <w:gridCol w:w="778"/>
        <w:gridCol w:w="778"/>
        <w:gridCol w:w="778"/>
        <w:gridCol w:w="778"/>
        <w:gridCol w:w="778"/>
        <w:gridCol w:w="778"/>
        <w:gridCol w:w="880"/>
        <w:gridCol w:w="880"/>
      </w:tblGrid>
      <w:tr w:rsidR="00BE16A1" w:rsidRPr="00BE16A1" w:rsidTr="00BE16A1">
        <w:trPr>
          <w:cnfStyle w:val="100000000000"/>
        </w:trPr>
        <w:tc>
          <w:tcPr>
            <w:cnfStyle w:val="001000000000"/>
            <w:tcW w:w="1101" w:type="pct"/>
          </w:tcPr>
          <w:p w:rsidR="00BE16A1" w:rsidRPr="00BE16A1" w:rsidRDefault="00BE16A1" w:rsidP="001C1FCC">
            <w:pPr>
              <w:spacing w:line="360" w:lineRule="auto"/>
              <w:jc w:val="both"/>
              <w:rPr>
                <w:sz w:val="18"/>
                <w:szCs w:val="18"/>
                <w:lang w:val="en-GB"/>
              </w:rPr>
            </w:pPr>
            <w:r w:rsidRPr="00BE16A1">
              <w:rPr>
                <w:sz w:val="18"/>
                <w:szCs w:val="18"/>
                <w:lang w:val="en-GB"/>
              </w:rPr>
              <w:lastRenderedPageBreak/>
              <w:t>4.5</w:t>
            </w:r>
          </w:p>
        </w:tc>
        <w:tc>
          <w:tcPr>
            <w:tcW w:w="421" w:type="pct"/>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Real</w:t>
            </w:r>
          </w:p>
        </w:tc>
        <w:tc>
          <w:tcPr>
            <w:tcW w:w="421" w:type="pct"/>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Real</w:t>
            </w:r>
          </w:p>
        </w:tc>
        <w:tc>
          <w:tcPr>
            <w:tcW w:w="421" w:type="pct"/>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Real</w:t>
            </w:r>
          </w:p>
        </w:tc>
        <w:tc>
          <w:tcPr>
            <w:tcW w:w="842" w:type="pct"/>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DE</w:t>
            </w:r>
          </w:p>
        </w:tc>
        <w:tc>
          <w:tcPr>
            <w:tcW w:w="842" w:type="pct"/>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EC</w:t>
            </w:r>
          </w:p>
        </w:tc>
        <w:tc>
          <w:tcPr>
            <w:tcW w:w="953" w:type="pct"/>
            <w:gridSpan w:val="2"/>
          </w:tcPr>
          <w:p w:rsidR="00BE16A1" w:rsidRPr="00BE16A1" w:rsidRDefault="00BE16A1" w:rsidP="001C1FCC">
            <w:pPr>
              <w:spacing w:line="360" w:lineRule="auto"/>
              <w:jc w:val="both"/>
              <w:cnfStyle w:val="100000000000"/>
              <w:rPr>
                <w:sz w:val="18"/>
                <w:szCs w:val="18"/>
                <w:lang w:val="en-GB"/>
              </w:rPr>
            </w:pPr>
            <w:r w:rsidRPr="00BE16A1">
              <w:rPr>
                <w:sz w:val="18"/>
                <w:szCs w:val="18"/>
                <w:lang w:val="en-GB"/>
              </w:rPr>
              <w:t>GC</w:t>
            </w:r>
          </w:p>
        </w:tc>
      </w:tr>
      <w:tr w:rsidR="00BE16A1" w:rsidRPr="00BE16A1" w:rsidTr="00BE16A1">
        <w:trPr>
          <w:cnfStyle w:val="000000100000"/>
        </w:trPr>
        <w:tc>
          <w:tcPr>
            <w:cnfStyle w:val="001000000000"/>
            <w:tcW w:w="1101" w:type="pct"/>
          </w:tcPr>
          <w:p w:rsidR="00BE16A1" w:rsidRPr="00BE16A1" w:rsidRDefault="00BE16A1" w:rsidP="001C1FCC">
            <w:pPr>
              <w:spacing w:line="360" w:lineRule="auto"/>
              <w:jc w:val="both"/>
              <w:rPr>
                <w:sz w:val="18"/>
                <w:szCs w:val="18"/>
                <w:lang w:val="en-GB"/>
              </w:rPr>
            </w:pPr>
          </w:p>
        </w:tc>
        <w:tc>
          <w:tcPr>
            <w:tcW w:w="421"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1995</w:t>
            </w:r>
          </w:p>
        </w:tc>
        <w:tc>
          <w:tcPr>
            <w:tcW w:w="421"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2010</w:t>
            </w:r>
          </w:p>
        </w:tc>
        <w:tc>
          <w:tcPr>
            <w:tcW w:w="421"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2012</w:t>
            </w:r>
          </w:p>
        </w:tc>
        <w:tc>
          <w:tcPr>
            <w:tcW w:w="421"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2010</w:t>
            </w:r>
          </w:p>
        </w:tc>
        <w:tc>
          <w:tcPr>
            <w:tcW w:w="421"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2020</w:t>
            </w:r>
          </w:p>
        </w:tc>
        <w:tc>
          <w:tcPr>
            <w:tcW w:w="421"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2010</w:t>
            </w:r>
          </w:p>
        </w:tc>
        <w:tc>
          <w:tcPr>
            <w:tcW w:w="421"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2020</w:t>
            </w:r>
          </w:p>
        </w:tc>
        <w:tc>
          <w:tcPr>
            <w:tcW w:w="476"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2010</w:t>
            </w:r>
          </w:p>
        </w:tc>
        <w:tc>
          <w:tcPr>
            <w:tcW w:w="476" w:type="pct"/>
          </w:tcPr>
          <w:p w:rsidR="00BE16A1" w:rsidRPr="00BE16A1" w:rsidRDefault="00BE16A1" w:rsidP="001C1FCC">
            <w:pPr>
              <w:spacing w:line="360" w:lineRule="auto"/>
              <w:jc w:val="both"/>
              <w:cnfStyle w:val="000000100000"/>
              <w:rPr>
                <w:b/>
                <w:sz w:val="18"/>
                <w:szCs w:val="18"/>
                <w:lang w:val="en-GB"/>
              </w:rPr>
            </w:pPr>
            <w:r w:rsidRPr="00BE16A1">
              <w:rPr>
                <w:b/>
                <w:sz w:val="18"/>
                <w:szCs w:val="18"/>
                <w:lang w:val="en-GB"/>
              </w:rPr>
              <w:t>2020</w:t>
            </w:r>
          </w:p>
        </w:tc>
      </w:tr>
      <w:tr w:rsidR="00BE16A1" w:rsidRPr="00BE16A1" w:rsidTr="00BE16A1">
        <w:tc>
          <w:tcPr>
            <w:cnfStyle w:val="001000000000"/>
            <w:tcW w:w="1101" w:type="pct"/>
          </w:tcPr>
          <w:p w:rsidR="00BE16A1" w:rsidRPr="00BE16A1" w:rsidRDefault="00BE16A1" w:rsidP="001C1FCC">
            <w:pPr>
              <w:spacing w:line="360" w:lineRule="auto"/>
              <w:jc w:val="both"/>
              <w:rPr>
                <w:b w:val="0"/>
                <w:sz w:val="18"/>
                <w:szCs w:val="18"/>
                <w:lang w:val="en-GB"/>
              </w:rPr>
            </w:pPr>
            <w:proofErr w:type="spellStart"/>
            <w:r w:rsidRPr="00BE16A1">
              <w:rPr>
                <w:b w:val="0"/>
                <w:sz w:val="18"/>
                <w:szCs w:val="18"/>
                <w:lang w:val="en-GB"/>
              </w:rPr>
              <w:t>Agribulk</w:t>
            </w:r>
            <w:proofErr w:type="spellEnd"/>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sz w:val="18"/>
                <w:szCs w:val="18"/>
                <w:lang w:val="en-GB"/>
              </w:rPr>
              <w:t>15,469</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sz w:val="18"/>
                <w:szCs w:val="18"/>
                <w:lang w:val="en-GB"/>
              </w:rPr>
              <w:t>8,383</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sz w:val="18"/>
                <w:szCs w:val="18"/>
                <w:lang w:val="en-GB"/>
              </w:rPr>
              <w:t>8,050</w:t>
            </w:r>
          </w:p>
        </w:tc>
        <w:tc>
          <w:tcPr>
            <w:tcW w:w="421" w:type="pct"/>
          </w:tcPr>
          <w:p w:rsidR="00BE16A1" w:rsidRPr="00BE16A1" w:rsidRDefault="00BE16A1" w:rsidP="001C1FCC">
            <w:pPr>
              <w:spacing w:line="360" w:lineRule="auto"/>
              <w:jc w:val="both"/>
              <w:cnfStyle w:val="000000000000"/>
              <w:rPr>
                <w:sz w:val="18"/>
                <w:szCs w:val="18"/>
                <w:lang w:val="en-GB"/>
              </w:rPr>
            </w:pPr>
          </w:p>
        </w:tc>
        <w:tc>
          <w:tcPr>
            <w:tcW w:w="421" w:type="pct"/>
          </w:tcPr>
          <w:p w:rsidR="00BE16A1" w:rsidRPr="00BE16A1" w:rsidRDefault="00BE16A1" w:rsidP="001C1FCC">
            <w:pPr>
              <w:spacing w:line="360" w:lineRule="auto"/>
              <w:jc w:val="both"/>
              <w:cnfStyle w:val="000000000000"/>
              <w:rPr>
                <w:sz w:val="18"/>
                <w:szCs w:val="18"/>
                <w:lang w:val="en-GB"/>
              </w:rPr>
            </w:pPr>
          </w:p>
        </w:tc>
        <w:tc>
          <w:tcPr>
            <w:tcW w:w="421" w:type="pct"/>
          </w:tcPr>
          <w:p w:rsidR="00BE16A1" w:rsidRPr="00BE16A1" w:rsidRDefault="00BE16A1" w:rsidP="001C1FCC">
            <w:pPr>
              <w:spacing w:line="360" w:lineRule="auto"/>
              <w:jc w:val="both"/>
              <w:cnfStyle w:val="000000000000"/>
              <w:rPr>
                <w:sz w:val="18"/>
                <w:szCs w:val="18"/>
                <w:lang w:val="en-GB"/>
              </w:rPr>
            </w:pPr>
          </w:p>
        </w:tc>
        <w:tc>
          <w:tcPr>
            <w:tcW w:w="421" w:type="pct"/>
          </w:tcPr>
          <w:p w:rsidR="00BE16A1" w:rsidRPr="00BE16A1" w:rsidRDefault="00BE16A1" w:rsidP="001C1FCC">
            <w:pPr>
              <w:spacing w:line="360" w:lineRule="auto"/>
              <w:jc w:val="both"/>
              <w:cnfStyle w:val="000000000000"/>
              <w:rPr>
                <w:sz w:val="18"/>
                <w:szCs w:val="18"/>
                <w:lang w:val="en-GB"/>
              </w:rPr>
            </w:pPr>
          </w:p>
        </w:tc>
        <w:tc>
          <w:tcPr>
            <w:tcW w:w="476" w:type="pct"/>
          </w:tcPr>
          <w:p w:rsidR="00BE16A1" w:rsidRPr="00BE16A1" w:rsidRDefault="00BE16A1" w:rsidP="001C1FCC">
            <w:pPr>
              <w:spacing w:line="360" w:lineRule="auto"/>
              <w:jc w:val="both"/>
              <w:cnfStyle w:val="000000000000"/>
              <w:rPr>
                <w:sz w:val="18"/>
                <w:szCs w:val="18"/>
                <w:lang w:val="en-GB"/>
              </w:rPr>
            </w:pPr>
          </w:p>
        </w:tc>
        <w:tc>
          <w:tcPr>
            <w:tcW w:w="476" w:type="pct"/>
          </w:tcPr>
          <w:p w:rsidR="00BE16A1" w:rsidRPr="00BE16A1" w:rsidRDefault="00BE16A1" w:rsidP="001C1FCC">
            <w:pPr>
              <w:spacing w:line="360" w:lineRule="auto"/>
              <w:jc w:val="both"/>
              <w:cnfStyle w:val="000000000000"/>
              <w:rPr>
                <w:sz w:val="18"/>
                <w:szCs w:val="18"/>
                <w:lang w:val="en-GB"/>
              </w:rPr>
            </w:pPr>
          </w:p>
        </w:tc>
      </w:tr>
      <w:tr w:rsidR="00BE16A1" w:rsidRPr="00BE16A1" w:rsidTr="00BE16A1">
        <w:trPr>
          <w:cnfStyle w:val="000000100000"/>
        </w:trPr>
        <w:tc>
          <w:tcPr>
            <w:cnfStyle w:val="001000000000"/>
            <w:tcW w:w="1101" w:type="pct"/>
          </w:tcPr>
          <w:p w:rsidR="00BE16A1" w:rsidRPr="00BE16A1" w:rsidRDefault="00BE16A1" w:rsidP="001C1FCC">
            <w:pPr>
              <w:spacing w:line="360" w:lineRule="auto"/>
              <w:jc w:val="both"/>
              <w:rPr>
                <w:b w:val="0"/>
                <w:sz w:val="18"/>
                <w:szCs w:val="18"/>
                <w:lang w:val="en-GB"/>
              </w:rPr>
            </w:pPr>
            <w:r w:rsidRPr="00BE16A1">
              <w:rPr>
                <w:b w:val="0"/>
                <w:sz w:val="18"/>
                <w:szCs w:val="18"/>
                <w:lang w:val="en-GB"/>
              </w:rPr>
              <w:t>Ore and scrap metal</w:t>
            </w:r>
          </w:p>
        </w:tc>
        <w:tc>
          <w:tcPr>
            <w:tcW w:w="421" w:type="pct"/>
          </w:tcPr>
          <w:p w:rsidR="00BE16A1" w:rsidRPr="00BE16A1" w:rsidRDefault="00BE16A1" w:rsidP="001C1FCC">
            <w:pPr>
              <w:spacing w:line="360" w:lineRule="auto"/>
              <w:jc w:val="both"/>
              <w:cnfStyle w:val="000000100000"/>
              <w:rPr>
                <w:sz w:val="18"/>
                <w:szCs w:val="18"/>
                <w:lang w:val="en-GB"/>
              </w:rPr>
            </w:pPr>
            <w:r w:rsidRPr="00BE16A1">
              <w:rPr>
                <w:rFonts w:cs="Arial"/>
                <w:sz w:val="18"/>
                <w:szCs w:val="18"/>
                <w:lang w:val="en-GB"/>
              </w:rPr>
              <w:t>46,297</w:t>
            </w:r>
          </w:p>
        </w:tc>
        <w:tc>
          <w:tcPr>
            <w:tcW w:w="421" w:type="pct"/>
          </w:tcPr>
          <w:p w:rsidR="00BE16A1" w:rsidRPr="00BE16A1" w:rsidRDefault="00BE16A1" w:rsidP="001C1FCC">
            <w:pPr>
              <w:spacing w:line="360" w:lineRule="auto"/>
              <w:jc w:val="both"/>
              <w:cnfStyle w:val="000000100000"/>
              <w:rPr>
                <w:sz w:val="18"/>
                <w:szCs w:val="18"/>
                <w:lang w:val="en-GB"/>
              </w:rPr>
            </w:pPr>
            <w:r w:rsidRPr="00BE16A1">
              <w:rPr>
                <w:rFonts w:cs="Arial"/>
                <w:sz w:val="18"/>
                <w:szCs w:val="18"/>
                <w:lang w:val="en-GB"/>
              </w:rPr>
              <w:t>39,884</w:t>
            </w:r>
          </w:p>
        </w:tc>
        <w:tc>
          <w:tcPr>
            <w:tcW w:w="421" w:type="pct"/>
          </w:tcPr>
          <w:p w:rsidR="00BE16A1" w:rsidRPr="00BE16A1" w:rsidRDefault="00BE16A1" w:rsidP="001C1FCC">
            <w:pPr>
              <w:spacing w:line="360" w:lineRule="auto"/>
              <w:jc w:val="both"/>
              <w:cnfStyle w:val="000000100000"/>
              <w:rPr>
                <w:sz w:val="18"/>
                <w:szCs w:val="18"/>
                <w:lang w:val="en-GB"/>
              </w:rPr>
            </w:pPr>
            <w:r w:rsidRPr="00BE16A1">
              <w:rPr>
                <w:rFonts w:cs="Arial"/>
                <w:sz w:val="18"/>
                <w:szCs w:val="18"/>
                <w:lang w:val="en-GB"/>
              </w:rPr>
              <w:t>32,742</w:t>
            </w:r>
          </w:p>
        </w:tc>
        <w:tc>
          <w:tcPr>
            <w:tcW w:w="421" w:type="pct"/>
          </w:tcPr>
          <w:p w:rsidR="00BE16A1" w:rsidRPr="00BE16A1" w:rsidRDefault="00BE16A1" w:rsidP="001C1FCC">
            <w:pPr>
              <w:spacing w:line="360" w:lineRule="auto"/>
              <w:jc w:val="both"/>
              <w:cnfStyle w:val="000000100000"/>
              <w:rPr>
                <w:sz w:val="18"/>
                <w:szCs w:val="18"/>
                <w:lang w:val="en-GB"/>
              </w:rPr>
            </w:pPr>
          </w:p>
        </w:tc>
        <w:tc>
          <w:tcPr>
            <w:tcW w:w="421" w:type="pct"/>
          </w:tcPr>
          <w:p w:rsidR="00BE16A1" w:rsidRPr="00BE16A1" w:rsidRDefault="00BE16A1" w:rsidP="001C1FCC">
            <w:pPr>
              <w:spacing w:line="360" w:lineRule="auto"/>
              <w:jc w:val="both"/>
              <w:cnfStyle w:val="000000100000"/>
              <w:rPr>
                <w:sz w:val="18"/>
                <w:szCs w:val="18"/>
                <w:lang w:val="en-GB"/>
              </w:rPr>
            </w:pPr>
          </w:p>
        </w:tc>
        <w:tc>
          <w:tcPr>
            <w:tcW w:w="421" w:type="pct"/>
          </w:tcPr>
          <w:p w:rsidR="00BE16A1" w:rsidRPr="00BE16A1" w:rsidRDefault="00BE16A1" w:rsidP="001C1FCC">
            <w:pPr>
              <w:spacing w:line="360" w:lineRule="auto"/>
              <w:jc w:val="both"/>
              <w:cnfStyle w:val="000000100000"/>
              <w:rPr>
                <w:sz w:val="18"/>
                <w:szCs w:val="18"/>
                <w:lang w:val="en-GB"/>
              </w:rPr>
            </w:pPr>
          </w:p>
        </w:tc>
        <w:tc>
          <w:tcPr>
            <w:tcW w:w="421" w:type="pct"/>
          </w:tcPr>
          <w:p w:rsidR="00BE16A1" w:rsidRPr="00BE16A1" w:rsidRDefault="00BE16A1" w:rsidP="001C1FCC">
            <w:pPr>
              <w:spacing w:line="360" w:lineRule="auto"/>
              <w:jc w:val="both"/>
              <w:cnfStyle w:val="000000100000"/>
              <w:rPr>
                <w:sz w:val="18"/>
                <w:szCs w:val="18"/>
                <w:lang w:val="en-GB"/>
              </w:rPr>
            </w:pPr>
          </w:p>
        </w:tc>
        <w:tc>
          <w:tcPr>
            <w:tcW w:w="476" w:type="pct"/>
          </w:tcPr>
          <w:p w:rsidR="00BE16A1" w:rsidRPr="00BE16A1" w:rsidRDefault="00BE16A1" w:rsidP="001C1FCC">
            <w:pPr>
              <w:spacing w:line="360" w:lineRule="auto"/>
              <w:jc w:val="both"/>
              <w:cnfStyle w:val="000000100000"/>
              <w:rPr>
                <w:sz w:val="18"/>
                <w:szCs w:val="18"/>
                <w:lang w:val="en-GB"/>
              </w:rPr>
            </w:pPr>
          </w:p>
        </w:tc>
        <w:tc>
          <w:tcPr>
            <w:tcW w:w="476" w:type="pct"/>
          </w:tcPr>
          <w:p w:rsidR="00BE16A1" w:rsidRPr="00BE16A1" w:rsidRDefault="00BE16A1" w:rsidP="001C1FCC">
            <w:pPr>
              <w:spacing w:line="360" w:lineRule="auto"/>
              <w:jc w:val="both"/>
              <w:cnfStyle w:val="000000100000"/>
              <w:rPr>
                <w:sz w:val="18"/>
                <w:szCs w:val="18"/>
                <w:lang w:val="en-GB"/>
              </w:rPr>
            </w:pPr>
          </w:p>
        </w:tc>
      </w:tr>
      <w:tr w:rsidR="00BE16A1" w:rsidRPr="00BE16A1" w:rsidTr="00BE16A1">
        <w:tc>
          <w:tcPr>
            <w:cnfStyle w:val="001000000000"/>
            <w:tcW w:w="1101" w:type="pct"/>
          </w:tcPr>
          <w:p w:rsidR="00BE16A1" w:rsidRPr="00BE16A1" w:rsidRDefault="00BE16A1" w:rsidP="001C1FCC">
            <w:pPr>
              <w:spacing w:line="360" w:lineRule="auto"/>
              <w:jc w:val="both"/>
              <w:rPr>
                <w:b w:val="0"/>
                <w:sz w:val="18"/>
                <w:szCs w:val="18"/>
                <w:lang w:val="en-GB"/>
              </w:rPr>
            </w:pPr>
            <w:r w:rsidRPr="00BE16A1">
              <w:rPr>
                <w:b w:val="0"/>
                <w:sz w:val="18"/>
                <w:szCs w:val="18"/>
                <w:lang w:val="en-GB"/>
              </w:rPr>
              <w:t>Coals</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sz w:val="18"/>
                <w:szCs w:val="18"/>
                <w:lang w:val="en-GB"/>
              </w:rPr>
              <w:t>17,887</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sz w:val="18"/>
                <w:szCs w:val="18"/>
                <w:lang w:val="en-GB"/>
              </w:rPr>
              <w:t>24,080</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sz w:val="18"/>
                <w:szCs w:val="18"/>
                <w:lang w:val="en-GB"/>
              </w:rPr>
              <w:t>25,282</w:t>
            </w:r>
          </w:p>
        </w:tc>
        <w:tc>
          <w:tcPr>
            <w:tcW w:w="421" w:type="pct"/>
          </w:tcPr>
          <w:p w:rsidR="00BE16A1" w:rsidRPr="00BE16A1" w:rsidRDefault="00BE16A1" w:rsidP="001C1FCC">
            <w:pPr>
              <w:spacing w:line="360" w:lineRule="auto"/>
              <w:jc w:val="both"/>
              <w:cnfStyle w:val="000000000000"/>
              <w:rPr>
                <w:sz w:val="18"/>
                <w:szCs w:val="18"/>
                <w:lang w:val="en-GB"/>
              </w:rPr>
            </w:pPr>
          </w:p>
        </w:tc>
        <w:tc>
          <w:tcPr>
            <w:tcW w:w="421" w:type="pct"/>
          </w:tcPr>
          <w:p w:rsidR="00BE16A1" w:rsidRPr="00BE16A1" w:rsidRDefault="00BE16A1" w:rsidP="001C1FCC">
            <w:pPr>
              <w:spacing w:line="360" w:lineRule="auto"/>
              <w:jc w:val="both"/>
              <w:cnfStyle w:val="000000000000"/>
              <w:rPr>
                <w:sz w:val="18"/>
                <w:szCs w:val="18"/>
                <w:lang w:val="en-GB"/>
              </w:rPr>
            </w:pPr>
          </w:p>
        </w:tc>
        <w:tc>
          <w:tcPr>
            <w:tcW w:w="421" w:type="pct"/>
          </w:tcPr>
          <w:p w:rsidR="00BE16A1" w:rsidRPr="00BE16A1" w:rsidRDefault="00BE16A1" w:rsidP="001C1FCC">
            <w:pPr>
              <w:spacing w:line="360" w:lineRule="auto"/>
              <w:jc w:val="both"/>
              <w:cnfStyle w:val="000000000000"/>
              <w:rPr>
                <w:sz w:val="18"/>
                <w:szCs w:val="18"/>
                <w:lang w:val="en-GB"/>
              </w:rPr>
            </w:pPr>
          </w:p>
        </w:tc>
        <w:tc>
          <w:tcPr>
            <w:tcW w:w="421" w:type="pct"/>
          </w:tcPr>
          <w:p w:rsidR="00BE16A1" w:rsidRPr="00BE16A1" w:rsidRDefault="00BE16A1" w:rsidP="001C1FCC">
            <w:pPr>
              <w:spacing w:line="360" w:lineRule="auto"/>
              <w:jc w:val="both"/>
              <w:cnfStyle w:val="000000000000"/>
              <w:rPr>
                <w:sz w:val="18"/>
                <w:szCs w:val="18"/>
                <w:lang w:val="en-GB"/>
              </w:rPr>
            </w:pPr>
          </w:p>
        </w:tc>
        <w:tc>
          <w:tcPr>
            <w:tcW w:w="476" w:type="pct"/>
          </w:tcPr>
          <w:p w:rsidR="00BE16A1" w:rsidRPr="00BE16A1" w:rsidRDefault="00BE16A1" w:rsidP="001C1FCC">
            <w:pPr>
              <w:spacing w:line="360" w:lineRule="auto"/>
              <w:jc w:val="both"/>
              <w:cnfStyle w:val="000000000000"/>
              <w:rPr>
                <w:sz w:val="18"/>
                <w:szCs w:val="18"/>
                <w:lang w:val="en-GB"/>
              </w:rPr>
            </w:pPr>
          </w:p>
        </w:tc>
        <w:tc>
          <w:tcPr>
            <w:tcW w:w="476" w:type="pct"/>
          </w:tcPr>
          <w:p w:rsidR="00BE16A1" w:rsidRPr="00BE16A1" w:rsidRDefault="00BE16A1" w:rsidP="001C1FCC">
            <w:pPr>
              <w:spacing w:line="360" w:lineRule="auto"/>
              <w:jc w:val="both"/>
              <w:cnfStyle w:val="000000000000"/>
              <w:rPr>
                <w:sz w:val="18"/>
                <w:szCs w:val="18"/>
                <w:lang w:val="en-GB"/>
              </w:rPr>
            </w:pPr>
          </w:p>
        </w:tc>
      </w:tr>
      <w:tr w:rsidR="00BE16A1" w:rsidRPr="00BE16A1" w:rsidTr="00BE16A1">
        <w:trPr>
          <w:cnfStyle w:val="000000100000"/>
        </w:trPr>
        <w:tc>
          <w:tcPr>
            <w:cnfStyle w:val="001000000000"/>
            <w:tcW w:w="1101" w:type="pct"/>
          </w:tcPr>
          <w:p w:rsidR="00BE16A1" w:rsidRPr="00BE16A1" w:rsidRDefault="00BE16A1" w:rsidP="001C1FCC">
            <w:pPr>
              <w:spacing w:line="360" w:lineRule="auto"/>
              <w:jc w:val="both"/>
              <w:rPr>
                <w:b w:val="0"/>
                <w:sz w:val="18"/>
                <w:szCs w:val="18"/>
                <w:lang w:val="en-GB"/>
              </w:rPr>
            </w:pPr>
            <w:r w:rsidRPr="00BE16A1">
              <w:rPr>
                <w:b w:val="0"/>
                <w:sz w:val="18"/>
                <w:szCs w:val="18"/>
                <w:lang w:val="en-GB"/>
              </w:rPr>
              <w:t>Remaining dry mass</w:t>
            </w:r>
          </w:p>
        </w:tc>
        <w:tc>
          <w:tcPr>
            <w:tcW w:w="421" w:type="pct"/>
          </w:tcPr>
          <w:p w:rsidR="00BE16A1" w:rsidRPr="00BE16A1" w:rsidRDefault="00BE16A1" w:rsidP="001C1FCC">
            <w:pPr>
              <w:spacing w:line="360" w:lineRule="auto"/>
              <w:jc w:val="both"/>
              <w:cnfStyle w:val="000000100000"/>
              <w:rPr>
                <w:sz w:val="18"/>
                <w:szCs w:val="18"/>
                <w:lang w:val="en-GB"/>
              </w:rPr>
            </w:pPr>
            <w:r w:rsidRPr="00BE16A1">
              <w:rPr>
                <w:rFonts w:cs="Arial"/>
                <w:sz w:val="18"/>
                <w:szCs w:val="18"/>
                <w:lang w:val="en-GB"/>
              </w:rPr>
              <w:t>9,919</w:t>
            </w:r>
          </w:p>
        </w:tc>
        <w:tc>
          <w:tcPr>
            <w:tcW w:w="421" w:type="pct"/>
          </w:tcPr>
          <w:p w:rsidR="00BE16A1" w:rsidRPr="00BE16A1" w:rsidRDefault="00BE16A1" w:rsidP="001C1FCC">
            <w:pPr>
              <w:spacing w:line="360" w:lineRule="auto"/>
              <w:jc w:val="both"/>
              <w:cnfStyle w:val="000000100000"/>
              <w:rPr>
                <w:sz w:val="18"/>
                <w:szCs w:val="18"/>
                <w:lang w:val="en-GB"/>
              </w:rPr>
            </w:pPr>
            <w:r w:rsidRPr="00BE16A1">
              <w:rPr>
                <w:rFonts w:cs="Arial"/>
                <w:sz w:val="18"/>
                <w:szCs w:val="18"/>
                <w:lang w:val="en-GB"/>
              </w:rPr>
              <w:t>12,293</w:t>
            </w:r>
          </w:p>
        </w:tc>
        <w:tc>
          <w:tcPr>
            <w:tcW w:w="421" w:type="pct"/>
          </w:tcPr>
          <w:p w:rsidR="00BE16A1" w:rsidRPr="00BE16A1" w:rsidRDefault="00BE16A1" w:rsidP="001C1FCC">
            <w:pPr>
              <w:spacing w:line="360" w:lineRule="auto"/>
              <w:jc w:val="both"/>
              <w:cnfStyle w:val="000000100000"/>
              <w:rPr>
                <w:sz w:val="18"/>
                <w:szCs w:val="18"/>
                <w:lang w:val="en-GB"/>
              </w:rPr>
            </w:pPr>
            <w:r w:rsidRPr="00BE16A1">
              <w:rPr>
                <w:rFonts w:cs="Arial"/>
                <w:sz w:val="18"/>
                <w:szCs w:val="18"/>
                <w:lang w:val="en-GB"/>
              </w:rPr>
              <w:t>12,029</w:t>
            </w:r>
          </w:p>
        </w:tc>
        <w:tc>
          <w:tcPr>
            <w:tcW w:w="421" w:type="pct"/>
          </w:tcPr>
          <w:p w:rsidR="00BE16A1" w:rsidRPr="00BE16A1" w:rsidRDefault="00BE16A1" w:rsidP="001C1FCC">
            <w:pPr>
              <w:spacing w:line="360" w:lineRule="auto"/>
              <w:jc w:val="both"/>
              <w:cnfStyle w:val="000000100000"/>
              <w:rPr>
                <w:sz w:val="18"/>
                <w:szCs w:val="18"/>
                <w:lang w:val="en-GB"/>
              </w:rPr>
            </w:pPr>
          </w:p>
        </w:tc>
        <w:tc>
          <w:tcPr>
            <w:tcW w:w="421" w:type="pct"/>
          </w:tcPr>
          <w:p w:rsidR="00BE16A1" w:rsidRPr="00BE16A1" w:rsidRDefault="00BE16A1" w:rsidP="001C1FCC">
            <w:pPr>
              <w:spacing w:line="360" w:lineRule="auto"/>
              <w:jc w:val="both"/>
              <w:cnfStyle w:val="000000100000"/>
              <w:rPr>
                <w:sz w:val="18"/>
                <w:szCs w:val="18"/>
                <w:lang w:val="en-GB"/>
              </w:rPr>
            </w:pPr>
          </w:p>
        </w:tc>
        <w:tc>
          <w:tcPr>
            <w:tcW w:w="421" w:type="pct"/>
          </w:tcPr>
          <w:p w:rsidR="00BE16A1" w:rsidRPr="00BE16A1" w:rsidRDefault="00BE16A1" w:rsidP="001C1FCC">
            <w:pPr>
              <w:spacing w:line="360" w:lineRule="auto"/>
              <w:jc w:val="both"/>
              <w:cnfStyle w:val="000000100000"/>
              <w:rPr>
                <w:sz w:val="18"/>
                <w:szCs w:val="18"/>
                <w:lang w:val="en-GB"/>
              </w:rPr>
            </w:pPr>
          </w:p>
        </w:tc>
        <w:tc>
          <w:tcPr>
            <w:tcW w:w="421" w:type="pct"/>
          </w:tcPr>
          <w:p w:rsidR="00BE16A1" w:rsidRPr="00BE16A1" w:rsidRDefault="00BE16A1" w:rsidP="001C1FCC">
            <w:pPr>
              <w:spacing w:line="360" w:lineRule="auto"/>
              <w:jc w:val="both"/>
              <w:cnfStyle w:val="000000100000"/>
              <w:rPr>
                <w:sz w:val="18"/>
                <w:szCs w:val="18"/>
                <w:lang w:val="en-GB"/>
              </w:rPr>
            </w:pPr>
          </w:p>
        </w:tc>
        <w:tc>
          <w:tcPr>
            <w:tcW w:w="476" w:type="pct"/>
          </w:tcPr>
          <w:p w:rsidR="00BE16A1" w:rsidRPr="00BE16A1" w:rsidRDefault="00BE16A1" w:rsidP="001C1FCC">
            <w:pPr>
              <w:spacing w:line="360" w:lineRule="auto"/>
              <w:jc w:val="both"/>
              <w:cnfStyle w:val="000000100000"/>
              <w:rPr>
                <w:sz w:val="18"/>
                <w:szCs w:val="18"/>
                <w:lang w:val="en-GB"/>
              </w:rPr>
            </w:pPr>
          </w:p>
        </w:tc>
        <w:tc>
          <w:tcPr>
            <w:tcW w:w="476" w:type="pct"/>
          </w:tcPr>
          <w:p w:rsidR="00BE16A1" w:rsidRPr="00BE16A1" w:rsidRDefault="00BE16A1" w:rsidP="001C1FCC">
            <w:pPr>
              <w:spacing w:line="360" w:lineRule="auto"/>
              <w:jc w:val="both"/>
              <w:cnfStyle w:val="000000100000"/>
              <w:rPr>
                <w:sz w:val="18"/>
                <w:szCs w:val="18"/>
                <w:lang w:val="en-GB"/>
              </w:rPr>
            </w:pPr>
          </w:p>
        </w:tc>
      </w:tr>
      <w:tr w:rsidR="00BE16A1" w:rsidRPr="00BE16A1" w:rsidTr="00BE16A1">
        <w:tc>
          <w:tcPr>
            <w:cnfStyle w:val="001000000000"/>
            <w:tcW w:w="1101" w:type="pct"/>
          </w:tcPr>
          <w:p w:rsidR="00BE16A1" w:rsidRPr="00BE16A1" w:rsidRDefault="00BE16A1" w:rsidP="001C1FCC">
            <w:pPr>
              <w:spacing w:line="360" w:lineRule="auto"/>
              <w:jc w:val="both"/>
              <w:rPr>
                <w:b w:val="0"/>
                <w:sz w:val="18"/>
                <w:szCs w:val="18"/>
                <w:lang w:val="en-GB"/>
              </w:rPr>
            </w:pPr>
            <w:r w:rsidRPr="00BE16A1">
              <w:rPr>
                <w:b w:val="0"/>
                <w:sz w:val="18"/>
                <w:szCs w:val="18"/>
                <w:lang w:val="en-GB"/>
              </w:rPr>
              <w:t>Total dry mass goods</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bCs/>
                <w:sz w:val="18"/>
                <w:szCs w:val="18"/>
                <w:lang w:val="en-GB"/>
              </w:rPr>
              <w:t>89,572</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bCs/>
                <w:sz w:val="18"/>
                <w:szCs w:val="18"/>
                <w:lang w:val="en-GB"/>
              </w:rPr>
              <w:t>84,640</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Arial"/>
                <w:bCs/>
                <w:sz w:val="18"/>
                <w:szCs w:val="18"/>
                <w:lang w:val="en-GB"/>
              </w:rPr>
              <w:t>78,103</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Times New Roman"/>
                <w:sz w:val="18"/>
                <w:szCs w:val="18"/>
                <w:lang w:val="en-GB"/>
              </w:rPr>
              <w:t>79,840</w:t>
            </w:r>
          </w:p>
        </w:tc>
        <w:tc>
          <w:tcPr>
            <w:tcW w:w="421" w:type="pct"/>
          </w:tcPr>
          <w:p w:rsidR="00BE16A1" w:rsidRPr="00BE16A1" w:rsidRDefault="00BE16A1" w:rsidP="001C1FCC">
            <w:pPr>
              <w:spacing w:line="360" w:lineRule="auto"/>
              <w:jc w:val="both"/>
              <w:cnfStyle w:val="000000000000"/>
              <w:rPr>
                <w:sz w:val="18"/>
                <w:szCs w:val="18"/>
                <w:lang w:val="en-GB"/>
              </w:rPr>
            </w:pPr>
            <w:r w:rsidRPr="00BE16A1">
              <w:rPr>
                <w:rFonts w:cs="Times New Roman"/>
                <w:sz w:val="18"/>
                <w:szCs w:val="18"/>
                <w:lang w:val="en-GB"/>
              </w:rPr>
              <w:t>78,200</w:t>
            </w:r>
          </w:p>
        </w:tc>
        <w:tc>
          <w:tcPr>
            <w:tcW w:w="421" w:type="pct"/>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82,300</w:t>
            </w:r>
          </w:p>
        </w:tc>
        <w:tc>
          <w:tcPr>
            <w:tcW w:w="421" w:type="pct"/>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82,300</w:t>
            </w:r>
          </w:p>
        </w:tc>
        <w:tc>
          <w:tcPr>
            <w:tcW w:w="476" w:type="pct"/>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101,440</w:t>
            </w:r>
          </w:p>
        </w:tc>
        <w:tc>
          <w:tcPr>
            <w:tcW w:w="476" w:type="pct"/>
          </w:tcPr>
          <w:p w:rsidR="00BE16A1" w:rsidRPr="00BE16A1" w:rsidRDefault="00BE16A1" w:rsidP="001C1FCC">
            <w:pPr>
              <w:spacing w:line="360" w:lineRule="auto"/>
              <w:jc w:val="both"/>
              <w:cnfStyle w:val="000000000000"/>
              <w:rPr>
                <w:sz w:val="18"/>
                <w:szCs w:val="18"/>
                <w:lang w:val="en-GB"/>
              </w:rPr>
            </w:pPr>
            <w:r w:rsidRPr="00BE16A1">
              <w:rPr>
                <w:sz w:val="18"/>
                <w:szCs w:val="18"/>
                <w:lang w:val="en-GB"/>
              </w:rPr>
              <w:t>114,200</w:t>
            </w:r>
          </w:p>
        </w:tc>
      </w:tr>
    </w:tbl>
    <w:p w:rsidR="00BE16A1" w:rsidRPr="0035337B" w:rsidRDefault="00BE16A1" w:rsidP="00BE16A1">
      <w:pPr>
        <w:spacing w:line="360" w:lineRule="auto"/>
        <w:jc w:val="right"/>
        <w:rPr>
          <w:sz w:val="18"/>
          <w:szCs w:val="18"/>
          <w:lang w:val="en-GB"/>
        </w:rPr>
      </w:pPr>
      <w:r w:rsidRPr="0035337B">
        <w:rPr>
          <w:sz w:val="18"/>
          <w:szCs w:val="18"/>
          <w:lang w:val="en-GB"/>
        </w:rPr>
        <w:t>In 1000 metric tonnes</w:t>
      </w:r>
    </w:p>
    <w:p w:rsidR="00BE16A1" w:rsidRDefault="00BE16A1" w:rsidP="00BE16A1">
      <w:pPr>
        <w:spacing w:line="360" w:lineRule="auto"/>
        <w:jc w:val="both"/>
        <w:rPr>
          <w:lang w:val="en-GB"/>
        </w:rPr>
      </w:pPr>
      <w:r w:rsidRPr="0035337B">
        <w:rPr>
          <w:lang w:val="en-GB"/>
        </w:rPr>
        <w:t>The trend observed in tonnage clearly deviates from the predicted path for any of the scenarios. It is also interesting that while the tonnage shows a declining trend over the last 17 years the terrain demand in hectares was still rising up to 2012</w:t>
      </w:r>
      <w:r w:rsidRPr="0035337B">
        <w:rPr>
          <w:rStyle w:val="FootnoteReference"/>
          <w:lang w:val="en-GB"/>
        </w:rPr>
        <w:footnoteReference w:id="8"/>
      </w:r>
      <w:r w:rsidRPr="0035337B">
        <w:rPr>
          <w:lang w:val="en-GB"/>
        </w:rPr>
        <w:t xml:space="preserve">. This discrepancy is the cause for the rest of the analysis. </w:t>
      </w:r>
    </w:p>
    <w:p w:rsidR="00F2137C" w:rsidRDefault="00F2137C" w:rsidP="00F2137C">
      <w:pPr>
        <w:pStyle w:val="Heading3"/>
        <w:jc w:val="left"/>
        <w:rPr>
          <w:lang w:val="en-GB"/>
        </w:rPr>
      </w:pPr>
      <w:bookmarkStart w:id="34" w:name="_Toc363737848"/>
      <w:r>
        <w:rPr>
          <w:lang w:val="en-GB"/>
        </w:rPr>
        <w:t>4.2.1 What caused the difference?</w:t>
      </w:r>
      <w:bookmarkEnd w:id="34"/>
    </w:p>
    <w:p w:rsidR="00F2137C" w:rsidRPr="0035337B" w:rsidRDefault="00F2137C" w:rsidP="00F2137C">
      <w:pPr>
        <w:spacing w:line="360" w:lineRule="auto"/>
        <w:jc w:val="both"/>
        <w:rPr>
          <w:lang w:val="en-GB"/>
        </w:rPr>
      </w:pPr>
      <w:r w:rsidRPr="0035337B">
        <w:rPr>
          <w:lang w:val="en-GB"/>
        </w:rPr>
        <w:t>In predicting the volumes and terrain demand of the dry mass goods sector the four subsectors coals, scrap metal and iron ore, agricultural bulk and remaining dry mass goods were separately analysed. It was estimated that coals and remaining dry mass goods would stay stable in terms of volume and terrain use. Scrap and iron and agricultural bulk volumes on the other hand were predicted to shrink resulting in, respectively, unknown terrain demand changes and unchanged terrain demand.</w:t>
      </w:r>
    </w:p>
    <w:p w:rsidR="00F2137C" w:rsidRPr="0035337B" w:rsidRDefault="00F2137C" w:rsidP="00F2137C">
      <w:pPr>
        <w:spacing w:line="360" w:lineRule="auto"/>
        <w:jc w:val="both"/>
        <w:rPr>
          <w:lang w:val="en-GB"/>
        </w:rPr>
      </w:pPr>
      <w:r w:rsidRPr="0035337B">
        <w:rPr>
          <w:lang w:val="en-GB"/>
        </w:rPr>
        <w:t xml:space="preserve">Over the last twelve years only the coal throughput subsector has consistently shown volumes above its 2000 level. It is not surprising then that the only three major expansions in terms of </w:t>
      </w:r>
      <w:bookmarkStart w:id="35" w:name="_GoBack"/>
      <w:bookmarkEnd w:id="35"/>
      <w:r w:rsidRPr="0035337B">
        <w:rPr>
          <w:lang w:val="en-GB"/>
        </w:rPr>
        <w:t>terrain were realised to accommodate coal throughput. In 2004 EECV finished a new coal transhipment terminal on 35 hectares terrain which was further expanded in 2011</w:t>
      </w:r>
      <w:sdt>
        <w:sdtPr>
          <w:rPr>
            <w:lang w:val="en-GB"/>
          </w:rPr>
          <w:id w:val="39721320"/>
          <w:citation/>
        </w:sdtPr>
        <w:sdtContent>
          <w:r w:rsidR="00FD0314" w:rsidRPr="0035337B">
            <w:rPr>
              <w:lang w:val="en-GB"/>
            </w:rPr>
            <w:fldChar w:fldCharType="begin"/>
          </w:r>
          <w:r w:rsidRPr="0035337B">
            <w:rPr>
              <w:lang w:val="en-GB"/>
            </w:rPr>
            <w:instrText xml:space="preserve">CITATION HbR11 \l 1033 </w:instrText>
          </w:r>
          <w:r w:rsidR="00FD0314" w:rsidRPr="0035337B">
            <w:rPr>
              <w:lang w:val="en-GB"/>
            </w:rPr>
            <w:fldChar w:fldCharType="separate"/>
          </w:r>
          <w:r w:rsidR="006A4AA8">
            <w:rPr>
              <w:noProof/>
              <w:lang w:val="en-GB"/>
            </w:rPr>
            <w:t xml:space="preserve"> </w:t>
          </w:r>
          <w:r w:rsidR="006A4AA8" w:rsidRPr="006A4AA8">
            <w:rPr>
              <w:noProof/>
              <w:lang w:val="en-GB"/>
            </w:rPr>
            <w:t>(HbR, 2011a)</w:t>
          </w:r>
          <w:r w:rsidR="00FD0314" w:rsidRPr="0035337B">
            <w:rPr>
              <w:lang w:val="en-GB"/>
            </w:rPr>
            <w:fldChar w:fldCharType="end"/>
          </w:r>
        </w:sdtContent>
      </w:sdt>
      <w:r w:rsidRPr="0035337B">
        <w:rPr>
          <w:lang w:val="en-GB"/>
        </w:rPr>
        <w:t xml:space="preserve">. EMO, the first company to settle on </w:t>
      </w:r>
      <w:proofErr w:type="spellStart"/>
      <w:r w:rsidRPr="0035337B">
        <w:rPr>
          <w:lang w:val="en-GB"/>
        </w:rPr>
        <w:t>Maasvlakte</w:t>
      </w:r>
      <w:proofErr w:type="spellEnd"/>
      <w:r w:rsidRPr="0035337B">
        <w:rPr>
          <w:lang w:val="en-GB"/>
        </w:rPr>
        <w:t xml:space="preserve"> 1 and the largest dry bulk company in the Port of Rotterdam, has expanded its operations, the throughput of coals and iron ore, in 2011 on another 24 hectares of terrain</w:t>
      </w:r>
      <w:sdt>
        <w:sdtPr>
          <w:rPr>
            <w:lang w:val="en-GB"/>
          </w:rPr>
          <w:id w:val="-1775857784"/>
          <w:citation/>
        </w:sdtPr>
        <w:sdtContent>
          <w:r w:rsidR="00FD0314" w:rsidRPr="0035337B">
            <w:rPr>
              <w:lang w:val="en-GB"/>
            </w:rPr>
            <w:fldChar w:fldCharType="begin"/>
          </w:r>
          <w:r w:rsidRPr="0035337B">
            <w:rPr>
              <w:lang w:val="en-GB"/>
            </w:rPr>
            <w:instrText xml:space="preserve">CITATION HbR111 \l 1033 </w:instrText>
          </w:r>
          <w:r w:rsidR="00FD0314" w:rsidRPr="0035337B">
            <w:rPr>
              <w:lang w:val="en-GB"/>
            </w:rPr>
            <w:fldChar w:fldCharType="separate"/>
          </w:r>
          <w:r w:rsidR="006A4AA8">
            <w:rPr>
              <w:noProof/>
              <w:lang w:val="en-GB"/>
            </w:rPr>
            <w:t xml:space="preserve"> </w:t>
          </w:r>
          <w:r w:rsidR="006A4AA8" w:rsidRPr="006A4AA8">
            <w:rPr>
              <w:noProof/>
              <w:lang w:val="en-GB"/>
            </w:rPr>
            <w:t>(HbR, 2011b)</w:t>
          </w:r>
          <w:r w:rsidR="00FD0314" w:rsidRPr="0035337B">
            <w:rPr>
              <w:lang w:val="en-GB"/>
            </w:rPr>
            <w:fldChar w:fldCharType="end"/>
          </w:r>
        </w:sdtContent>
      </w:sdt>
      <w:r w:rsidRPr="0035337B">
        <w:rPr>
          <w:lang w:val="en-GB"/>
        </w:rPr>
        <w:t xml:space="preserve">. </w:t>
      </w:r>
    </w:p>
    <w:p w:rsidR="00F2137C" w:rsidRPr="0035337B" w:rsidRDefault="00F2137C" w:rsidP="00F2137C">
      <w:pPr>
        <w:spacing w:line="360" w:lineRule="auto"/>
        <w:jc w:val="both"/>
        <w:rPr>
          <w:lang w:val="en-GB"/>
        </w:rPr>
      </w:pPr>
      <w:r w:rsidRPr="0035337B">
        <w:rPr>
          <w:lang w:val="en-GB"/>
        </w:rPr>
        <w:t>While agricultural bulk and remaining dry mass goods have been in slow decline for the last 12 years the iron ore and scrap metal sector has faced the hardest hits. With the crisis dampening the steel industry in Europe, for which a large portion of raw materials went through the port of Rotterdam, this sector has experienced historically low volumes in the last decade</w:t>
      </w:r>
      <w:sdt>
        <w:sdtPr>
          <w:rPr>
            <w:lang w:val="en-GB"/>
          </w:rPr>
          <w:id w:val="1354151301"/>
          <w:citation/>
        </w:sdtPr>
        <w:sdtContent>
          <w:r w:rsidR="00FD0314" w:rsidRPr="0035337B">
            <w:rPr>
              <w:lang w:val="en-GB"/>
            </w:rPr>
            <w:fldChar w:fldCharType="begin"/>
          </w:r>
          <w:r w:rsidRPr="0035337B">
            <w:rPr>
              <w:lang w:val="en-GB"/>
            </w:rPr>
            <w:instrText xml:space="preserve"> CITATION HbR12 \l 1033 </w:instrText>
          </w:r>
          <w:r w:rsidR="00FD0314" w:rsidRPr="0035337B">
            <w:rPr>
              <w:lang w:val="en-GB"/>
            </w:rPr>
            <w:fldChar w:fldCharType="separate"/>
          </w:r>
          <w:r w:rsidR="006A4AA8">
            <w:rPr>
              <w:noProof/>
              <w:lang w:val="en-GB"/>
            </w:rPr>
            <w:t xml:space="preserve"> </w:t>
          </w:r>
          <w:r w:rsidR="006A4AA8" w:rsidRPr="006A4AA8">
            <w:rPr>
              <w:noProof/>
              <w:lang w:val="en-GB"/>
            </w:rPr>
            <w:t>(HbR, 2012)</w:t>
          </w:r>
          <w:r w:rsidR="00FD0314" w:rsidRPr="0035337B">
            <w:rPr>
              <w:lang w:val="en-GB"/>
            </w:rPr>
            <w:fldChar w:fldCharType="end"/>
          </w:r>
        </w:sdtContent>
      </w:sdt>
      <w:r w:rsidRPr="0035337B">
        <w:rPr>
          <w:lang w:val="en-GB"/>
        </w:rPr>
        <w:t>. The most likely reasons for the observed discrepancy are the expanding coal throughput and the fact that the other three dry mass goods sectors, the iron ore and scrap metal sector in particular, are suffering.</w:t>
      </w:r>
    </w:p>
    <w:p w:rsidR="00F2137C" w:rsidRDefault="00F2137C" w:rsidP="00F2137C">
      <w:pPr>
        <w:pStyle w:val="Heading3"/>
        <w:jc w:val="left"/>
        <w:rPr>
          <w:lang w:val="en-GB"/>
        </w:rPr>
      </w:pPr>
      <w:bookmarkStart w:id="36" w:name="_Toc363737849"/>
      <w:r>
        <w:rPr>
          <w:lang w:val="en-GB"/>
        </w:rPr>
        <w:lastRenderedPageBreak/>
        <w:t>4.2.2 Could it have been foreseen?</w:t>
      </w:r>
      <w:bookmarkEnd w:id="36"/>
    </w:p>
    <w:p w:rsidR="00F2137C" w:rsidRPr="0035337B" w:rsidRDefault="00F2137C" w:rsidP="00F2137C">
      <w:pPr>
        <w:spacing w:line="360" w:lineRule="auto"/>
        <w:jc w:val="both"/>
        <w:rPr>
          <w:lang w:val="en-GB"/>
        </w:rPr>
      </w:pPr>
      <w:r w:rsidRPr="0035337B">
        <w:rPr>
          <w:lang w:val="en-GB"/>
        </w:rPr>
        <w:t>In part, the way the dry mass goods volumes are developing has been foreseen in the cost benefit analysis. For the Global Competition scenario a 443 hectare terrain demand was predicted, its increase mostly ascribed to the increase in coal throughput. For this scenario it was, apparently accurately, predicted that Rotterdam would benefit from the closing of coal mines in Germany and its resulting increased coal imports. (CPB, 2001, P.91)</w:t>
      </w:r>
    </w:p>
    <w:p w:rsidR="00F2137C" w:rsidRDefault="00F2137C" w:rsidP="00F2137C">
      <w:pPr>
        <w:spacing w:line="360" w:lineRule="auto"/>
        <w:jc w:val="both"/>
        <w:rPr>
          <w:lang w:val="en-GB"/>
        </w:rPr>
      </w:pPr>
      <w:r w:rsidRPr="0035337B">
        <w:rPr>
          <w:lang w:val="en-GB"/>
        </w:rPr>
        <w:t>The most likely cause of the recent decline in overall dry mass goods volumes, the 2009 financial crisis, could not have been foreseen in the cost benefit analysis.</w:t>
      </w:r>
    </w:p>
    <w:p w:rsidR="00F2137C" w:rsidRDefault="00F2137C" w:rsidP="00F2137C">
      <w:pPr>
        <w:pStyle w:val="Heading3"/>
        <w:jc w:val="left"/>
        <w:rPr>
          <w:lang w:val="en-GB"/>
        </w:rPr>
      </w:pPr>
      <w:bookmarkStart w:id="37" w:name="_Toc363737850"/>
      <w:r>
        <w:rPr>
          <w:lang w:val="en-GB"/>
        </w:rPr>
        <w:t>4.2.3 Alternative method</w:t>
      </w:r>
      <w:bookmarkEnd w:id="37"/>
    </w:p>
    <w:p w:rsidR="00F2137C" w:rsidRPr="0035337B" w:rsidRDefault="00F2137C" w:rsidP="00F2137C">
      <w:pPr>
        <w:spacing w:line="360" w:lineRule="auto"/>
        <w:jc w:val="both"/>
        <w:rPr>
          <w:lang w:val="en-GB"/>
        </w:rPr>
      </w:pPr>
      <w:r w:rsidRPr="0035337B">
        <w:rPr>
          <w:lang w:val="en-GB"/>
        </w:rPr>
        <w:t>There does not appear to be a method that could have led to relevant new insights at the time the Cost Benefit Analysis was written. Predicted sector production volumes, recent and expected relevant events as well as potential new activities were all considered.</w:t>
      </w:r>
    </w:p>
    <w:p w:rsidR="00F2137C" w:rsidRDefault="00847088" w:rsidP="008B366F">
      <w:pPr>
        <w:pStyle w:val="Heading2"/>
        <w:jc w:val="left"/>
        <w:rPr>
          <w:lang w:val="en-GB"/>
        </w:rPr>
      </w:pPr>
      <w:bookmarkStart w:id="38" w:name="_Toc363737851"/>
      <w:r>
        <w:rPr>
          <w:lang w:val="en-GB"/>
        </w:rPr>
        <w:t>4.3 Roll-on/Roll-off</w:t>
      </w:r>
      <w:bookmarkEnd w:id="38"/>
    </w:p>
    <w:p w:rsidR="00847088" w:rsidRPr="0035337B" w:rsidRDefault="00847088" w:rsidP="00847088">
      <w:pPr>
        <w:spacing w:line="360" w:lineRule="auto"/>
        <w:jc w:val="both"/>
        <w:rPr>
          <w:lang w:val="en-GB"/>
        </w:rPr>
      </w:pPr>
      <w:r w:rsidRPr="0035337B">
        <w:rPr>
          <w:lang w:val="en-GB"/>
        </w:rPr>
        <w:t xml:space="preserve">The roll on/roll off total shipped volumes are shown in table 3.5. </w:t>
      </w:r>
      <w:sdt>
        <w:sdtPr>
          <w:rPr>
            <w:lang w:val="en-GB"/>
          </w:rPr>
          <w:id w:val="1918899887"/>
          <w:citation/>
        </w:sdtPr>
        <w:sdtContent>
          <w:r w:rsidR="00FD0314" w:rsidRPr="0035337B">
            <w:rPr>
              <w:lang w:val="en-GB"/>
            </w:rPr>
            <w:fldChar w:fldCharType="begin"/>
          </w:r>
          <w:r w:rsidRPr="0035337B">
            <w:rPr>
              <w:lang w:val="en-GB"/>
            </w:rPr>
            <w:instrText xml:space="preserve"> CITATION HbR13 \l 1033 </w:instrText>
          </w:r>
          <w:r w:rsidR="00FD0314" w:rsidRPr="0035337B">
            <w:rPr>
              <w:lang w:val="en-GB"/>
            </w:rPr>
            <w:fldChar w:fldCharType="separate"/>
          </w:r>
          <w:r w:rsidR="006A4AA8" w:rsidRPr="006A4AA8">
            <w:rPr>
              <w:noProof/>
              <w:lang w:val="en-GB"/>
            </w:rPr>
            <w:t>(HbR, 2013b)</w:t>
          </w:r>
          <w:r w:rsidR="00FD0314" w:rsidRPr="0035337B">
            <w:rPr>
              <w:lang w:val="en-GB"/>
            </w:rPr>
            <w:fldChar w:fldCharType="end"/>
          </w:r>
        </w:sdtContent>
      </w:sdt>
    </w:p>
    <w:tbl>
      <w:tblPr>
        <w:tblStyle w:val="ColorfulList"/>
        <w:tblW w:w="0" w:type="auto"/>
        <w:tblLayout w:type="fixed"/>
        <w:tblLook w:val="04A0"/>
      </w:tblPr>
      <w:tblGrid>
        <w:gridCol w:w="1098"/>
        <w:gridCol w:w="659"/>
        <w:gridCol w:w="749"/>
        <w:gridCol w:w="854"/>
        <w:gridCol w:w="830"/>
        <w:gridCol w:w="854"/>
        <w:gridCol w:w="830"/>
        <w:gridCol w:w="854"/>
        <w:gridCol w:w="830"/>
        <w:gridCol w:w="854"/>
        <w:gridCol w:w="830"/>
      </w:tblGrid>
      <w:tr w:rsidR="00847088" w:rsidRPr="00847088" w:rsidTr="00847088">
        <w:trPr>
          <w:cnfStyle w:val="100000000000"/>
        </w:trPr>
        <w:tc>
          <w:tcPr>
            <w:cnfStyle w:val="001000000000"/>
            <w:tcW w:w="1098" w:type="dxa"/>
          </w:tcPr>
          <w:p w:rsidR="00847088" w:rsidRPr="00847088" w:rsidRDefault="00847088" w:rsidP="001C1FCC">
            <w:pPr>
              <w:spacing w:line="360" w:lineRule="auto"/>
              <w:jc w:val="both"/>
              <w:rPr>
                <w:sz w:val="18"/>
                <w:szCs w:val="18"/>
                <w:lang w:val="en-GB"/>
              </w:rPr>
            </w:pPr>
            <w:r w:rsidRPr="00847088">
              <w:rPr>
                <w:sz w:val="18"/>
                <w:szCs w:val="18"/>
                <w:lang w:val="en-GB"/>
              </w:rPr>
              <w:t>Table 3.5</w:t>
            </w:r>
          </w:p>
        </w:tc>
        <w:tc>
          <w:tcPr>
            <w:tcW w:w="659"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Real</w:t>
            </w:r>
          </w:p>
        </w:tc>
        <w:tc>
          <w:tcPr>
            <w:tcW w:w="749"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Real</w:t>
            </w:r>
          </w:p>
        </w:tc>
        <w:tc>
          <w:tcPr>
            <w:tcW w:w="854"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Real</w:t>
            </w:r>
          </w:p>
        </w:tc>
        <w:tc>
          <w:tcPr>
            <w:tcW w:w="830"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Real</w:t>
            </w:r>
          </w:p>
        </w:tc>
        <w:tc>
          <w:tcPr>
            <w:tcW w:w="854"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DE</w:t>
            </w:r>
          </w:p>
        </w:tc>
        <w:tc>
          <w:tcPr>
            <w:tcW w:w="830" w:type="dxa"/>
          </w:tcPr>
          <w:p w:rsidR="00847088" w:rsidRPr="00847088" w:rsidRDefault="00847088" w:rsidP="001C1FCC">
            <w:pPr>
              <w:spacing w:line="360" w:lineRule="auto"/>
              <w:jc w:val="both"/>
              <w:cnfStyle w:val="100000000000"/>
              <w:rPr>
                <w:sz w:val="18"/>
                <w:szCs w:val="18"/>
                <w:lang w:val="en-GB"/>
              </w:rPr>
            </w:pPr>
          </w:p>
        </w:tc>
        <w:tc>
          <w:tcPr>
            <w:tcW w:w="854"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EC</w:t>
            </w:r>
          </w:p>
        </w:tc>
        <w:tc>
          <w:tcPr>
            <w:tcW w:w="830" w:type="dxa"/>
          </w:tcPr>
          <w:p w:rsidR="00847088" w:rsidRPr="00847088" w:rsidRDefault="00847088" w:rsidP="001C1FCC">
            <w:pPr>
              <w:spacing w:line="360" w:lineRule="auto"/>
              <w:jc w:val="both"/>
              <w:cnfStyle w:val="100000000000"/>
              <w:rPr>
                <w:sz w:val="18"/>
                <w:szCs w:val="18"/>
                <w:lang w:val="en-GB"/>
              </w:rPr>
            </w:pPr>
          </w:p>
        </w:tc>
        <w:tc>
          <w:tcPr>
            <w:tcW w:w="854"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GC</w:t>
            </w:r>
          </w:p>
        </w:tc>
        <w:tc>
          <w:tcPr>
            <w:tcW w:w="830" w:type="dxa"/>
          </w:tcPr>
          <w:p w:rsidR="00847088" w:rsidRPr="00847088" w:rsidRDefault="00847088" w:rsidP="001C1FCC">
            <w:pPr>
              <w:spacing w:line="360" w:lineRule="auto"/>
              <w:jc w:val="both"/>
              <w:cnfStyle w:val="100000000000"/>
              <w:rPr>
                <w:sz w:val="18"/>
                <w:szCs w:val="18"/>
                <w:lang w:val="en-GB"/>
              </w:rPr>
            </w:pPr>
          </w:p>
        </w:tc>
      </w:tr>
      <w:tr w:rsidR="00847088" w:rsidRPr="00847088" w:rsidTr="00847088">
        <w:trPr>
          <w:cnfStyle w:val="000000100000"/>
        </w:trPr>
        <w:tc>
          <w:tcPr>
            <w:cnfStyle w:val="001000000000"/>
            <w:tcW w:w="1098" w:type="dxa"/>
          </w:tcPr>
          <w:p w:rsidR="00847088" w:rsidRPr="00847088" w:rsidRDefault="00847088" w:rsidP="001C1FCC">
            <w:pPr>
              <w:spacing w:line="360" w:lineRule="auto"/>
              <w:jc w:val="both"/>
              <w:rPr>
                <w:sz w:val="18"/>
                <w:szCs w:val="18"/>
                <w:lang w:val="en-GB"/>
              </w:rPr>
            </w:pPr>
          </w:p>
        </w:tc>
        <w:tc>
          <w:tcPr>
            <w:tcW w:w="659"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1999</w:t>
            </w:r>
          </w:p>
        </w:tc>
        <w:tc>
          <w:tcPr>
            <w:tcW w:w="749"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2005</w:t>
            </w:r>
          </w:p>
        </w:tc>
        <w:tc>
          <w:tcPr>
            <w:tcW w:w="854"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2010</w:t>
            </w:r>
          </w:p>
        </w:tc>
        <w:tc>
          <w:tcPr>
            <w:tcW w:w="830"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2012</w:t>
            </w:r>
          </w:p>
        </w:tc>
        <w:tc>
          <w:tcPr>
            <w:tcW w:w="854"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2010</w:t>
            </w:r>
          </w:p>
        </w:tc>
        <w:tc>
          <w:tcPr>
            <w:tcW w:w="830"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2020</w:t>
            </w:r>
          </w:p>
        </w:tc>
        <w:tc>
          <w:tcPr>
            <w:tcW w:w="854"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2010</w:t>
            </w:r>
          </w:p>
        </w:tc>
        <w:tc>
          <w:tcPr>
            <w:tcW w:w="830"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2020</w:t>
            </w:r>
          </w:p>
        </w:tc>
        <w:tc>
          <w:tcPr>
            <w:tcW w:w="854"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2010</w:t>
            </w:r>
          </w:p>
        </w:tc>
        <w:tc>
          <w:tcPr>
            <w:tcW w:w="830"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2020</w:t>
            </w:r>
          </w:p>
        </w:tc>
      </w:tr>
      <w:tr w:rsidR="00847088" w:rsidRPr="00847088" w:rsidTr="00847088">
        <w:tc>
          <w:tcPr>
            <w:cnfStyle w:val="001000000000"/>
            <w:tcW w:w="1098" w:type="dxa"/>
          </w:tcPr>
          <w:p w:rsidR="00847088" w:rsidRPr="00847088" w:rsidRDefault="00847088" w:rsidP="001C1FCC">
            <w:pPr>
              <w:spacing w:line="360" w:lineRule="auto"/>
              <w:jc w:val="both"/>
              <w:rPr>
                <w:b w:val="0"/>
                <w:sz w:val="18"/>
                <w:szCs w:val="18"/>
                <w:lang w:val="en-GB"/>
              </w:rPr>
            </w:pPr>
            <w:r>
              <w:rPr>
                <w:b w:val="0"/>
                <w:sz w:val="18"/>
                <w:szCs w:val="18"/>
                <w:lang w:val="en-GB"/>
              </w:rPr>
              <w:t>T</w:t>
            </w:r>
            <w:r w:rsidRPr="00847088">
              <w:rPr>
                <w:b w:val="0"/>
                <w:sz w:val="18"/>
                <w:szCs w:val="18"/>
                <w:lang w:val="en-GB"/>
              </w:rPr>
              <w:t xml:space="preserve">onnage </w:t>
            </w:r>
          </w:p>
        </w:tc>
        <w:tc>
          <w:tcPr>
            <w:tcW w:w="659"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9,937</w:t>
            </w:r>
          </w:p>
        </w:tc>
        <w:tc>
          <w:tcPr>
            <w:tcW w:w="749"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9,870</w:t>
            </w:r>
          </w:p>
        </w:tc>
        <w:tc>
          <w:tcPr>
            <w:tcW w:w="854"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16,968</w:t>
            </w:r>
          </w:p>
        </w:tc>
        <w:tc>
          <w:tcPr>
            <w:tcW w:w="830"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17,919</w:t>
            </w:r>
          </w:p>
        </w:tc>
        <w:tc>
          <w:tcPr>
            <w:tcW w:w="854"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13,000</w:t>
            </w:r>
          </w:p>
        </w:tc>
        <w:tc>
          <w:tcPr>
            <w:tcW w:w="830"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17,000</w:t>
            </w:r>
          </w:p>
        </w:tc>
        <w:tc>
          <w:tcPr>
            <w:tcW w:w="854"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15,500</w:t>
            </w:r>
          </w:p>
        </w:tc>
        <w:tc>
          <w:tcPr>
            <w:tcW w:w="830"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22,000</w:t>
            </w:r>
          </w:p>
        </w:tc>
        <w:tc>
          <w:tcPr>
            <w:tcW w:w="854"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17,000</w:t>
            </w:r>
          </w:p>
        </w:tc>
        <w:tc>
          <w:tcPr>
            <w:tcW w:w="830"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26,000</w:t>
            </w:r>
          </w:p>
        </w:tc>
      </w:tr>
    </w:tbl>
    <w:p w:rsidR="00847088" w:rsidRPr="0035337B" w:rsidRDefault="00847088" w:rsidP="00847088">
      <w:pPr>
        <w:spacing w:line="360" w:lineRule="auto"/>
        <w:jc w:val="right"/>
        <w:rPr>
          <w:sz w:val="18"/>
          <w:szCs w:val="18"/>
          <w:lang w:val="en-GB"/>
        </w:rPr>
      </w:pPr>
      <w:r w:rsidRPr="0035337B">
        <w:rPr>
          <w:sz w:val="18"/>
          <w:szCs w:val="18"/>
          <w:lang w:val="en-GB"/>
        </w:rPr>
        <w:t>In 1000 metric tonnes</w:t>
      </w:r>
    </w:p>
    <w:p w:rsidR="00847088" w:rsidRDefault="00847088" w:rsidP="00847088">
      <w:pPr>
        <w:spacing w:line="360" w:lineRule="auto"/>
        <w:jc w:val="both"/>
        <w:rPr>
          <w:lang w:val="en-GB"/>
        </w:rPr>
      </w:pPr>
      <w:r w:rsidRPr="0035337B">
        <w:rPr>
          <w:lang w:val="en-GB"/>
        </w:rPr>
        <w:t>The roll on/roll off volumes appear to be developing almost perfectly along the line of the GC scenario predictions. Recent data on the roll on/roll off terrain demand are not available.</w:t>
      </w:r>
    </w:p>
    <w:p w:rsidR="00847088" w:rsidRDefault="00847088" w:rsidP="008B366F">
      <w:pPr>
        <w:pStyle w:val="Heading2"/>
        <w:jc w:val="left"/>
        <w:rPr>
          <w:lang w:val="en-GB"/>
        </w:rPr>
      </w:pPr>
      <w:bookmarkStart w:id="39" w:name="_Toc363737852"/>
      <w:r>
        <w:rPr>
          <w:lang w:val="en-GB"/>
        </w:rPr>
        <w:t>4.4 Remaining general cargo</w:t>
      </w:r>
      <w:bookmarkEnd w:id="39"/>
    </w:p>
    <w:p w:rsidR="00847088" w:rsidRPr="0035337B" w:rsidRDefault="00847088" w:rsidP="00847088">
      <w:pPr>
        <w:spacing w:line="360" w:lineRule="auto"/>
        <w:jc w:val="both"/>
        <w:rPr>
          <w:lang w:val="en-GB"/>
        </w:rPr>
      </w:pPr>
      <w:r w:rsidRPr="0035337B">
        <w:rPr>
          <w:lang w:val="en-GB"/>
        </w:rPr>
        <w:t xml:space="preserve">The table below indicates that the path the volume takes deviates significantly from the predictions in the cost benefit analysis. This suggests a higher potential return of terrain than initially predicted. A possible cause is the higher than expected containerisation. </w:t>
      </w:r>
      <w:sdt>
        <w:sdtPr>
          <w:rPr>
            <w:lang w:val="en-GB"/>
          </w:rPr>
          <w:id w:val="1914041086"/>
          <w:citation/>
        </w:sdtPr>
        <w:sdtContent>
          <w:r w:rsidR="00FD0314" w:rsidRPr="0035337B">
            <w:rPr>
              <w:lang w:val="en-GB"/>
            </w:rPr>
            <w:fldChar w:fldCharType="begin"/>
          </w:r>
          <w:r w:rsidRPr="0035337B">
            <w:rPr>
              <w:lang w:val="en-GB"/>
            </w:rPr>
            <w:instrText xml:space="preserve"> CITATION HbR13 \l 1033 </w:instrText>
          </w:r>
          <w:r w:rsidR="00FD0314" w:rsidRPr="0035337B">
            <w:rPr>
              <w:lang w:val="en-GB"/>
            </w:rPr>
            <w:fldChar w:fldCharType="separate"/>
          </w:r>
          <w:r w:rsidR="006A4AA8" w:rsidRPr="006A4AA8">
            <w:rPr>
              <w:noProof/>
              <w:lang w:val="en-GB"/>
            </w:rPr>
            <w:t>(HbR, 2013b)</w:t>
          </w:r>
          <w:r w:rsidR="00FD0314" w:rsidRPr="0035337B">
            <w:rPr>
              <w:lang w:val="en-GB"/>
            </w:rPr>
            <w:fldChar w:fldCharType="end"/>
          </w:r>
        </w:sdtContent>
      </w:sdt>
    </w:p>
    <w:tbl>
      <w:tblPr>
        <w:tblStyle w:val="ColorfulList"/>
        <w:tblW w:w="0" w:type="auto"/>
        <w:tblLook w:val="04A0"/>
      </w:tblPr>
      <w:tblGrid>
        <w:gridCol w:w="1601"/>
        <w:gridCol w:w="1106"/>
        <w:gridCol w:w="1105"/>
        <w:gridCol w:w="1106"/>
        <w:gridCol w:w="980"/>
        <w:gridCol w:w="1105"/>
        <w:gridCol w:w="1105"/>
        <w:gridCol w:w="1134"/>
      </w:tblGrid>
      <w:tr w:rsidR="00847088" w:rsidRPr="00847088" w:rsidTr="00847088">
        <w:trPr>
          <w:cnfStyle w:val="100000000000"/>
        </w:trPr>
        <w:tc>
          <w:tcPr>
            <w:cnfStyle w:val="001000000000"/>
            <w:tcW w:w="1601" w:type="dxa"/>
          </w:tcPr>
          <w:p w:rsidR="00847088" w:rsidRPr="00847088" w:rsidRDefault="00847088" w:rsidP="001C1FCC">
            <w:pPr>
              <w:spacing w:line="360" w:lineRule="auto"/>
              <w:jc w:val="both"/>
              <w:rPr>
                <w:sz w:val="18"/>
                <w:szCs w:val="18"/>
                <w:lang w:val="en-GB"/>
              </w:rPr>
            </w:pPr>
            <w:r w:rsidRPr="00847088">
              <w:rPr>
                <w:sz w:val="18"/>
                <w:szCs w:val="18"/>
                <w:lang w:val="en-GB"/>
              </w:rPr>
              <w:t>Table 3.6</w:t>
            </w:r>
          </w:p>
        </w:tc>
        <w:tc>
          <w:tcPr>
            <w:tcW w:w="1106"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Real</w:t>
            </w:r>
          </w:p>
        </w:tc>
        <w:tc>
          <w:tcPr>
            <w:tcW w:w="1105"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Real</w:t>
            </w:r>
          </w:p>
        </w:tc>
        <w:tc>
          <w:tcPr>
            <w:tcW w:w="1106"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Real</w:t>
            </w:r>
          </w:p>
        </w:tc>
        <w:tc>
          <w:tcPr>
            <w:tcW w:w="980"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Real</w:t>
            </w:r>
          </w:p>
        </w:tc>
        <w:tc>
          <w:tcPr>
            <w:tcW w:w="1105"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DE</w:t>
            </w:r>
          </w:p>
        </w:tc>
        <w:tc>
          <w:tcPr>
            <w:tcW w:w="1105"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EC</w:t>
            </w:r>
          </w:p>
        </w:tc>
        <w:tc>
          <w:tcPr>
            <w:tcW w:w="1134" w:type="dxa"/>
          </w:tcPr>
          <w:p w:rsidR="00847088" w:rsidRPr="00847088" w:rsidRDefault="00847088" w:rsidP="001C1FCC">
            <w:pPr>
              <w:spacing w:line="360" w:lineRule="auto"/>
              <w:jc w:val="both"/>
              <w:cnfStyle w:val="100000000000"/>
              <w:rPr>
                <w:sz w:val="18"/>
                <w:szCs w:val="18"/>
                <w:lang w:val="en-GB"/>
              </w:rPr>
            </w:pPr>
            <w:r w:rsidRPr="00847088">
              <w:rPr>
                <w:sz w:val="18"/>
                <w:szCs w:val="18"/>
                <w:lang w:val="en-GB"/>
              </w:rPr>
              <w:t>GC</w:t>
            </w:r>
          </w:p>
        </w:tc>
      </w:tr>
      <w:tr w:rsidR="00847088" w:rsidRPr="00847088" w:rsidTr="00847088">
        <w:trPr>
          <w:cnfStyle w:val="000000100000"/>
        </w:trPr>
        <w:tc>
          <w:tcPr>
            <w:cnfStyle w:val="001000000000"/>
            <w:tcW w:w="1601" w:type="dxa"/>
          </w:tcPr>
          <w:p w:rsidR="00847088" w:rsidRPr="00847088" w:rsidRDefault="00847088" w:rsidP="001C1FCC">
            <w:pPr>
              <w:spacing w:line="360" w:lineRule="auto"/>
              <w:jc w:val="both"/>
              <w:rPr>
                <w:sz w:val="18"/>
                <w:szCs w:val="18"/>
                <w:lang w:val="en-GB"/>
              </w:rPr>
            </w:pPr>
          </w:p>
        </w:tc>
        <w:tc>
          <w:tcPr>
            <w:tcW w:w="1106"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2000</w:t>
            </w:r>
          </w:p>
        </w:tc>
        <w:tc>
          <w:tcPr>
            <w:tcW w:w="1105"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2005</w:t>
            </w:r>
          </w:p>
        </w:tc>
        <w:tc>
          <w:tcPr>
            <w:tcW w:w="1106"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2010</w:t>
            </w:r>
          </w:p>
        </w:tc>
        <w:tc>
          <w:tcPr>
            <w:tcW w:w="980"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2012</w:t>
            </w:r>
          </w:p>
        </w:tc>
        <w:tc>
          <w:tcPr>
            <w:tcW w:w="1105"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2020</w:t>
            </w:r>
          </w:p>
        </w:tc>
        <w:tc>
          <w:tcPr>
            <w:tcW w:w="1105"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2020</w:t>
            </w:r>
          </w:p>
        </w:tc>
        <w:tc>
          <w:tcPr>
            <w:tcW w:w="1134" w:type="dxa"/>
          </w:tcPr>
          <w:p w:rsidR="00847088" w:rsidRPr="00847088" w:rsidRDefault="00847088" w:rsidP="001C1FCC">
            <w:pPr>
              <w:spacing w:line="360" w:lineRule="auto"/>
              <w:jc w:val="both"/>
              <w:cnfStyle w:val="000000100000"/>
              <w:rPr>
                <w:b/>
                <w:sz w:val="18"/>
                <w:szCs w:val="18"/>
                <w:lang w:val="en-GB"/>
              </w:rPr>
            </w:pPr>
            <w:r w:rsidRPr="00847088">
              <w:rPr>
                <w:b/>
                <w:sz w:val="18"/>
                <w:szCs w:val="18"/>
                <w:lang w:val="en-GB"/>
              </w:rPr>
              <w:t>2020</w:t>
            </w:r>
          </w:p>
        </w:tc>
      </w:tr>
      <w:tr w:rsidR="00847088" w:rsidRPr="00847088" w:rsidTr="00847088">
        <w:tc>
          <w:tcPr>
            <w:cnfStyle w:val="001000000000"/>
            <w:tcW w:w="1601" w:type="dxa"/>
          </w:tcPr>
          <w:p w:rsidR="00847088" w:rsidRPr="00847088" w:rsidRDefault="00847088" w:rsidP="001C1FCC">
            <w:pPr>
              <w:spacing w:line="360" w:lineRule="auto"/>
              <w:jc w:val="both"/>
              <w:rPr>
                <w:b w:val="0"/>
                <w:sz w:val="18"/>
                <w:szCs w:val="18"/>
                <w:lang w:val="en-GB"/>
              </w:rPr>
            </w:pPr>
            <w:r w:rsidRPr="00847088">
              <w:rPr>
                <w:b w:val="0"/>
                <w:sz w:val="18"/>
                <w:szCs w:val="18"/>
                <w:lang w:val="en-GB"/>
              </w:rPr>
              <w:t xml:space="preserve">Tonnage </w:t>
            </w:r>
          </w:p>
        </w:tc>
        <w:tc>
          <w:tcPr>
            <w:tcW w:w="1106"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8,754</w:t>
            </w:r>
          </w:p>
        </w:tc>
        <w:tc>
          <w:tcPr>
            <w:tcW w:w="1105"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8,511</w:t>
            </w:r>
          </w:p>
        </w:tc>
        <w:tc>
          <w:tcPr>
            <w:tcW w:w="1106"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6,875</w:t>
            </w:r>
          </w:p>
        </w:tc>
        <w:tc>
          <w:tcPr>
            <w:tcW w:w="980"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5,865</w:t>
            </w:r>
          </w:p>
        </w:tc>
        <w:tc>
          <w:tcPr>
            <w:tcW w:w="1105"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7,700</w:t>
            </w:r>
          </w:p>
        </w:tc>
        <w:tc>
          <w:tcPr>
            <w:tcW w:w="1105"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9,700</w:t>
            </w:r>
          </w:p>
        </w:tc>
        <w:tc>
          <w:tcPr>
            <w:tcW w:w="1134" w:type="dxa"/>
          </w:tcPr>
          <w:p w:rsidR="00847088" w:rsidRPr="00847088" w:rsidRDefault="00847088" w:rsidP="001C1FCC">
            <w:pPr>
              <w:spacing w:line="360" w:lineRule="auto"/>
              <w:jc w:val="both"/>
              <w:cnfStyle w:val="000000000000"/>
              <w:rPr>
                <w:sz w:val="18"/>
                <w:szCs w:val="18"/>
                <w:lang w:val="en-GB"/>
              </w:rPr>
            </w:pPr>
            <w:r w:rsidRPr="00847088">
              <w:rPr>
                <w:sz w:val="18"/>
                <w:szCs w:val="18"/>
                <w:lang w:val="en-GB"/>
              </w:rPr>
              <w:t>10,200</w:t>
            </w:r>
          </w:p>
        </w:tc>
      </w:tr>
    </w:tbl>
    <w:p w:rsidR="00847088" w:rsidRDefault="00847088" w:rsidP="00847088">
      <w:pPr>
        <w:spacing w:line="360" w:lineRule="auto"/>
        <w:jc w:val="right"/>
        <w:rPr>
          <w:sz w:val="18"/>
          <w:szCs w:val="18"/>
          <w:lang w:val="en-GB"/>
        </w:rPr>
      </w:pPr>
      <w:r w:rsidRPr="0035337B">
        <w:rPr>
          <w:sz w:val="18"/>
          <w:szCs w:val="18"/>
          <w:lang w:val="en-GB"/>
        </w:rPr>
        <w:t>In 1000 metric tonnes</w:t>
      </w:r>
    </w:p>
    <w:p w:rsidR="006A4AA8" w:rsidRPr="0035337B" w:rsidRDefault="006A4AA8" w:rsidP="00847088">
      <w:pPr>
        <w:spacing w:line="360" w:lineRule="auto"/>
        <w:jc w:val="right"/>
        <w:rPr>
          <w:sz w:val="18"/>
          <w:szCs w:val="18"/>
          <w:lang w:val="en-GB"/>
        </w:rPr>
      </w:pPr>
    </w:p>
    <w:p w:rsidR="00847088" w:rsidRDefault="00FD339E" w:rsidP="008B366F">
      <w:pPr>
        <w:pStyle w:val="Heading1"/>
        <w:jc w:val="left"/>
        <w:rPr>
          <w:lang w:val="en-GB"/>
        </w:rPr>
      </w:pPr>
      <w:bookmarkStart w:id="40" w:name="_Toc363737853"/>
      <w:r>
        <w:rPr>
          <w:lang w:val="en-GB"/>
        </w:rPr>
        <w:lastRenderedPageBreak/>
        <w:t>Chapter 5; Conclusions and recommendations</w:t>
      </w:r>
      <w:bookmarkEnd w:id="40"/>
    </w:p>
    <w:p w:rsidR="00FD339E" w:rsidRPr="0035337B" w:rsidRDefault="00FD339E" w:rsidP="00FD339E">
      <w:pPr>
        <w:spacing w:line="360" w:lineRule="auto"/>
        <w:jc w:val="both"/>
        <w:rPr>
          <w:lang w:val="en-GB"/>
        </w:rPr>
      </w:pPr>
      <w:r w:rsidRPr="0035337B">
        <w:rPr>
          <w:lang w:val="en-GB"/>
        </w:rPr>
        <w:t xml:space="preserve">To answer the question to which extent the </w:t>
      </w:r>
      <w:proofErr w:type="spellStart"/>
      <w:r w:rsidRPr="0035337B">
        <w:rPr>
          <w:lang w:val="en-GB"/>
        </w:rPr>
        <w:t>Maasvlakte</w:t>
      </w:r>
      <w:proofErr w:type="spellEnd"/>
      <w:r w:rsidRPr="0035337B">
        <w:rPr>
          <w:lang w:val="en-GB"/>
        </w:rPr>
        <w:t xml:space="preserve"> 2 Cost Benefit Analysis correctly predicted the terrain demand for the Port of Rotterdam and what caused any observed deviations a three phased approach was used. In the first phase the backing research was examined and it was found that while some studies were unavailable, most of the studies were conducted by credible companies or institutions, providing a solid backing for the Cost Benefit Analysis predictions. When, in the second phase, the resulting predictions were compared with the available historic data some discrepancies were observed. Due to the lack of published information, several important sectors could not be analysed. In the third phase the significant deviations observed in phase 2 were analysed leading to the, very limited, answer to the main research question.</w:t>
      </w:r>
    </w:p>
    <w:p w:rsidR="00FD339E" w:rsidRPr="0035337B" w:rsidRDefault="00FD339E" w:rsidP="00FD339E">
      <w:pPr>
        <w:spacing w:line="360" w:lineRule="auto"/>
        <w:jc w:val="both"/>
        <w:rPr>
          <w:lang w:val="en-GB"/>
        </w:rPr>
      </w:pPr>
      <w:r w:rsidRPr="0035337B">
        <w:rPr>
          <w:lang w:val="en-GB"/>
        </w:rPr>
        <w:t>Based on the available data and the fact that anno 2013 it seems the most reasonable option to assume a linear progression of the predicted variables the following conclusions can be drawn.</w:t>
      </w:r>
    </w:p>
    <w:p w:rsidR="00FD339E" w:rsidRPr="0035337B" w:rsidRDefault="00FD339E" w:rsidP="00FD339E">
      <w:pPr>
        <w:pStyle w:val="ListParagraph"/>
        <w:numPr>
          <w:ilvl w:val="0"/>
          <w:numId w:val="9"/>
        </w:numPr>
        <w:spacing w:line="360" w:lineRule="auto"/>
        <w:jc w:val="both"/>
        <w:rPr>
          <w:lang w:val="en-GB"/>
        </w:rPr>
      </w:pPr>
      <w:r w:rsidRPr="0035337B">
        <w:rPr>
          <w:lang w:val="en-GB"/>
        </w:rPr>
        <w:t>For the most part there is no reason to believe the predictions of the future terrain demand made in the 2001 Cost Benefit Analysis will deviate signi</w:t>
      </w:r>
      <w:r w:rsidR="00F6504F">
        <w:rPr>
          <w:lang w:val="en-GB"/>
        </w:rPr>
        <w:t>ficantly from the actual values</w:t>
      </w:r>
    </w:p>
    <w:p w:rsidR="00FD339E" w:rsidRPr="0035337B" w:rsidRDefault="00FD339E" w:rsidP="00FD339E">
      <w:pPr>
        <w:pStyle w:val="ListParagraph"/>
        <w:numPr>
          <w:ilvl w:val="0"/>
          <w:numId w:val="9"/>
        </w:numPr>
        <w:spacing w:line="360" w:lineRule="auto"/>
        <w:jc w:val="both"/>
        <w:rPr>
          <w:lang w:val="en-GB"/>
        </w:rPr>
      </w:pPr>
      <w:r w:rsidRPr="0035337B">
        <w:rPr>
          <w:lang w:val="en-GB"/>
        </w:rPr>
        <w:t>The container sector is the exception. The terrain demand in 2013 already exceeds the highest predicted figure for 2020 and is expected to increase during</w:t>
      </w:r>
      <w:r w:rsidR="00F6504F">
        <w:rPr>
          <w:lang w:val="en-GB"/>
        </w:rPr>
        <w:t xml:space="preserve"> the next phase of </w:t>
      </w:r>
      <w:proofErr w:type="spellStart"/>
      <w:r w:rsidR="00F6504F">
        <w:rPr>
          <w:lang w:val="en-GB"/>
        </w:rPr>
        <w:t>Maasvlakte</w:t>
      </w:r>
      <w:proofErr w:type="spellEnd"/>
      <w:r w:rsidR="00F6504F">
        <w:rPr>
          <w:lang w:val="en-GB"/>
        </w:rPr>
        <w:t xml:space="preserve"> 2</w:t>
      </w:r>
    </w:p>
    <w:p w:rsidR="00FD339E" w:rsidRPr="0035337B" w:rsidRDefault="00FD339E" w:rsidP="00FD339E">
      <w:pPr>
        <w:pStyle w:val="ListParagraph"/>
        <w:numPr>
          <w:ilvl w:val="0"/>
          <w:numId w:val="9"/>
        </w:numPr>
        <w:spacing w:line="360" w:lineRule="auto"/>
        <w:jc w:val="both"/>
        <w:rPr>
          <w:lang w:val="en-GB"/>
        </w:rPr>
      </w:pPr>
      <w:r w:rsidRPr="0035337B">
        <w:rPr>
          <w:lang w:val="en-GB"/>
        </w:rPr>
        <w:t>In the prediction of future container terminal terrain demand a qualitative approach was neglected, resulting in the failure to include entry barriers in the prediction model</w:t>
      </w:r>
    </w:p>
    <w:p w:rsidR="00FD339E" w:rsidRPr="0035337B" w:rsidRDefault="00FD339E" w:rsidP="00FD339E">
      <w:pPr>
        <w:pStyle w:val="ListParagraph"/>
        <w:numPr>
          <w:ilvl w:val="0"/>
          <w:numId w:val="9"/>
        </w:numPr>
        <w:spacing w:line="360" w:lineRule="auto"/>
        <w:jc w:val="both"/>
        <w:rPr>
          <w:lang w:val="en-GB"/>
        </w:rPr>
      </w:pPr>
      <w:r w:rsidRPr="0035337B">
        <w:rPr>
          <w:lang w:val="en-GB"/>
        </w:rPr>
        <w:t>Because entry barriers weren’t modelled the future demand for container terminal terrain was grossly underestimated</w:t>
      </w:r>
    </w:p>
    <w:p w:rsidR="00FD339E" w:rsidRPr="0035337B" w:rsidRDefault="00FD339E" w:rsidP="00FD339E">
      <w:pPr>
        <w:spacing w:line="360" w:lineRule="auto"/>
        <w:jc w:val="both"/>
        <w:rPr>
          <w:lang w:val="en-GB"/>
        </w:rPr>
      </w:pPr>
      <w:r w:rsidRPr="0035337B">
        <w:rPr>
          <w:lang w:val="en-GB"/>
        </w:rPr>
        <w:t>This result calls attention to the use of a mix of qualitative and quantitative methods to predict economic or industrial variables. Future research can be done to investigate</w:t>
      </w:r>
      <w:r w:rsidR="00F6504F">
        <w:rPr>
          <w:lang w:val="en-GB"/>
        </w:rPr>
        <w:t xml:space="preserve"> the</w:t>
      </w:r>
      <w:r w:rsidRPr="0035337B">
        <w:rPr>
          <w:lang w:val="en-GB"/>
        </w:rPr>
        <w:t xml:space="preserve"> value of this approach for new Cost Benefit Analyses of large infrastructure projects. It can also be reviewed whether there are Cost Benefit Analyses that already employed a mix of methods and whether the results were more accurate.</w:t>
      </w:r>
    </w:p>
    <w:p w:rsidR="00FD339E" w:rsidRPr="0035337B" w:rsidRDefault="00FD339E" w:rsidP="00FD339E">
      <w:pPr>
        <w:spacing w:line="360" w:lineRule="auto"/>
        <w:jc w:val="both"/>
        <w:rPr>
          <w:lang w:val="en-GB"/>
        </w:rPr>
      </w:pPr>
      <w:r w:rsidRPr="0035337B">
        <w:rPr>
          <w:lang w:val="en-GB"/>
        </w:rPr>
        <w:t>Another area in which more research is required is the evaluation of port infrastructure projects in general. The importance of ports to the economy, as mentioned in the introduction of this thesis, warrants a better developed body of knowledge concerning the evaluation of large infrastructure projects</w:t>
      </w:r>
      <w:r w:rsidR="00CF200E">
        <w:rPr>
          <w:lang w:val="en-GB"/>
        </w:rPr>
        <w:t xml:space="preserve"> in ports</w:t>
      </w:r>
      <w:r w:rsidRPr="0035337B">
        <w:rPr>
          <w:lang w:val="en-GB"/>
        </w:rPr>
        <w:t xml:space="preserve"> than is currently available.</w:t>
      </w:r>
    </w:p>
    <w:p w:rsidR="00FD339E" w:rsidRPr="00FD339E" w:rsidRDefault="00FD339E" w:rsidP="00FD339E">
      <w:pPr>
        <w:rPr>
          <w:lang w:val="en-GB"/>
        </w:rPr>
      </w:pPr>
    </w:p>
    <w:bookmarkStart w:id="41" w:name="_Toc363737854" w:displacedByCustomXml="next"/>
    <w:sdt>
      <w:sdtPr>
        <w:rPr>
          <w:caps w:val="0"/>
          <w:color w:val="auto"/>
          <w:spacing w:val="0"/>
          <w:sz w:val="22"/>
          <w:szCs w:val="22"/>
          <w:lang w:val="en-GB"/>
        </w:rPr>
        <w:id w:val="-66736912"/>
        <w:docPartObj>
          <w:docPartGallery w:val="Bibliographies"/>
          <w:docPartUnique/>
        </w:docPartObj>
      </w:sdtPr>
      <w:sdtContent>
        <w:p w:rsidR="00BA2DA9" w:rsidRPr="00981F21" w:rsidRDefault="00BA2DA9">
          <w:pPr>
            <w:pStyle w:val="Heading1"/>
            <w:rPr>
              <w:lang w:val="en-GB"/>
            </w:rPr>
          </w:pPr>
          <w:r w:rsidRPr="00981F21">
            <w:rPr>
              <w:lang w:val="en-GB"/>
            </w:rPr>
            <w:t>Bibliography</w:t>
          </w:r>
          <w:bookmarkEnd w:id="41"/>
        </w:p>
        <w:sdt>
          <w:sdtPr>
            <w:rPr>
              <w:lang w:val="en-GB"/>
            </w:rPr>
            <w:id w:val="111145805"/>
            <w:bibliography/>
          </w:sdtPr>
          <w:sdtContent>
            <w:p w:rsidR="006A4AA8" w:rsidRPr="0035337B" w:rsidRDefault="006A4AA8" w:rsidP="00A907BF">
              <w:pPr>
                <w:tabs>
                  <w:tab w:val="left" w:pos="720"/>
                </w:tabs>
                <w:spacing w:line="240" w:lineRule="auto"/>
                <w:ind w:left="720" w:right="116" w:hanging="720"/>
                <w:jc w:val="both"/>
                <w:rPr>
                  <w:lang w:val="en-GB"/>
                </w:rPr>
              </w:pPr>
              <w:r w:rsidRPr="0035337B">
                <w:rPr>
                  <w:lang w:val="en-GB"/>
                </w:rPr>
                <w:t>Adler, M. D., &amp; Posner, E.</w:t>
              </w:r>
              <w:r>
                <w:rPr>
                  <w:lang w:val="en-GB"/>
                </w:rPr>
                <w:t xml:space="preserve"> </w:t>
              </w:r>
              <w:proofErr w:type="gramStart"/>
              <w:r w:rsidRPr="0035337B">
                <w:rPr>
                  <w:lang w:val="en-GB"/>
                </w:rPr>
                <w:t>A..</w:t>
              </w:r>
              <w:proofErr w:type="gramEnd"/>
              <w:r w:rsidRPr="0035337B">
                <w:rPr>
                  <w:lang w:val="en-GB"/>
                </w:rPr>
                <w:t xml:space="preserve"> (2000). </w:t>
              </w:r>
              <w:r w:rsidRPr="00A907BF">
                <w:rPr>
                  <w:lang w:val="en-GB"/>
                </w:rPr>
                <w:t>Implementing Cost-Benefit Analysis when Preferences are Distorted</w:t>
              </w:r>
              <w:r w:rsidRPr="0035337B">
                <w:rPr>
                  <w:lang w:val="en-GB"/>
                </w:rPr>
                <w:t xml:space="preserve"> (Working Paper No. 88). </w:t>
              </w:r>
              <w:proofErr w:type="spellStart"/>
              <w:r w:rsidRPr="0035337B">
                <w:rPr>
                  <w:lang w:val="en-GB"/>
                </w:rPr>
                <w:t>Retreived</w:t>
              </w:r>
              <w:proofErr w:type="spellEnd"/>
              <w:r w:rsidRPr="0035337B">
                <w:rPr>
                  <w:lang w:val="en-GB"/>
                </w:rPr>
                <w:t xml:space="preserve"> from The Law School, The University</w:t>
              </w:r>
              <w:r>
                <w:rPr>
                  <w:lang w:val="en-GB"/>
                </w:rPr>
                <w:t xml:space="preserve"> </w:t>
              </w:r>
              <w:r w:rsidRPr="0035337B">
                <w:rPr>
                  <w:lang w:val="en-GB"/>
                </w:rPr>
                <w:t>of Chicago website: http://www.law.uchicago.edu/files/files/88.EAP_.PrefDistort.pdf</w:t>
              </w:r>
            </w:p>
            <w:p w:rsidR="006A4AA8" w:rsidRDefault="00FD0314" w:rsidP="006A4AA8">
              <w:pPr>
                <w:pStyle w:val="Bibliography"/>
                <w:ind w:left="720" w:hanging="720"/>
                <w:rPr>
                  <w:noProof/>
                  <w:lang w:val="en-GB"/>
                </w:rPr>
              </w:pPr>
              <w:r w:rsidRPr="00FD0314">
                <w:rPr>
                  <w:lang w:val="en-GB"/>
                </w:rPr>
                <w:fldChar w:fldCharType="begin"/>
              </w:r>
              <w:r w:rsidR="00BA2DA9" w:rsidRPr="0002608F">
                <w:rPr>
                  <w:lang w:val="nl-NL"/>
                </w:rPr>
                <w:instrText xml:space="preserve"> BIBLIOGRAPHY </w:instrText>
              </w:r>
              <w:r w:rsidRPr="00FD0314">
                <w:rPr>
                  <w:lang w:val="en-GB"/>
                </w:rPr>
                <w:fldChar w:fldCharType="separate"/>
              </w:r>
              <w:r w:rsidR="006A4AA8" w:rsidRPr="0002608F">
                <w:rPr>
                  <w:noProof/>
                  <w:lang w:val="nl-NL"/>
                </w:rPr>
                <w:t xml:space="preserve">ADL. (1999). </w:t>
              </w:r>
              <w:r w:rsidR="006A4AA8" w:rsidRPr="006A4AA8">
                <w:rPr>
                  <w:i/>
                  <w:iCs/>
                  <w:noProof/>
                  <w:lang w:val="nl-NL"/>
                </w:rPr>
                <w:t>Toekomstige ruimtebehoefte van de chemische industrie in Nederland.</w:t>
              </w:r>
              <w:r w:rsidR="006A4AA8" w:rsidRPr="006A4AA8">
                <w:rPr>
                  <w:noProof/>
                  <w:lang w:val="nl-NL"/>
                </w:rPr>
                <w:t xml:space="preserve"> </w:t>
              </w:r>
              <w:r w:rsidR="006A4AA8">
                <w:rPr>
                  <w:noProof/>
                  <w:lang w:val="en-GB"/>
                </w:rPr>
                <w:t>Rotterdam: Arthur D. Little International.</w:t>
              </w:r>
            </w:p>
            <w:p w:rsidR="006A4AA8" w:rsidRDefault="006A4AA8" w:rsidP="006A4AA8">
              <w:pPr>
                <w:pStyle w:val="Bibliography"/>
                <w:ind w:left="720" w:hanging="720"/>
                <w:rPr>
                  <w:noProof/>
                  <w:lang w:val="en-GB"/>
                </w:rPr>
              </w:pPr>
              <w:r>
                <w:rPr>
                  <w:noProof/>
                  <w:lang w:val="en-GB"/>
                </w:rPr>
                <w:t xml:space="preserve">Baptista, R. (2000). Do innovations Diffuse Faster within Geographical Clusters? </w:t>
              </w:r>
              <w:r>
                <w:rPr>
                  <w:i/>
                  <w:iCs/>
                  <w:noProof/>
                  <w:lang w:val="en-GB"/>
                </w:rPr>
                <w:t>International Journal of industrial organization, 18</w:t>
              </w:r>
              <w:r>
                <w:rPr>
                  <w:noProof/>
                  <w:lang w:val="en-GB"/>
                </w:rPr>
                <w:t>(3), 515-535.</w:t>
              </w:r>
            </w:p>
            <w:p w:rsidR="006A4AA8" w:rsidRDefault="006A4AA8" w:rsidP="006A4AA8">
              <w:pPr>
                <w:pStyle w:val="Bibliography"/>
                <w:ind w:left="720" w:hanging="720"/>
                <w:rPr>
                  <w:noProof/>
                  <w:lang w:val="en-GB"/>
                </w:rPr>
              </w:pPr>
              <w:r>
                <w:rPr>
                  <w:noProof/>
                  <w:lang w:val="en-GB"/>
                </w:rPr>
                <w:t xml:space="preserve">Barnard, B. (1997, April 30). Contract tug of war at Rotterdam; Port's future container ranking could be at some long term risk. </w:t>
              </w:r>
              <w:r>
                <w:rPr>
                  <w:i/>
                  <w:iCs/>
                  <w:noProof/>
                  <w:lang w:val="en-GB"/>
                </w:rPr>
                <w:t>Journal of Commerce</w:t>
              </w:r>
              <w:r>
                <w:rPr>
                  <w:noProof/>
                  <w:lang w:val="en-GB"/>
                </w:rPr>
                <w:t>, pp. 1D-12D.</w:t>
              </w:r>
            </w:p>
            <w:p w:rsidR="006A4AA8" w:rsidRDefault="006A4AA8" w:rsidP="006A4AA8">
              <w:pPr>
                <w:pStyle w:val="Bibliography"/>
                <w:ind w:left="720" w:hanging="720"/>
                <w:rPr>
                  <w:noProof/>
                  <w:lang w:val="en-GB"/>
                </w:rPr>
              </w:pPr>
              <w:r>
                <w:rPr>
                  <w:noProof/>
                  <w:lang w:val="en-GB"/>
                </w:rPr>
                <w:t xml:space="preserve">BCI. (1999). </w:t>
              </w:r>
              <w:r>
                <w:rPr>
                  <w:i/>
                  <w:iCs/>
                  <w:noProof/>
                  <w:lang w:val="en-GB"/>
                </w:rPr>
                <w:t>Sector studie distributie.</w:t>
              </w:r>
              <w:r>
                <w:rPr>
                  <w:noProof/>
                  <w:lang w:val="en-GB"/>
                </w:rPr>
                <w:t xml:space="preserve"> Nijmegen: Buck Consultants International.</w:t>
              </w:r>
            </w:p>
            <w:p w:rsidR="006A4AA8" w:rsidRDefault="006A4AA8" w:rsidP="006A4AA8">
              <w:pPr>
                <w:pStyle w:val="Bibliography"/>
                <w:ind w:left="720" w:hanging="720"/>
                <w:rPr>
                  <w:noProof/>
                  <w:lang w:val="en-GB"/>
                </w:rPr>
              </w:pPr>
              <w:r>
                <w:rPr>
                  <w:noProof/>
                  <w:lang w:val="en-GB"/>
                </w:rPr>
                <w:t xml:space="preserve">Boardman, A. E., Weimer, D. L., Vining, A. R., &amp; Greenberg, D. (2006). </w:t>
              </w:r>
              <w:r>
                <w:rPr>
                  <w:i/>
                  <w:iCs/>
                  <w:noProof/>
                  <w:lang w:val="en-GB"/>
                </w:rPr>
                <w:t>Cost-Benefit Analysis: Concepts and practice.</w:t>
              </w:r>
              <w:r>
                <w:rPr>
                  <w:noProof/>
                  <w:lang w:val="en-GB"/>
                </w:rPr>
                <w:t xml:space="preserve"> Pearson.</w:t>
              </w:r>
            </w:p>
            <w:p w:rsidR="006A4AA8" w:rsidRPr="006A4AA8" w:rsidRDefault="006A4AA8" w:rsidP="006A4AA8">
              <w:pPr>
                <w:pStyle w:val="Bibliography"/>
                <w:ind w:left="720" w:hanging="720"/>
                <w:rPr>
                  <w:noProof/>
                  <w:lang w:val="nl-NL"/>
                </w:rPr>
              </w:pPr>
              <w:r w:rsidRPr="0002608F">
                <w:rPr>
                  <w:noProof/>
                  <w:lang w:val="en-GB"/>
                </w:rPr>
                <w:t xml:space="preserve">Cellini, S. R., &amp; Kee, J. E. (2010). </w:t>
              </w:r>
              <w:r>
                <w:rPr>
                  <w:noProof/>
                  <w:lang w:val="en-GB"/>
                </w:rPr>
                <w:t xml:space="preserve">COST - EFFECTIVENESS AND. In J. S. Wholey, H. P. Hatry, &amp; K. E. Newcomer, </w:t>
              </w:r>
              <w:r>
                <w:rPr>
                  <w:i/>
                  <w:iCs/>
                  <w:noProof/>
                  <w:lang w:val="en-GB"/>
                </w:rPr>
                <w:t>Handbook of Practical Program Evaluation</w:t>
              </w:r>
              <w:r>
                <w:rPr>
                  <w:noProof/>
                  <w:lang w:val="en-GB"/>
                </w:rPr>
                <w:t xml:space="preserve"> (pp. 493-530). </w:t>
              </w:r>
              <w:r w:rsidRPr="006A4AA8">
                <w:rPr>
                  <w:noProof/>
                  <w:lang w:val="nl-NL"/>
                </w:rPr>
                <w:t>San Fransisco: John Wiley &amp; Sons.</w:t>
              </w:r>
            </w:p>
            <w:p w:rsidR="006A4AA8" w:rsidRDefault="006A4AA8" w:rsidP="006A4AA8">
              <w:pPr>
                <w:pStyle w:val="Bibliography"/>
                <w:ind w:left="720" w:hanging="720"/>
                <w:rPr>
                  <w:noProof/>
                  <w:lang w:val="en-GB"/>
                </w:rPr>
              </w:pPr>
              <w:r w:rsidRPr="006A4AA8">
                <w:rPr>
                  <w:noProof/>
                  <w:lang w:val="nl-NL"/>
                </w:rPr>
                <w:t xml:space="preserve">Centraal Planbureau. (1996). </w:t>
              </w:r>
              <w:r w:rsidRPr="006A4AA8">
                <w:rPr>
                  <w:i/>
                  <w:iCs/>
                  <w:noProof/>
                  <w:lang w:val="nl-NL"/>
                </w:rPr>
                <w:t>Omgevingsscenario's Lange Termijn Verkenning 1995-2020.</w:t>
              </w:r>
              <w:r w:rsidRPr="006A4AA8">
                <w:rPr>
                  <w:noProof/>
                  <w:lang w:val="nl-NL"/>
                </w:rPr>
                <w:t xml:space="preserve"> </w:t>
              </w:r>
              <w:r>
                <w:rPr>
                  <w:noProof/>
                  <w:lang w:val="en-GB"/>
                </w:rPr>
                <w:t>Den Haag: Centraal Planbureau.</w:t>
              </w:r>
            </w:p>
            <w:p w:rsidR="006A4AA8" w:rsidRDefault="006A4AA8" w:rsidP="006A4AA8">
              <w:pPr>
                <w:pStyle w:val="Bibliography"/>
                <w:ind w:left="720" w:hanging="720"/>
                <w:rPr>
                  <w:noProof/>
                  <w:lang w:val="en-GB"/>
                </w:rPr>
              </w:pPr>
              <w:r>
                <w:rPr>
                  <w:noProof/>
                  <w:lang w:val="en-GB"/>
                </w:rPr>
                <w:t xml:space="preserve">Chan, F. (1998, October 2). Maersk, ECT to build terminal. </w:t>
              </w:r>
              <w:r>
                <w:rPr>
                  <w:i/>
                  <w:iCs/>
                  <w:noProof/>
                  <w:lang w:val="en-GB"/>
                </w:rPr>
                <w:t>Business Times (Singapore)</w:t>
              </w:r>
              <w:r>
                <w:rPr>
                  <w:noProof/>
                  <w:lang w:val="en-GB"/>
                </w:rPr>
                <w:t>, p. 1.</w:t>
              </w:r>
            </w:p>
            <w:p w:rsidR="006A4AA8" w:rsidRPr="006A4AA8" w:rsidRDefault="006A4AA8" w:rsidP="006A4AA8">
              <w:pPr>
                <w:pStyle w:val="Bibliography"/>
                <w:ind w:left="720" w:hanging="720"/>
                <w:rPr>
                  <w:noProof/>
                  <w:lang w:val="nl-NL"/>
                </w:rPr>
              </w:pPr>
              <w:r>
                <w:rPr>
                  <w:noProof/>
                  <w:lang w:val="en-GB"/>
                </w:rPr>
                <w:t xml:space="preserve">CPB. (1997). </w:t>
              </w:r>
              <w:r w:rsidRPr="006A4AA8">
                <w:rPr>
                  <w:i/>
                  <w:iCs/>
                  <w:noProof/>
                  <w:lang w:val="nl-NL"/>
                </w:rPr>
                <w:t>Werkdocument no. 92: Economische en ruimtelijke versterking van mainport Rotterdam.</w:t>
              </w:r>
              <w:r w:rsidRPr="006A4AA8">
                <w:rPr>
                  <w:noProof/>
                  <w:lang w:val="nl-NL"/>
                </w:rPr>
                <w:t xml:space="preserve"> Den Haag: Centraal Planbureau.</w:t>
              </w:r>
            </w:p>
            <w:p w:rsidR="006A4AA8" w:rsidRPr="006A4AA8" w:rsidRDefault="006A4AA8" w:rsidP="006A4AA8">
              <w:pPr>
                <w:pStyle w:val="Bibliography"/>
                <w:ind w:left="720" w:hanging="720"/>
                <w:rPr>
                  <w:noProof/>
                  <w:lang w:val="nl-NL"/>
                </w:rPr>
              </w:pPr>
              <w:r w:rsidRPr="006A4AA8">
                <w:rPr>
                  <w:noProof/>
                  <w:lang w:val="nl-NL"/>
                </w:rPr>
                <w:t xml:space="preserve">CPB, NEI &amp; RIVM. (2001). </w:t>
              </w:r>
              <w:r w:rsidRPr="006A4AA8">
                <w:rPr>
                  <w:i/>
                  <w:iCs/>
                  <w:noProof/>
                  <w:lang w:val="nl-NL"/>
                </w:rPr>
                <w:t>Welvaartseffecten van Maasvlakte 2: Kosten-batenanalyse van uitbreiding van de Rotterdamse haven door landaanwinning.</w:t>
              </w:r>
              <w:r w:rsidRPr="006A4AA8">
                <w:rPr>
                  <w:noProof/>
                  <w:lang w:val="nl-NL"/>
                </w:rPr>
                <w:t xml:space="preserve"> Den Haag: Centraal Planbureau.</w:t>
              </w:r>
            </w:p>
            <w:p w:rsidR="006A4AA8" w:rsidRDefault="006A4AA8" w:rsidP="006A4AA8">
              <w:pPr>
                <w:pStyle w:val="Bibliography"/>
                <w:ind w:left="720" w:hanging="720"/>
                <w:rPr>
                  <w:noProof/>
                  <w:lang w:val="en-GB"/>
                </w:rPr>
              </w:pPr>
              <w:r w:rsidRPr="006A4AA8">
                <w:rPr>
                  <w:noProof/>
                  <w:lang w:val="nl-NL"/>
                </w:rPr>
                <w:t xml:space="preserve">De Langen, P. W., &amp; Pallis, A. A. (2006). </w:t>
              </w:r>
              <w:r>
                <w:rPr>
                  <w:noProof/>
                  <w:lang w:val="en-GB"/>
                </w:rPr>
                <w:t xml:space="preserve">Analysis of the benefits intra-port competition. </w:t>
              </w:r>
              <w:r>
                <w:rPr>
                  <w:i/>
                  <w:iCs/>
                  <w:noProof/>
                  <w:lang w:val="en-GB"/>
                </w:rPr>
                <w:t>International Journal of Transport Economics, 33</w:t>
              </w:r>
              <w:r>
                <w:rPr>
                  <w:noProof/>
                  <w:lang w:val="en-GB"/>
                </w:rPr>
                <w:t>(1), 69.</w:t>
              </w:r>
            </w:p>
            <w:p w:rsidR="006A4AA8" w:rsidRDefault="006A4AA8" w:rsidP="006A4AA8">
              <w:pPr>
                <w:pStyle w:val="Bibliography"/>
                <w:ind w:left="720" w:hanging="720"/>
                <w:rPr>
                  <w:noProof/>
                  <w:lang w:val="en-GB"/>
                </w:rPr>
              </w:pPr>
              <w:r>
                <w:rPr>
                  <w:noProof/>
                  <w:lang w:val="en-GB"/>
                </w:rPr>
                <w:t xml:space="preserve">De Langen, P. W., &amp; Pallis, A. A. (2007). Entry barriers in seaports. </w:t>
              </w:r>
              <w:r>
                <w:rPr>
                  <w:i/>
                  <w:iCs/>
                  <w:noProof/>
                  <w:lang w:val="en-GB"/>
                </w:rPr>
                <w:t>Maritime Policy &amp; Management, 34</w:t>
              </w:r>
              <w:r>
                <w:rPr>
                  <w:noProof/>
                  <w:lang w:val="en-GB"/>
                </w:rPr>
                <w:t>(5), 427-440.</w:t>
              </w:r>
            </w:p>
            <w:p w:rsidR="006A4AA8" w:rsidRDefault="006A4AA8" w:rsidP="006A4AA8">
              <w:pPr>
                <w:pStyle w:val="Bibliography"/>
                <w:ind w:left="720" w:hanging="720"/>
                <w:rPr>
                  <w:noProof/>
                  <w:lang w:val="en-GB"/>
                </w:rPr>
              </w:pPr>
              <w:r>
                <w:rPr>
                  <w:noProof/>
                  <w:lang w:val="en-GB"/>
                </w:rPr>
                <w:t xml:space="preserve">De Rus, G., &amp; Inglada, V. (1997). Cost-benefit analysis of the high-speed train in Spain. </w:t>
              </w:r>
              <w:r>
                <w:rPr>
                  <w:i/>
                  <w:iCs/>
                  <w:noProof/>
                  <w:lang w:val="en-GB"/>
                </w:rPr>
                <w:t>The Annals of Regional Science</w:t>
              </w:r>
              <w:r>
                <w:rPr>
                  <w:noProof/>
                  <w:lang w:val="en-GB"/>
                </w:rPr>
                <w:t>.</w:t>
              </w:r>
            </w:p>
            <w:p w:rsidR="006A4AA8" w:rsidRPr="006A4AA8" w:rsidRDefault="006A4AA8" w:rsidP="006A4AA8">
              <w:pPr>
                <w:pStyle w:val="Bibliography"/>
                <w:ind w:left="720" w:hanging="720"/>
                <w:rPr>
                  <w:noProof/>
                  <w:lang w:val="nl-NL"/>
                </w:rPr>
              </w:pPr>
              <w:r>
                <w:rPr>
                  <w:noProof/>
                  <w:lang w:val="en-GB"/>
                </w:rPr>
                <w:t xml:space="preserve">De Rus, G., &amp; Nombela, G. (2007). Is Investment in High Speed Rail. </w:t>
              </w:r>
              <w:r w:rsidRPr="006A4AA8">
                <w:rPr>
                  <w:i/>
                  <w:iCs/>
                  <w:noProof/>
                  <w:lang w:val="nl-NL"/>
                </w:rPr>
                <w:t>Journal of Transport Economics and Policy, 41</w:t>
              </w:r>
              <w:r w:rsidRPr="006A4AA8">
                <w:rPr>
                  <w:noProof/>
                  <w:lang w:val="nl-NL"/>
                </w:rPr>
                <w:t>, 3-23.</w:t>
              </w:r>
            </w:p>
            <w:p w:rsidR="006A4AA8" w:rsidRPr="006A4AA8" w:rsidRDefault="006A4AA8" w:rsidP="006A4AA8">
              <w:pPr>
                <w:pStyle w:val="Bibliography"/>
                <w:ind w:left="720" w:hanging="720"/>
                <w:rPr>
                  <w:noProof/>
                  <w:lang w:val="nl-NL"/>
                </w:rPr>
              </w:pPr>
              <w:r w:rsidRPr="006A4AA8">
                <w:rPr>
                  <w:noProof/>
                  <w:lang w:val="nl-NL"/>
                </w:rPr>
                <w:t xml:space="preserve">Eijgenraam, C. J., Koopmans, C. C., Tang, P. J., &amp; Venster, A. (2006). </w:t>
              </w:r>
              <w:r w:rsidRPr="006A4AA8">
                <w:rPr>
                  <w:i/>
                  <w:iCs/>
                  <w:noProof/>
                  <w:lang w:val="nl-NL"/>
                </w:rPr>
                <w:t>Evaluatie van grote infrastructuur projecten: Leidraad voor kosten-baten analyse.</w:t>
              </w:r>
              <w:r w:rsidRPr="006A4AA8">
                <w:rPr>
                  <w:noProof/>
                  <w:lang w:val="nl-NL"/>
                </w:rPr>
                <w:t xml:space="preserve"> Den Haag: Ministry of Finance.</w:t>
              </w:r>
            </w:p>
            <w:p w:rsidR="006A4AA8" w:rsidRDefault="006A4AA8" w:rsidP="006A4AA8">
              <w:pPr>
                <w:pStyle w:val="Bibliography"/>
                <w:ind w:left="720" w:hanging="720"/>
                <w:rPr>
                  <w:noProof/>
                  <w:lang w:val="en-GB"/>
                </w:rPr>
              </w:pPr>
              <w:r w:rsidRPr="006A4AA8">
                <w:rPr>
                  <w:noProof/>
                  <w:lang w:val="nl-NL"/>
                </w:rPr>
                <w:t xml:space="preserve">ETIN. (1999). </w:t>
              </w:r>
              <w:r w:rsidRPr="006A4AA8">
                <w:rPr>
                  <w:i/>
                  <w:iCs/>
                  <w:noProof/>
                  <w:lang w:val="nl-NL"/>
                </w:rPr>
                <w:t>Toekomstig ruimtegebruik raffinage en tankopslag.</w:t>
              </w:r>
              <w:r w:rsidRPr="006A4AA8">
                <w:rPr>
                  <w:noProof/>
                  <w:lang w:val="nl-NL"/>
                </w:rPr>
                <w:t xml:space="preserve"> </w:t>
              </w:r>
              <w:r>
                <w:rPr>
                  <w:noProof/>
                  <w:lang w:val="en-GB"/>
                </w:rPr>
                <w:t>Tilburg: ETIN adviseurs.</w:t>
              </w:r>
            </w:p>
            <w:p w:rsidR="006A4AA8" w:rsidRPr="006A4AA8" w:rsidRDefault="006A4AA8" w:rsidP="006A4AA8">
              <w:pPr>
                <w:pStyle w:val="Bibliography"/>
                <w:ind w:left="720" w:hanging="720"/>
                <w:rPr>
                  <w:noProof/>
                  <w:lang w:val="nl-NL"/>
                </w:rPr>
              </w:pPr>
              <w:r>
                <w:rPr>
                  <w:noProof/>
                  <w:lang w:val="en-GB"/>
                </w:rPr>
                <w:t xml:space="preserve">Forslund, U. M., &amp; Johansson, B. (1995). Assessing road investments: accessibility changes, cost benefit and production effects. </w:t>
              </w:r>
              <w:r w:rsidRPr="006A4AA8">
                <w:rPr>
                  <w:i/>
                  <w:iCs/>
                  <w:noProof/>
                  <w:lang w:val="nl-NL"/>
                </w:rPr>
                <w:t>Annals of Regional Science, 29</w:t>
              </w:r>
              <w:r w:rsidRPr="006A4AA8">
                <w:rPr>
                  <w:noProof/>
                  <w:lang w:val="nl-NL"/>
                </w:rPr>
                <w:t>(2), 155-175.</w:t>
              </w:r>
            </w:p>
            <w:p w:rsidR="006A4AA8" w:rsidRPr="006A4AA8" w:rsidRDefault="006A4AA8" w:rsidP="006A4AA8">
              <w:pPr>
                <w:pStyle w:val="Bibliography"/>
                <w:ind w:left="720" w:hanging="720"/>
                <w:rPr>
                  <w:noProof/>
                  <w:lang w:val="nl-NL"/>
                </w:rPr>
              </w:pPr>
              <w:r w:rsidRPr="006A4AA8">
                <w:rPr>
                  <w:noProof/>
                  <w:lang w:val="nl-NL"/>
                </w:rPr>
                <w:t xml:space="preserve">GHR. (1998a). </w:t>
              </w:r>
              <w:r w:rsidRPr="006A4AA8">
                <w:rPr>
                  <w:i/>
                  <w:iCs/>
                  <w:noProof/>
                  <w:lang w:val="nl-NL"/>
                </w:rPr>
                <w:t>Integrale verkenningen voor haven en industrie.</w:t>
              </w:r>
              <w:r w:rsidRPr="006A4AA8">
                <w:rPr>
                  <w:noProof/>
                  <w:lang w:val="nl-NL"/>
                </w:rPr>
                <w:t xml:space="preserve"> Rotterdam: Gemeentelijk Havenbedrijf Rotterdam.</w:t>
              </w:r>
            </w:p>
            <w:p w:rsidR="006A4AA8" w:rsidRPr="006A4AA8" w:rsidRDefault="006A4AA8" w:rsidP="006A4AA8">
              <w:pPr>
                <w:pStyle w:val="Bibliography"/>
                <w:ind w:left="720" w:hanging="720"/>
                <w:rPr>
                  <w:noProof/>
                  <w:lang w:val="nl-NL"/>
                </w:rPr>
              </w:pPr>
              <w:r w:rsidRPr="006A4AA8">
                <w:rPr>
                  <w:noProof/>
                  <w:lang w:val="nl-NL"/>
                </w:rPr>
                <w:t xml:space="preserve">GHR. (1998b). </w:t>
              </w:r>
              <w:r w:rsidRPr="006A4AA8">
                <w:rPr>
                  <w:i/>
                  <w:iCs/>
                  <w:noProof/>
                  <w:lang w:val="nl-NL"/>
                </w:rPr>
                <w:t>Integrale verkenningen voor haven en industrie: Goederenstromenmodel nummer 7 Brondocument.</w:t>
              </w:r>
              <w:r w:rsidRPr="006A4AA8">
                <w:rPr>
                  <w:noProof/>
                  <w:lang w:val="nl-NL"/>
                </w:rPr>
                <w:t xml:space="preserve"> Rotterdam: Gemeentelijk Havenbedrijf Rotterdam.</w:t>
              </w:r>
            </w:p>
            <w:p w:rsidR="006A4AA8" w:rsidRPr="006A4AA8" w:rsidRDefault="006A4AA8" w:rsidP="006A4AA8">
              <w:pPr>
                <w:pStyle w:val="Bibliography"/>
                <w:ind w:left="720" w:hanging="720"/>
                <w:rPr>
                  <w:noProof/>
                  <w:lang w:val="nl-NL"/>
                </w:rPr>
              </w:pPr>
              <w:r w:rsidRPr="006A4AA8">
                <w:rPr>
                  <w:noProof/>
                  <w:lang w:val="nl-NL"/>
                </w:rPr>
                <w:t xml:space="preserve">GHR. (1998c). </w:t>
              </w:r>
              <w:r w:rsidRPr="006A4AA8">
                <w:rPr>
                  <w:i/>
                  <w:iCs/>
                  <w:noProof/>
                  <w:lang w:val="nl-NL"/>
                </w:rPr>
                <w:t>Verkenningen 2020.</w:t>
              </w:r>
              <w:r w:rsidRPr="006A4AA8">
                <w:rPr>
                  <w:noProof/>
                  <w:lang w:val="nl-NL"/>
                </w:rPr>
                <w:t xml:space="preserve"> Rotterdam: Gemeentelijk Havenbedrijf Rotterdam.</w:t>
              </w:r>
            </w:p>
            <w:p w:rsidR="006A4AA8" w:rsidRDefault="006A4AA8" w:rsidP="006A4AA8">
              <w:pPr>
                <w:pStyle w:val="Bibliography"/>
                <w:ind w:left="720" w:hanging="720"/>
                <w:rPr>
                  <w:noProof/>
                  <w:lang w:val="en-GB"/>
                </w:rPr>
              </w:pPr>
              <w:r w:rsidRPr="006A4AA8">
                <w:rPr>
                  <w:noProof/>
                  <w:lang w:val="nl-NL"/>
                </w:rPr>
                <w:t xml:space="preserve">Harris. (1996). </w:t>
              </w:r>
              <w:r w:rsidRPr="006A4AA8">
                <w:rPr>
                  <w:i/>
                  <w:iCs/>
                  <w:noProof/>
                  <w:lang w:val="nl-NL"/>
                </w:rPr>
                <w:t>Op- en overslag en distributie van droog en vloeibaar massagoed en roll-on/roll-off.</w:t>
              </w:r>
              <w:r w:rsidRPr="006A4AA8">
                <w:rPr>
                  <w:noProof/>
                  <w:lang w:val="nl-NL"/>
                </w:rPr>
                <w:t xml:space="preserve"> </w:t>
              </w:r>
              <w:r>
                <w:rPr>
                  <w:noProof/>
                  <w:lang w:val="en-GB"/>
                </w:rPr>
                <w:t>Den Haag: Frederick R. Harris.</w:t>
              </w:r>
            </w:p>
            <w:p w:rsidR="006A4AA8" w:rsidRDefault="006A4AA8" w:rsidP="006A4AA8">
              <w:pPr>
                <w:pStyle w:val="Bibliography"/>
                <w:ind w:left="720" w:hanging="720"/>
                <w:rPr>
                  <w:noProof/>
                  <w:lang w:val="en-GB"/>
                </w:rPr>
              </w:pPr>
              <w:r>
                <w:rPr>
                  <w:noProof/>
                  <w:lang w:val="en-GB"/>
                </w:rPr>
                <w:t xml:space="preserve">HbR. (2011a, Juli 29). </w:t>
              </w:r>
              <w:r>
                <w:rPr>
                  <w:i/>
                  <w:iCs/>
                  <w:noProof/>
                  <w:lang w:val="en-GB"/>
                </w:rPr>
                <w:t>Nieuwsberichten en Press releases.</w:t>
              </w:r>
              <w:r>
                <w:rPr>
                  <w:noProof/>
                  <w:lang w:val="en-GB"/>
                </w:rPr>
                <w:t xml:space="preserve"> Retrieved August 1, 2013, from Port of Rotterdam: http://www.portofrotterdam.com/nl/actueel/pers-en-nieuwsberichten/Pages/eecv-breidt%20kolenterminal-uit.aspx</w:t>
              </w:r>
            </w:p>
            <w:p w:rsidR="006A4AA8" w:rsidRDefault="006A4AA8" w:rsidP="006A4AA8">
              <w:pPr>
                <w:pStyle w:val="Bibliography"/>
                <w:ind w:left="720" w:hanging="720"/>
                <w:rPr>
                  <w:noProof/>
                  <w:lang w:val="en-GB"/>
                </w:rPr>
              </w:pPr>
              <w:r>
                <w:rPr>
                  <w:noProof/>
                  <w:lang w:val="en-GB"/>
                </w:rPr>
                <w:t xml:space="preserve">HbR. (2011b, December 31). </w:t>
              </w:r>
              <w:r>
                <w:rPr>
                  <w:i/>
                  <w:iCs/>
                  <w:noProof/>
                  <w:lang w:val="en-GB"/>
                </w:rPr>
                <w:t>Annual report Archive.</w:t>
              </w:r>
              <w:r>
                <w:rPr>
                  <w:noProof/>
                  <w:lang w:val="en-GB"/>
                </w:rPr>
                <w:t xml:space="preserve"> Retrieved August 01, 2013, from Port of Rotterdam: http://www.portofrotterdam.com/en/Port-authority/finance/annual-report/Documents/annual_report.pdf</w:t>
              </w:r>
            </w:p>
            <w:p w:rsidR="006A4AA8" w:rsidRDefault="006A4AA8" w:rsidP="006A4AA8">
              <w:pPr>
                <w:pStyle w:val="Bibliography"/>
                <w:ind w:left="720" w:hanging="720"/>
                <w:rPr>
                  <w:noProof/>
                  <w:lang w:val="en-GB"/>
                </w:rPr>
              </w:pPr>
              <w:r>
                <w:rPr>
                  <w:noProof/>
                  <w:lang w:val="en-GB"/>
                </w:rPr>
                <w:t xml:space="preserve">HbR. (2012, December 28). </w:t>
              </w:r>
              <w:r>
                <w:rPr>
                  <w:i/>
                  <w:iCs/>
                  <w:noProof/>
                  <w:lang w:val="en-GB"/>
                </w:rPr>
                <w:t>News and Press Releases.</w:t>
              </w:r>
              <w:r>
                <w:rPr>
                  <w:noProof/>
                  <w:lang w:val="en-GB"/>
                </w:rPr>
                <w:t xml:space="preserve"> Retrieved August 1, 2013, from Port of Rotterdam: http://www.portofrotterdam.com/en/News/pressreleases-news/Pages/modest-growth-produces-throughput-record.aspx</w:t>
              </w:r>
            </w:p>
            <w:p w:rsidR="006A4AA8" w:rsidRDefault="006A4AA8" w:rsidP="006A4AA8">
              <w:pPr>
                <w:pStyle w:val="Bibliography"/>
                <w:ind w:left="720" w:hanging="720"/>
                <w:rPr>
                  <w:noProof/>
                  <w:lang w:val="en-GB"/>
                </w:rPr>
              </w:pPr>
              <w:r>
                <w:rPr>
                  <w:noProof/>
                  <w:lang w:val="en-GB"/>
                </w:rPr>
                <w:t xml:space="preserve">HbR. (2013a, January 1). </w:t>
              </w:r>
              <w:r>
                <w:rPr>
                  <w:i/>
                  <w:iCs/>
                  <w:noProof/>
                  <w:lang w:val="en-GB"/>
                </w:rPr>
                <w:t>Port Statistics, Containers</w:t>
              </w:r>
              <w:r>
                <w:rPr>
                  <w:noProof/>
                  <w:lang w:val="en-GB"/>
                </w:rPr>
                <w:t>. Retrieved July 25, 2013, from Port of Rotterdam: http://www.portofrotterdam.com/nl/Over-de-haven/havenstatistieken/Documents/Containers%20en%20TEU's%20tijdreeks.pdf</w:t>
              </w:r>
            </w:p>
            <w:p w:rsidR="006A4AA8" w:rsidRDefault="006A4AA8" w:rsidP="006A4AA8">
              <w:pPr>
                <w:pStyle w:val="Bibliography"/>
                <w:ind w:left="720" w:hanging="720"/>
                <w:rPr>
                  <w:noProof/>
                  <w:lang w:val="en-GB"/>
                </w:rPr>
              </w:pPr>
              <w:r>
                <w:rPr>
                  <w:noProof/>
                  <w:lang w:val="en-GB"/>
                </w:rPr>
                <w:t xml:space="preserve">HbR. (2013b, Januari 1). </w:t>
              </w:r>
              <w:r>
                <w:rPr>
                  <w:i/>
                  <w:iCs/>
                  <w:noProof/>
                  <w:lang w:val="en-GB"/>
                </w:rPr>
                <w:t>Port Statistics, Throughput</w:t>
              </w:r>
              <w:r>
                <w:rPr>
                  <w:noProof/>
                  <w:lang w:val="en-GB"/>
                </w:rPr>
                <w:t>. Retrieved July 25, 2013, from Port of Rotterdam: http://www.portofrotterdam.com/nl/Over-de-haven/havenstatistieken/Documents/Totale%20goederenoverslag%20tijdreeks.pdf</w:t>
              </w:r>
            </w:p>
            <w:p w:rsidR="006A4AA8" w:rsidRDefault="006A4AA8" w:rsidP="006A4AA8">
              <w:pPr>
                <w:pStyle w:val="Bibliography"/>
                <w:ind w:left="720" w:hanging="720"/>
                <w:rPr>
                  <w:noProof/>
                  <w:lang w:val="en-GB"/>
                </w:rPr>
              </w:pPr>
              <w:r w:rsidRPr="006A4AA8">
                <w:rPr>
                  <w:noProof/>
                  <w:lang w:val="nl-NL"/>
                </w:rPr>
                <w:t xml:space="preserve">HIT. (2000). </w:t>
              </w:r>
              <w:r w:rsidRPr="006A4AA8">
                <w:rPr>
                  <w:i/>
                  <w:iCs/>
                  <w:noProof/>
                  <w:lang w:val="nl-NL"/>
                </w:rPr>
                <w:t>Nieuwe industrie, Industrie van de toekomst in Mainport Rotterdam.</w:t>
              </w:r>
              <w:r w:rsidRPr="006A4AA8">
                <w:rPr>
                  <w:noProof/>
                  <w:lang w:val="nl-NL"/>
                </w:rPr>
                <w:t xml:space="preserve"> </w:t>
              </w:r>
              <w:r>
                <w:rPr>
                  <w:noProof/>
                  <w:lang w:val="en-GB"/>
                </w:rPr>
                <w:t>Rotterdam: Holland Innovation Team.</w:t>
              </w:r>
            </w:p>
            <w:p w:rsidR="006A4AA8" w:rsidRDefault="006A4AA8" w:rsidP="006A4AA8">
              <w:pPr>
                <w:pStyle w:val="Bibliography"/>
                <w:ind w:left="720" w:hanging="720"/>
                <w:rPr>
                  <w:noProof/>
                  <w:lang w:val="en-GB"/>
                </w:rPr>
              </w:pPr>
              <w:r>
                <w:rPr>
                  <w:noProof/>
                  <w:lang w:val="en-GB"/>
                </w:rPr>
                <w:t xml:space="preserve">Kuipers, B., &amp; Jonkhoff, W. (2011). Ex Post Evaluation of Rotterdam Port Investment. In W. J. Manshanden, &amp; W. Jonkhoff, </w:t>
              </w:r>
              <w:r>
                <w:rPr>
                  <w:i/>
                  <w:iCs/>
                  <w:noProof/>
                  <w:lang w:val="en-GB"/>
                </w:rPr>
                <w:t>Infrastructure Productivity Evaluation</w:t>
              </w:r>
              <w:r>
                <w:rPr>
                  <w:noProof/>
                  <w:lang w:val="en-GB"/>
                </w:rPr>
                <w:t xml:space="preserve"> (p. 58). Delft: Dutch Organization for Applied Scientific Research.</w:t>
              </w:r>
            </w:p>
            <w:p w:rsidR="006A4AA8" w:rsidRDefault="006A4AA8" w:rsidP="006A4AA8">
              <w:pPr>
                <w:pStyle w:val="Bibliography"/>
                <w:ind w:left="720" w:hanging="720"/>
                <w:rPr>
                  <w:noProof/>
                  <w:lang w:val="en-GB"/>
                </w:rPr>
              </w:pPr>
              <w:r w:rsidRPr="006A4AA8">
                <w:rPr>
                  <w:noProof/>
                  <w:lang w:val="nl-NL"/>
                </w:rPr>
                <w:t xml:space="preserve">NEI &amp; DHV. (1999). </w:t>
              </w:r>
              <w:r w:rsidRPr="006A4AA8">
                <w:rPr>
                  <w:i/>
                  <w:iCs/>
                  <w:noProof/>
                  <w:lang w:val="nl-NL"/>
                </w:rPr>
                <w:t>Sectorstudie Industrie (exclusief chemie en aardolieraffinage).</w:t>
              </w:r>
              <w:r w:rsidRPr="006A4AA8">
                <w:rPr>
                  <w:noProof/>
                  <w:lang w:val="nl-NL"/>
                </w:rPr>
                <w:t xml:space="preserve"> </w:t>
              </w:r>
              <w:r>
                <w:rPr>
                  <w:noProof/>
                  <w:lang w:val="en-GB"/>
                </w:rPr>
                <w:t>Rotterdam/Amersfoort: Netherlands Economics Institute.</w:t>
              </w:r>
            </w:p>
            <w:p w:rsidR="006A4AA8" w:rsidRDefault="006A4AA8" w:rsidP="006A4AA8">
              <w:pPr>
                <w:pStyle w:val="Bibliography"/>
                <w:ind w:left="720" w:hanging="720"/>
                <w:rPr>
                  <w:noProof/>
                  <w:lang w:val="en-GB"/>
                </w:rPr>
              </w:pPr>
              <w:r>
                <w:rPr>
                  <w:noProof/>
                  <w:lang w:val="en-GB"/>
                </w:rPr>
                <w:t xml:space="preserve">OSC. (1999). </w:t>
              </w:r>
              <w:r>
                <w:rPr>
                  <w:i/>
                  <w:iCs/>
                  <w:noProof/>
                  <w:lang w:val="en-GB"/>
                </w:rPr>
                <w:t>North European Ports to 2012.</w:t>
              </w:r>
              <w:r>
                <w:rPr>
                  <w:noProof/>
                  <w:lang w:val="en-GB"/>
                </w:rPr>
                <w:t xml:space="preserve"> Chertsey: Ocean Shipping Consultants Ltd.</w:t>
              </w:r>
            </w:p>
            <w:p w:rsidR="006A4AA8" w:rsidRDefault="006A4AA8" w:rsidP="006A4AA8">
              <w:pPr>
                <w:pStyle w:val="Bibliography"/>
                <w:ind w:left="720" w:hanging="720"/>
                <w:rPr>
                  <w:noProof/>
                  <w:lang w:val="en-GB"/>
                </w:rPr>
              </w:pPr>
              <w:r>
                <w:rPr>
                  <w:noProof/>
                  <w:lang w:val="en-GB"/>
                </w:rPr>
                <w:t xml:space="preserve">Peng, W.-Y., &amp; Chu, C.-W. (2009). A comparison of univariate methods for forecasting container throughput volumes. </w:t>
              </w:r>
              <w:r>
                <w:rPr>
                  <w:i/>
                  <w:iCs/>
                  <w:noProof/>
                  <w:lang w:val="en-GB"/>
                </w:rPr>
                <w:t>Elsevier, 50</w:t>
              </w:r>
              <w:r>
                <w:rPr>
                  <w:noProof/>
                  <w:lang w:val="en-GB"/>
                </w:rPr>
                <w:t>(7-8), 1045-1057.</w:t>
              </w:r>
            </w:p>
            <w:p w:rsidR="006A4AA8" w:rsidRPr="006A4AA8" w:rsidRDefault="006A4AA8" w:rsidP="006A4AA8">
              <w:pPr>
                <w:pStyle w:val="Bibliography"/>
                <w:ind w:left="720" w:hanging="720"/>
                <w:rPr>
                  <w:noProof/>
                  <w:lang w:val="nl-NL"/>
                </w:rPr>
              </w:pPr>
              <w:r>
                <w:rPr>
                  <w:noProof/>
                  <w:lang w:val="en-GB"/>
                </w:rPr>
                <w:t xml:space="preserve">Persky, J. (2001). Restrospectives: Cost-Benefit Analysis and the Classical Creed. </w:t>
              </w:r>
              <w:r w:rsidRPr="006A4AA8">
                <w:rPr>
                  <w:i/>
                  <w:iCs/>
                  <w:noProof/>
                  <w:lang w:val="nl-NL"/>
                </w:rPr>
                <w:t>The Journal of Economic Perspectives, 15</w:t>
              </w:r>
              <w:r w:rsidRPr="006A4AA8">
                <w:rPr>
                  <w:noProof/>
                  <w:lang w:val="nl-NL"/>
                </w:rPr>
                <w:t>(4), 199-208.</w:t>
              </w:r>
            </w:p>
            <w:p w:rsidR="006A4AA8" w:rsidRDefault="006A4AA8" w:rsidP="006A4AA8">
              <w:pPr>
                <w:pStyle w:val="Bibliography"/>
                <w:ind w:left="720" w:hanging="720"/>
                <w:rPr>
                  <w:noProof/>
                  <w:lang w:val="en-GB"/>
                </w:rPr>
              </w:pPr>
              <w:r w:rsidRPr="006A4AA8">
                <w:rPr>
                  <w:noProof/>
                  <w:lang w:val="nl-NL"/>
                </w:rPr>
                <w:t xml:space="preserve">PMR. (2000). </w:t>
              </w:r>
              <w:r w:rsidRPr="006A4AA8">
                <w:rPr>
                  <w:i/>
                  <w:iCs/>
                  <w:noProof/>
                  <w:lang w:val="nl-NL"/>
                </w:rPr>
                <w:t>PMR Deelnota Economie; Probleemanalyse ruimte voor haven en industrieel complex.</w:t>
              </w:r>
              <w:r w:rsidRPr="006A4AA8">
                <w:rPr>
                  <w:noProof/>
                  <w:lang w:val="nl-NL"/>
                </w:rPr>
                <w:t xml:space="preserve"> </w:t>
              </w:r>
              <w:r>
                <w:rPr>
                  <w:noProof/>
                  <w:lang w:val="en-GB"/>
                </w:rPr>
                <w:t>Rotterdam: Project Mainportontwikkeling Rotterdam.</w:t>
              </w:r>
            </w:p>
            <w:p w:rsidR="006A4AA8" w:rsidRDefault="006A4AA8" w:rsidP="006A4AA8">
              <w:pPr>
                <w:pStyle w:val="Bibliography"/>
                <w:ind w:left="720" w:hanging="720"/>
                <w:rPr>
                  <w:noProof/>
                  <w:lang w:val="en-GB"/>
                </w:rPr>
              </w:pPr>
              <w:r>
                <w:rPr>
                  <w:noProof/>
                  <w:lang w:val="en-GB"/>
                </w:rPr>
                <w:t xml:space="preserve">Rowe, G., &amp; Wright, G. (1999). The Delphi technique as a forecasting tool: Issues and analysis. </w:t>
              </w:r>
              <w:r>
                <w:rPr>
                  <w:i/>
                  <w:iCs/>
                  <w:noProof/>
                  <w:lang w:val="en-GB"/>
                </w:rPr>
                <w:t>Elsevier, 15</w:t>
              </w:r>
              <w:r>
                <w:rPr>
                  <w:noProof/>
                  <w:lang w:val="en-GB"/>
                </w:rPr>
                <w:t>(4), 353-375.</w:t>
              </w:r>
            </w:p>
            <w:p w:rsidR="006A4AA8" w:rsidRDefault="006A4AA8" w:rsidP="006A4AA8">
              <w:pPr>
                <w:pStyle w:val="Bibliography"/>
                <w:ind w:left="720" w:hanging="720"/>
                <w:rPr>
                  <w:noProof/>
                  <w:lang w:val="en-GB"/>
                </w:rPr>
              </w:pPr>
              <w:r>
                <w:rPr>
                  <w:noProof/>
                  <w:lang w:val="en-GB"/>
                </w:rPr>
                <w:t xml:space="preserve">Seabrooke, W., Hui, E. C., Lam, W. H., &amp; Wong, G. K. (2003). Forecasting cargo growth and regional role of the port of Hong Kong. </w:t>
              </w:r>
              <w:r>
                <w:rPr>
                  <w:i/>
                  <w:iCs/>
                  <w:noProof/>
                  <w:lang w:val="en-GB"/>
                </w:rPr>
                <w:t>Elsevier, 20</w:t>
              </w:r>
              <w:r>
                <w:rPr>
                  <w:noProof/>
                  <w:lang w:val="en-GB"/>
                </w:rPr>
                <w:t>(1), 51-64.</w:t>
              </w:r>
            </w:p>
            <w:p w:rsidR="006A4AA8" w:rsidRDefault="006A4AA8" w:rsidP="006A4AA8">
              <w:pPr>
                <w:pStyle w:val="Bibliography"/>
                <w:ind w:left="720" w:hanging="720"/>
                <w:rPr>
                  <w:noProof/>
                  <w:lang w:val="en-GB"/>
                </w:rPr>
              </w:pPr>
              <w:r>
                <w:rPr>
                  <w:noProof/>
                  <w:lang w:val="en-GB"/>
                </w:rPr>
                <w:t xml:space="preserve">Stewart, T. R. (1987). The Delphi technique and judgmental forecasting. </w:t>
              </w:r>
              <w:r>
                <w:rPr>
                  <w:i/>
                  <w:iCs/>
                  <w:noProof/>
                  <w:lang w:val="en-GB"/>
                </w:rPr>
                <w:t>Climatic Change, 11</w:t>
              </w:r>
              <w:r>
                <w:rPr>
                  <w:noProof/>
                  <w:lang w:val="en-GB"/>
                </w:rPr>
                <w:t>(1-2), 97-113.</w:t>
              </w:r>
            </w:p>
            <w:p w:rsidR="006A4AA8" w:rsidRDefault="006A4AA8" w:rsidP="006A4AA8">
              <w:pPr>
                <w:pStyle w:val="Bibliography"/>
                <w:ind w:left="720" w:hanging="720"/>
                <w:rPr>
                  <w:noProof/>
                  <w:lang w:val="en-GB"/>
                </w:rPr>
              </w:pPr>
              <w:r>
                <w:rPr>
                  <w:noProof/>
                  <w:lang w:val="en-GB"/>
                </w:rPr>
                <w:t xml:space="preserve">Tauw. (1998). </w:t>
              </w:r>
              <w:r>
                <w:rPr>
                  <w:i/>
                  <w:iCs/>
                  <w:noProof/>
                  <w:lang w:val="en-GB"/>
                </w:rPr>
                <w:t>Quick-scan grondstoffenvoorbehandeling.</w:t>
              </w:r>
              <w:r>
                <w:rPr>
                  <w:noProof/>
                  <w:lang w:val="en-GB"/>
                </w:rPr>
                <w:t xml:space="preserve"> Tauw.</w:t>
              </w:r>
            </w:p>
            <w:p w:rsidR="006A4AA8" w:rsidRDefault="006A4AA8" w:rsidP="006A4AA8">
              <w:pPr>
                <w:pStyle w:val="Bibliography"/>
                <w:ind w:left="720" w:hanging="720"/>
                <w:rPr>
                  <w:noProof/>
                  <w:lang w:val="en-GB"/>
                </w:rPr>
              </w:pPr>
              <w:r>
                <w:rPr>
                  <w:noProof/>
                  <w:lang w:val="en-GB"/>
                </w:rPr>
                <w:t xml:space="preserve">Willis, K., Garrod, G., &amp; Harvey, D. (1998). A review of cost–benefit analysis as applied to the evaluation of new road proposals in the U.K. </w:t>
              </w:r>
              <w:r>
                <w:rPr>
                  <w:i/>
                  <w:iCs/>
                  <w:noProof/>
                  <w:lang w:val="en-GB"/>
                </w:rPr>
                <w:t>Transportation Research Part D: Transport and Environment, 3</w:t>
              </w:r>
              <w:r>
                <w:rPr>
                  <w:noProof/>
                  <w:lang w:val="en-GB"/>
                </w:rPr>
                <w:t>(3), 141-156.</w:t>
              </w:r>
            </w:p>
            <w:p w:rsidR="00BA2DA9" w:rsidRPr="00981F21" w:rsidRDefault="00FD0314" w:rsidP="006A4AA8">
              <w:pPr>
                <w:rPr>
                  <w:lang w:val="en-GB"/>
                </w:rPr>
              </w:pPr>
              <w:r w:rsidRPr="00981F21">
                <w:rPr>
                  <w:b/>
                  <w:bCs/>
                  <w:noProof/>
                  <w:lang w:val="en-GB"/>
                </w:rPr>
                <w:fldChar w:fldCharType="end"/>
              </w:r>
            </w:p>
          </w:sdtContent>
        </w:sdt>
      </w:sdtContent>
    </w:sdt>
    <w:p w:rsidR="00BA2DA9" w:rsidRDefault="00BA2DA9"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BA2DA9">
      <w:pPr>
        <w:rPr>
          <w:lang w:val="en-GB"/>
        </w:rPr>
      </w:pPr>
    </w:p>
    <w:p w:rsidR="0002608F" w:rsidRDefault="0002608F" w:rsidP="0002608F">
      <w:pPr>
        <w:pStyle w:val="Heading1"/>
        <w:rPr>
          <w:lang w:val="en-GB"/>
        </w:rPr>
      </w:pPr>
      <w:bookmarkStart w:id="42" w:name="_Toc363737855"/>
      <w:r>
        <w:rPr>
          <w:lang w:val="en-GB"/>
        </w:rPr>
        <w:t>A; Port of Rotterdam current terrain demand</w:t>
      </w:r>
      <w:bookmarkEnd w:id="42"/>
    </w:p>
    <w:tbl>
      <w:tblPr>
        <w:tblW w:w="9390" w:type="dxa"/>
        <w:tblInd w:w="93" w:type="dxa"/>
        <w:tblLook w:val="04A0"/>
      </w:tblPr>
      <w:tblGrid>
        <w:gridCol w:w="2829"/>
        <w:gridCol w:w="938"/>
        <w:gridCol w:w="938"/>
        <w:gridCol w:w="937"/>
        <w:gridCol w:w="937"/>
        <w:gridCol w:w="937"/>
        <w:gridCol w:w="937"/>
        <w:gridCol w:w="937"/>
      </w:tblGrid>
      <w:tr w:rsidR="0002608F" w:rsidRPr="00381BC6" w:rsidTr="008C64A6">
        <w:trPr>
          <w:trHeight w:val="255"/>
        </w:trPr>
        <w:tc>
          <w:tcPr>
            <w:tcW w:w="2829" w:type="dxa"/>
            <w:tcBorders>
              <w:top w:val="nil"/>
              <w:left w:val="nil"/>
              <w:bottom w:val="nil"/>
              <w:right w:val="nil"/>
            </w:tcBorders>
            <w:shd w:val="clear" w:color="auto" w:fill="auto"/>
            <w:noWrap/>
            <w:vAlign w:val="bottom"/>
            <w:hideMark/>
          </w:tcPr>
          <w:p w:rsidR="0002608F" w:rsidRPr="00381BC6" w:rsidRDefault="0002608F" w:rsidP="0002608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Source: Rotterdam Port Authority</w:t>
            </w: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nil"/>
              <w:bottom w:val="nil"/>
              <w:right w:val="nil"/>
            </w:tcBorders>
            <w:shd w:val="clear" w:color="auto" w:fill="auto"/>
            <w:noWrap/>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F6504F" w:rsidTr="008C64A6">
        <w:trPr>
          <w:trHeight w:val="270"/>
        </w:trPr>
        <w:tc>
          <w:tcPr>
            <w:tcW w:w="8453" w:type="dxa"/>
            <w:gridSpan w:val="7"/>
            <w:tcBorders>
              <w:top w:val="single" w:sz="8" w:space="0" w:color="auto"/>
              <w:left w:val="single" w:sz="8" w:space="0" w:color="auto"/>
              <w:bottom w:val="single" w:sz="8" w:space="0" w:color="auto"/>
              <w:right w:val="single" w:sz="8" w:space="0" w:color="000000"/>
            </w:tcBorders>
            <w:shd w:val="clear" w:color="000000" w:fill="FFCC00"/>
            <w:noWrap/>
            <w:vAlign w:val="center"/>
            <w:hideMark/>
          </w:tcPr>
          <w:p w:rsidR="0002608F" w:rsidRPr="00381BC6" w:rsidRDefault="0002608F" w:rsidP="008C64A6">
            <w:pPr>
              <w:spacing w:after="0" w:line="240" w:lineRule="auto"/>
              <w:rPr>
                <w:rFonts w:ascii="Arial" w:eastAsia="Times New Roman" w:hAnsi="Arial" w:cs="Arial"/>
                <w:b/>
                <w:bCs/>
                <w:color w:val="000000"/>
                <w:sz w:val="20"/>
                <w:szCs w:val="20"/>
                <w:lang w:val="nl-NL"/>
              </w:rPr>
            </w:pPr>
            <w:r w:rsidRPr="00381BC6">
              <w:rPr>
                <w:rFonts w:ascii="Arial" w:eastAsia="Times New Roman" w:hAnsi="Arial" w:cs="Arial"/>
                <w:b/>
                <w:bCs/>
                <w:color w:val="000000"/>
                <w:sz w:val="20"/>
                <w:szCs w:val="20"/>
                <w:lang w:val="nl-NL"/>
              </w:rPr>
              <w:t>Tabel 1 Bezetting Verhuurbaar Ruimtebalans Gebied per 31 december in Ha.</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lang w:val="nl-NL"/>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000000" w:fill="99CCFF"/>
            <w:noWrap/>
            <w:vAlign w:val="center"/>
            <w:hideMark/>
          </w:tcPr>
          <w:p w:rsidR="0002608F" w:rsidRPr="00381BC6" w:rsidRDefault="0002608F" w:rsidP="008C64A6">
            <w:pPr>
              <w:spacing w:after="0" w:line="240" w:lineRule="auto"/>
              <w:rPr>
                <w:rFonts w:ascii="Arial" w:eastAsia="Times New Roman" w:hAnsi="Arial" w:cs="Arial"/>
                <w:b/>
                <w:bCs/>
                <w:color w:val="000000"/>
                <w:sz w:val="20"/>
                <w:szCs w:val="20"/>
              </w:rPr>
            </w:pPr>
            <w:proofErr w:type="spellStart"/>
            <w:r w:rsidRPr="00381BC6">
              <w:rPr>
                <w:rFonts w:ascii="Arial" w:eastAsia="Times New Roman" w:hAnsi="Arial" w:cs="Arial"/>
                <w:b/>
                <w:bCs/>
                <w:color w:val="000000"/>
                <w:sz w:val="20"/>
                <w:szCs w:val="20"/>
              </w:rPr>
              <w:t>Bezetting</w:t>
            </w:r>
            <w:proofErr w:type="spellEnd"/>
          </w:p>
        </w:tc>
        <w:tc>
          <w:tcPr>
            <w:tcW w:w="938" w:type="dxa"/>
            <w:tcBorders>
              <w:top w:val="nil"/>
              <w:left w:val="nil"/>
              <w:bottom w:val="single" w:sz="8" w:space="0" w:color="auto"/>
              <w:right w:val="single" w:sz="8" w:space="0" w:color="auto"/>
            </w:tcBorders>
            <w:shd w:val="clear" w:color="000000" w:fill="99CCFF"/>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2007</w:t>
            </w:r>
          </w:p>
        </w:tc>
        <w:tc>
          <w:tcPr>
            <w:tcW w:w="938" w:type="dxa"/>
            <w:tcBorders>
              <w:top w:val="nil"/>
              <w:left w:val="nil"/>
              <w:bottom w:val="single" w:sz="8" w:space="0" w:color="auto"/>
              <w:right w:val="single" w:sz="8" w:space="0" w:color="auto"/>
            </w:tcBorders>
            <w:shd w:val="clear" w:color="000000" w:fill="99CCFF"/>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2008</w:t>
            </w:r>
          </w:p>
        </w:tc>
        <w:tc>
          <w:tcPr>
            <w:tcW w:w="937" w:type="dxa"/>
            <w:tcBorders>
              <w:top w:val="nil"/>
              <w:left w:val="nil"/>
              <w:bottom w:val="single" w:sz="8" w:space="0" w:color="auto"/>
              <w:right w:val="single" w:sz="8" w:space="0" w:color="auto"/>
            </w:tcBorders>
            <w:shd w:val="clear" w:color="000000" w:fill="99CCFF"/>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2009</w:t>
            </w:r>
          </w:p>
        </w:tc>
        <w:tc>
          <w:tcPr>
            <w:tcW w:w="937" w:type="dxa"/>
            <w:tcBorders>
              <w:top w:val="nil"/>
              <w:left w:val="nil"/>
              <w:bottom w:val="single" w:sz="8" w:space="0" w:color="auto"/>
              <w:right w:val="single" w:sz="8" w:space="0" w:color="auto"/>
            </w:tcBorders>
            <w:shd w:val="clear" w:color="000000" w:fill="99CCFF"/>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2010</w:t>
            </w:r>
          </w:p>
        </w:tc>
        <w:tc>
          <w:tcPr>
            <w:tcW w:w="937" w:type="dxa"/>
            <w:tcBorders>
              <w:top w:val="nil"/>
              <w:left w:val="nil"/>
              <w:bottom w:val="single" w:sz="8" w:space="0" w:color="auto"/>
              <w:right w:val="single" w:sz="8" w:space="0" w:color="auto"/>
            </w:tcBorders>
            <w:shd w:val="clear" w:color="000000" w:fill="99CCFF"/>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2011</w:t>
            </w:r>
          </w:p>
        </w:tc>
        <w:tc>
          <w:tcPr>
            <w:tcW w:w="937" w:type="dxa"/>
            <w:tcBorders>
              <w:top w:val="nil"/>
              <w:left w:val="nil"/>
              <w:bottom w:val="single" w:sz="8" w:space="0" w:color="auto"/>
              <w:right w:val="single" w:sz="8" w:space="0" w:color="auto"/>
            </w:tcBorders>
            <w:shd w:val="clear" w:color="000000" w:fill="99CCFF"/>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2012</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rPr>
                <w:rFonts w:ascii="Arial" w:eastAsia="Times New Roman" w:hAnsi="Arial" w:cs="Arial"/>
                <w:color w:val="000000"/>
                <w:sz w:val="18"/>
                <w:szCs w:val="18"/>
              </w:rPr>
            </w:pPr>
            <w:proofErr w:type="spellStart"/>
            <w:r w:rsidRPr="00381BC6">
              <w:rPr>
                <w:rFonts w:ascii="Arial" w:eastAsia="Times New Roman" w:hAnsi="Arial" w:cs="Arial"/>
                <w:color w:val="000000"/>
                <w:sz w:val="18"/>
                <w:szCs w:val="18"/>
              </w:rPr>
              <w:t>Verhuurd</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4,614</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4,754</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4,813</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4,785</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4,962</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5.012*</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rPr>
                <w:rFonts w:ascii="Arial" w:eastAsia="Times New Roman" w:hAnsi="Arial" w:cs="Arial"/>
                <w:color w:val="000000"/>
                <w:sz w:val="18"/>
                <w:szCs w:val="18"/>
              </w:rPr>
            </w:pPr>
            <w:proofErr w:type="spellStart"/>
            <w:r w:rsidRPr="00381BC6">
              <w:rPr>
                <w:rFonts w:ascii="Arial" w:eastAsia="Times New Roman" w:hAnsi="Arial" w:cs="Arial"/>
                <w:color w:val="000000"/>
                <w:sz w:val="18"/>
                <w:szCs w:val="18"/>
              </w:rPr>
              <w:t>Optie</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248</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191</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83</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102</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261</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250</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rPr>
                <w:rFonts w:ascii="Arial" w:eastAsia="Times New Roman" w:hAnsi="Arial" w:cs="Arial"/>
                <w:color w:val="000000"/>
                <w:sz w:val="18"/>
                <w:szCs w:val="18"/>
              </w:rPr>
            </w:pPr>
            <w:proofErr w:type="spellStart"/>
            <w:r w:rsidRPr="00381BC6">
              <w:rPr>
                <w:rFonts w:ascii="Arial" w:eastAsia="Times New Roman" w:hAnsi="Arial" w:cs="Arial"/>
                <w:color w:val="000000"/>
                <w:sz w:val="18"/>
                <w:szCs w:val="18"/>
              </w:rPr>
              <w:t>Reservering</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28</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60</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67</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255</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239</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rPr>
                <w:rFonts w:ascii="Arial" w:eastAsia="Times New Roman" w:hAnsi="Arial" w:cs="Arial"/>
                <w:color w:val="000000"/>
                <w:sz w:val="18"/>
                <w:szCs w:val="18"/>
              </w:rPr>
            </w:pPr>
            <w:r w:rsidRPr="00381BC6">
              <w:rPr>
                <w:rFonts w:ascii="Arial" w:eastAsia="Times New Roman" w:hAnsi="Arial" w:cs="Arial"/>
                <w:color w:val="000000"/>
                <w:sz w:val="18"/>
                <w:szCs w:val="18"/>
              </w:rPr>
              <w:t xml:space="preserve">Interne </w:t>
            </w:r>
            <w:proofErr w:type="spellStart"/>
            <w:r w:rsidRPr="00381BC6">
              <w:rPr>
                <w:rFonts w:ascii="Arial" w:eastAsia="Times New Roman" w:hAnsi="Arial" w:cs="Arial"/>
                <w:color w:val="000000"/>
                <w:sz w:val="18"/>
                <w:szCs w:val="18"/>
              </w:rPr>
              <w:t>Reservering</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92</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112</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58</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108</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144</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128</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rPr>
                <w:rFonts w:ascii="Arial" w:eastAsia="Times New Roman" w:hAnsi="Arial" w:cs="Arial"/>
                <w:color w:val="000000"/>
                <w:sz w:val="18"/>
                <w:szCs w:val="18"/>
              </w:rPr>
            </w:pPr>
            <w:proofErr w:type="spellStart"/>
            <w:r w:rsidRPr="00381BC6">
              <w:rPr>
                <w:rFonts w:ascii="Arial" w:eastAsia="Times New Roman" w:hAnsi="Arial" w:cs="Arial"/>
                <w:color w:val="000000"/>
                <w:sz w:val="18"/>
                <w:szCs w:val="18"/>
              </w:rPr>
              <w:t>Vrij</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213</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179</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184</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149</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270</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20"/>
                <w:szCs w:val="20"/>
              </w:rPr>
            </w:pPr>
            <w:r w:rsidRPr="00381BC6">
              <w:rPr>
                <w:rFonts w:ascii="Arial" w:eastAsia="Times New Roman" w:hAnsi="Arial" w:cs="Arial"/>
                <w:color w:val="000000"/>
                <w:sz w:val="20"/>
                <w:szCs w:val="20"/>
              </w:rPr>
              <w:t>293</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rPr>
                <w:rFonts w:ascii="Arial" w:eastAsia="Times New Roman" w:hAnsi="Arial" w:cs="Arial"/>
                <w:b/>
                <w:bCs/>
                <w:color w:val="000000"/>
                <w:sz w:val="18"/>
                <w:szCs w:val="18"/>
              </w:rPr>
            </w:pPr>
            <w:proofErr w:type="spellStart"/>
            <w:r w:rsidRPr="00381BC6">
              <w:rPr>
                <w:rFonts w:ascii="Arial" w:eastAsia="Times New Roman" w:hAnsi="Arial" w:cs="Arial"/>
                <w:b/>
                <w:bCs/>
                <w:color w:val="000000"/>
                <w:sz w:val="18"/>
                <w:szCs w:val="18"/>
              </w:rPr>
              <w:t>Totaal</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5,169</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5,264</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5,198</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5,211</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5,892</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5,922</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55"/>
        </w:trPr>
        <w:tc>
          <w:tcPr>
            <w:tcW w:w="2829"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F6504F" w:rsidTr="008C64A6">
        <w:trPr>
          <w:trHeight w:val="270"/>
        </w:trPr>
        <w:tc>
          <w:tcPr>
            <w:tcW w:w="8453" w:type="dxa"/>
            <w:gridSpan w:val="7"/>
            <w:tcBorders>
              <w:top w:val="single" w:sz="8" w:space="0" w:color="auto"/>
              <w:left w:val="single" w:sz="8" w:space="0" w:color="auto"/>
              <w:bottom w:val="single" w:sz="8" w:space="0" w:color="auto"/>
              <w:right w:val="single" w:sz="8" w:space="0" w:color="000000"/>
            </w:tcBorders>
            <w:shd w:val="clear" w:color="000000" w:fill="FFCC00"/>
            <w:noWrap/>
            <w:vAlign w:val="center"/>
            <w:hideMark/>
          </w:tcPr>
          <w:p w:rsidR="0002608F" w:rsidRPr="00381BC6" w:rsidRDefault="0002608F" w:rsidP="008C64A6">
            <w:pPr>
              <w:spacing w:after="0" w:line="240" w:lineRule="auto"/>
              <w:rPr>
                <w:rFonts w:ascii="Arial" w:eastAsia="Times New Roman" w:hAnsi="Arial" w:cs="Arial"/>
                <w:b/>
                <w:bCs/>
                <w:color w:val="000000"/>
                <w:sz w:val="20"/>
                <w:szCs w:val="20"/>
                <w:lang w:val="nl-NL"/>
              </w:rPr>
            </w:pPr>
            <w:r w:rsidRPr="00381BC6">
              <w:rPr>
                <w:rFonts w:ascii="Arial" w:eastAsia="Times New Roman" w:hAnsi="Arial" w:cs="Arial"/>
                <w:b/>
                <w:bCs/>
                <w:color w:val="000000"/>
                <w:sz w:val="20"/>
                <w:szCs w:val="20"/>
                <w:lang w:val="nl-NL"/>
              </w:rPr>
              <w:t>Tabel 6 Verhuurde terreinen VRG per segment per 31 december in Ha.</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lang w:val="nl-NL"/>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000000" w:fill="99CCFF"/>
            <w:noWrap/>
            <w:vAlign w:val="center"/>
            <w:hideMark/>
          </w:tcPr>
          <w:p w:rsidR="0002608F" w:rsidRPr="00381BC6" w:rsidRDefault="0002608F" w:rsidP="008C64A6">
            <w:pPr>
              <w:spacing w:after="0" w:line="240" w:lineRule="auto"/>
              <w:rPr>
                <w:rFonts w:ascii="Arial" w:eastAsia="Times New Roman" w:hAnsi="Arial" w:cs="Arial"/>
                <w:b/>
                <w:bCs/>
                <w:color w:val="000000"/>
                <w:sz w:val="20"/>
                <w:szCs w:val="20"/>
              </w:rPr>
            </w:pPr>
            <w:proofErr w:type="spellStart"/>
            <w:r w:rsidRPr="00381BC6">
              <w:rPr>
                <w:rFonts w:ascii="Arial" w:eastAsia="Times New Roman" w:hAnsi="Arial" w:cs="Arial"/>
                <w:b/>
                <w:bCs/>
                <w:color w:val="000000"/>
                <w:sz w:val="20"/>
                <w:szCs w:val="20"/>
              </w:rPr>
              <w:t>Hoofdsegment</w:t>
            </w:r>
            <w:proofErr w:type="spellEnd"/>
            <w:r w:rsidRPr="00381BC6">
              <w:rPr>
                <w:rFonts w:ascii="Arial" w:eastAsia="Times New Roman" w:hAnsi="Arial" w:cs="Arial"/>
                <w:b/>
                <w:bCs/>
                <w:color w:val="000000"/>
                <w:sz w:val="20"/>
                <w:szCs w:val="20"/>
              </w:rPr>
              <w:t xml:space="preserve">/ </w:t>
            </w:r>
            <w:proofErr w:type="spellStart"/>
            <w:r w:rsidRPr="00381BC6">
              <w:rPr>
                <w:rFonts w:ascii="Arial" w:eastAsia="Times New Roman" w:hAnsi="Arial" w:cs="Arial"/>
                <w:b/>
                <w:bCs/>
                <w:color w:val="000000"/>
                <w:sz w:val="20"/>
                <w:szCs w:val="20"/>
              </w:rPr>
              <w:t>Marktsegment</w:t>
            </w:r>
            <w:proofErr w:type="spellEnd"/>
          </w:p>
        </w:tc>
        <w:tc>
          <w:tcPr>
            <w:tcW w:w="938" w:type="dxa"/>
            <w:tcBorders>
              <w:top w:val="nil"/>
              <w:left w:val="nil"/>
              <w:bottom w:val="single" w:sz="8" w:space="0" w:color="auto"/>
              <w:right w:val="single" w:sz="8" w:space="0" w:color="auto"/>
            </w:tcBorders>
            <w:shd w:val="clear" w:color="000000" w:fill="99CCFF"/>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2007</w:t>
            </w:r>
          </w:p>
        </w:tc>
        <w:tc>
          <w:tcPr>
            <w:tcW w:w="938" w:type="dxa"/>
            <w:tcBorders>
              <w:top w:val="nil"/>
              <w:left w:val="nil"/>
              <w:bottom w:val="single" w:sz="8" w:space="0" w:color="auto"/>
              <w:right w:val="single" w:sz="8" w:space="0" w:color="auto"/>
            </w:tcBorders>
            <w:shd w:val="clear" w:color="000000" w:fill="99CCFF"/>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2008</w:t>
            </w:r>
          </w:p>
        </w:tc>
        <w:tc>
          <w:tcPr>
            <w:tcW w:w="937" w:type="dxa"/>
            <w:tcBorders>
              <w:top w:val="nil"/>
              <w:left w:val="nil"/>
              <w:bottom w:val="single" w:sz="8" w:space="0" w:color="auto"/>
              <w:right w:val="single" w:sz="8" w:space="0" w:color="auto"/>
            </w:tcBorders>
            <w:shd w:val="clear" w:color="000000" w:fill="99CCFF"/>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2009</w:t>
            </w:r>
          </w:p>
        </w:tc>
        <w:tc>
          <w:tcPr>
            <w:tcW w:w="937" w:type="dxa"/>
            <w:tcBorders>
              <w:top w:val="nil"/>
              <w:left w:val="nil"/>
              <w:bottom w:val="single" w:sz="8" w:space="0" w:color="auto"/>
              <w:right w:val="single" w:sz="8" w:space="0" w:color="auto"/>
            </w:tcBorders>
            <w:shd w:val="clear" w:color="000000" w:fill="99CCFF"/>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2010</w:t>
            </w:r>
          </w:p>
        </w:tc>
        <w:tc>
          <w:tcPr>
            <w:tcW w:w="937" w:type="dxa"/>
            <w:tcBorders>
              <w:top w:val="nil"/>
              <w:left w:val="nil"/>
              <w:bottom w:val="single" w:sz="8" w:space="0" w:color="auto"/>
              <w:right w:val="single" w:sz="8" w:space="0" w:color="auto"/>
            </w:tcBorders>
            <w:shd w:val="clear" w:color="000000" w:fill="99CCFF"/>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2011</w:t>
            </w:r>
          </w:p>
        </w:tc>
        <w:tc>
          <w:tcPr>
            <w:tcW w:w="937" w:type="dxa"/>
            <w:tcBorders>
              <w:top w:val="nil"/>
              <w:left w:val="nil"/>
              <w:bottom w:val="single" w:sz="8" w:space="0" w:color="auto"/>
              <w:right w:val="single" w:sz="8" w:space="0" w:color="auto"/>
            </w:tcBorders>
            <w:shd w:val="clear" w:color="000000" w:fill="99CCFF"/>
            <w:vAlign w:val="center"/>
            <w:hideMark/>
          </w:tcPr>
          <w:p w:rsidR="0002608F" w:rsidRPr="00381BC6" w:rsidRDefault="0002608F" w:rsidP="008C64A6">
            <w:pPr>
              <w:spacing w:after="0" w:line="240" w:lineRule="auto"/>
              <w:jc w:val="right"/>
              <w:rPr>
                <w:rFonts w:ascii="Arial" w:eastAsia="Times New Roman" w:hAnsi="Arial" w:cs="Arial"/>
                <w:b/>
                <w:bCs/>
                <w:color w:val="000000"/>
                <w:sz w:val="20"/>
                <w:szCs w:val="20"/>
              </w:rPr>
            </w:pPr>
            <w:r w:rsidRPr="00381BC6">
              <w:rPr>
                <w:rFonts w:ascii="Arial" w:eastAsia="Times New Roman" w:hAnsi="Arial" w:cs="Arial"/>
                <w:b/>
                <w:bCs/>
                <w:color w:val="000000"/>
                <w:sz w:val="20"/>
                <w:szCs w:val="20"/>
              </w:rPr>
              <w:t>2012</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rPr>
                <w:rFonts w:ascii="Arial" w:eastAsia="Times New Roman" w:hAnsi="Arial" w:cs="Arial"/>
                <w:color w:val="000000"/>
                <w:sz w:val="20"/>
                <w:szCs w:val="20"/>
              </w:rPr>
            </w:pPr>
            <w:r w:rsidRPr="00381BC6">
              <w:rPr>
                <w:rFonts w:ascii="Arial" w:eastAsia="Times New Roman" w:hAnsi="Arial" w:cs="Arial"/>
                <w:color w:val="000000"/>
                <w:sz w:val="20"/>
                <w:szCs w:val="20"/>
              </w:rPr>
              <w:t>Non-bulk</w:t>
            </w:r>
          </w:p>
        </w:tc>
        <w:tc>
          <w:tcPr>
            <w:tcW w:w="938"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1,225</w:t>
            </w:r>
          </w:p>
        </w:tc>
        <w:tc>
          <w:tcPr>
            <w:tcW w:w="938"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1,280</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1,303</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1,307</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1,471</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1,493</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roofErr w:type="spellStart"/>
            <w:r w:rsidRPr="00381BC6">
              <w:rPr>
                <w:rFonts w:ascii="Arial" w:eastAsia="Times New Roman" w:hAnsi="Arial" w:cs="Arial"/>
                <w:color w:val="000000"/>
                <w:sz w:val="20"/>
                <w:szCs w:val="20"/>
              </w:rPr>
              <w:t>Breakbulk</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357</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376</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387</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391</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385</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388</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r w:rsidRPr="00381BC6">
              <w:rPr>
                <w:rFonts w:ascii="Arial" w:eastAsia="Times New Roman" w:hAnsi="Arial" w:cs="Arial"/>
                <w:color w:val="000000"/>
                <w:sz w:val="20"/>
                <w:szCs w:val="20"/>
              </w:rPr>
              <w:t>Containers</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868</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904</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917</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917</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1,086</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1,106</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rPr>
                <w:rFonts w:ascii="Arial" w:eastAsia="Times New Roman" w:hAnsi="Arial" w:cs="Arial"/>
                <w:color w:val="000000"/>
                <w:sz w:val="20"/>
                <w:szCs w:val="20"/>
              </w:rPr>
            </w:pPr>
            <w:proofErr w:type="spellStart"/>
            <w:r w:rsidRPr="00381BC6">
              <w:rPr>
                <w:rFonts w:ascii="Arial" w:eastAsia="Times New Roman" w:hAnsi="Arial" w:cs="Arial"/>
                <w:color w:val="000000"/>
                <w:sz w:val="20"/>
                <w:szCs w:val="20"/>
              </w:rPr>
              <w:t>Droog</w:t>
            </w:r>
            <w:proofErr w:type="spellEnd"/>
            <w:r w:rsidRPr="00381BC6">
              <w:rPr>
                <w:rFonts w:ascii="Arial" w:eastAsia="Times New Roman" w:hAnsi="Arial" w:cs="Arial"/>
                <w:color w:val="000000"/>
                <w:sz w:val="20"/>
                <w:szCs w:val="20"/>
              </w:rPr>
              <w:t xml:space="preserve"> </w:t>
            </w:r>
            <w:proofErr w:type="spellStart"/>
            <w:r w:rsidRPr="00381BC6">
              <w:rPr>
                <w:rFonts w:ascii="Arial" w:eastAsia="Times New Roman" w:hAnsi="Arial" w:cs="Arial"/>
                <w:color w:val="000000"/>
                <w:sz w:val="20"/>
                <w:szCs w:val="20"/>
              </w:rPr>
              <w:t>Massagoed</w:t>
            </w:r>
            <w:proofErr w:type="spellEnd"/>
          </w:p>
        </w:tc>
        <w:tc>
          <w:tcPr>
            <w:tcW w:w="938"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381</w:t>
            </w:r>
          </w:p>
        </w:tc>
        <w:tc>
          <w:tcPr>
            <w:tcW w:w="938"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383</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383</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381</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400</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435</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rPr>
                <w:rFonts w:ascii="Arial" w:eastAsia="Times New Roman" w:hAnsi="Arial" w:cs="Arial"/>
                <w:color w:val="000000"/>
                <w:sz w:val="20"/>
                <w:szCs w:val="20"/>
              </w:rPr>
            </w:pPr>
            <w:r w:rsidRPr="00381BC6">
              <w:rPr>
                <w:rFonts w:ascii="Arial" w:eastAsia="Times New Roman" w:hAnsi="Arial" w:cs="Arial"/>
                <w:color w:val="000000"/>
                <w:sz w:val="20"/>
                <w:szCs w:val="20"/>
              </w:rPr>
              <w:t xml:space="preserve">Nat </w:t>
            </w:r>
            <w:proofErr w:type="spellStart"/>
            <w:r w:rsidRPr="00381BC6">
              <w:rPr>
                <w:rFonts w:ascii="Arial" w:eastAsia="Times New Roman" w:hAnsi="Arial" w:cs="Arial"/>
                <w:color w:val="000000"/>
                <w:sz w:val="20"/>
                <w:szCs w:val="20"/>
              </w:rPr>
              <w:t>Massagoed</w:t>
            </w:r>
            <w:proofErr w:type="spellEnd"/>
          </w:p>
        </w:tc>
        <w:tc>
          <w:tcPr>
            <w:tcW w:w="938"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2,533</w:t>
            </w:r>
          </w:p>
        </w:tc>
        <w:tc>
          <w:tcPr>
            <w:tcW w:w="938"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2,602</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2,666</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2,638</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2,637</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2,638</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p>
        </w:tc>
      </w:tr>
      <w:tr w:rsidR="0002608F" w:rsidRPr="00381BC6" w:rsidTr="008C64A6">
        <w:trPr>
          <w:trHeight w:val="525"/>
        </w:trPr>
        <w:tc>
          <w:tcPr>
            <w:tcW w:w="2829" w:type="dxa"/>
            <w:tcBorders>
              <w:top w:val="nil"/>
              <w:left w:val="single" w:sz="8" w:space="0" w:color="auto"/>
              <w:bottom w:val="single" w:sz="8" w:space="0" w:color="auto"/>
              <w:right w:val="single" w:sz="8" w:space="0" w:color="auto"/>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roofErr w:type="spellStart"/>
            <w:r w:rsidRPr="00381BC6">
              <w:rPr>
                <w:rFonts w:ascii="Arial" w:eastAsia="Times New Roman" w:hAnsi="Arial" w:cs="Arial"/>
                <w:color w:val="000000"/>
                <w:sz w:val="20"/>
                <w:szCs w:val="20"/>
              </w:rPr>
              <w:t>Chemie</w:t>
            </w:r>
            <w:proofErr w:type="spellEnd"/>
            <w:r w:rsidRPr="00381BC6">
              <w:rPr>
                <w:rFonts w:ascii="Arial" w:eastAsia="Times New Roman" w:hAnsi="Arial" w:cs="Arial"/>
                <w:color w:val="000000"/>
                <w:sz w:val="20"/>
                <w:szCs w:val="20"/>
              </w:rPr>
              <w:t xml:space="preserve"> &amp; bio-based industry</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540</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565</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564</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563</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563</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567</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r w:rsidRPr="00381BC6">
              <w:rPr>
                <w:rFonts w:ascii="Arial" w:eastAsia="Times New Roman" w:hAnsi="Arial" w:cs="Arial"/>
                <w:color w:val="000000"/>
                <w:sz w:val="20"/>
                <w:szCs w:val="20"/>
              </w:rPr>
              <w:t>Gas &amp; power</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166</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215</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269</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235</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233</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234</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525"/>
        </w:trPr>
        <w:tc>
          <w:tcPr>
            <w:tcW w:w="2829" w:type="dxa"/>
            <w:tcBorders>
              <w:top w:val="nil"/>
              <w:left w:val="single" w:sz="8" w:space="0" w:color="auto"/>
              <w:bottom w:val="single" w:sz="8" w:space="0" w:color="auto"/>
              <w:right w:val="single" w:sz="8" w:space="0" w:color="auto"/>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roofErr w:type="spellStart"/>
            <w:r w:rsidRPr="00381BC6">
              <w:rPr>
                <w:rFonts w:ascii="Arial" w:eastAsia="Times New Roman" w:hAnsi="Arial" w:cs="Arial"/>
                <w:color w:val="000000"/>
                <w:sz w:val="20"/>
                <w:szCs w:val="20"/>
              </w:rPr>
              <w:t>Onafhankelijke</w:t>
            </w:r>
            <w:proofErr w:type="spellEnd"/>
            <w:r w:rsidRPr="00381BC6">
              <w:rPr>
                <w:rFonts w:ascii="Arial" w:eastAsia="Times New Roman" w:hAnsi="Arial" w:cs="Arial"/>
                <w:color w:val="000000"/>
                <w:sz w:val="20"/>
                <w:szCs w:val="20"/>
              </w:rPr>
              <w:t xml:space="preserve"> </w:t>
            </w:r>
            <w:proofErr w:type="spellStart"/>
            <w:r w:rsidRPr="00381BC6">
              <w:rPr>
                <w:rFonts w:ascii="Arial" w:eastAsia="Times New Roman" w:hAnsi="Arial" w:cs="Arial"/>
                <w:color w:val="000000"/>
                <w:sz w:val="20"/>
                <w:szCs w:val="20"/>
              </w:rPr>
              <w:t>tankoverslag</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404</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398</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405</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413</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434</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430</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525"/>
        </w:trPr>
        <w:tc>
          <w:tcPr>
            <w:tcW w:w="2829" w:type="dxa"/>
            <w:tcBorders>
              <w:top w:val="nil"/>
              <w:left w:val="single" w:sz="8" w:space="0" w:color="auto"/>
              <w:bottom w:val="single" w:sz="8" w:space="0" w:color="auto"/>
              <w:right w:val="single" w:sz="8" w:space="0" w:color="auto"/>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roofErr w:type="spellStart"/>
            <w:r w:rsidRPr="00381BC6">
              <w:rPr>
                <w:rFonts w:ascii="Arial" w:eastAsia="Times New Roman" w:hAnsi="Arial" w:cs="Arial"/>
                <w:color w:val="000000"/>
                <w:sz w:val="20"/>
                <w:szCs w:val="20"/>
              </w:rPr>
              <w:t>Ruwe</w:t>
            </w:r>
            <w:proofErr w:type="spellEnd"/>
            <w:r w:rsidRPr="00381BC6">
              <w:rPr>
                <w:rFonts w:ascii="Arial" w:eastAsia="Times New Roman" w:hAnsi="Arial" w:cs="Arial"/>
                <w:color w:val="000000"/>
                <w:sz w:val="20"/>
                <w:szCs w:val="20"/>
              </w:rPr>
              <w:t xml:space="preserve"> </w:t>
            </w:r>
            <w:proofErr w:type="spellStart"/>
            <w:r w:rsidRPr="00381BC6">
              <w:rPr>
                <w:rFonts w:ascii="Arial" w:eastAsia="Times New Roman" w:hAnsi="Arial" w:cs="Arial"/>
                <w:color w:val="000000"/>
                <w:sz w:val="20"/>
                <w:szCs w:val="20"/>
              </w:rPr>
              <w:t>olie</w:t>
            </w:r>
            <w:proofErr w:type="spellEnd"/>
            <w:r w:rsidRPr="00381BC6">
              <w:rPr>
                <w:rFonts w:ascii="Arial" w:eastAsia="Times New Roman" w:hAnsi="Arial" w:cs="Arial"/>
                <w:color w:val="000000"/>
                <w:sz w:val="20"/>
                <w:szCs w:val="20"/>
              </w:rPr>
              <w:t xml:space="preserve"> &amp; </w:t>
            </w:r>
            <w:proofErr w:type="spellStart"/>
            <w:r w:rsidRPr="00381BC6">
              <w:rPr>
                <w:rFonts w:ascii="Arial" w:eastAsia="Times New Roman" w:hAnsi="Arial" w:cs="Arial"/>
                <w:color w:val="000000"/>
                <w:sz w:val="20"/>
                <w:szCs w:val="20"/>
              </w:rPr>
              <w:t>raffinage</w:t>
            </w:r>
            <w:proofErr w:type="spellEnd"/>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1,424</w:t>
            </w:r>
          </w:p>
        </w:tc>
        <w:tc>
          <w:tcPr>
            <w:tcW w:w="938"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1,424</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1,428</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1,428</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1,407</w:t>
            </w:r>
          </w:p>
        </w:tc>
        <w:tc>
          <w:tcPr>
            <w:tcW w:w="937" w:type="dxa"/>
            <w:tcBorders>
              <w:top w:val="nil"/>
              <w:left w:val="nil"/>
              <w:bottom w:val="single" w:sz="8" w:space="0" w:color="auto"/>
              <w:right w:val="single" w:sz="8" w:space="0" w:color="auto"/>
            </w:tcBorders>
            <w:shd w:val="clear" w:color="auto" w:fill="auto"/>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1,407</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rPr>
                <w:rFonts w:ascii="Arial" w:eastAsia="Times New Roman" w:hAnsi="Arial" w:cs="Arial"/>
                <w:color w:val="000000"/>
                <w:sz w:val="20"/>
                <w:szCs w:val="20"/>
              </w:rPr>
            </w:pPr>
            <w:proofErr w:type="spellStart"/>
            <w:r w:rsidRPr="00381BC6">
              <w:rPr>
                <w:rFonts w:ascii="Arial" w:eastAsia="Times New Roman" w:hAnsi="Arial" w:cs="Arial"/>
                <w:color w:val="000000"/>
                <w:sz w:val="20"/>
                <w:szCs w:val="20"/>
              </w:rPr>
              <w:t>Overig</w:t>
            </w:r>
            <w:proofErr w:type="spellEnd"/>
          </w:p>
        </w:tc>
        <w:tc>
          <w:tcPr>
            <w:tcW w:w="938"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475</w:t>
            </w:r>
          </w:p>
        </w:tc>
        <w:tc>
          <w:tcPr>
            <w:tcW w:w="938"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489</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460</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459</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455</w:t>
            </w:r>
          </w:p>
        </w:tc>
        <w:tc>
          <w:tcPr>
            <w:tcW w:w="937" w:type="dxa"/>
            <w:tcBorders>
              <w:top w:val="nil"/>
              <w:left w:val="nil"/>
              <w:bottom w:val="single" w:sz="8" w:space="0" w:color="auto"/>
              <w:right w:val="single" w:sz="8" w:space="0" w:color="auto"/>
            </w:tcBorders>
            <w:shd w:val="clear" w:color="000000" w:fill="E6E6E6"/>
            <w:noWrap/>
            <w:vAlign w:val="center"/>
            <w:hideMark/>
          </w:tcPr>
          <w:p w:rsidR="0002608F" w:rsidRPr="00381BC6" w:rsidRDefault="0002608F" w:rsidP="008C64A6">
            <w:pPr>
              <w:spacing w:after="0" w:line="240" w:lineRule="auto"/>
              <w:jc w:val="right"/>
              <w:rPr>
                <w:rFonts w:ascii="Arial" w:eastAsia="Times New Roman" w:hAnsi="Arial" w:cs="Arial"/>
                <w:color w:val="000000"/>
                <w:sz w:val="18"/>
                <w:szCs w:val="18"/>
              </w:rPr>
            </w:pPr>
            <w:r w:rsidRPr="00381BC6">
              <w:rPr>
                <w:rFonts w:ascii="Arial" w:eastAsia="Times New Roman" w:hAnsi="Arial" w:cs="Arial"/>
                <w:color w:val="000000"/>
                <w:sz w:val="18"/>
                <w:szCs w:val="18"/>
              </w:rPr>
              <w:t>446</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70"/>
        </w:trPr>
        <w:tc>
          <w:tcPr>
            <w:tcW w:w="2829" w:type="dxa"/>
            <w:tcBorders>
              <w:top w:val="nil"/>
              <w:left w:val="single" w:sz="8" w:space="0" w:color="auto"/>
              <w:bottom w:val="single" w:sz="8" w:space="0" w:color="auto"/>
              <w:right w:val="single" w:sz="8" w:space="0" w:color="auto"/>
            </w:tcBorders>
            <w:shd w:val="clear" w:color="000000" w:fill="FFFFCC"/>
            <w:noWrap/>
            <w:vAlign w:val="center"/>
            <w:hideMark/>
          </w:tcPr>
          <w:p w:rsidR="0002608F" w:rsidRPr="00381BC6" w:rsidRDefault="0002608F" w:rsidP="008C64A6">
            <w:pPr>
              <w:spacing w:after="0" w:line="240" w:lineRule="auto"/>
              <w:rPr>
                <w:rFonts w:ascii="Arial" w:eastAsia="Times New Roman" w:hAnsi="Arial" w:cs="Arial"/>
                <w:b/>
                <w:bCs/>
                <w:color w:val="000000"/>
                <w:sz w:val="20"/>
                <w:szCs w:val="20"/>
              </w:rPr>
            </w:pPr>
            <w:proofErr w:type="spellStart"/>
            <w:r w:rsidRPr="00381BC6">
              <w:rPr>
                <w:rFonts w:ascii="Arial" w:eastAsia="Times New Roman" w:hAnsi="Arial" w:cs="Arial"/>
                <w:b/>
                <w:bCs/>
                <w:color w:val="000000"/>
                <w:sz w:val="20"/>
                <w:szCs w:val="20"/>
              </w:rPr>
              <w:t>Eindtotaal</w:t>
            </w:r>
            <w:proofErr w:type="spellEnd"/>
          </w:p>
        </w:tc>
        <w:tc>
          <w:tcPr>
            <w:tcW w:w="938" w:type="dxa"/>
            <w:tcBorders>
              <w:top w:val="nil"/>
              <w:left w:val="nil"/>
              <w:bottom w:val="single" w:sz="8" w:space="0" w:color="auto"/>
              <w:right w:val="single" w:sz="8" w:space="0" w:color="auto"/>
            </w:tcBorders>
            <w:shd w:val="clear" w:color="000000" w:fill="FFFFCC"/>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18"/>
                <w:szCs w:val="18"/>
              </w:rPr>
            </w:pPr>
            <w:r w:rsidRPr="00381BC6">
              <w:rPr>
                <w:rFonts w:ascii="Arial" w:eastAsia="Times New Roman" w:hAnsi="Arial" w:cs="Arial"/>
                <w:b/>
                <w:bCs/>
                <w:color w:val="000000"/>
                <w:sz w:val="18"/>
                <w:szCs w:val="18"/>
              </w:rPr>
              <w:t>4,614</w:t>
            </w:r>
          </w:p>
        </w:tc>
        <w:tc>
          <w:tcPr>
            <w:tcW w:w="938" w:type="dxa"/>
            <w:tcBorders>
              <w:top w:val="nil"/>
              <w:left w:val="nil"/>
              <w:bottom w:val="single" w:sz="8" w:space="0" w:color="auto"/>
              <w:right w:val="single" w:sz="8" w:space="0" w:color="auto"/>
            </w:tcBorders>
            <w:shd w:val="clear" w:color="000000" w:fill="FFFFCC"/>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18"/>
                <w:szCs w:val="18"/>
              </w:rPr>
            </w:pPr>
            <w:r w:rsidRPr="00381BC6">
              <w:rPr>
                <w:rFonts w:ascii="Arial" w:eastAsia="Times New Roman" w:hAnsi="Arial" w:cs="Arial"/>
                <w:b/>
                <w:bCs/>
                <w:color w:val="000000"/>
                <w:sz w:val="18"/>
                <w:szCs w:val="18"/>
              </w:rPr>
              <w:t>4,754</w:t>
            </w:r>
          </w:p>
        </w:tc>
        <w:tc>
          <w:tcPr>
            <w:tcW w:w="937" w:type="dxa"/>
            <w:tcBorders>
              <w:top w:val="nil"/>
              <w:left w:val="nil"/>
              <w:bottom w:val="single" w:sz="8" w:space="0" w:color="auto"/>
              <w:right w:val="single" w:sz="8" w:space="0" w:color="auto"/>
            </w:tcBorders>
            <w:shd w:val="clear" w:color="000000" w:fill="FFFFCC"/>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18"/>
                <w:szCs w:val="18"/>
              </w:rPr>
            </w:pPr>
            <w:r w:rsidRPr="00381BC6">
              <w:rPr>
                <w:rFonts w:ascii="Arial" w:eastAsia="Times New Roman" w:hAnsi="Arial" w:cs="Arial"/>
                <w:b/>
                <w:bCs/>
                <w:color w:val="000000"/>
                <w:sz w:val="18"/>
                <w:szCs w:val="18"/>
              </w:rPr>
              <w:t>4,813</w:t>
            </w:r>
          </w:p>
        </w:tc>
        <w:tc>
          <w:tcPr>
            <w:tcW w:w="937" w:type="dxa"/>
            <w:tcBorders>
              <w:top w:val="nil"/>
              <w:left w:val="nil"/>
              <w:bottom w:val="single" w:sz="8" w:space="0" w:color="auto"/>
              <w:right w:val="single" w:sz="8" w:space="0" w:color="auto"/>
            </w:tcBorders>
            <w:shd w:val="clear" w:color="000000" w:fill="FFFFCC"/>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18"/>
                <w:szCs w:val="18"/>
              </w:rPr>
            </w:pPr>
            <w:r w:rsidRPr="00381BC6">
              <w:rPr>
                <w:rFonts w:ascii="Arial" w:eastAsia="Times New Roman" w:hAnsi="Arial" w:cs="Arial"/>
                <w:b/>
                <w:bCs/>
                <w:color w:val="000000"/>
                <w:sz w:val="18"/>
                <w:szCs w:val="18"/>
              </w:rPr>
              <w:t>4,785</w:t>
            </w:r>
          </w:p>
        </w:tc>
        <w:tc>
          <w:tcPr>
            <w:tcW w:w="937" w:type="dxa"/>
            <w:tcBorders>
              <w:top w:val="nil"/>
              <w:left w:val="nil"/>
              <w:bottom w:val="single" w:sz="8" w:space="0" w:color="auto"/>
              <w:right w:val="single" w:sz="8" w:space="0" w:color="auto"/>
            </w:tcBorders>
            <w:shd w:val="clear" w:color="000000" w:fill="FFFFCC"/>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18"/>
                <w:szCs w:val="18"/>
              </w:rPr>
            </w:pPr>
            <w:r w:rsidRPr="00381BC6">
              <w:rPr>
                <w:rFonts w:ascii="Arial" w:eastAsia="Times New Roman" w:hAnsi="Arial" w:cs="Arial"/>
                <w:b/>
                <w:bCs/>
                <w:color w:val="000000"/>
                <w:sz w:val="18"/>
                <w:szCs w:val="18"/>
              </w:rPr>
              <w:t>4,962</w:t>
            </w:r>
          </w:p>
        </w:tc>
        <w:tc>
          <w:tcPr>
            <w:tcW w:w="937" w:type="dxa"/>
            <w:tcBorders>
              <w:top w:val="nil"/>
              <w:left w:val="nil"/>
              <w:bottom w:val="single" w:sz="8" w:space="0" w:color="auto"/>
              <w:right w:val="single" w:sz="8" w:space="0" w:color="auto"/>
            </w:tcBorders>
            <w:shd w:val="clear" w:color="000000" w:fill="FFFFCC"/>
            <w:noWrap/>
            <w:vAlign w:val="center"/>
            <w:hideMark/>
          </w:tcPr>
          <w:p w:rsidR="0002608F" w:rsidRPr="00381BC6" w:rsidRDefault="0002608F" w:rsidP="008C64A6">
            <w:pPr>
              <w:spacing w:after="0" w:line="240" w:lineRule="auto"/>
              <w:jc w:val="right"/>
              <w:rPr>
                <w:rFonts w:ascii="Arial" w:eastAsia="Times New Roman" w:hAnsi="Arial" w:cs="Arial"/>
                <w:b/>
                <w:bCs/>
                <w:color w:val="000000"/>
                <w:sz w:val="18"/>
                <w:szCs w:val="18"/>
              </w:rPr>
            </w:pPr>
            <w:r w:rsidRPr="00381BC6">
              <w:rPr>
                <w:rFonts w:ascii="Arial" w:eastAsia="Times New Roman" w:hAnsi="Arial" w:cs="Arial"/>
                <w:b/>
                <w:bCs/>
                <w:color w:val="000000"/>
                <w:sz w:val="18"/>
                <w:szCs w:val="18"/>
              </w:rPr>
              <w:t>5,012</w:t>
            </w:r>
          </w:p>
        </w:tc>
        <w:tc>
          <w:tcPr>
            <w:tcW w:w="937" w:type="dxa"/>
            <w:tcBorders>
              <w:top w:val="nil"/>
              <w:left w:val="nil"/>
              <w:bottom w:val="nil"/>
              <w:right w:val="nil"/>
            </w:tcBorders>
            <w:shd w:val="clear" w:color="auto" w:fill="auto"/>
            <w:vAlign w:val="center"/>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55"/>
        </w:trPr>
        <w:tc>
          <w:tcPr>
            <w:tcW w:w="2829"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381BC6" w:rsidTr="008C64A6">
        <w:trPr>
          <w:trHeight w:val="255"/>
        </w:trPr>
        <w:tc>
          <w:tcPr>
            <w:tcW w:w="2829"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8"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rPr>
            </w:pPr>
          </w:p>
        </w:tc>
      </w:tr>
      <w:tr w:rsidR="0002608F" w:rsidRPr="00F6504F" w:rsidTr="008C64A6">
        <w:trPr>
          <w:trHeight w:val="255"/>
        </w:trPr>
        <w:tc>
          <w:tcPr>
            <w:tcW w:w="8453" w:type="dxa"/>
            <w:gridSpan w:val="7"/>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lang w:val="nl-NL"/>
              </w:rPr>
            </w:pPr>
            <w:r w:rsidRPr="00381BC6">
              <w:rPr>
                <w:rFonts w:ascii="Arial" w:eastAsia="Times New Roman" w:hAnsi="Arial" w:cs="Arial"/>
                <w:color w:val="000000"/>
                <w:sz w:val="20"/>
                <w:szCs w:val="20"/>
                <w:lang w:val="nl-NL"/>
              </w:rPr>
              <w:t>Tabel 1: bezetting status van de terreinen; hier hangt nog geen segment aan</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lang w:val="nl-NL"/>
              </w:rPr>
            </w:pPr>
          </w:p>
        </w:tc>
      </w:tr>
      <w:tr w:rsidR="0002608F" w:rsidRPr="00F6504F" w:rsidTr="008C64A6">
        <w:trPr>
          <w:trHeight w:val="255"/>
        </w:trPr>
        <w:tc>
          <w:tcPr>
            <w:tcW w:w="5642" w:type="dxa"/>
            <w:gridSpan w:val="4"/>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lang w:val="nl-NL"/>
              </w:rPr>
            </w:pPr>
            <w:r w:rsidRPr="00381BC6">
              <w:rPr>
                <w:rFonts w:ascii="Arial" w:eastAsia="Times New Roman" w:hAnsi="Arial" w:cs="Arial"/>
                <w:color w:val="000000"/>
                <w:sz w:val="20"/>
                <w:szCs w:val="20"/>
                <w:lang w:val="nl-NL"/>
              </w:rPr>
              <w:t>Tabel 6: segmenten van de verhuurde terreinen.</w:t>
            </w: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lang w:val="nl-NL"/>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lang w:val="nl-NL"/>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lang w:val="nl-NL"/>
              </w:rPr>
            </w:pPr>
          </w:p>
        </w:tc>
        <w:tc>
          <w:tcPr>
            <w:tcW w:w="937" w:type="dxa"/>
            <w:tcBorders>
              <w:top w:val="nil"/>
              <w:left w:val="nil"/>
              <w:bottom w:val="nil"/>
              <w:right w:val="nil"/>
            </w:tcBorders>
            <w:shd w:val="clear" w:color="auto" w:fill="auto"/>
            <w:noWrap/>
            <w:vAlign w:val="bottom"/>
            <w:hideMark/>
          </w:tcPr>
          <w:p w:rsidR="0002608F" w:rsidRPr="00381BC6" w:rsidRDefault="0002608F" w:rsidP="008C64A6">
            <w:pPr>
              <w:spacing w:after="0" w:line="240" w:lineRule="auto"/>
              <w:rPr>
                <w:rFonts w:ascii="Arial" w:eastAsia="Times New Roman" w:hAnsi="Arial" w:cs="Arial"/>
                <w:color w:val="000000"/>
                <w:sz w:val="20"/>
                <w:szCs w:val="20"/>
                <w:lang w:val="nl-NL"/>
              </w:rPr>
            </w:pPr>
          </w:p>
        </w:tc>
      </w:tr>
    </w:tbl>
    <w:p w:rsidR="0002608F" w:rsidRPr="0002608F" w:rsidRDefault="0002608F" w:rsidP="0002608F">
      <w:pPr>
        <w:rPr>
          <w:lang w:val="nl-NL"/>
        </w:rPr>
      </w:pPr>
    </w:p>
    <w:sectPr w:rsidR="0002608F" w:rsidRPr="0002608F" w:rsidSect="00531D65">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17C" w:rsidRDefault="0092717C" w:rsidP="00A842B6">
      <w:pPr>
        <w:spacing w:after="0" w:line="240" w:lineRule="auto"/>
      </w:pPr>
      <w:r>
        <w:separator/>
      </w:r>
    </w:p>
  </w:endnote>
  <w:endnote w:type="continuationSeparator" w:id="0">
    <w:p w:rsidR="0092717C" w:rsidRDefault="0092717C" w:rsidP="00A84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380831"/>
      <w:docPartObj>
        <w:docPartGallery w:val="Page Numbers (Bottom of Page)"/>
        <w:docPartUnique/>
      </w:docPartObj>
    </w:sdtPr>
    <w:sdtEndPr>
      <w:rPr>
        <w:noProof/>
      </w:rPr>
    </w:sdtEndPr>
    <w:sdtContent>
      <w:p w:rsidR="00531D65" w:rsidRDefault="00FD0314">
        <w:pPr>
          <w:pStyle w:val="Footer"/>
          <w:jc w:val="center"/>
        </w:pPr>
        <w:r>
          <w:fldChar w:fldCharType="begin"/>
        </w:r>
        <w:r w:rsidR="00531D65">
          <w:instrText xml:space="preserve"> PAGE   \* MERGEFORMAT </w:instrText>
        </w:r>
        <w:r>
          <w:fldChar w:fldCharType="separate"/>
        </w:r>
        <w:r w:rsidR="00B779EA">
          <w:rPr>
            <w:noProof/>
          </w:rPr>
          <w:t>28</w:t>
        </w:r>
        <w:r>
          <w:rPr>
            <w:noProof/>
          </w:rPr>
          <w:fldChar w:fldCharType="end"/>
        </w:r>
      </w:p>
    </w:sdtContent>
  </w:sdt>
  <w:p w:rsidR="00531D65" w:rsidRDefault="00531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17C" w:rsidRDefault="0092717C" w:rsidP="00A842B6">
      <w:pPr>
        <w:spacing w:after="0" w:line="240" w:lineRule="auto"/>
      </w:pPr>
      <w:r>
        <w:separator/>
      </w:r>
    </w:p>
  </w:footnote>
  <w:footnote w:type="continuationSeparator" w:id="0">
    <w:p w:rsidR="0092717C" w:rsidRDefault="0092717C" w:rsidP="00A842B6">
      <w:pPr>
        <w:spacing w:after="0" w:line="240" w:lineRule="auto"/>
      </w:pPr>
      <w:r>
        <w:continuationSeparator/>
      </w:r>
    </w:p>
  </w:footnote>
  <w:footnote w:id="1">
    <w:p w:rsidR="00A842B6" w:rsidRPr="001D1A67" w:rsidRDefault="00A842B6" w:rsidP="00A842B6">
      <w:pPr>
        <w:pStyle w:val="FootnoteText"/>
      </w:pPr>
      <w:r>
        <w:rPr>
          <w:rStyle w:val="FootnoteReference"/>
        </w:rPr>
        <w:footnoteRef/>
      </w:r>
      <w:r>
        <w:t xml:space="preserve"> : In </w:t>
      </w:r>
      <w:proofErr w:type="spellStart"/>
      <w:r>
        <w:t>univariate</w:t>
      </w:r>
      <w:proofErr w:type="spellEnd"/>
      <w:r>
        <w:t xml:space="preserve"> models it is assumed that future values of a time series are based solely on historic values</w:t>
      </w:r>
    </w:p>
  </w:footnote>
  <w:footnote w:id="2">
    <w:p w:rsidR="00981F21" w:rsidRPr="00AA25C6" w:rsidRDefault="00981F21" w:rsidP="00981F21">
      <w:pPr>
        <w:pStyle w:val="FootnoteText"/>
      </w:pPr>
      <w:r>
        <w:rPr>
          <w:rStyle w:val="FootnoteReference"/>
        </w:rPr>
        <w:footnoteRef/>
      </w:r>
      <w:r>
        <w:t xml:space="preserve"> </w:t>
      </w:r>
      <w:r w:rsidRPr="00AA25C6">
        <w:t>http://www.cpb.nl/publicatie/omgevingsscenarios-lange-termijn-verkenning-1995-2020</w:t>
      </w:r>
    </w:p>
  </w:footnote>
  <w:footnote w:id="3">
    <w:p w:rsidR="0054446B" w:rsidRPr="00EB6B43" w:rsidRDefault="0054446B" w:rsidP="0054446B">
      <w:pPr>
        <w:pStyle w:val="FootnoteText"/>
      </w:pPr>
      <w:r>
        <w:rPr>
          <w:rStyle w:val="FootnoteReference"/>
        </w:rPr>
        <w:footnoteRef/>
      </w:r>
      <w:r>
        <w:t xml:space="preserve"> The container sector constitutes the facilitation of container throughput, storage and handling of empty containers is covered by the Empty Depots sector.</w:t>
      </w:r>
    </w:p>
  </w:footnote>
  <w:footnote w:id="4">
    <w:p w:rsidR="0094129F" w:rsidRPr="0040041E" w:rsidRDefault="0094129F" w:rsidP="0094129F">
      <w:pPr>
        <w:pStyle w:val="FootnoteText"/>
      </w:pPr>
      <w:r>
        <w:rPr>
          <w:rStyle w:val="FootnoteReference"/>
        </w:rPr>
        <w:footnoteRef/>
      </w:r>
      <w:r>
        <w:t xml:space="preserve"> The empty depots sector covers companies that store and clean containers after they have been delivered and unloaded.</w:t>
      </w:r>
    </w:p>
  </w:footnote>
  <w:footnote w:id="5">
    <w:p w:rsidR="003A7894" w:rsidRPr="00381BC6" w:rsidRDefault="003A7894" w:rsidP="003A7894">
      <w:pPr>
        <w:pStyle w:val="FootnoteText"/>
      </w:pPr>
      <w:r>
        <w:rPr>
          <w:rStyle w:val="FootnoteReference"/>
        </w:rPr>
        <w:footnoteRef/>
      </w:r>
      <w:r>
        <w:t xml:space="preserve"> The source of the 2008, 2010 and 2012 real figures can be found in Appendix A</w:t>
      </w:r>
    </w:p>
  </w:footnote>
  <w:footnote w:id="6">
    <w:p w:rsidR="003A7894" w:rsidRPr="00046751" w:rsidRDefault="003A7894" w:rsidP="003A7894">
      <w:pPr>
        <w:pStyle w:val="FootnoteText"/>
      </w:pPr>
      <w:r>
        <w:rPr>
          <w:rStyle w:val="FootnoteReference"/>
        </w:rPr>
        <w:footnoteRef/>
      </w:r>
      <w:r>
        <w:t xml:space="preserve"> The information on the terminal sizes was retrieved from the terminal operator’s websites</w:t>
      </w:r>
    </w:p>
  </w:footnote>
  <w:footnote w:id="7">
    <w:p w:rsidR="00BE16A1" w:rsidRPr="009D090E" w:rsidRDefault="00BE16A1" w:rsidP="00BE16A1">
      <w:pPr>
        <w:pStyle w:val="FootnoteText"/>
      </w:pPr>
      <w:r>
        <w:rPr>
          <w:rStyle w:val="FootnoteReference"/>
        </w:rPr>
        <w:footnoteRef/>
      </w:r>
      <w:r>
        <w:t xml:space="preserve"> The source of the 2010 and 2012 real figures can be found in Appendix A</w:t>
      </w:r>
    </w:p>
  </w:footnote>
  <w:footnote w:id="8">
    <w:p w:rsidR="00BE16A1" w:rsidRPr="001623B4" w:rsidRDefault="00BE16A1" w:rsidP="00BE16A1">
      <w:pPr>
        <w:pStyle w:val="FootnoteText"/>
      </w:pPr>
      <w:r w:rsidRPr="001623B4">
        <w:rPr>
          <w:rStyle w:val="FootnoteReference"/>
        </w:rPr>
        <w:footnoteRef/>
      </w:r>
      <w:r w:rsidRPr="001623B4">
        <w:t xml:space="preserve"> This might be due to the terrain demand figures provided by the Rotterdam Port Authority including some other subsector with ‘dry mass goods’ but there is no likely candidate.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5437"/>
    <w:multiLevelType w:val="hybridMultilevel"/>
    <w:tmpl w:val="3392B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DF3BC7"/>
    <w:multiLevelType w:val="hybridMultilevel"/>
    <w:tmpl w:val="F906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AA28D3"/>
    <w:multiLevelType w:val="multilevel"/>
    <w:tmpl w:val="E06AE2C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F221BFF"/>
    <w:multiLevelType w:val="hybridMultilevel"/>
    <w:tmpl w:val="6078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63FA5"/>
    <w:multiLevelType w:val="hybridMultilevel"/>
    <w:tmpl w:val="DA2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2377DB"/>
    <w:multiLevelType w:val="hybridMultilevel"/>
    <w:tmpl w:val="AF4E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3C2461"/>
    <w:multiLevelType w:val="hybridMultilevel"/>
    <w:tmpl w:val="B332F62C"/>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353"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6E615FFF"/>
    <w:multiLevelType w:val="hybridMultilevel"/>
    <w:tmpl w:val="FA0A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DD349E"/>
    <w:multiLevelType w:val="hybridMultilevel"/>
    <w:tmpl w:val="181C4A26"/>
    <w:lvl w:ilvl="0" w:tplc="53624F4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353"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5"/>
  </w:num>
  <w:num w:numId="6">
    <w:abstractNumId w:val="3"/>
  </w:num>
  <w:num w:numId="7">
    <w:abstractNumId w:val="0"/>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4B462D"/>
    <w:rsid w:val="000149FB"/>
    <w:rsid w:val="0002608F"/>
    <w:rsid w:val="000C57EC"/>
    <w:rsid w:val="00310784"/>
    <w:rsid w:val="003739F1"/>
    <w:rsid w:val="003A7894"/>
    <w:rsid w:val="003F390D"/>
    <w:rsid w:val="004356EC"/>
    <w:rsid w:val="004B462D"/>
    <w:rsid w:val="004F2DF0"/>
    <w:rsid w:val="00503B45"/>
    <w:rsid w:val="00507CF2"/>
    <w:rsid w:val="00531D65"/>
    <w:rsid w:val="0054446B"/>
    <w:rsid w:val="005D0A5D"/>
    <w:rsid w:val="006A4AA8"/>
    <w:rsid w:val="006D0BC3"/>
    <w:rsid w:val="007742FC"/>
    <w:rsid w:val="008009DD"/>
    <w:rsid w:val="0084442B"/>
    <w:rsid w:val="00847088"/>
    <w:rsid w:val="008701C5"/>
    <w:rsid w:val="008B366F"/>
    <w:rsid w:val="0092717C"/>
    <w:rsid w:val="0094129F"/>
    <w:rsid w:val="00953646"/>
    <w:rsid w:val="00981F21"/>
    <w:rsid w:val="009B081B"/>
    <w:rsid w:val="00A842B6"/>
    <w:rsid w:val="00A907BF"/>
    <w:rsid w:val="00AE45DB"/>
    <w:rsid w:val="00B779EA"/>
    <w:rsid w:val="00BA2DA9"/>
    <w:rsid w:val="00BD0064"/>
    <w:rsid w:val="00BE16A1"/>
    <w:rsid w:val="00C22E72"/>
    <w:rsid w:val="00C61C1F"/>
    <w:rsid w:val="00CA6934"/>
    <w:rsid w:val="00CB0631"/>
    <w:rsid w:val="00CF200E"/>
    <w:rsid w:val="00D63F11"/>
    <w:rsid w:val="00E51026"/>
    <w:rsid w:val="00E86689"/>
    <w:rsid w:val="00F2137C"/>
    <w:rsid w:val="00F21C86"/>
    <w:rsid w:val="00F6504F"/>
    <w:rsid w:val="00F66CCE"/>
    <w:rsid w:val="00FD0314"/>
    <w:rsid w:val="00FD3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84"/>
  </w:style>
  <w:style w:type="paragraph" w:styleId="Heading1">
    <w:name w:val="heading 1"/>
    <w:basedOn w:val="Normal"/>
    <w:next w:val="Normal"/>
    <w:link w:val="Heading1Char"/>
    <w:uiPriority w:val="9"/>
    <w:qFormat/>
    <w:rsid w:val="0031078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31078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31078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1078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1078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1078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1078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1078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1078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078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10784"/>
    <w:rPr>
      <w:caps/>
      <w:color w:val="632423" w:themeColor="accent2" w:themeShade="80"/>
      <w:spacing w:val="50"/>
      <w:sz w:val="44"/>
      <w:szCs w:val="44"/>
    </w:rPr>
  </w:style>
  <w:style w:type="character" w:customStyle="1" w:styleId="Heading1Char">
    <w:name w:val="Heading 1 Char"/>
    <w:basedOn w:val="DefaultParagraphFont"/>
    <w:link w:val="Heading1"/>
    <w:uiPriority w:val="9"/>
    <w:rsid w:val="00310784"/>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310784"/>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310784"/>
    <w:rPr>
      <w:caps/>
      <w:color w:val="622423" w:themeColor="accent2" w:themeShade="7F"/>
      <w:sz w:val="24"/>
      <w:szCs w:val="24"/>
    </w:rPr>
  </w:style>
  <w:style w:type="character" w:customStyle="1" w:styleId="Heading4Char">
    <w:name w:val="Heading 4 Char"/>
    <w:basedOn w:val="DefaultParagraphFont"/>
    <w:link w:val="Heading4"/>
    <w:uiPriority w:val="9"/>
    <w:semiHidden/>
    <w:rsid w:val="00310784"/>
    <w:rPr>
      <w:caps/>
      <w:color w:val="622423" w:themeColor="accent2" w:themeShade="7F"/>
      <w:spacing w:val="10"/>
    </w:rPr>
  </w:style>
  <w:style w:type="character" w:customStyle="1" w:styleId="Heading5Char">
    <w:name w:val="Heading 5 Char"/>
    <w:basedOn w:val="DefaultParagraphFont"/>
    <w:link w:val="Heading5"/>
    <w:uiPriority w:val="9"/>
    <w:semiHidden/>
    <w:rsid w:val="00310784"/>
    <w:rPr>
      <w:caps/>
      <w:color w:val="622423" w:themeColor="accent2" w:themeShade="7F"/>
      <w:spacing w:val="10"/>
    </w:rPr>
  </w:style>
  <w:style w:type="character" w:customStyle="1" w:styleId="Heading6Char">
    <w:name w:val="Heading 6 Char"/>
    <w:basedOn w:val="DefaultParagraphFont"/>
    <w:link w:val="Heading6"/>
    <w:uiPriority w:val="9"/>
    <w:semiHidden/>
    <w:rsid w:val="00310784"/>
    <w:rPr>
      <w:caps/>
      <w:color w:val="943634" w:themeColor="accent2" w:themeShade="BF"/>
      <w:spacing w:val="10"/>
    </w:rPr>
  </w:style>
  <w:style w:type="character" w:customStyle="1" w:styleId="Heading7Char">
    <w:name w:val="Heading 7 Char"/>
    <w:basedOn w:val="DefaultParagraphFont"/>
    <w:link w:val="Heading7"/>
    <w:uiPriority w:val="9"/>
    <w:semiHidden/>
    <w:rsid w:val="00310784"/>
    <w:rPr>
      <w:i/>
      <w:iCs/>
      <w:caps/>
      <w:color w:val="943634" w:themeColor="accent2" w:themeShade="BF"/>
      <w:spacing w:val="10"/>
    </w:rPr>
  </w:style>
  <w:style w:type="character" w:customStyle="1" w:styleId="Heading8Char">
    <w:name w:val="Heading 8 Char"/>
    <w:basedOn w:val="DefaultParagraphFont"/>
    <w:link w:val="Heading8"/>
    <w:uiPriority w:val="9"/>
    <w:semiHidden/>
    <w:rsid w:val="00310784"/>
    <w:rPr>
      <w:caps/>
      <w:spacing w:val="10"/>
      <w:sz w:val="20"/>
      <w:szCs w:val="20"/>
    </w:rPr>
  </w:style>
  <w:style w:type="character" w:customStyle="1" w:styleId="Heading9Char">
    <w:name w:val="Heading 9 Char"/>
    <w:basedOn w:val="DefaultParagraphFont"/>
    <w:link w:val="Heading9"/>
    <w:uiPriority w:val="9"/>
    <w:semiHidden/>
    <w:rsid w:val="00310784"/>
    <w:rPr>
      <w:i/>
      <w:iCs/>
      <w:caps/>
      <w:spacing w:val="10"/>
      <w:sz w:val="20"/>
      <w:szCs w:val="20"/>
    </w:rPr>
  </w:style>
  <w:style w:type="paragraph" w:styleId="Caption">
    <w:name w:val="caption"/>
    <w:basedOn w:val="Normal"/>
    <w:next w:val="Normal"/>
    <w:uiPriority w:val="35"/>
    <w:unhideWhenUsed/>
    <w:qFormat/>
    <w:rsid w:val="00310784"/>
    <w:rPr>
      <w:caps/>
      <w:spacing w:val="10"/>
      <w:sz w:val="18"/>
      <w:szCs w:val="18"/>
    </w:rPr>
  </w:style>
  <w:style w:type="paragraph" w:styleId="Subtitle">
    <w:name w:val="Subtitle"/>
    <w:basedOn w:val="Normal"/>
    <w:next w:val="Normal"/>
    <w:link w:val="SubtitleChar"/>
    <w:uiPriority w:val="11"/>
    <w:qFormat/>
    <w:rsid w:val="0031078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10784"/>
    <w:rPr>
      <w:caps/>
      <w:spacing w:val="20"/>
      <w:sz w:val="18"/>
      <w:szCs w:val="18"/>
    </w:rPr>
  </w:style>
  <w:style w:type="character" w:styleId="Strong">
    <w:name w:val="Strong"/>
    <w:uiPriority w:val="22"/>
    <w:qFormat/>
    <w:rsid w:val="00310784"/>
    <w:rPr>
      <w:b/>
      <w:bCs/>
      <w:color w:val="943634" w:themeColor="accent2" w:themeShade="BF"/>
      <w:spacing w:val="5"/>
    </w:rPr>
  </w:style>
  <w:style w:type="character" w:styleId="Emphasis">
    <w:name w:val="Emphasis"/>
    <w:uiPriority w:val="20"/>
    <w:qFormat/>
    <w:rsid w:val="00310784"/>
    <w:rPr>
      <w:caps/>
      <w:spacing w:val="5"/>
      <w:sz w:val="20"/>
      <w:szCs w:val="20"/>
    </w:rPr>
  </w:style>
  <w:style w:type="paragraph" w:styleId="NoSpacing">
    <w:name w:val="No Spacing"/>
    <w:basedOn w:val="Normal"/>
    <w:link w:val="NoSpacingChar"/>
    <w:uiPriority w:val="1"/>
    <w:qFormat/>
    <w:rsid w:val="00310784"/>
    <w:pPr>
      <w:spacing w:after="0" w:line="240" w:lineRule="auto"/>
    </w:pPr>
  </w:style>
  <w:style w:type="character" w:customStyle="1" w:styleId="NoSpacingChar">
    <w:name w:val="No Spacing Char"/>
    <w:basedOn w:val="DefaultParagraphFont"/>
    <w:link w:val="NoSpacing"/>
    <w:uiPriority w:val="1"/>
    <w:rsid w:val="00310784"/>
  </w:style>
  <w:style w:type="paragraph" w:styleId="ListParagraph">
    <w:name w:val="List Paragraph"/>
    <w:basedOn w:val="Normal"/>
    <w:uiPriority w:val="34"/>
    <w:qFormat/>
    <w:rsid w:val="00310784"/>
    <w:pPr>
      <w:ind w:left="720"/>
      <w:contextualSpacing/>
    </w:pPr>
  </w:style>
  <w:style w:type="paragraph" w:styleId="Quote">
    <w:name w:val="Quote"/>
    <w:basedOn w:val="Normal"/>
    <w:next w:val="Normal"/>
    <w:link w:val="QuoteChar"/>
    <w:uiPriority w:val="29"/>
    <w:qFormat/>
    <w:rsid w:val="00310784"/>
    <w:rPr>
      <w:i/>
      <w:iCs/>
    </w:rPr>
  </w:style>
  <w:style w:type="character" w:customStyle="1" w:styleId="QuoteChar">
    <w:name w:val="Quote Char"/>
    <w:basedOn w:val="DefaultParagraphFont"/>
    <w:link w:val="Quote"/>
    <w:uiPriority w:val="29"/>
    <w:rsid w:val="00310784"/>
    <w:rPr>
      <w:i/>
      <w:iCs/>
    </w:rPr>
  </w:style>
  <w:style w:type="paragraph" w:styleId="IntenseQuote">
    <w:name w:val="Intense Quote"/>
    <w:basedOn w:val="Normal"/>
    <w:next w:val="Normal"/>
    <w:link w:val="IntenseQuoteChar"/>
    <w:uiPriority w:val="30"/>
    <w:qFormat/>
    <w:rsid w:val="0031078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10784"/>
    <w:rPr>
      <w:caps/>
      <w:color w:val="622423" w:themeColor="accent2" w:themeShade="7F"/>
      <w:spacing w:val="5"/>
      <w:sz w:val="20"/>
      <w:szCs w:val="20"/>
    </w:rPr>
  </w:style>
  <w:style w:type="character" w:styleId="SubtleEmphasis">
    <w:name w:val="Subtle Emphasis"/>
    <w:uiPriority w:val="19"/>
    <w:qFormat/>
    <w:rsid w:val="00310784"/>
    <w:rPr>
      <w:i/>
      <w:iCs/>
    </w:rPr>
  </w:style>
  <w:style w:type="character" w:styleId="IntenseEmphasis">
    <w:name w:val="Intense Emphasis"/>
    <w:uiPriority w:val="21"/>
    <w:qFormat/>
    <w:rsid w:val="00310784"/>
    <w:rPr>
      <w:i/>
      <w:iCs/>
      <w:caps/>
      <w:spacing w:val="10"/>
      <w:sz w:val="20"/>
      <w:szCs w:val="20"/>
    </w:rPr>
  </w:style>
  <w:style w:type="character" w:styleId="SubtleReference">
    <w:name w:val="Subtle Reference"/>
    <w:basedOn w:val="DefaultParagraphFont"/>
    <w:uiPriority w:val="31"/>
    <w:qFormat/>
    <w:rsid w:val="0031078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1078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1078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10784"/>
    <w:pPr>
      <w:outlineLvl w:val="9"/>
    </w:pPr>
    <w:rPr>
      <w:lang w:bidi="en-US"/>
    </w:rPr>
  </w:style>
  <w:style w:type="paragraph" w:styleId="BalloonText">
    <w:name w:val="Balloon Text"/>
    <w:basedOn w:val="Normal"/>
    <w:link w:val="BalloonTextChar"/>
    <w:uiPriority w:val="99"/>
    <w:semiHidden/>
    <w:unhideWhenUsed/>
    <w:rsid w:val="00310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84"/>
    <w:rPr>
      <w:rFonts w:ascii="Tahoma" w:hAnsi="Tahoma" w:cs="Tahoma"/>
      <w:sz w:val="16"/>
      <w:szCs w:val="16"/>
    </w:rPr>
  </w:style>
  <w:style w:type="paragraph" w:styleId="TOC1">
    <w:name w:val="toc 1"/>
    <w:basedOn w:val="Normal"/>
    <w:next w:val="Normal"/>
    <w:autoRedefine/>
    <w:uiPriority w:val="39"/>
    <w:unhideWhenUsed/>
    <w:rsid w:val="00BA2DA9"/>
    <w:pPr>
      <w:spacing w:after="100"/>
    </w:pPr>
  </w:style>
  <w:style w:type="paragraph" w:styleId="TOC2">
    <w:name w:val="toc 2"/>
    <w:basedOn w:val="Normal"/>
    <w:next w:val="Normal"/>
    <w:autoRedefine/>
    <w:uiPriority w:val="39"/>
    <w:unhideWhenUsed/>
    <w:rsid w:val="00BA2DA9"/>
    <w:pPr>
      <w:spacing w:after="100"/>
      <w:ind w:left="220"/>
    </w:pPr>
  </w:style>
  <w:style w:type="character" w:styleId="Hyperlink">
    <w:name w:val="Hyperlink"/>
    <w:basedOn w:val="DefaultParagraphFont"/>
    <w:uiPriority w:val="99"/>
    <w:unhideWhenUsed/>
    <w:rsid w:val="00BA2DA9"/>
    <w:rPr>
      <w:color w:val="0000FF" w:themeColor="hyperlink"/>
      <w:u w:val="single"/>
    </w:rPr>
  </w:style>
  <w:style w:type="paragraph" w:styleId="Bibliography">
    <w:name w:val="Bibliography"/>
    <w:basedOn w:val="Normal"/>
    <w:next w:val="Normal"/>
    <w:uiPriority w:val="37"/>
    <w:unhideWhenUsed/>
    <w:rsid w:val="00BA2DA9"/>
  </w:style>
  <w:style w:type="paragraph" w:styleId="FootnoteText">
    <w:name w:val="footnote text"/>
    <w:basedOn w:val="Normal"/>
    <w:link w:val="FootnoteTextChar"/>
    <w:uiPriority w:val="99"/>
    <w:semiHidden/>
    <w:unhideWhenUsed/>
    <w:rsid w:val="00A84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2B6"/>
    <w:rPr>
      <w:sz w:val="20"/>
      <w:szCs w:val="20"/>
    </w:rPr>
  </w:style>
  <w:style w:type="character" w:styleId="FootnoteReference">
    <w:name w:val="footnote reference"/>
    <w:basedOn w:val="DefaultParagraphFont"/>
    <w:uiPriority w:val="99"/>
    <w:semiHidden/>
    <w:unhideWhenUsed/>
    <w:rsid w:val="00A842B6"/>
    <w:rPr>
      <w:vertAlign w:val="superscript"/>
    </w:rPr>
  </w:style>
  <w:style w:type="paragraph" w:styleId="Header">
    <w:name w:val="header"/>
    <w:basedOn w:val="Normal"/>
    <w:link w:val="HeaderChar"/>
    <w:uiPriority w:val="99"/>
    <w:unhideWhenUsed/>
    <w:rsid w:val="00531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D65"/>
  </w:style>
  <w:style w:type="paragraph" w:styleId="Footer">
    <w:name w:val="footer"/>
    <w:basedOn w:val="Normal"/>
    <w:link w:val="FooterChar"/>
    <w:uiPriority w:val="99"/>
    <w:unhideWhenUsed/>
    <w:rsid w:val="00531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D65"/>
  </w:style>
  <w:style w:type="table" w:styleId="ColorfulList">
    <w:name w:val="Colorful List"/>
    <w:basedOn w:val="TableNormal"/>
    <w:uiPriority w:val="72"/>
    <w:rsid w:val="00AE45D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TableGrid">
    <w:name w:val="Table Grid"/>
    <w:basedOn w:val="TableNormal"/>
    <w:uiPriority w:val="59"/>
    <w:rsid w:val="00CA6934"/>
    <w:pPr>
      <w:spacing w:after="0" w:line="240" w:lineRule="auto"/>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BD0064"/>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84"/>
  </w:style>
  <w:style w:type="paragraph" w:styleId="Heading1">
    <w:name w:val="heading 1"/>
    <w:basedOn w:val="Normal"/>
    <w:next w:val="Normal"/>
    <w:link w:val="Heading1Char"/>
    <w:uiPriority w:val="9"/>
    <w:qFormat/>
    <w:rsid w:val="0031078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31078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31078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31078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31078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31078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31078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310784"/>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1078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078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310784"/>
    <w:rPr>
      <w:caps/>
      <w:color w:val="632423" w:themeColor="accent2" w:themeShade="80"/>
      <w:spacing w:val="50"/>
      <w:sz w:val="44"/>
      <w:szCs w:val="44"/>
    </w:rPr>
  </w:style>
  <w:style w:type="character" w:customStyle="1" w:styleId="Heading1Char">
    <w:name w:val="Heading 1 Char"/>
    <w:basedOn w:val="DefaultParagraphFont"/>
    <w:link w:val="Heading1"/>
    <w:uiPriority w:val="9"/>
    <w:rsid w:val="00310784"/>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310784"/>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310784"/>
    <w:rPr>
      <w:caps/>
      <w:color w:val="622423" w:themeColor="accent2" w:themeShade="7F"/>
      <w:sz w:val="24"/>
      <w:szCs w:val="24"/>
    </w:rPr>
  </w:style>
  <w:style w:type="character" w:customStyle="1" w:styleId="Heading4Char">
    <w:name w:val="Heading 4 Char"/>
    <w:basedOn w:val="DefaultParagraphFont"/>
    <w:link w:val="Heading4"/>
    <w:uiPriority w:val="9"/>
    <w:semiHidden/>
    <w:rsid w:val="00310784"/>
    <w:rPr>
      <w:caps/>
      <w:color w:val="622423" w:themeColor="accent2" w:themeShade="7F"/>
      <w:spacing w:val="10"/>
    </w:rPr>
  </w:style>
  <w:style w:type="character" w:customStyle="1" w:styleId="Heading5Char">
    <w:name w:val="Heading 5 Char"/>
    <w:basedOn w:val="DefaultParagraphFont"/>
    <w:link w:val="Heading5"/>
    <w:uiPriority w:val="9"/>
    <w:semiHidden/>
    <w:rsid w:val="00310784"/>
    <w:rPr>
      <w:caps/>
      <w:color w:val="622423" w:themeColor="accent2" w:themeShade="7F"/>
      <w:spacing w:val="10"/>
    </w:rPr>
  </w:style>
  <w:style w:type="character" w:customStyle="1" w:styleId="Heading6Char">
    <w:name w:val="Heading 6 Char"/>
    <w:basedOn w:val="DefaultParagraphFont"/>
    <w:link w:val="Heading6"/>
    <w:uiPriority w:val="9"/>
    <w:semiHidden/>
    <w:rsid w:val="00310784"/>
    <w:rPr>
      <w:caps/>
      <w:color w:val="943634" w:themeColor="accent2" w:themeShade="BF"/>
      <w:spacing w:val="10"/>
    </w:rPr>
  </w:style>
  <w:style w:type="character" w:customStyle="1" w:styleId="Heading7Char">
    <w:name w:val="Heading 7 Char"/>
    <w:basedOn w:val="DefaultParagraphFont"/>
    <w:link w:val="Heading7"/>
    <w:uiPriority w:val="9"/>
    <w:semiHidden/>
    <w:rsid w:val="00310784"/>
    <w:rPr>
      <w:i/>
      <w:iCs/>
      <w:caps/>
      <w:color w:val="943634" w:themeColor="accent2" w:themeShade="BF"/>
      <w:spacing w:val="10"/>
    </w:rPr>
  </w:style>
  <w:style w:type="character" w:customStyle="1" w:styleId="Heading8Char">
    <w:name w:val="Heading 8 Char"/>
    <w:basedOn w:val="DefaultParagraphFont"/>
    <w:link w:val="Heading8"/>
    <w:uiPriority w:val="9"/>
    <w:semiHidden/>
    <w:rsid w:val="00310784"/>
    <w:rPr>
      <w:caps/>
      <w:spacing w:val="10"/>
      <w:sz w:val="20"/>
      <w:szCs w:val="20"/>
    </w:rPr>
  </w:style>
  <w:style w:type="character" w:customStyle="1" w:styleId="Heading9Char">
    <w:name w:val="Heading 9 Char"/>
    <w:basedOn w:val="DefaultParagraphFont"/>
    <w:link w:val="Heading9"/>
    <w:uiPriority w:val="9"/>
    <w:semiHidden/>
    <w:rsid w:val="00310784"/>
    <w:rPr>
      <w:i/>
      <w:iCs/>
      <w:caps/>
      <w:spacing w:val="10"/>
      <w:sz w:val="20"/>
      <w:szCs w:val="20"/>
    </w:rPr>
  </w:style>
  <w:style w:type="paragraph" w:styleId="Caption">
    <w:name w:val="caption"/>
    <w:basedOn w:val="Normal"/>
    <w:next w:val="Normal"/>
    <w:uiPriority w:val="35"/>
    <w:unhideWhenUsed/>
    <w:qFormat/>
    <w:rsid w:val="00310784"/>
    <w:rPr>
      <w:caps/>
      <w:spacing w:val="10"/>
      <w:sz w:val="18"/>
      <w:szCs w:val="18"/>
    </w:rPr>
  </w:style>
  <w:style w:type="paragraph" w:styleId="Subtitle">
    <w:name w:val="Subtitle"/>
    <w:basedOn w:val="Normal"/>
    <w:next w:val="Normal"/>
    <w:link w:val="SubtitleChar"/>
    <w:uiPriority w:val="11"/>
    <w:qFormat/>
    <w:rsid w:val="0031078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10784"/>
    <w:rPr>
      <w:caps/>
      <w:spacing w:val="20"/>
      <w:sz w:val="18"/>
      <w:szCs w:val="18"/>
    </w:rPr>
  </w:style>
  <w:style w:type="character" w:styleId="Strong">
    <w:name w:val="Strong"/>
    <w:uiPriority w:val="22"/>
    <w:qFormat/>
    <w:rsid w:val="00310784"/>
    <w:rPr>
      <w:b/>
      <w:bCs/>
      <w:color w:val="943634" w:themeColor="accent2" w:themeShade="BF"/>
      <w:spacing w:val="5"/>
    </w:rPr>
  </w:style>
  <w:style w:type="character" w:styleId="Emphasis">
    <w:name w:val="Emphasis"/>
    <w:uiPriority w:val="20"/>
    <w:qFormat/>
    <w:rsid w:val="00310784"/>
    <w:rPr>
      <w:caps/>
      <w:spacing w:val="5"/>
      <w:sz w:val="20"/>
      <w:szCs w:val="20"/>
    </w:rPr>
  </w:style>
  <w:style w:type="paragraph" w:styleId="NoSpacing">
    <w:name w:val="No Spacing"/>
    <w:basedOn w:val="Normal"/>
    <w:link w:val="NoSpacingChar"/>
    <w:uiPriority w:val="1"/>
    <w:qFormat/>
    <w:rsid w:val="00310784"/>
    <w:pPr>
      <w:spacing w:after="0" w:line="240" w:lineRule="auto"/>
    </w:pPr>
  </w:style>
  <w:style w:type="character" w:customStyle="1" w:styleId="NoSpacingChar">
    <w:name w:val="No Spacing Char"/>
    <w:basedOn w:val="DefaultParagraphFont"/>
    <w:link w:val="NoSpacing"/>
    <w:uiPriority w:val="1"/>
    <w:rsid w:val="00310784"/>
  </w:style>
  <w:style w:type="paragraph" w:styleId="ListParagraph">
    <w:name w:val="List Paragraph"/>
    <w:basedOn w:val="Normal"/>
    <w:uiPriority w:val="34"/>
    <w:qFormat/>
    <w:rsid w:val="00310784"/>
    <w:pPr>
      <w:ind w:left="720"/>
      <w:contextualSpacing/>
    </w:pPr>
  </w:style>
  <w:style w:type="paragraph" w:styleId="Quote">
    <w:name w:val="Quote"/>
    <w:basedOn w:val="Normal"/>
    <w:next w:val="Normal"/>
    <w:link w:val="QuoteChar"/>
    <w:uiPriority w:val="29"/>
    <w:qFormat/>
    <w:rsid w:val="00310784"/>
    <w:rPr>
      <w:i/>
      <w:iCs/>
    </w:rPr>
  </w:style>
  <w:style w:type="character" w:customStyle="1" w:styleId="QuoteChar">
    <w:name w:val="Quote Char"/>
    <w:basedOn w:val="DefaultParagraphFont"/>
    <w:link w:val="Quote"/>
    <w:uiPriority w:val="29"/>
    <w:rsid w:val="00310784"/>
    <w:rPr>
      <w:i/>
      <w:iCs/>
    </w:rPr>
  </w:style>
  <w:style w:type="paragraph" w:styleId="IntenseQuote">
    <w:name w:val="Intense Quote"/>
    <w:basedOn w:val="Normal"/>
    <w:next w:val="Normal"/>
    <w:link w:val="IntenseQuoteChar"/>
    <w:uiPriority w:val="30"/>
    <w:qFormat/>
    <w:rsid w:val="0031078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310784"/>
    <w:rPr>
      <w:caps/>
      <w:color w:val="622423" w:themeColor="accent2" w:themeShade="7F"/>
      <w:spacing w:val="5"/>
      <w:sz w:val="20"/>
      <w:szCs w:val="20"/>
    </w:rPr>
  </w:style>
  <w:style w:type="character" w:styleId="SubtleEmphasis">
    <w:name w:val="Subtle Emphasis"/>
    <w:uiPriority w:val="19"/>
    <w:qFormat/>
    <w:rsid w:val="00310784"/>
    <w:rPr>
      <w:i/>
      <w:iCs/>
    </w:rPr>
  </w:style>
  <w:style w:type="character" w:styleId="IntenseEmphasis">
    <w:name w:val="Intense Emphasis"/>
    <w:uiPriority w:val="21"/>
    <w:qFormat/>
    <w:rsid w:val="00310784"/>
    <w:rPr>
      <w:i/>
      <w:iCs/>
      <w:caps/>
      <w:spacing w:val="10"/>
      <w:sz w:val="20"/>
      <w:szCs w:val="20"/>
    </w:rPr>
  </w:style>
  <w:style w:type="character" w:styleId="SubtleReference">
    <w:name w:val="Subtle Reference"/>
    <w:basedOn w:val="DefaultParagraphFont"/>
    <w:uiPriority w:val="31"/>
    <w:qFormat/>
    <w:rsid w:val="0031078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31078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31078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310784"/>
    <w:pPr>
      <w:outlineLvl w:val="9"/>
    </w:pPr>
    <w:rPr>
      <w:lang w:bidi="en-US"/>
    </w:rPr>
  </w:style>
  <w:style w:type="paragraph" w:styleId="BalloonText">
    <w:name w:val="Balloon Text"/>
    <w:basedOn w:val="Normal"/>
    <w:link w:val="BalloonTextChar"/>
    <w:uiPriority w:val="99"/>
    <w:semiHidden/>
    <w:unhideWhenUsed/>
    <w:rsid w:val="00310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84"/>
    <w:rPr>
      <w:rFonts w:ascii="Tahoma" w:hAnsi="Tahoma" w:cs="Tahoma"/>
      <w:sz w:val="16"/>
      <w:szCs w:val="16"/>
    </w:rPr>
  </w:style>
  <w:style w:type="paragraph" w:styleId="TOC1">
    <w:name w:val="toc 1"/>
    <w:basedOn w:val="Normal"/>
    <w:next w:val="Normal"/>
    <w:autoRedefine/>
    <w:uiPriority w:val="39"/>
    <w:unhideWhenUsed/>
    <w:rsid w:val="00BA2DA9"/>
    <w:pPr>
      <w:spacing w:after="100"/>
    </w:pPr>
  </w:style>
  <w:style w:type="paragraph" w:styleId="TOC2">
    <w:name w:val="toc 2"/>
    <w:basedOn w:val="Normal"/>
    <w:next w:val="Normal"/>
    <w:autoRedefine/>
    <w:uiPriority w:val="39"/>
    <w:unhideWhenUsed/>
    <w:rsid w:val="00BA2DA9"/>
    <w:pPr>
      <w:spacing w:after="100"/>
      <w:ind w:left="220"/>
    </w:pPr>
  </w:style>
  <w:style w:type="character" w:styleId="Hyperlink">
    <w:name w:val="Hyperlink"/>
    <w:basedOn w:val="DefaultParagraphFont"/>
    <w:uiPriority w:val="99"/>
    <w:unhideWhenUsed/>
    <w:rsid w:val="00BA2DA9"/>
    <w:rPr>
      <w:color w:val="0000FF" w:themeColor="hyperlink"/>
      <w:u w:val="single"/>
    </w:rPr>
  </w:style>
  <w:style w:type="paragraph" w:styleId="Bibliography">
    <w:name w:val="Bibliography"/>
    <w:basedOn w:val="Normal"/>
    <w:next w:val="Normal"/>
    <w:uiPriority w:val="37"/>
    <w:unhideWhenUsed/>
    <w:rsid w:val="00BA2DA9"/>
  </w:style>
  <w:style w:type="paragraph" w:styleId="FootnoteText">
    <w:name w:val="footnote text"/>
    <w:basedOn w:val="Normal"/>
    <w:link w:val="FootnoteTextChar"/>
    <w:uiPriority w:val="99"/>
    <w:semiHidden/>
    <w:unhideWhenUsed/>
    <w:rsid w:val="00A842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2B6"/>
    <w:rPr>
      <w:sz w:val="20"/>
      <w:szCs w:val="20"/>
    </w:rPr>
  </w:style>
  <w:style w:type="character" w:styleId="FootnoteReference">
    <w:name w:val="footnote reference"/>
    <w:basedOn w:val="DefaultParagraphFont"/>
    <w:uiPriority w:val="99"/>
    <w:semiHidden/>
    <w:unhideWhenUsed/>
    <w:rsid w:val="00A842B6"/>
    <w:rPr>
      <w:vertAlign w:val="superscript"/>
    </w:rPr>
  </w:style>
  <w:style w:type="paragraph" w:styleId="Header">
    <w:name w:val="header"/>
    <w:basedOn w:val="Normal"/>
    <w:link w:val="HeaderChar"/>
    <w:uiPriority w:val="99"/>
    <w:unhideWhenUsed/>
    <w:rsid w:val="00531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D65"/>
  </w:style>
  <w:style w:type="paragraph" w:styleId="Footer">
    <w:name w:val="footer"/>
    <w:basedOn w:val="Normal"/>
    <w:link w:val="FooterChar"/>
    <w:uiPriority w:val="99"/>
    <w:unhideWhenUsed/>
    <w:rsid w:val="00531D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D65"/>
  </w:style>
  <w:style w:type="table" w:styleId="ColorfulList">
    <w:name w:val="Colorful List"/>
    <w:basedOn w:val="TableNormal"/>
    <w:uiPriority w:val="72"/>
    <w:rsid w:val="00AE45D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TableGrid">
    <w:name w:val="Table Grid"/>
    <w:basedOn w:val="TableNormal"/>
    <w:uiPriority w:val="59"/>
    <w:rsid w:val="00CA6934"/>
    <w:pPr>
      <w:spacing w:after="0" w:line="240" w:lineRule="auto"/>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BD0064"/>
    <w:pPr>
      <w:spacing w:after="100"/>
      <w:ind w:left="4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9E8195-9D35-4031-B72D-6E4ED29A43B2}" type="doc">
      <dgm:prSet loTypeId="urn:microsoft.com/office/officeart/2005/8/layout/process2" loCatId="process" qsTypeId="urn:microsoft.com/office/officeart/2005/8/quickstyle/simple1" qsCatId="simple" csTypeId="urn:microsoft.com/office/officeart/2005/8/colors/accent0_1" csCatId="mainScheme" phldr="1"/>
      <dgm:spPr/>
    </dgm:pt>
    <dgm:pt modelId="{146F3A43-E542-487D-85D2-A0943BEFA4F2}">
      <dgm:prSet phldrT="[Text]" custT="1"/>
      <dgm:spPr/>
      <dgm:t>
        <a:bodyPr/>
        <a:lstStyle/>
        <a:p>
          <a:r>
            <a:rPr lang="nl-NL" sz="1200"/>
            <a:t>- Scenarios and long term explorations 1995 - 2020 (CPB, 1996)</a:t>
          </a:r>
          <a:br>
            <a:rPr lang="nl-NL" sz="1200"/>
          </a:br>
          <a:r>
            <a:rPr lang="nl-NL" sz="1200"/>
            <a:t>- Assumptions about the state of the economy in the future are made</a:t>
          </a:r>
          <a:br>
            <a:rPr lang="nl-NL" sz="1200"/>
          </a:br>
          <a:r>
            <a:rPr lang="nl-NL" sz="1200"/>
            <a:t>- Growth figures for various sectors and economic variables</a:t>
          </a:r>
        </a:p>
      </dgm:t>
    </dgm:pt>
    <dgm:pt modelId="{11A6CD3E-8DBD-4CDC-AD93-7827DE5DDD77}" type="parTrans" cxnId="{D5E3F418-A0C6-4C3C-B545-51F24CECA958}">
      <dgm:prSet/>
      <dgm:spPr/>
      <dgm:t>
        <a:bodyPr/>
        <a:lstStyle/>
        <a:p>
          <a:endParaRPr lang="nl-NL"/>
        </a:p>
      </dgm:t>
    </dgm:pt>
    <dgm:pt modelId="{89A51104-C56A-4C60-ABD6-F693320D262C}" type="sibTrans" cxnId="{D5E3F418-A0C6-4C3C-B545-51F24CECA958}">
      <dgm:prSet/>
      <dgm:spPr/>
      <dgm:t>
        <a:bodyPr/>
        <a:lstStyle/>
        <a:p>
          <a:endParaRPr lang="nl-NL"/>
        </a:p>
      </dgm:t>
    </dgm:pt>
    <dgm:pt modelId="{9205266E-06A3-4134-9B74-78FE9FDE891D}">
      <dgm:prSet phldrT="[Text]" custT="1"/>
      <dgm:spPr/>
      <dgm:t>
        <a:bodyPr/>
        <a:lstStyle/>
        <a:p>
          <a:r>
            <a:rPr lang="nl-NL" sz="1200"/>
            <a:t>- Explorations 2020, sector studies</a:t>
          </a:r>
          <a:br>
            <a:rPr lang="nl-NL" sz="1200"/>
          </a:br>
          <a:r>
            <a:rPr lang="nl-NL" sz="1200"/>
            <a:t>- Market share analysis</a:t>
          </a:r>
          <a:br>
            <a:rPr lang="nl-NL" sz="1200"/>
          </a:br>
          <a:r>
            <a:rPr lang="nl-NL" sz="1200"/>
            <a:t>- Potential sector growth figures for the Port of Rotterdam</a:t>
          </a:r>
        </a:p>
      </dgm:t>
    </dgm:pt>
    <dgm:pt modelId="{771938F1-7A99-4861-A3C0-F4AA17089C7F}" type="parTrans" cxnId="{6219F017-ACA4-4194-A9DA-744246AE4F31}">
      <dgm:prSet/>
      <dgm:spPr/>
      <dgm:t>
        <a:bodyPr/>
        <a:lstStyle/>
        <a:p>
          <a:endParaRPr lang="nl-NL"/>
        </a:p>
      </dgm:t>
    </dgm:pt>
    <dgm:pt modelId="{0A8E5347-B183-4A4F-91E2-017E8BF71142}" type="sibTrans" cxnId="{6219F017-ACA4-4194-A9DA-744246AE4F31}">
      <dgm:prSet/>
      <dgm:spPr/>
      <dgm:t>
        <a:bodyPr/>
        <a:lstStyle/>
        <a:p>
          <a:endParaRPr lang="nl-NL"/>
        </a:p>
      </dgm:t>
    </dgm:pt>
    <dgm:pt modelId="{FA6640F7-12E9-4824-8674-827EEFDD6FFA}">
      <dgm:prSet phldrT="[Text]" custT="1"/>
      <dgm:spPr/>
      <dgm:t>
        <a:bodyPr/>
        <a:lstStyle/>
        <a:p>
          <a:r>
            <a:rPr lang="nl-NL" sz="1200"/>
            <a:t>-Explorations 2020, sector studies</a:t>
          </a:r>
          <a:br>
            <a:rPr lang="nl-NL" sz="1200"/>
          </a:br>
          <a:r>
            <a:rPr lang="nl-NL" sz="1200"/>
            <a:t>-Adjustment for spatial productivity figures</a:t>
          </a:r>
          <a:br>
            <a:rPr lang="nl-NL" sz="1200"/>
          </a:br>
          <a:r>
            <a:rPr lang="nl-NL" sz="1200"/>
            <a:t>-Final predicted terrain demand per sector</a:t>
          </a:r>
        </a:p>
      </dgm:t>
    </dgm:pt>
    <dgm:pt modelId="{75254E1B-322B-4F48-8CE7-95DCE91D2B67}" type="parTrans" cxnId="{07C40579-8506-4073-A1A2-C4DB78C78700}">
      <dgm:prSet/>
      <dgm:spPr/>
      <dgm:t>
        <a:bodyPr/>
        <a:lstStyle/>
        <a:p>
          <a:endParaRPr lang="nl-NL"/>
        </a:p>
      </dgm:t>
    </dgm:pt>
    <dgm:pt modelId="{372C0882-F419-43D7-9DA6-E84D88992702}" type="sibTrans" cxnId="{07C40579-8506-4073-A1A2-C4DB78C78700}">
      <dgm:prSet/>
      <dgm:spPr/>
      <dgm:t>
        <a:bodyPr/>
        <a:lstStyle/>
        <a:p>
          <a:endParaRPr lang="nl-NL"/>
        </a:p>
      </dgm:t>
    </dgm:pt>
    <dgm:pt modelId="{F4736E45-B07D-4F61-BA34-EF5067D91E9C}">
      <dgm:prSet phldrT="[Text]" custT="1"/>
      <dgm:spPr/>
      <dgm:t>
        <a:bodyPr/>
        <a:lstStyle/>
        <a:p>
          <a:r>
            <a:rPr lang="nl-NL" sz="1200"/>
            <a:t>- Explorations 2020 (GHR 1996), GSM7 model document (GHR 1998b), sector studies</a:t>
          </a:r>
          <a:br>
            <a:rPr lang="nl-NL" sz="1200"/>
          </a:br>
          <a:r>
            <a:rPr lang="nl-NL" sz="1200"/>
            <a:t>- Models and calculations are used to transform the economic variable growth figures</a:t>
          </a:r>
          <a:br>
            <a:rPr lang="nl-NL" sz="1200"/>
          </a:br>
          <a:r>
            <a:rPr lang="nl-NL" sz="1200"/>
            <a:t>- Sector growth figures for the Netherlands, Europe or other relevant areas</a:t>
          </a:r>
        </a:p>
      </dgm:t>
    </dgm:pt>
    <dgm:pt modelId="{65358584-209E-45B8-901E-219BA3C1D307}" type="parTrans" cxnId="{3E4F3F2B-F5B6-4412-99ED-BEC29D5A4D9F}">
      <dgm:prSet/>
      <dgm:spPr/>
      <dgm:t>
        <a:bodyPr/>
        <a:lstStyle/>
        <a:p>
          <a:endParaRPr lang="nl-NL"/>
        </a:p>
      </dgm:t>
    </dgm:pt>
    <dgm:pt modelId="{3AFA5049-768D-442E-A038-8079E513CF7D}" type="sibTrans" cxnId="{3E4F3F2B-F5B6-4412-99ED-BEC29D5A4D9F}">
      <dgm:prSet/>
      <dgm:spPr/>
      <dgm:t>
        <a:bodyPr/>
        <a:lstStyle/>
        <a:p>
          <a:endParaRPr lang="nl-NL"/>
        </a:p>
      </dgm:t>
    </dgm:pt>
    <dgm:pt modelId="{E2BF8A91-97D5-44BD-B865-6E7E5BF0FA48}" type="pres">
      <dgm:prSet presAssocID="{BA9E8195-9D35-4031-B72D-6E4ED29A43B2}" presName="linearFlow" presStyleCnt="0">
        <dgm:presLayoutVars>
          <dgm:resizeHandles val="exact"/>
        </dgm:presLayoutVars>
      </dgm:prSet>
      <dgm:spPr/>
    </dgm:pt>
    <dgm:pt modelId="{BAC0683C-6E23-4788-A857-23ED72095CC9}" type="pres">
      <dgm:prSet presAssocID="{146F3A43-E542-487D-85D2-A0943BEFA4F2}" presName="node" presStyleLbl="node1" presStyleIdx="0" presStyleCnt="4" custScaleX="235945">
        <dgm:presLayoutVars>
          <dgm:bulletEnabled val="1"/>
        </dgm:presLayoutVars>
      </dgm:prSet>
      <dgm:spPr/>
      <dgm:t>
        <a:bodyPr/>
        <a:lstStyle/>
        <a:p>
          <a:endParaRPr lang="nl-NL"/>
        </a:p>
      </dgm:t>
    </dgm:pt>
    <dgm:pt modelId="{052DB1C9-ACCC-44B0-B07E-9E30568AA669}" type="pres">
      <dgm:prSet presAssocID="{89A51104-C56A-4C60-ABD6-F693320D262C}" presName="sibTrans" presStyleLbl="sibTrans2D1" presStyleIdx="0" presStyleCnt="3"/>
      <dgm:spPr/>
      <dgm:t>
        <a:bodyPr/>
        <a:lstStyle/>
        <a:p>
          <a:endParaRPr lang="nl-NL"/>
        </a:p>
      </dgm:t>
    </dgm:pt>
    <dgm:pt modelId="{0FD57860-0DF2-4AEA-B520-57A94CE56804}" type="pres">
      <dgm:prSet presAssocID="{89A51104-C56A-4C60-ABD6-F693320D262C}" presName="connectorText" presStyleLbl="sibTrans2D1" presStyleIdx="0" presStyleCnt="3"/>
      <dgm:spPr/>
      <dgm:t>
        <a:bodyPr/>
        <a:lstStyle/>
        <a:p>
          <a:endParaRPr lang="nl-NL"/>
        </a:p>
      </dgm:t>
    </dgm:pt>
    <dgm:pt modelId="{5F6913BC-4447-46CD-B04A-4967FF5383DC}" type="pres">
      <dgm:prSet presAssocID="{F4736E45-B07D-4F61-BA34-EF5067D91E9C}" presName="node" presStyleLbl="node1" presStyleIdx="1" presStyleCnt="4" custScaleX="235945" custLinFactNeighborY="-32164">
        <dgm:presLayoutVars>
          <dgm:bulletEnabled val="1"/>
        </dgm:presLayoutVars>
      </dgm:prSet>
      <dgm:spPr/>
      <dgm:t>
        <a:bodyPr/>
        <a:lstStyle/>
        <a:p>
          <a:endParaRPr lang="nl-NL"/>
        </a:p>
      </dgm:t>
    </dgm:pt>
    <dgm:pt modelId="{60947890-7673-490A-A6B1-59F9C150DFEC}" type="pres">
      <dgm:prSet presAssocID="{3AFA5049-768D-442E-A038-8079E513CF7D}" presName="sibTrans" presStyleLbl="sibTrans2D1" presStyleIdx="1" presStyleCnt="3"/>
      <dgm:spPr/>
      <dgm:t>
        <a:bodyPr/>
        <a:lstStyle/>
        <a:p>
          <a:endParaRPr lang="nl-NL"/>
        </a:p>
      </dgm:t>
    </dgm:pt>
    <dgm:pt modelId="{A93E0B13-DE79-41A1-B815-2C12B2FCC152}" type="pres">
      <dgm:prSet presAssocID="{3AFA5049-768D-442E-A038-8079E513CF7D}" presName="connectorText" presStyleLbl="sibTrans2D1" presStyleIdx="1" presStyleCnt="3"/>
      <dgm:spPr/>
      <dgm:t>
        <a:bodyPr/>
        <a:lstStyle/>
        <a:p>
          <a:endParaRPr lang="nl-NL"/>
        </a:p>
      </dgm:t>
    </dgm:pt>
    <dgm:pt modelId="{1FF64F47-E536-4BB7-A9A8-A1400328539C}" type="pres">
      <dgm:prSet presAssocID="{9205266E-06A3-4134-9B74-78FE9FDE891D}" presName="node" presStyleLbl="node1" presStyleIdx="2" presStyleCnt="4" custScaleX="235945" custLinFactNeighborY="-57895">
        <dgm:presLayoutVars>
          <dgm:bulletEnabled val="1"/>
        </dgm:presLayoutVars>
      </dgm:prSet>
      <dgm:spPr/>
      <dgm:t>
        <a:bodyPr/>
        <a:lstStyle/>
        <a:p>
          <a:endParaRPr lang="nl-NL"/>
        </a:p>
      </dgm:t>
    </dgm:pt>
    <dgm:pt modelId="{78F368F4-7552-4D07-AE8C-4738ADF91666}" type="pres">
      <dgm:prSet presAssocID="{0A8E5347-B183-4A4F-91E2-017E8BF71142}" presName="sibTrans" presStyleLbl="sibTrans2D1" presStyleIdx="2" presStyleCnt="3"/>
      <dgm:spPr/>
      <dgm:t>
        <a:bodyPr/>
        <a:lstStyle/>
        <a:p>
          <a:endParaRPr lang="nl-NL"/>
        </a:p>
      </dgm:t>
    </dgm:pt>
    <dgm:pt modelId="{0BF21FCD-4FEC-417E-A0DA-4D6367305700}" type="pres">
      <dgm:prSet presAssocID="{0A8E5347-B183-4A4F-91E2-017E8BF71142}" presName="connectorText" presStyleLbl="sibTrans2D1" presStyleIdx="2" presStyleCnt="3"/>
      <dgm:spPr/>
      <dgm:t>
        <a:bodyPr/>
        <a:lstStyle/>
        <a:p>
          <a:endParaRPr lang="nl-NL"/>
        </a:p>
      </dgm:t>
    </dgm:pt>
    <dgm:pt modelId="{DC98408D-76F9-44DD-BEA8-8F3ADA7F381C}" type="pres">
      <dgm:prSet presAssocID="{FA6640F7-12E9-4824-8674-827EEFDD6FFA}" presName="node" presStyleLbl="node1" presStyleIdx="3" presStyleCnt="4" custScaleX="235945" custLinFactNeighborY="-79338">
        <dgm:presLayoutVars>
          <dgm:bulletEnabled val="1"/>
        </dgm:presLayoutVars>
      </dgm:prSet>
      <dgm:spPr/>
      <dgm:t>
        <a:bodyPr/>
        <a:lstStyle/>
        <a:p>
          <a:endParaRPr lang="nl-NL"/>
        </a:p>
      </dgm:t>
    </dgm:pt>
  </dgm:ptLst>
  <dgm:cxnLst>
    <dgm:cxn modelId="{CC117CF7-23A7-4403-95EB-5259FFBFD4E3}" type="presOf" srcId="{0A8E5347-B183-4A4F-91E2-017E8BF71142}" destId="{78F368F4-7552-4D07-AE8C-4738ADF91666}" srcOrd="0" destOrd="0" presId="urn:microsoft.com/office/officeart/2005/8/layout/process2"/>
    <dgm:cxn modelId="{6219F017-ACA4-4194-A9DA-744246AE4F31}" srcId="{BA9E8195-9D35-4031-B72D-6E4ED29A43B2}" destId="{9205266E-06A3-4134-9B74-78FE9FDE891D}" srcOrd="2" destOrd="0" parTransId="{771938F1-7A99-4861-A3C0-F4AA17089C7F}" sibTransId="{0A8E5347-B183-4A4F-91E2-017E8BF71142}"/>
    <dgm:cxn modelId="{197E6761-B5BE-43C9-AE14-E1411450EB39}" type="presOf" srcId="{BA9E8195-9D35-4031-B72D-6E4ED29A43B2}" destId="{E2BF8A91-97D5-44BD-B865-6E7E5BF0FA48}" srcOrd="0" destOrd="0" presId="urn:microsoft.com/office/officeart/2005/8/layout/process2"/>
    <dgm:cxn modelId="{645D3359-CFE6-4A28-B4B7-D84DA7E45262}" type="presOf" srcId="{0A8E5347-B183-4A4F-91E2-017E8BF71142}" destId="{0BF21FCD-4FEC-417E-A0DA-4D6367305700}" srcOrd="1" destOrd="0" presId="urn:microsoft.com/office/officeart/2005/8/layout/process2"/>
    <dgm:cxn modelId="{644136C2-FF69-4ACB-9812-65F4779351DC}" type="presOf" srcId="{89A51104-C56A-4C60-ABD6-F693320D262C}" destId="{0FD57860-0DF2-4AEA-B520-57A94CE56804}" srcOrd="1" destOrd="0" presId="urn:microsoft.com/office/officeart/2005/8/layout/process2"/>
    <dgm:cxn modelId="{C0F9104F-E957-4D50-9E20-9E81038957E8}" type="presOf" srcId="{3AFA5049-768D-442E-A038-8079E513CF7D}" destId="{60947890-7673-490A-A6B1-59F9C150DFEC}" srcOrd="0" destOrd="0" presId="urn:microsoft.com/office/officeart/2005/8/layout/process2"/>
    <dgm:cxn modelId="{BF3B42AD-297F-4CE0-BBB7-255FBFB2E312}" type="presOf" srcId="{146F3A43-E542-487D-85D2-A0943BEFA4F2}" destId="{BAC0683C-6E23-4788-A857-23ED72095CC9}" srcOrd="0" destOrd="0" presId="urn:microsoft.com/office/officeart/2005/8/layout/process2"/>
    <dgm:cxn modelId="{D08345D0-9B95-4C06-84DB-D155A11149A5}" type="presOf" srcId="{3AFA5049-768D-442E-A038-8079E513CF7D}" destId="{A93E0B13-DE79-41A1-B815-2C12B2FCC152}" srcOrd="1" destOrd="0" presId="urn:microsoft.com/office/officeart/2005/8/layout/process2"/>
    <dgm:cxn modelId="{406718E8-9A1A-4304-A213-BBF92E047F8C}" type="presOf" srcId="{F4736E45-B07D-4F61-BA34-EF5067D91E9C}" destId="{5F6913BC-4447-46CD-B04A-4967FF5383DC}" srcOrd="0" destOrd="0" presId="urn:microsoft.com/office/officeart/2005/8/layout/process2"/>
    <dgm:cxn modelId="{518D1863-F3AD-4CF2-B44A-E486D5440279}" type="presOf" srcId="{FA6640F7-12E9-4824-8674-827EEFDD6FFA}" destId="{DC98408D-76F9-44DD-BEA8-8F3ADA7F381C}" srcOrd="0" destOrd="0" presId="urn:microsoft.com/office/officeart/2005/8/layout/process2"/>
    <dgm:cxn modelId="{D5E3F418-A0C6-4C3C-B545-51F24CECA958}" srcId="{BA9E8195-9D35-4031-B72D-6E4ED29A43B2}" destId="{146F3A43-E542-487D-85D2-A0943BEFA4F2}" srcOrd="0" destOrd="0" parTransId="{11A6CD3E-8DBD-4CDC-AD93-7827DE5DDD77}" sibTransId="{89A51104-C56A-4C60-ABD6-F693320D262C}"/>
    <dgm:cxn modelId="{3E4F3F2B-F5B6-4412-99ED-BEC29D5A4D9F}" srcId="{BA9E8195-9D35-4031-B72D-6E4ED29A43B2}" destId="{F4736E45-B07D-4F61-BA34-EF5067D91E9C}" srcOrd="1" destOrd="0" parTransId="{65358584-209E-45B8-901E-219BA3C1D307}" sibTransId="{3AFA5049-768D-442E-A038-8079E513CF7D}"/>
    <dgm:cxn modelId="{07C40579-8506-4073-A1A2-C4DB78C78700}" srcId="{BA9E8195-9D35-4031-B72D-6E4ED29A43B2}" destId="{FA6640F7-12E9-4824-8674-827EEFDD6FFA}" srcOrd="3" destOrd="0" parTransId="{75254E1B-322B-4F48-8CE7-95DCE91D2B67}" sibTransId="{372C0882-F419-43D7-9DA6-E84D88992702}"/>
    <dgm:cxn modelId="{4CF66252-650C-4372-8381-F7C874A01606}" type="presOf" srcId="{9205266E-06A3-4134-9B74-78FE9FDE891D}" destId="{1FF64F47-E536-4BB7-A9A8-A1400328539C}" srcOrd="0" destOrd="0" presId="urn:microsoft.com/office/officeart/2005/8/layout/process2"/>
    <dgm:cxn modelId="{157652EE-B563-4F7F-823C-CE48EF7A7E41}" type="presOf" srcId="{89A51104-C56A-4C60-ABD6-F693320D262C}" destId="{052DB1C9-ACCC-44B0-B07E-9E30568AA669}" srcOrd="0" destOrd="0" presId="urn:microsoft.com/office/officeart/2005/8/layout/process2"/>
    <dgm:cxn modelId="{E2E043BE-4899-452B-B682-50A6983C5823}" type="presParOf" srcId="{E2BF8A91-97D5-44BD-B865-6E7E5BF0FA48}" destId="{BAC0683C-6E23-4788-A857-23ED72095CC9}" srcOrd="0" destOrd="0" presId="urn:microsoft.com/office/officeart/2005/8/layout/process2"/>
    <dgm:cxn modelId="{9DE6D98C-9286-4322-905F-9C32AEE1605F}" type="presParOf" srcId="{E2BF8A91-97D5-44BD-B865-6E7E5BF0FA48}" destId="{052DB1C9-ACCC-44B0-B07E-9E30568AA669}" srcOrd="1" destOrd="0" presId="urn:microsoft.com/office/officeart/2005/8/layout/process2"/>
    <dgm:cxn modelId="{4E58AA4B-F946-4783-997E-12DBF761414E}" type="presParOf" srcId="{052DB1C9-ACCC-44B0-B07E-9E30568AA669}" destId="{0FD57860-0DF2-4AEA-B520-57A94CE56804}" srcOrd="0" destOrd="0" presId="urn:microsoft.com/office/officeart/2005/8/layout/process2"/>
    <dgm:cxn modelId="{F2EB6DD0-36A3-471F-8221-6521E6CEB87A}" type="presParOf" srcId="{E2BF8A91-97D5-44BD-B865-6E7E5BF0FA48}" destId="{5F6913BC-4447-46CD-B04A-4967FF5383DC}" srcOrd="2" destOrd="0" presId="urn:microsoft.com/office/officeart/2005/8/layout/process2"/>
    <dgm:cxn modelId="{617FD552-EFCE-45AC-A774-9319C059603A}" type="presParOf" srcId="{E2BF8A91-97D5-44BD-B865-6E7E5BF0FA48}" destId="{60947890-7673-490A-A6B1-59F9C150DFEC}" srcOrd="3" destOrd="0" presId="urn:microsoft.com/office/officeart/2005/8/layout/process2"/>
    <dgm:cxn modelId="{20BD7EF6-7E7C-4DAB-AA62-EA2DA13B579F}" type="presParOf" srcId="{60947890-7673-490A-A6B1-59F9C150DFEC}" destId="{A93E0B13-DE79-41A1-B815-2C12B2FCC152}" srcOrd="0" destOrd="0" presId="urn:microsoft.com/office/officeart/2005/8/layout/process2"/>
    <dgm:cxn modelId="{8710B67C-4213-4305-94D2-2F07BA0D2CC7}" type="presParOf" srcId="{E2BF8A91-97D5-44BD-B865-6E7E5BF0FA48}" destId="{1FF64F47-E536-4BB7-A9A8-A1400328539C}" srcOrd="4" destOrd="0" presId="urn:microsoft.com/office/officeart/2005/8/layout/process2"/>
    <dgm:cxn modelId="{984A95A5-A761-431F-94B4-BA85FCCBD3C3}" type="presParOf" srcId="{E2BF8A91-97D5-44BD-B865-6E7E5BF0FA48}" destId="{78F368F4-7552-4D07-AE8C-4738ADF91666}" srcOrd="5" destOrd="0" presId="urn:microsoft.com/office/officeart/2005/8/layout/process2"/>
    <dgm:cxn modelId="{D4415BC2-F3CD-45BB-A719-91EA396E6A0A}" type="presParOf" srcId="{78F368F4-7552-4D07-AE8C-4738ADF91666}" destId="{0BF21FCD-4FEC-417E-A0DA-4D6367305700}" srcOrd="0" destOrd="0" presId="urn:microsoft.com/office/officeart/2005/8/layout/process2"/>
    <dgm:cxn modelId="{D0EDA98D-2E3D-4F8C-B955-F0E347AFDDAB}" type="presParOf" srcId="{E2BF8A91-97D5-44BD-B865-6E7E5BF0FA48}" destId="{DC98408D-76F9-44DD-BEA8-8F3ADA7F381C}" srcOrd="6" destOrd="0" presId="urn:microsoft.com/office/officeart/2005/8/layout/process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AC0683C-6E23-4788-A857-23ED72095CC9}">
      <dsp:nvSpPr>
        <dsp:cNvPr id="0" name=""/>
        <dsp:cNvSpPr/>
      </dsp:nvSpPr>
      <dsp:spPr>
        <a:xfrm>
          <a:off x="0" y="3678"/>
          <a:ext cx="5486400" cy="68392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kern="1200"/>
            <a:t>- Scenarios and long term explorations 1995 - 2020 (CPB, 1996)</a:t>
          </a:r>
          <a:br>
            <a:rPr lang="nl-NL" sz="1200" kern="1200"/>
          </a:br>
          <a:r>
            <a:rPr lang="nl-NL" sz="1200" kern="1200"/>
            <a:t>- Assumptions about the state of the economy in the future are made</a:t>
          </a:r>
          <a:br>
            <a:rPr lang="nl-NL" sz="1200" kern="1200"/>
          </a:br>
          <a:r>
            <a:rPr lang="nl-NL" sz="1200" kern="1200"/>
            <a:t>- Growth figures for various sectors and economic variables</a:t>
          </a:r>
        </a:p>
      </dsp:txBody>
      <dsp:txXfrm>
        <a:off x="0" y="3678"/>
        <a:ext cx="5486400" cy="683920"/>
      </dsp:txXfrm>
    </dsp:sp>
    <dsp:sp modelId="{052DB1C9-ACCC-44B0-B07E-9E30568AA669}">
      <dsp:nvSpPr>
        <dsp:cNvPr id="0" name=""/>
        <dsp:cNvSpPr/>
      </dsp:nvSpPr>
      <dsp:spPr>
        <a:xfrm rot="5400000">
          <a:off x="2656210" y="649703"/>
          <a:ext cx="173979" cy="3077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nl-NL" sz="800" kern="1200"/>
        </a:p>
      </dsp:txBody>
      <dsp:txXfrm rot="5400000">
        <a:off x="2656210" y="649703"/>
        <a:ext cx="173979" cy="307764"/>
      </dsp:txXfrm>
    </dsp:sp>
    <dsp:sp modelId="{5F6913BC-4447-46CD-B04A-4967FF5383DC}">
      <dsp:nvSpPr>
        <dsp:cNvPr id="0" name=""/>
        <dsp:cNvSpPr/>
      </dsp:nvSpPr>
      <dsp:spPr>
        <a:xfrm>
          <a:off x="0" y="919571"/>
          <a:ext cx="5486400" cy="68392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kern="1200"/>
            <a:t>- Explorations 2020 (GHR 1996), GSM7 model document (GHR 1998b), sector studies</a:t>
          </a:r>
          <a:br>
            <a:rPr lang="nl-NL" sz="1200" kern="1200"/>
          </a:br>
          <a:r>
            <a:rPr lang="nl-NL" sz="1200" kern="1200"/>
            <a:t>- Models and calculations are used to transform the economic variable growth figures</a:t>
          </a:r>
          <a:br>
            <a:rPr lang="nl-NL" sz="1200" kern="1200"/>
          </a:br>
          <a:r>
            <a:rPr lang="nl-NL" sz="1200" kern="1200"/>
            <a:t>- Sector growth figures for the Netherlands, Europe or other relevant areas</a:t>
          </a:r>
        </a:p>
      </dsp:txBody>
      <dsp:txXfrm>
        <a:off x="0" y="919571"/>
        <a:ext cx="5486400" cy="683920"/>
      </dsp:txXfrm>
    </dsp:sp>
    <dsp:sp modelId="{60947890-7673-490A-A6B1-59F9C150DFEC}">
      <dsp:nvSpPr>
        <dsp:cNvPr id="0" name=""/>
        <dsp:cNvSpPr/>
      </dsp:nvSpPr>
      <dsp:spPr>
        <a:xfrm rot="5400000">
          <a:off x="2647961" y="1576594"/>
          <a:ext cx="190477" cy="3077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5400000">
        <a:off x="2647961" y="1576594"/>
        <a:ext cx="190477" cy="307764"/>
      </dsp:txXfrm>
    </dsp:sp>
    <dsp:sp modelId="{1FF64F47-E536-4BB7-A9A8-A1400328539C}">
      <dsp:nvSpPr>
        <dsp:cNvPr id="0" name=""/>
        <dsp:cNvSpPr/>
      </dsp:nvSpPr>
      <dsp:spPr>
        <a:xfrm>
          <a:off x="0" y="1857461"/>
          <a:ext cx="5486400" cy="68392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kern="1200"/>
            <a:t>- Explorations 2020, sector studies</a:t>
          </a:r>
          <a:br>
            <a:rPr lang="nl-NL" sz="1200" kern="1200"/>
          </a:br>
          <a:r>
            <a:rPr lang="nl-NL" sz="1200" kern="1200"/>
            <a:t>- Market share analysis</a:t>
          </a:r>
          <a:br>
            <a:rPr lang="nl-NL" sz="1200" kern="1200"/>
          </a:br>
          <a:r>
            <a:rPr lang="nl-NL" sz="1200" kern="1200"/>
            <a:t>- Potential sector growth figures for the Port of Rotterdam</a:t>
          </a:r>
        </a:p>
      </dsp:txBody>
      <dsp:txXfrm>
        <a:off x="0" y="1857461"/>
        <a:ext cx="5486400" cy="683920"/>
      </dsp:txXfrm>
    </dsp:sp>
    <dsp:sp modelId="{78F368F4-7552-4D07-AE8C-4738ADF91666}">
      <dsp:nvSpPr>
        <dsp:cNvPr id="0" name=""/>
        <dsp:cNvSpPr/>
      </dsp:nvSpPr>
      <dsp:spPr>
        <a:xfrm rot="5400000">
          <a:off x="2642462" y="2521816"/>
          <a:ext cx="201475" cy="3077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nl-NL" sz="1000" kern="1200"/>
        </a:p>
      </dsp:txBody>
      <dsp:txXfrm rot="5400000">
        <a:off x="2642462" y="2521816"/>
        <a:ext cx="201475" cy="307764"/>
      </dsp:txXfrm>
    </dsp:sp>
    <dsp:sp modelId="{DC98408D-76F9-44DD-BEA8-8F3ADA7F381C}">
      <dsp:nvSpPr>
        <dsp:cNvPr id="0" name=""/>
        <dsp:cNvSpPr/>
      </dsp:nvSpPr>
      <dsp:spPr>
        <a:xfrm>
          <a:off x="0" y="2810015"/>
          <a:ext cx="5486400" cy="68392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nl-NL" sz="1200" kern="1200"/>
            <a:t>-Explorations 2020, sector studies</a:t>
          </a:r>
          <a:br>
            <a:rPr lang="nl-NL" sz="1200" kern="1200"/>
          </a:br>
          <a:r>
            <a:rPr lang="nl-NL" sz="1200" kern="1200"/>
            <a:t>-Adjustment for spatial productivity figures</a:t>
          </a:r>
          <a:br>
            <a:rPr lang="nl-NL" sz="1200" kern="1200"/>
          </a:br>
          <a:r>
            <a:rPr lang="nl-NL" sz="1200" kern="1200"/>
            <a:t>-Final predicted terrain demand per sector</a:t>
          </a:r>
        </a:p>
      </dsp:txBody>
      <dsp:txXfrm>
        <a:off x="0" y="2810015"/>
        <a:ext cx="5486400" cy="6839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DeR97</b:Tag>
    <b:SourceType>JournalArticle</b:SourceType>
    <b:Guid>{904EBACE-735C-4954-86B3-305EA063EC77}</b:Guid>
    <b:Author>
      <b:Author>
        <b:NameList>
          <b:Person>
            <b:Last>De Rus</b:Last>
            <b:First>Gines</b:First>
          </b:Person>
          <b:Person>
            <b:Last>Inglada</b:Last>
            <b:First>Vicente</b:First>
          </b:Person>
        </b:NameList>
      </b:Author>
    </b:Author>
    <b:Title>Cost-benefit analysis of the high-speed train in Spain</b:Title>
    <b:Year>1997</b:Year>
    <b:JournalName>The Annals of Regional Science</b:JournalName>
    <b:RefOrder>1</b:RefOrder>
  </b:Source>
  <b:Source>
    <b:Tag>DeR07</b:Tag>
    <b:SourceType>JournalArticle</b:SourceType>
    <b:Guid>{6F943B01-995D-4013-B802-B63FAFB3E5D9}</b:Guid>
    <b:Author>
      <b:Author>
        <b:NameList>
          <b:Person>
            <b:Last>De Rus</b:Last>
            <b:First>Gines</b:First>
          </b:Person>
          <b:Person>
            <b:Last>Nombela</b:Last>
            <b:First>Gustavo</b:First>
          </b:Person>
        </b:NameList>
      </b:Author>
    </b:Author>
    <b:Title>Is Investment in High Speed Rail</b:Title>
    <b:JournalName>Journal of Transport Economics and Policy</b:JournalName>
    <b:Year>2007</b:Year>
    <b:Pages>3-23</b:Pages>
    <b:Volume>41</b:Volume>
    <b:RefOrder>2</b:RefOrder>
  </b:Source>
  <b:Source>
    <b:Tag>KGW98</b:Tag>
    <b:SourceType>JournalArticle</b:SourceType>
    <b:Guid>{49AB6DEC-7695-4A38-B75D-66F13F6F836A}</b:Guid>
    <b:Author>
      <b:Author>
        <b:NameList>
          <b:Person>
            <b:Last>Willis</b:Last>
            <b:First>K.G</b:First>
          </b:Person>
          <b:Person>
            <b:Last>Garrod</b:Last>
            <b:First>G.D</b:First>
          </b:Person>
          <b:Person>
            <b:Last>Harvey</b:Last>
            <b:First>D.R</b:First>
          </b:Person>
        </b:NameList>
      </b:Author>
    </b:Author>
    <b:Title>A review of cost–benefit analysis as applied to the evaluation of new road proposals in the U.K.</b:Title>
    <b:JournalName>Transportation Research Part D: Transport and Environment</b:JournalName>
    <b:Year>1998</b:Year>
    <b:Pages>141-156</b:Pages>
    <b:Volume>3</b:Volume>
    <b:Issue>3</b:Issue>
    <b:RefOrder>3</b:RefOrder>
  </b:Source>
  <b:Source>
    <b:Tag>For95</b:Tag>
    <b:SourceType>JournalArticle</b:SourceType>
    <b:Guid>{736A6CE9-F5AB-4467-927E-8B75844634B7}</b:Guid>
    <b:Author>
      <b:Author>
        <b:NameList>
          <b:Person>
            <b:Last>Forslund</b:Last>
            <b:First>Ulla</b:First>
            <b:Middle>M</b:Middle>
          </b:Person>
          <b:Person>
            <b:Last>Johansson</b:Last>
            <b:First>Borje</b:First>
          </b:Person>
        </b:NameList>
      </b:Author>
    </b:Author>
    <b:Title>Assessing road investments: accessibility changes, cost benefit and production effects</b:Title>
    <b:JournalName>Annals of Regional Science</b:JournalName>
    <b:Year>1995</b:Year>
    <b:Pages>155-175</b:Pages>
    <b:Volume>29</b:Volume>
    <b:Issue>2</b:Issue>
    <b:RefOrder>4</b:RefOrder>
  </b:Source>
  <b:Source>
    <b:Tag>Eij06</b:Tag>
    <b:SourceType>Report</b:SourceType>
    <b:Guid>{87B40F8D-3BAB-4DEB-8A52-33A04B8D2D4C}</b:Guid>
    <b:Title>Evaluatie van grote infrastructuur projecten: Leidraad voor kosten-baten analyse</b:Title>
    <b:Year>2006</b:Year>
    <b:City>Den Haag</b:City>
    <b:Publisher>Ministry of Finance</b:Publisher>
    <b:Author>
      <b:Author>
        <b:NameList>
          <b:Person>
            <b:Last>Eijgenraam</b:Last>
            <b:First>Carel</b:First>
            <b:Middle>J.J.</b:Middle>
          </b:Person>
          <b:Person>
            <b:Last>Koopmans</b:Last>
            <b:First>Carl</b:First>
            <b:Middle>C.</b:Middle>
          </b:Person>
          <b:Person>
            <b:Last>Tang</b:Last>
            <b:First>Paul</b:First>
            <b:Middle>J.G.</b:Middle>
          </b:Person>
          <b:Person>
            <b:Last>Venster</b:Last>
            <b:First>A.C.P.</b:First>
          </b:Person>
        </b:NameList>
      </b:Author>
    </b:Author>
    <b:RefOrder>5</b:RefOrder>
  </b:Source>
  <b:Source>
    <b:Tag>Cel10</b:Tag>
    <b:SourceType>BookSection</b:SourceType>
    <b:Guid>{80575C29-7508-4AE6-96B5-A857A3831678}</b:Guid>
    <b:Author>
      <b:Author>
        <b:NameList>
          <b:Person>
            <b:Last>Cellini</b:Last>
            <b:First>Stephanie</b:First>
            <b:Middle>Riegg</b:Middle>
          </b:Person>
          <b:Person>
            <b:Last>Kee</b:Last>
            <b:First>James</b:First>
            <b:Middle>Edwin</b:Middle>
          </b:Person>
        </b:NameList>
      </b:Author>
      <b:BookAuthor>
        <b:NameList>
          <b:Person>
            <b:Last>Wholey</b:Last>
            <b:First>Joseph</b:First>
            <b:Middle>S</b:Middle>
          </b:Person>
          <b:Person>
            <b:Last>Hatry</b:Last>
            <b:First>Harry</b:First>
            <b:Middle>P</b:Middle>
          </b:Person>
          <b:Person>
            <b:Last>Newcomer</b:Last>
            <b:First>Kathryn</b:First>
            <b:Middle>E</b:Middle>
          </b:Person>
        </b:NameList>
      </b:BookAuthor>
    </b:Author>
    <b:Title>COST - EFFECTIVENESS AND</b:Title>
    <b:Year>2010</b:Year>
    <b:Pages>493-530</b:Pages>
    <b:BookTitle>Handbook of Practical Program Evaluation</b:BookTitle>
    <b:City>San Fransisco</b:City>
    <b:Publisher>John Wiley &amp; Sons</b:Publisher>
    <b:RefOrder>7</b:RefOrder>
  </b:Source>
  <b:Source>
    <b:Tag>Per01</b:Tag>
    <b:SourceType>JournalArticle</b:SourceType>
    <b:Guid>{309FA936-8D41-4F9A-A294-9B38DC8D5D4A}</b:Guid>
    <b:Title>Restrospectives: Cost-Benefit Analysis and the Classical Creed</b:Title>
    <b:Year>2001</b:Year>
    <b:Pages>199-208</b:Pages>
    <b:Author>
      <b:Author>
        <b:NameList>
          <b:Person>
            <b:Last>Persky</b:Last>
            <b:First>Joseph</b:First>
          </b:Person>
        </b:NameList>
      </b:Author>
    </b:Author>
    <b:JournalName>The Journal of Economic Perspectives</b:JournalName>
    <b:Volume>15</b:Volume>
    <b:Issue>4</b:Issue>
    <b:RefOrder>8</b:RefOrder>
  </b:Source>
  <b:Source>
    <b:Tag>Kui11</b:Tag>
    <b:SourceType>BookSection</b:SourceType>
    <b:Guid>{EE0C5FA1-BDAE-41F7-B6B8-314DAA803B45}</b:Guid>
    <b:Title>Ex Post Evaluation of Rotterdam Port Investment</b:Title>
    <b:City>Delft</b:City>
    <b:Year>2011</b:Year>
    <b:Author>
      <b:Author>
        <b:NameList>
          <b:Person>
            <b:Last>Kuipers</b:Last>
            <b:First>Bart</b:First>
          </b:Person>
          <b:Person>
            <b:Last>Jonkhoff</b:Last>
            <b:First>Wouter</b:First>
          </b:Person>
        </b:NameList>
      </b:Author>
      <b:BookAuthor>
        <b:NameList>
          <b:Person>
            <b:Last>Manshanden</b:Last>
            <b:First>Walter</b:First>
            <b:Middle>J.J.</b:Middle>
          </b:Person>
          <b:Person>
            <b:Last>Jonkhoff</b:Last>
            <b:First>Wouter</b:First>
          </b:Person>
        </b:NameList>
      </b:BookAuthor>
    </b:Author>
    <b:BookTitle>Infrastructure Productivity Evaluation</b:BookTitle>
    <b:Pages>58</b:Pages>
    <b:Publisher>Dutch Organization for Applied Scientific Research</b:Publisher>
    <b:RefOrder>9</b:RefOrder>
  </b:Source>
  <b:Source>
    <b:Tag>Ste87</b:Tag>
    <b:SourceType>JournalArticle</b:SourceType>
    <b:Guid>{FB9EC279-0285-4896-97C4-2F1C346E796E}</b:Guid>
    <b:Title>The Delphi technique and judgmental forecasting</b:Title>
    <b:Year>1987</b:Year>
    <b:Pages>97-113</b:Pages>
    <b:Author>
      <b:Author>
        <b:NameList>
          <b:Person>
            <b:Last>Stewart</b:Last>
            <b:First>Thomas</b:First>
            <b:Middle>R.</b:Middle>
          </b:Person>
        </b:NameList>
      </b:Author>
    </b:Author>
    <b:JournalName>Climatic Change</b:JournalName>
    <b:Volume>11</b:Volume>
    <b:Issue>1-2</b:Issue>
    <b:RefOrder>10</b:RefOrder>
  </b:Source>
  <b:Source>
    <b:Tag>Row99</b:Tag>
    <b:SourceType>JournalArticle</b:SourceType>
    <b:Guid>{B6FC103F-01A6-45F0-90CD-93DBD2B5A060}</b:Guid>
    <b:Author>
      <b:Author>
        <b:NameList>
          <b:Person>
            <b:Last>Rowe</b:Last>
            <b:First>Gene</b:First>
          </b:Person>
          <b:Person>
            <b:Last>Wright</b:Last>
            <b:First>George</b:First>
          </b:Person>
        </b:NameList>
      </b:Author>
    </b:Author>
    <b:Title>The Delphi technique as a forecasting tool: Issues and analysis</b:Title>
    <b:JournalName>Elsevier</b:JournalName>
    <b:Year>1999</b:Year>
    <b:Pages>353-375</b:Pages>
    <b:Volume>15</b:Volume>
    <b:Issue>4</b:Issue>
    <b:RefOrder>11</b:RefOrder>
  </b:Source>
  <b:Source>
    <b:Tag>Sea03</b:Tag>
    <b:SourceType>JournalArticle</b:SourceType>
    <b:Guid>{AFBD585B-D543-48A7-BCF5-08B5702E6BA3}</b:Guid>
    <b:Author>
      <b:Author>
        <b:NameList>
          <b:Person>
            <b:Last>Seabrooke</b:Last>
            <b:First>William</b:First>
          </b:Person>
          <b:Person>
            <b:Last>Hui</b:Last>
            <b:First>Eddie</b:First>
            <b:Middle>C.M.</b:Middle>
          </b:Person>
          <b:Person>
            <b:Last>Lam</b:Last>
            <b:First>William</b:First>
            <b:Middle>H.K.</b:Middle>
          </b:Person>
          <b:Person>
            <b:Last>Wong</b:Last>
            <b:First>Gordon</b:First>
            <b:Middle>K.C.</b:Middle>
          </b:Person>
        </b:NameList>
      </b:Author>
    </b:Author>
    <b:Title>Forecasting cargo growth and regional role of the port of Hong Kong</b:Title>
    <b:JournalName>Elsevier</b:JournalName>
    <b:Year>2003</b:Year>
    <b:Pages>51-64</b:Pages>
    <b:Volume>20</b:Volume>
    <b:Issue>1</b:Issue>
    <b:RefOrder>12</b:RefOrder>
  </b:Source>
  <b:Source>
    <b:Tag>Pen09</b:Tag>
    <b:SourceType>JournalArticle</b:SourceType>
    <b:Guid>{BE3D88D1-3DEB-4B79-BB01-506725981BAD}</b:Guid>
    <b:Author>
      <b:Author>
        <b:NameList>
          <b:Person>
            <b:Last>Peng</b:Last>
            <b:First>Wen-Yi</b:First>
          </b:Person>
          <b:Person>
            <b:Last>Chu</b:Last>
            <b:First>Ching-Wu</b:First>
          </b:Person>
        </b:NameList>
      </b:Author>
    </b:Author>
    <b:Title>A comparison of univariate methods for forecasting container throughput volumes</b:Title>
    <b:JournalName>Elsevier</b:JournalName>
    <b:Year>2009</b:Year>
    <b:Pages>1045-1057</b:Pages>
    <b:Volume>50</b:Volume>
    <b:Issue>7-8</b:Issue>
    <b:RefOrder>13</b:RefOrder>
  </b:Source>
  <b:Source>
    <b:Tag>DeL07</b:Tag>
    <b:SourceType>JournalArticle</b:SourceType>
    <b:Guid>{4175E177-4E2B-419D-97CA-FA2BFF62D296}</b:Guid>
    <b:Author>
      <b:Author>
        <b:NameList>
          <b:Person>
            <b:Last>De Langen</b:Last>
            <b:First>Peter</b:First>
            <b:Middle>W.</b:Middle>
          </b:Person>
          <b:Person>
            <b:Last>Pallis</b:Last>
            <b:First>Athanasios</b:First>
            <b:Middle>A.</b:Middle>
          </b:Person>
        </b:NameList>
      </b:Author>
    </b:Author>
    <b:Title>Entry barriers in seaports</b:Title>
    <b:JournalName>Maritime Policy &amp; Management</b:JournalName>
    <b:Year>2007</b:Year>
    <b:Pages>427-440</b:Pages>
    <b:Volume>34</b:Volume>
    <b:Issue>5</b:Issue>
    <b:RefOrder>14</b:RefOrder>
  </b:Source>
  <b:Source>
    <b:Tag>DeL06</b:Tag>
    <b:SourceType>JournalArticle</b:SourceType>
    <b:Guid>{FAC89C94-4637-44F3-830D-3FDA5C4A9C69}</b:Guid>
    <b:Author>
      <b:Author>
        <b:NameList>
          <b:Person>
            <b:Last>De Langen</b:Last>
            <b:First>Peter</b:First>
            <b:Middle>W.</b:Middle>
          </b:Person>
          <b:Person>
            <b:Last>Pallis</b:Last>
            <b:First>Athanasios</b:First>
            <b:Middle>A.</b:Middle>
          </b:Person>
        </b:NameList>
      </b:Author>
    </b:Author>
    <b:Title>Analysis of the benefits intra-port competition</b:Title>
    <b:JournalName>International Journal of Transport Economics</b:JournalName>
    <b:Year>2006</b:Year>
    <b:Pages>69</b:Pages>
    <b:Volume>33</b:Volume>
    <b:Issue>1</b:Issue>
    <b:RefOrder>15</b:RefOrder>
  </b:Source>
  <b:Source>
    <b:Tag>Bap00</b:Tag>
    <b:SourceType>JournalArticle</b:SourceType>
    <b:Guid>{5015E42A-B170-46EF-8177-F80EA3A49988}</b:Guid>
    <b:Author>
      <b:Author>
        <b:NameList>
          <b:Person>
            <b:Last>Baptista</b:Last>
            <b:First>R.</b:First>
          </b:Person>
        </b:NameList>
      </b:Author>
    </b:Author>
    <b:Title>Do innovations Diffuse Faster within Geographical Clusters?</b:Title>
    <b:JournalName>International Journal of industrial organization</b:JournalName>
    <b:Year>2000</b:Year>
    <b:Pages>515-535</b:Pages>
    <b:Volume>18</b:Volume>
    <b:Issue>3</b:Issue>
    <b:RefOrder>16</b:RefOrder>
  </b:Source>
  <b:Source>
    <b:Tag>Cen96</b:Tag>
    <b:SourceType>Report</b:SourceType>
    <b:Guid>{74C89E55-81E6-40A0-929D-AD3CE846F3D2}</b:Guid>
    <b:Title>Omgevingsscenario's Lange Termijn Verkenning 1995-2020</b:Title>
    <b:Year>1996</b:Year>
    <b:Author>
      <b:Author>
        <b:Corporate>Centraal Planbureau</b:Corporate>
      </b:Author>
    </b:Author>
    <b:Publisher>Centraal Planbureau</b:Publisher>
    <b:City>Den Haag</b:City>
    <b:RefOrder>17</b:RefOrder>
  </b:Source>
  <b:Source>
    <b:Tag>CPB01</b:Tag>
    <b:SourceType>Report</b:SourceType>
    <b:Guid>{F4408CCE-EAEF-469C-ACBB-52B3BBE13CC8}</b:Guid>
    <b:Author>
      <b:Author>
        <b:Corporate>CPB, NEI &amp; RIVM</b:Corporate>
      </b:Author>
    </b:Author>
    <b:Title>Welvaartseffecten van Maasvlakte 2: Kosten-batenanalyse van uitbreiding van de Rotterdamse haven door landaanwinning</b:Title>
    <b:Year>2001</b:Year>
    <b:Publisher>Centraal Planbureau</b:Publisher>
    <b:City>Den Haag</b:City>
    <b:RefOrder>18</b:RefOrder>
  </b:Source>
  <b:Source>
    <b:Tag>ADL99</b:Tag>
    <b:SourceType>Report</b:SourceType>
    <b:Guid>{79C3D630-F5B7-43CF-9DC5-CC08490FEC09}</b:Guid>
    <b:Author>
      <b:Author>
        <b:Corporate>ADL</b:Corporate>
      </b:Author>
    </b:Author>
    <b:Title>Toekomstige ruimtebehoefte van de chemische industrie in Nederland</b:Title>
    <b:Year>1999</b:Year>
    <b:Publisher>Arthur D. Little International</b:Publisher>
    <b:City>Rotterdam</b:City>
    <b:RefOrder>19</b:RefOrder>
  </b:Source>
  <b:Source>
    <b:Tag>ETI99</b:Tag>
    <b:SourceType>Report</b:SourceType>
    <b:Guid>{685A5C76-6BF3-4122-A0C2-A980198FF8EF}</b:Guid>
    <b:Author>
      <b:Author>
        <b:Corporate>ETIN</b:Corporate>
      </b:Author>
    </b:Author>
    <b:Title>Toekomstig ruimtegebruik raffinage en tankopslag</b:Title>
    <b:Year>1999</b:Year>
    <b:Publisher>ETIN adviseurs</b:Publisher>
    <b:City>Tilburg</b:City>
    <b:RefOrder>20</b:RefOrder>
  </b:Source>
  <b:Source>
    <b:Tag>GHR8a</b:Tag>
    <b:SourceType>Report</b:SourceType>
    <b:Guid>{67B8DE8D-7434-4382-B9F4-F8E0C341D60C}</b:Guid>
    <b:Author>
      <b:Author>
        <b:Corporate>GHR</b:Corporate>
      </b:Author>
    </b:Author>
    <b:Title>Integrale verkenningen voor haven en industrie</b:Title>
    <b:Year>1998a</b:Year>
    <b:Publisher>Gemeentelijk Havenbedrijf Rotterdam</b:Publisher>
    <b:City>Rotterdam</b:City>
    <b:RefOrder>21</b:RefOrder>
  </b:Source>
  <b:Source>
    <b:Tag>GHR8c</b:Tag>
    <b:SourceType>Report</b:SourceType>
    <b:Guid>{379A2F57-1F8D-456E-BC4F-222C41A743CB}</b:Guid>
    <b:Author>
      <b:Author>
        <b:Corporate>GHR</b:Corporate>
      </b:Author>
    </b:Author>
    <b:Title>Verkenningen 2020</b:Title>
    <b:Year>1998c</b:Year>
    <b:Publisher>Gemeentelijk Havenbedrijf Rotterdam</b:Publisher>
    <b:City>Rotterdam</b:City>
    <b:RefOrder>22</b:RefOrder>
  </b:Source>
  <b:Source>
    <b:Tag>HIT00</b:Tag>
    <b:SourceType>Report</b:SourceType>
    <b:Guid>{22A30DDF-39FB-4011-9354-E084945C0604}</b:Guid>
    <b:Author>
      <b:Author>
        <b:Corporate>HIT</b:Corporate>
      </b:Author>
    </b:Author>
    <b:Title>Nieuwe industrie, Industrie van de toekomst in Mainport Rotterdam</b:Title>
    <b:Year>2000</b:Year>
    <b:City>Rotterdam</b:City>
    <b:Publisher>Holland Innovation Team</b:Publisher>
    <b:RefOrder>23</b:RefOrder>
  </b:Source>
  <b:Source>
    <b:Tag>Har96</b:Tag>
    <b:SourceType>Report</b:SourceType>
    <b:Guid>{C40BCE25-01CA-436B-8BEF-A8EA6E36C8CB}</b:Guid>
    <b:Author>
      <b:Author>
        <b:Corporate>Harris</b:Corporate>
      </b:Author>
    </b:Author>
    <b:Title>Op- en overslag en distributie van droog en vloeibaar massagoed en roll-on/roll-off</b:Title>
    <b:Year>1996</b:Year>
    <b:Publisher>Frederick R. Harris</b:Publisher>
    <b:City>Den Haag</b:City>
    <b:RefOrder>24</b:RefOrder>
  </b:Source>
  <b:Source>
    <b:Tag>GHR8b</b:Tag>
    <b:SourceType>Report</b:SourceType>
    <b:Guid>{706D27FE-FA7D-4EF7-863B-3F577F483F3D}</b:Guid>
    <b:Author>
      <b:Author>
        <b:Corporate>GHR</b:Corporate>
      </b:Author>
    </b:Author>
    <b:Title>Integrale verkenningen voor haven en industrie: Goederenstromenmodel nummer 7 Brondocument</b:Title>
    <b:Year>1998b</b:Year>
    <b:Publisher>Gemeentelijk Havenbedrijf Rotterdam</b:Publisher>
    <b:City>Rotterdam</b:City>
    <b:RefOrder>25</b:RefOrder>
  </b:Source>
  <b:Source>
    <b:Tag>OSC99</b:Tag>
    <b:SourceType>Report</b:SourceType>
    <b:Guid>{399A0D90-D2E7-4656-A7E1-50BC285E29A2}</b:Guid>
    <b:Author>
      <b:Author>
        <b:Corporate>OSC</b:Corporate>
      </b:Author>
    </b:Author>
    <b:Title>North European Ports to 2012</b:Title>
    <b:Year>1999</b:Year>
    <b:Publisher>Ocean Shipping Consultants Ltd</b:Publisher>
    <b:City>Chertsey</b:City>
    <b:RefOrder>26</b:RefOrder>
  </b:Source>
  <b:Source>
    <b:Tag>CPB97</b:Tag>
    <b:SourceType>Report</b:SourceType>
    <b:Guid>{B591AF0E-B098-487B-849A-7C933876518B}</b:Guid>
    <b:Author>
      <b:Author>
        <b:Corporate>CPB</b:Corporate>
      </b:Author>
    </b:Author>
    <b:Title>Werkdocument no. 92: Economische en ruimtelijke versterking van mainport Rotterdam</b:Title>
    <b:Year>1997</b:Year>
    <b:Publisher>Centraal Planbureau</b:Publisher>
    <b:City>Den Haag</b:City>
    <b:RefOrder>27</b:RefOrder>
  </b:Source>
  <b:Source>
    <b:Tag>BCI99</b:Tag>
    <b:SourceType>Report</b:SourceType>
    <b:Guid>{4E93BE00-E04B-4955-9887-5FFC3E38F46A}</b:Guid>
    <b:Author>
      <b:Author>
        <b:Corporate>BCI</b:Corporate>
      </b:Author>
    </b:Author>
    <b:Title>Sector studie distributie</b:Title>
    <b:Year>1999</b:Year>
    <b:Publisher>Buck Consultants International</b:Publisher>
    <b:City>Nijmegen</b:City>
    <b:RefOrder>28</b:RefOrder>
  </b:Source>
  <b:Source>
    <b:Tag>Tau98</b:Tag>
    <b:SourceType>Report</b:SourceType>
    <b:Guid>{0239E363-722B-41BB-8A43-C0B1F0B9A344}</b:Guid>
    <b:Author>
      <b:Author>
        <b:Corporate>Tauw</b:Corporate>
      </b:Author>
    </b:Author>
    <b:Title>Quick-scan grondstoffenvoorbehandeling</b:Title>
    <b:Year>1998</b:Year>
    <b:Publisher>Tauw</b:Publisher>
    <b:RefOrder>29</b:RefOrder>
  </b:Source>
  <b:Source>
    <b:Tag>PMR00</b:Tag>
    <b:SourceType>Report</b:SourceType>
    <b:Guid>{F433DD00-55DF-497F-9CE6-C5AF110FCAA6}</b:Guid>
    <b:Author>
      <b:Author>
        <b:Corporate>PMR</b:Corporate>
      </b:Author>
    </b:Author>
    <b:Title>PMR Deelnota Economie; Probleemanalyse ruimte voor haven en industrieel complex</b:Title>
    <b:Year>2000</b:Year>
    <b:Publisher>Project Mainportontwikkeling Rotterdam</b:Publisher>
    <b:City>Rotterdam</b:City>
    <b:RefOrder>30</b:RefOrder>
  </b:Source>
  <b:Source>
    <b:Tag>NEI99</b:Tag>
    <b:SourceType>Report</b:SourceType>
    <b:Guid>{478C203D-E74F-4BF9-840E-1A15FD3CDCC2}</b:Guid>
    <b:Author>
      <b:Author>
        <b:Corporate>NEI &amp; DHV</b:Corporate>
      </b:Author>
    </b:Author>
    <b:Title>Sectorstudie Industrie (exclusief chemie en aardolieraffinage)</b:Title>
    <b:Year>1999</b:Year>
    <b:Publisher>Netherlands Economics Institute</b:Publisher>
    <b:City>Rotterdam/Amersfoort</b:City>
    <b:RefOrder>31</b:RefOrder>
  </b:Source>
  <b:Source>
    <b:Tag>Bru97</b:Tag>
    <b:SourceType>ArticleInAPeriodical</b:SourceType>
    <b:Guid>{AE00431D-894C-43DE-BAC3-BEFCB2B12DAA}</b:Guid>
    <b:Author>
      <b:Author>
        <b:NameList>
          <b:Person>
            <b:Last>Barnard</b:Last>
            <b:First>Bruce</b:First>
          </b:Person>
        </b:NameList>
      </b:Author>
    </b:Author>
    <b:Title>Contract tug of war at Rotterdam; Port's future container ranking could be at some long term risk</b:Title>
    <b:PeriodicalTitle>Journal of Commerce</b:PeriodicalTitle>
    <b:Year>1997</b:Year>
    <b:Month>April</b:Month>
    <b:Day>30</b:Day>
    <b:Pages>1D-12D</b:Pages>
    <b:RefOrder>33</b:RefOrder>
  </b:Source>
  <b:Source>
    <b:Tag>Cha98</b:Tag>
    <b:SourceType>ArticleInAPeriodical</b:SourceType>
    <b:Guid>{755435AC-2EF5-48EA-B050-AE9014C8B9DC}</b:Guid>
    <b:Author>
      <b:Author>
        <b:NameList>
          <b:Person>
            <b:Last>Chan</b:Last>
            <b:First>Felix</b:First>
          </b:Person>
        </b:NameList>
      </b:Author>
    </b:Author>
    <b:Title>Maersk, ECT to build terminal</b:Title>
    <b:PeriodicalTitle>Business Times (Singapore)</b:PeriodicalTitle>
    <b:Year>1998</b:Year>
    <b:Month>October</b:Month>
    <b:Day>2</b:Day>
    <b:Pages>1</b:Pages>
    <b:RefOrder>34</b:RefOrder>
  </b:Source>
  <b:Source>
    <b:Tag>Boa06</b:Tag>
    <b:SourceType>Book</b:SourceType>
    <b:Guid>{51CA2A76-E1BC-42B1-8E07-BD1B080C3D74}</b:Guid>
    <b:Title>Cost-Benefit Analysis: Concepts and practice</b:Title>
    <b:Year>2006</b:Year>
    <b:Publisher>Pearson</b:Publisher>
    <b:Author>
      <b:Author>
        <b:NameList>
          <b:Person>
            <b:Last>Boardman</b:Last>
            <b:First>Anthony</b:First>
            <b:Middle>E.</b:Middle>
          </b:Person>
          <b:Person>
            <b:Last>Weimer</b:Last>
            <b:First>David</b:First>
            <b:Middle>L.</b:Middle>
          </b:Person>
          <b:Person>
            <b:Last>Vining</b:Last>
            <b:First>Aidan</b:First>
            <b:Middle>R.</b:Middle>
          </b:Person>
          <b:Person>
            <b:Last>Greenberg</b:Last>
            <b:First>David</b:First>
          </b:Person>
        </b:NameList>
      </b:Author>
    </b:Author>
    <b:RefOrder>6</b:RefOrder>
  </b:Source>
  <b:Source>
    <b:Tag>Por13</b:Tag>
    <b:SourceType>InternetSite</b:SourceType>
    <b:Guid>{482DF3F6-BF35-47CC-94CB-BB26EE0FA220}</b:Guid>
    <b:Title>Port Statistics, Containers</b:Title>
    <b:InternetSiteTitle>Port of Rotterdam</b:InternetSiteTitle>
    <b:Year>2013a</b:Year>
    <b:Month>January</b:Month>
    <b:Day>1</b:Day>
    <b:YearAccessed>2013</b:YearAccessed>
    <b:MonthAccessed>July</b:MonthAccessed>
    <b:DayAccessed>25</b:DayAccessed>
    <b:URL>http://www.portofrotterdam.com/nl/Over-de-haven/havenstatistieken/Documents/Containers%20en%20TEU's%20tijdreeks.pdf</b:URL>
    <b:Author>
      <b:Author>
        <b:Corporate>HbR</b:Corporate>
      </b:Author>
    </b:Author>
    <b:RefOrder>32</b:RefOrder>
  </b:Source>
  <b:Source>
    <b:Tag>HbR13</b:Tag>
    <b:SourceType>InternetSite</b:SourceType>
    <b:Guid>{4BE98783-5F2A-43D0-A4C7-7A422E29BF3D}</b:Guid>
    <b:Author>
      <b:Author>
        <b:Corporate>HbR</b:Corporate>
      </b:Author>
    </b:Author>
    <b:Title>Port Statistics, Throughput</b:Title>
    <b:InternetSiteTitle>Port of Rotterdam</b:InternetSiteTitle>
    <b:Year>2013b</b:Year>
    <b:Month>Januari</b:Month>
    <b:Day>1</b:Day>
    <b:YearAccessed>2013</b:YearAccessed>
    <b:MonthAccessed>July</b:MonthAccessed>
    <b:DayAccessed>25</b:DayAccessed>
    <b:URL>http://www.portofrotterdam.com/nl/Over-de-haven/havenstatistieken/Documents/Totale%20goederenoverslag%20tijdreeks.pdf</b:URL>
    <b:RefOrder>35</b:RefOrder>
  </b:Source>
  <b:Source>
    <b:Tag>HbR111</b:Tag>
    <b:SourceType>DocumentFromInternetSite</b:SourceType>
    <b:Guid>{44E592CE-E089-4B2A-8296-315A48902A7A}</b:Guid>
    <b:Author>
      <b:Author>
        <b:Corporate>HbR</b:Corporate>
      </b:Author>
    </b:Author>
    <b:Title>Annual report Archive</b:Title>
    <b:InternetSiteTitle>Port of Rotterdam</b:InternetSiteTitle>
    <b:Year>2011b</b:Year>
    <b:Month>December</b:Month>
    <b:Day>31</b:Day>
    <b:YearAccessed>2013</b:YearAccessed>
    <b:MonthAccessed>August</b:MonthAccessed>
    <b:DayAccessed>01</b:DayAccessed>
    <b:URL>http://www.portofrotterdam.com/en/Port-authority/finance/annual-report/Documents/annual_report.pdf</b:URL>
    <b:RefOrder>37</b:RefOrder>
  </b:Source>
  <b:Source>
    <b:Tag>HbR11</b:Tag>
    <b:SourceType>DocumentFromInternetSite</b:SourceType>
    <b:Guid>{583A0802-0788-4A99-A9C8-13D587AB3D7F}</b:Guid>
    <b:Title>Nieuwsberichten en Press releases</b:Title>
    <b:InternetSiteTitle>Port of Rotterdam</b:InternetSiteTitle>
    <b:Year>2011a</b:Year>
    <b:Month>Juli</b:Month>
    <b:Day>29</b:Day>
    <b:YearAccessed>2013</b:YearAccessed>
    <b:MonthAccessed>August</b:MonthAccessed>
    <b:DayAccessed>1</b:DayAccessed>
    <b:URL>http://www.portofrotterdam.com/nl/actueel/pers-en-nieuwsberichten/Pages/eecv-breidt%20kolenterminal-uit.aspx</b:URL>
    <b:Author>
      <b:Author>
        <b:Corporate>HbR</b:Corporate>
      </b:Author>
    </b:Author>
    <b:RefOrder>36</b:RefOrder>
  </b:Source>
  <b:Source>
    <b:Tag>HbR12</b:Tag>
    <b:SourceType>DocumentFromInternetSite</b:SourceType>
    <b:Guid>{BFF00925-AF1B-4E74-90C3-1D6C59256EC4}</b:Guid>
    <b:Author>
      <b:Author>
        <b:Corporate>HbR</b:Corporate>
      </b:Author>
    </b:Author>
    <b:Title>News and Press Releases</b:Title>
    <b:InternetSiteTitle>Port of Rotterdam</b:InternetSiteTitle>
    <b:Year>2012</b:Year>
    <b:Month>December</b:Month>
    <b:Day>28</b:Day>
    <b:YearAccessed>2013</b:YearAccessed>
    <b:MonthAccessed>August</b:MonthAccessed>
    <b:DayAccessed>1</b:DayAccessed>
    <b:URL>http://www.portofrotterdam.com/en/News/pressreleases-news/Pages/modest-growth-produces-throughput-record.aspx</b:URL>
    <b:RefOrder>38</b:RefOrder>
  </b:Source>
</b:Sources>
</file>

<file path=customXml/itemProps1.xml><?xml version="1.0" encoding="utf-8"?>
<ds:datastoreItem xmlns:ds="http://schemas.openxmlformats.org/officeDocument/2006/customXml" ds:itemID="{AD800381-8A5F-479A-80FD-ED6C5421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10931</Words>
  <Characters>62308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Erasmus Universiteit Rotterdam</Company>
  <LinksUpToDate>false</LinksUpToDate>
  <CharactersWithSpaces>73093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 Student</dc:creator>
  <cp:lastModifiedBy>Nita Ramsaransing</cp:lastModifiedBy>
  <cp:revision>2</cp:revision>
  <dcterms:created xsi:type="dcterms:W3CDTF">2013-08-19T06:16:00Z</dcterms:created>
  <dcterms:modified xsi:type="dcterms:W3CDTF">2013-08-19T06:16:00Z</dcterms:modified>
</cp:coreProperties>
</file>