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D3" w:rsidRPr="00F733D3" w:rsidRDefault="00F733D3" w:rsidP="00F733D3">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ERASMUS SCHOOL OF ECONOMICS – ERASMUS UNIVERSITEIT ROTTERDAM</w:t>
      </w:r>
    </w:p>
    <w:p w:rsidR="00F733D3" w:rsidRDefault="00F733D3" w:rsidP="002E4516">
      <w:pPr>
        <w:spacing w:line="360" w:lineRule="auto"/>
        <w:rPr>
          <w:rFonts w:ascii="Times New Roman" w:hAnsi="Times New Roman" w:cs="Times New Roman"/>
          <w:b/>
          <w:sz w:val="24"/>
          <w:szCs w:val="24"/>
          <w:u w:val="single"/>
        </w:rPr>
      </w:pPr>
    </w:p>
    <w:p w:rsidR="00F733D3" w:rsidRPr="008F3EF3" w:rsidRDefault="00F733D3" w:rsidP="002E4516">
      <w:pPr>
        <w:spacing w:line="360" w:lineRule="auto"/>
        <w:rPr>
          <w:rFonts w:ascii="Times New Roman" w:hAnsi="Times New Roman" w:cs="Times New Roman"/>
          <w:sz w:val="48"/>
          <w:szCs w:val="48"/>
          <w:u w:val="single"/>
        </w:rPr>
      </w:pPr>
      <w:r w:rsidRPr="008F3EF3">
        <w:rPr>
          <w:rFonts w:ascii="Times New Roman" w:hAnsi="Times New Roman" w:cs="Times New Roman"/>
          <w:sz w:val="48"/>
          <w:szCs w:val="48"/>
          <w:u w:val="single"/>
        </w:rPr>
        <w:t xml:space="preserve">De woningmarkt en de economische </w:t>
      </w:r>
      <w:r w:rsidR="008F3EF3" w:rsidRPr="008F3EF3">
        <w:rPr>
          <w:rFonts w:ascii="Times New Roman" w:hAnsi="Times New Roman" w:cs="Times New Roman"/>
          <w:sz w:val="48"/>
          <w:szCs w:val="48"/>
          <w:u w:val="single"/>
        </w:rPr>
        <w:t>context</w:t>
      </w:r>
    </w:p>
    <w:p w:rsidR="00F733D3" w:rsidRDefault="00F733D3" w:rsidP="00F73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Bachelorscriptie Algemene Economie</w:t>
      </w:r>
    </w:p>
    <w:p w:rsidR="00F733D3" w:rsidRDefault="0074788D" w:rsidP="00F73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M.G.F.</w:t>
      </w:r>
      <w:r w:rsidR="00F733D3">
        <w:rPr>
          <w:rFonts w:ascii="Times New Roman" w:hAnsi="Times New Roman" w:cs="Times New Roman"/>
          <w:sz w:val="28"/>
          <w:szCs w:val="28"/>
        </w:rPr>
        <w:t xml:space="preserve"> Hoogendijk – 332038</w:t>
      </w:r>
    </w:p>
    <w:p w:rsidR="00F733D3" w:rsidRDefault="00F733D3" w:rsidP="00F73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Begeleider: Prof. dr. J. van Sinderen</w:t>
      </w:r>
    </w:p>
    <w:p w:rsidR="00F733D3" w:rsidRPr="00F733D3" w:rsidRDefault="0074788D" w:rsidP="00F733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Augustus</w:t>
      </w:r>
      <w:r w:rsidR="00F733D3">
        <w:rPr>
          <w:rFonts w:ascii="Times New Roman" w:hAnsi="Times New Roman" w:cs="Times New Roman"/>
          <w:sz w:val="28"/>
          <w:szCs w:val="28"/>
        </w:rPr>
        <w:t xml:space="preserve"> 201</w:t>
      </w:r>
      <w:r w:rsidR="004E549D">
        <w:rPr>
          <w:rFonts w:ascii="Times New Roman" w:hAnsi="Times New Roman" w:cs="Times New Roman"/>
          <w:sz w:val="28"/>
          <w:szCs w:val="28"/>
        </w:rPr>
        <w:t>3</w:t>
      </w:r>
    </w:p>
    <w:p w:rsidR="00F733D3" w:rsidRDefault="00F733D3" w:rsidP="00F733D3">
      <w:pPr>
        <w:spacing w:after="0" w:line="360" w:lineRule="auto"/>
        <w:rPr>
          <w:rFonts w:ascii="Times New Roman" w:hAnsi="Times New Roman" w:cs="Times New Roman"/>
          <w:b/>
          <w:sz w:val="24"/>
          <w:szCs w:val="24"/>
          <w:u w:val="single"/>
        </w:rPr>
      </w:pPr>
    </w:p>
    <w:p w:rsidR="00F733D3" w:rsidRDefault="00F733D3"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2E4516">
      <w:pPr>
        <w:spacing w:line="360" w:lineRule="auto"/>
        <w:rPr>
          <w:rFonts w:ascii="Times New Roman" w:hAnsi="Times New Roman" w:cs="Times New Roman"/>
          <w:b/>
          <w:sz w:val="24"/>
          <w:szCs w:val="24"/>
          <w:u w:val="single"/>
        </w:rPr>
      </w:pPr>
    </w:p>
    <w:p w:rsidR="00680BAD" w:rsidRDefault="00680BAD" w:rsidP="00680BAD">
      <w:pPr>
        <w:spacing w:line="360" w:lineRule="auto"/>
        <w:jc w:val="both"/>
        <w:rPr>
          <w:rFonts w:ascii="Times New Roman" w:hAnsi="Times New Roman" w:cs="Times New Roman"/>
          <w:b/>
          <w:sz w:val="24"/>
          <w:szCs w:val="24"/>
          <w:u w:val="single"/>
        </w:rPr>
      </w:pPr>
    </w:p>
    <w:p w:rsidR="00680BAD" w:rsidRPr="00680BAD" w:rsidRDefault="00680BAD" w:rsidP="00680BAD">
      <w:pPr>
        <w:spacing w:line="360" w:lineRule="auto"/>
        <w:jc w:val="both"/>
        <w:rPr>
          <w:rFonts w:ascii="Times New Roman" w:hAnsi="Times New Roman" w:cs="Times New Roman"/>
          <w:sz w:val="24"/>
          <w:szCs w:val="24"/>
        </w:rPr>
      </w:pPr>
      <w:r>
        <w:rPr>
          <w:rFonts w:ascii="Times New Roman" w:hAnsi="Times New Roman" w:cs="Times New Roman"/>
          <w:sz w:val="24"/>
          <w:szCs w:val="24"/>
        </w:rPr>
        <w:t>Een</w:t>
      </w:r>
      <w:r w:rsidR="00674926">
        <w:rPr>
          <w:rFonts w:ascii="Times New Roman" w:hAnsi="Times New Roman" w:cs="Times New Roman"/>
          <w:sz w:val="24"/>
          <w:szCs w:val="24"/>
        </w:rPr>
        <w:t xml:space="preserve"> vergelijkende casestudy</w:t>
      </w:r>
      <w:r>
        <w:rPr>
          <w:rFonts w:ascii="Times New Roman" w:hAnsi="Times New Roman" w:cs="Times New Roman"/>
          <w:sz w:val="24"/>
          <w:szCs w:val="24"/>
        </w:rPr>
        <w:t xml:space="preserve"> naar de vormgeving van de Nederlandse en Duitse woningmarkt, de effecten daarvan op de economische prestaties en de implicaties daarvan voor Nederlandse beleidsmakers. </w:t>
      </w:r>
    </w:p>
    <w:sdt>
      <w:sdtPr>
        <w:rPr>
          <w:rFonts w:asciiTheme="minorHAnsi" w:eastAsiaTheme="minorHAnsi" w:hAnsiTheme="minorHAnsi" w:cstheme="minorBidi"/>
          <w:b w:val="0"/>
          <w:bCs w:val="0"/>
          <w:color w:val="auto"/>
          <w:sz w:val="22"/>
          <w:szCs w:val="22"/>
          <w:lang w:val="en-US"/>
        </w:rPr>
        <w:id w:val="13862516"/>
        <w:docPartObj>
          <w:docPartGallery w:val="Table of Contents"/>
          <w:docPartUnique/>
        </w:docPartObj>
      </w:sdtPr>
      <w:sdtEndPr>
        <w:rPr>
          <w:rFonts w:eastAsiaTheme="minorEastAsia"/>
          <w:lang w:val="nl-NL"/>
        </w:rPr>
      </w:sdtEndPr>
      <w:sdtContent>
        <w:p w:rsidR="00331319" w:rsidRPr="00331319" w:rsidRDefault="00331319" w:rsidP="00331319">
          <w:pPr>
            <w:pStyle w:val="Kopvaninhoudsopgave"/>
          </w:pPr>
          <w:r>
            <w:t>Inhoud</w:t>
          </w:r>
        </w:p>
        <w:p w:rsidR="005F1382" w:rsidRDefault="00A9506B">
          <w:pPr>
            <w:pStyle w:val="Inhopg1"/>
            <w:tabs>
              <w:tab w:val="right" w:leader="dot" w:pos="9062"/>
            </w:tabs>
            <w:rPr>
              <w:noProof/>
            </w:rPr>
          </w:pPr>
          <w:r>
            <w:fldChar w:fldCharType="begin"/>
          </w:r>
          <w:r w:rsidR="00331319">
            <w:instrText xml:space="preserve"> TOC \o "1-3" \h \z \u </w:instrText>
          </w:r>
          <w:r>
            <w:fldChar w:fldCharType="separate"/>
          </w:r>
          <w:hyperlink w:anchor="_Toc365277078" w:history="1">
            <w:r w:rsidR="005F1382" w:rsidRPr="00BC3182">
              <w:rPr>
                <w:rStyle w:val="Hyperlink"/>
                <w:noProof/>
              </w:rPr>
              <w:t>1.Inleiding, onderzoeksvraag en opzet</w:t>
            </w:r>
            <w:r w:rsidR="005F1382">
              <w:rPr>
                <w:noProof/>
                <w:webHidden/>
              </w:rPr>
              <w:tab/>
            </w:r>
            <w:r>
              <w:rPr>
                <w:noProof/>
                <w:webHidden/>
              </w:rPr>
              <w:fldChar w:fldCharType="begin"/>
            </w:r>
            <w:r w:rsidR="005F1382">
              <w:rPr>
                <w:noProof/>
                <w:webHidden/>
              </w:rPr>
              <w:instrText xml:space="preserve"> PAGEREF _Toc365277078 \h </w:instrText>
            </w:r>
            <w:r>
              <w:rPr>
                <w:noProof/>
                <w:webHidden/>
              </w:rPr>
            </w:r>
            <w:r>
              <w:rPr>
                <w:noProof/>
                <w:webHidden/>
              </w:rPr>
              <w:fldChar w:fldCharType="separate"/>
            </w:r>
            <w:r w:rsidR="005F1382">
              <w:rPr>
                <w:noProof/>
                <w:webHidden/>
              </w:rPr>
              <w:t>3</w:t>
            </w:r>
            <w:r>
              <w:rPr>
                <w:noProof/>
                <w:webHidden/>
              </w:rPr>
              <w:fldChar w:fldCharType="end"/>
            </w:r>
          </w:hyperlink>
        </w:p>
        <w:p w:rsidR="005F1382" w:rsidRDefault="00A9506B">
          <w:pPr>
            <w:pStyle w:val="Inhopg2"/>
            <w:tabs>
              <w:tab w:val="right" w:leader="dot" w:pos="9062"/>
            </w:tabs>
            <w:rPr>
              <w:noProof/>
            </w:rPr>
          </w:pPr>
          <w:hyperlink w:anchor="_Toc365277079" w:history="1">
            <w:r w:rsidR="005F1382" w:rsidRPr="00BC3182">
              <w:rPr>
                <w:rStyle w:val="Hyperlink"/>
                <w:noProof/>
              </w:rPr>
              <w:t>1.1 Inleiding</w:t>
            </w:r>
            <w:r w:rsidR="005F1382">
              <w:rPr>
                <w:noProof/>
                <w:webHidden/>
              </w:rPr>
              <w:tab/>
            </w:r>
            <w:r>
              <w:rPr>
                <w:noProof/>
                <w:webHidden/>
              </w:rPr>
              <w:fldChar w:fldCharType="begin"/>
            </w:r>
            <w:r w:rsidR="005F1382">
              <w:rPr>
                <w:noProof/>
                <w:webHidden/>
              </w:rPr>
              <w:instrText xml:space="preserve"> PAGEREF _Toc365277079 \h </w:instrText>
            </w:r>
            <w:r>
              <w:rPr>
                <w:noProof/>
                <w:webHidden/>
              </w:rPr>
            </w:r>
            <w:r>
              <w:rPr>
                <w:noProof/>
                <w:webHidden/>
              </w:rPr>
              <w:fldChar w:fldCharType="separate"/>
            </w:r>
            <w:r w:rsidR="005F1382">
              <w:rPr>
                <w:noProof/>
                <w:webHidden/>
              </w:rPr>
              <w:t>3</w:t>
            </w:r>
            <w:r>
              <w:rPr>
                <w:noProof/>
                <w:webHidden/>
              </w:rPr>
              <w:fldChar w:fldCharType="end"/>
            </w:r>
          </w:hyperlink>
        </w:p>
        <w:p w:rsidR="005F1382" w:rsidRDefault="00A9506B">
          <w:pPr>
            <w:pStyle w:val="Inhopg2"/>
            <w:tabs>
              <w:tab w:val="right" w:leader="dot" w:pos="9062"/>
            </w:tabs>
            <w:rPr>
              <w:noProof/>
            </w:rPr>
          </w:pPr>
          <w:hyperlink w:anchor="_Toc365277080" w:history="1">
            <w:r w:rsidR="005F1382" w:rsidRPr="00BC3182">
              <w:rPr>
                <w:rStyle w:val="Hyperlink"/>
                <w:noProof/>
                <w:shd w:val="clear" w:color="auto" w:fill="FFFFFF"/>
              </w:rPr>
              <w:t>1.2 Onderzoeksvraag</w:t>
            </w:r>
            <w:r w:rsidR="005F1382">
              <w:rPr>
                <w:noProof/>
                <w:webHidden/>
              </w:rPr>
              <w:tab/>
            </w:r>
            <w:r>
              <w:rPr>
                <w:noProof/>
                <w:webHidden/>
              </w:rPr>
              <w:fldChar w:fldCharType="begin"/>
            </w:r>
            <w:r w:rsidR="005F1382">
              <w:rPr>
                <w:noProof/>
                <w:webHidden/>
              </w:rPr>
              <w:instrText xml:space="preserve"> PAGEREF _Toc365277080 \h </w:instrText>
            </w:r>
            <w:r>
              <w:rPr>
                <w:noProof/>
                <w:webHidden/>
              </w:rPr>
            </w:r>
            <w:r>
              <w:rPr>
                <w:noProof/>
                <w:webHidden/>
              </w:rPr>
              <w:fldChar w:fldCharType="separate"/>
            </w:r>
            <w:r w:rsidR="005F1382">
              <w:rPr>
                <w:noProof/>
                <w:webHidden/>
              </w:rPr>
              <w:t>3</w:t>
            </w:r>
            <w:r>
              <w:rPr>
                <w:noProof/>
                <w:webHidden/>
              </w:rPr>
              <w:fldChar w:fldCharType="end"/>
            </w:r>
          </w:hyperlink>
        </w:p>
        <w:p w:rsidR="005F1382" w:rsidRDefault="00A9506B">
          <w:pPr>
            <w:pStyle w:val="Inhopg2"/>
            <w:tabs>
              <w:tab w:val="right" w:leader="dot" w:pos="9062"/>
            </w:tabs>
            <w:rPr>
              <w:noProof/>
            </w:rPr>
          </w:pPr>
          <w:hyperlink w:anchor="_Toc365277081" w:history="1">
            <w:r w:rsidR="005F1382" w:rsidRPr="00BC3182">
              <w:rPr>
                <w:rStyle w:val="Hyperlink"/>
                <w:noProof/>
                <w:shd w:val="clear" w:color="auto" w:fill="FFFFFF"/>
              </w:rPr>
              <w:t>1.3 Opzet</w:t>
            </w:r>
            <w:r w:rsidR="005F1382">
              <w:rPr>
                <w:noProof/>
                <w:webHidden/>
              </w:rPr>
              <w:tab/>
            </w:r>
            <w:r>
              <w:rPr>
                <w:noProof/>
                <w:webHidden/>
              </w:rPr>
              <w:fldChar w:fldCharType="begin"/>
            </w:r>
            <w:r w:rsidR="005F1382">
              <w:rPr>
                <w:noProof/>
                <w:webHidden/>
              </w:rPr>
              <w:instrText xml:space="preserve"> PAGEREF _Toc365277081 \h </w:instrText>
            </w:r>
            <w:r>
              <w:rPr>
                <w:noProof/>
                <w:webHidden/>
              </w:rPr>
            </w:r>
            <w:r>
              <w:rPr>
                <w:noProof/>
                <w:webHidden/>
              </w:rPr>
              <w:fldChar w:fldCharType="separate"/>
            </w:r>
            <w:r w:rsidR="005F1382">
              <w:rPr>
                <w:noProof/>
                <w:webHidden/>
              </w:rPr>
              <w:t>4</w:t>
            </w:r>
            <w:r>
              <w:rPr>
                <w:noProof/>
                <w:webHidden/>
              </w:rPr>
              <w:fldChar w:fldCharType="end"/>
            </w:r>
          </w:hyperlink>
        </w:p>
        <w:p w:rsidR="005F1382" w:rsidRDefault="00A9506B">
          <w:pPr>
            <w:pStyle w:val="Inhopg1"/>
            <w:tabs>
              <w:tab w:val="right" w:leader="dot" w:pos="9062"/>
            </w:tabs>
            <w:rPr>
              <w:noProof/>
            </w:rPr>
          </w:pPr>
          <w:hyperlink w:anchor="_Toc365277082" w:history="1">
            <w:r w:rsidR="005F1382" w:rsidRPr="00BC3182">
              <w:rPr>
                <w:rStyle w:val="Hyperlink"/>
                <w:noProof/>
              </w:rPr>
              <w:t>2. De woningmarkt vergeleken</w:t>
            </w:r>
            <w:r w:rsidR="005F1382">
              <w:rPr>
                <w:noProof/>
                <w:webHidden/>
              </w:rPr>
              <w:tab/>
            </w:r>
            <w:r>
              <w:rPr>
                <w:noProof/>
                <w:webHidden/>
              </w:rPr>
              <w:fldChar w:fldCharType="begin"/>
            </w:r>
            <w:r w:rsidR="005F1382">
              <w:rPr>
                <w:noProof/>
                <w:webHidden/>
              </w:rPr>
              <w:instrText xml:space="preserve"> PAGEREF _Toc365277082 \h </w:instrText>
            </w:r>
            <w:r>
              <w:rPr>
                <w:noProof/>
                <w:webHidden/>
              </w:rPr>
            </w:r>
            <w:r>
              <w:rPr>
                <w:noProof/>
                <w:webHidden/>
              </w:rPr>
              <w:fldChar w:fldCharType="separate"/>
            </w:r>
            <w:r w:rsidR="005F1382">
              <w:rPr>
                <w:noProof/>
                <w:webHidden/>
              </w:rPr>
              <w:t>5</w:t>
            </w:r>
            <w:r>
              <w:rPr>
                <w:noProof/>
                <w:webHidden/>
              </w:rPr>
              <w:fldChar w:fldCharType="end"/>
            </w:r>
          </w:hyperlink>
        </w:p>
        <w:p w:rsidR="005F1382" w:rsidRDefault="00A9506B">
          <w:pPr>
            <w:pStyle w:val="Inhopg2"/>
            <w:tabs>
              <w:tab w:val="right" w:leader="dot" w:pos="9062"/>
            </w:tabs>
            <w:rPr>
              <w:noProof/>
            </w:rPr>
          </w:pPr>
          <w:hyperlink w:anchor="_Toc365277083" w:history="1">
            <w:r w:rsidR="005F1382" w:rsidRPr="00BC3182">
              <w:rPr>
                <w:rStyle w:val="Hyperlink"/>
                <w:noProof/>
              </w:rPr>
              <w:t>2.1 Institutionele setting</w:t>
            </w:r>
            <w:r w:rsidR="005F1382">
              <w:rPr>
                <w:noProof/>
                <w:webHidden/>
              </w:rPr>
              <w:tab/>
            </w:r>
            <w:r>
              <w:rPr>
                <w:noProof/>
                <w:webHidden/>
              </w:rPr>
              <w:fldChar w:fldCharType="begin"/>
            </w:r>
            <w:r w:rsidR="005F1382">
              <w:rPr>
                <w:noProof/>
                <w:webHidden/>
              </w:rPr>
              <w:instrText xml:space="preserve"> PAGEREF _Toc365277083 \h </w:instrText>
            </w:r>
            <w:r>
              <w:rPr>
                <w:noProof/>
                <w:webHidden/>
              </w:rPr>
            </w:r>
            <w:r>
              <w:rPr>
                <w:noProof/>
                <w:webHidden/>
              </w:rPr>
              <w:fldChar w:fldCharType="separate"/>
            </w:r>
            <w:r w:rsidR="005F1382">
              <w:rPr>
                <w:noProof/>
                <w:webHidden/>
              </w:rPr>
              <w:t>5</w:t>
            </w:r>
            <w:r>
              <w:rPr>
                <w:noProof/>
                <w:webHidden/>
              </w:rPr>
              <w:fldChar w:fldCharType="end"/>
            </w:r>
          </w:hyperlink>
        </w:p>
        <w:p w:rsidR="005F1382" w:rsidRDefault="00A9506B">
          <w:pPr>
            <w:pStyle w:val="Inhopg2"/>
            <w:tabs>
              <w:tab w:val="right" w:leader="dot" w:pos="9062"/>
            </w:tabs>
            <w:rPr>
              <w:noProof/>
            </w:rPr>
          </w:pPr>
          <w:hyperlink w:anchor="_Toc365277084" w:history="1">
            <w:r w:rsidR="005F1382" w:rsidRPr="00BC3182">
              <w:rPr>
                <w:rStyle w:val="Hyperlink"/>
                <w:noProof/>
              </w:rPr>
              <w:t>2.2 De Huurmarkt</w:t>
            </w:r>
            <w:r w:rsidR="005F1382">
              <w:rPr>
                <w:noProof/>
                <w:webHidden/>
              </w:rPr>
              <w:tab/>
            </w:r>
            <w:r>
              <w:rPr>
                <w:noProof/>
                <w:webHidden/>
              </w:rPr>
              <w:fldChar w:fldCharType="begin"/>
            </w:r>
            <w:r w:rsidR="005F1382">
              <w:rPr>
                <w:noProof/>
                <w:webHidden/>
              </w:rPr>
              <w:instrText xml:space="preserve"> PAGEREF _Toc365277084 \h </w:instrText>
            </w:r>
            <w:r>
              <w:rPr>
                <w:noProof/>
                <w:webHidden/>
              </w:rPr>
            </w:r>
            <w:r>
              <w:rPr>
                <w:noProof/>
                <w:webHidden/>
              </w:rPr>
              <w:fldChar w:fldCharType="separate"/>
            </w:r>
            <w:r w:rsidR="005F1382">
              <w:rPr>
                <w:noProof/>
                <w:webHidden/>
              </w:rPr>
              <w:t>7</w:t>
            </w:r>
            <w:r>
              <w:rPr>
                <w:noProof/>
                <w:webHidden/>
              </w:rPr>
              <w:fldChar w:fldCharType="end"/>
            </w:r>
          </w:hyperlink>
        </w:p>
        <w:p w:rsidR="005F1382" w:rsidRDefault="00A9506B">
          <w:pPr>
            <w:pStyle w:val="Inhopg2"/>
            <w:tabs>
              <w:tab w:val="right" w:leader="dot" w:pos="9062"/>
            </w:tabs>
            <w:rPr>
              <w:noProof/>
            </w:rPr>
          </w:pPr>
          <w:hyperlink w:anchor="_Toc365277085" w:history="1">
            <w:r w:rsidR="005F1382" w:rsidRPr="00BC3182">
              <w:rPr>
                <w:rStyle w:val="Hyperlink"/>
                <w:noProof/>
              </w:rPr>
              <w:t>2.3 De huizenmarkt</w:t>
            </w:r>
            <w:r w:rsidR="005F1382">
              <w:rPr>
                <w:noProof/>
                <w:webHidden/>
              </w:rPr>
              <w:tab/>
            </w:r>
            <w:r>
              <w:rPr>
                <w:noProof/>
                <w:webHidden/>
              </w:rPr>
              <w:fldChar w:fldCharType="begin"/>
            </w:r>
            <w:r w:rsidR="005F1382">
              <w:rPr>
                <w:noProof/>
                <w:webHidden/>
              </w:rPr>
              <w:instrText xml:space="preserve"> PAGEREF _Toc365277085 \h </w:instrText>
            </w:r>
            <w:r>
              <w:rPr>
                <w:noProof/>
                <w:webHidden/>
              </w:rPr>
            </w:r>
            <w:r>
              <w:rPr>
                <w:noProof/>
                <w:webHidden/>
              </w:rPr>
              <w:fldChar w:fldCharType="separate"/>
            </w:r>
            <w:r w:rsidR="005F1382">
              <w:rPr>
                <w:noProof/>
                <w:webHidden/>
              </w:rPr>
              <w:t>8</w:t>
            </w:r>
            <w:r>
              <w:rPr>
                <w:noProof/>
                <w:webHidden/>
              </w:rPr>
              <w:fldChar w:fldCharType="end"/>
            </w:r>
          </w:hyperlink>
        </w:p>
        <w:p w:rsidR="005F1382" w:rsidRDefault="00A9506B">
          <w:pPr>
            <w:pStyle w:val="Inhopg2"/>
            <w:tabs>
              <w:tab w:val="right" w:leader="dot" w:pos="9062"/>
            </w:tabs>
            <w:rPr>
              <w:noProof/>
            </w:rPr>
          </w:pPr>
          <w:hyperlink w:anchor="_Toc365277086" w:history="1">
            <w:r w:rsidR="005F1382" w:rsidRPr="00BC3182">
              <w:rPr>
                <w:rStyle w:val="Hyperlink"/>
                <w:noProof/>
              </w:rPr>
              <w:t>2.4 Fundamentele factoren</w:t>
            </w:r>
            <w:r w:rsidR="005F1382">
              <w:rPr>
                <w:noProof/>
                <w:webHidden/>
              </w:rPr>
              <w:tab/>
            </w:r>
            <w:r>
              <w:rPr>
                <w:noProof/>
                <w:webHidden/>
              </w:rPr>
              <w:fldChar w:fldCharType="begin"/>
            </w:r>
            <w:r w:rsidR="005F1382">
              <w:rPr>
                <w:noProof/>
                <w:webHidden/>
              </w:rPr>
              <w:instrText xml:space="preserve"> PAGEREF _Toc365277086 \h </w:instrText>
            </w:r>
            <w:r>
              <w:rPr>
                <w:noProof/>
                <w:webHidden/>
              </w:rPr>
            </w:r>
            <w:r>
              <w:rPr>
                <w:noProof/>
                <w:webHidden/>
              </w:rPr>
              <w:fldChar w:fldCharType="separate"/>
            </w:r>
            <w:r w:rsidR="005F1382">
              <w:rPr>
                <w:noProof/>
                <w:webHidden/>
              </w:rPr>
              <w:t>9</w:t>
            </w:r>
            <w:r>
              <w:rPr>
                <w:noProof/>
                <w:webHidden/>
              </w:rPr>
              <w:fldChar w:fldCharType="end"/>
            </w:r>
          </w:hyperlink>
        </w:p>
        <w:p w:rsidR="005F1382" w:rsidRDefault="00A9506B">
          <w:pPr>
            <w:pStyle w:val="Inhopg2"/>
            <w:tabs>
              <w:tab w:val="right" w:leader="dot" w:pos="9062"/>
            </w:tabs>
            <w:rPr>
              <w:noProof/>
            </w:rPr>
          </w:pPr>
          <w:hyperlink w:anchor="_Toc365277087" w:history="1">
            <w:r w:rsidR="005F1382" w:rsidRPr="00BC3182">
              <w:rPr>
                <w:rStyle w:val="Hyperlink"/>
                <w:noProof/>
              </w:rPr>
              <w:t>2.5 Vraagzijde huizenmarkt</w:t>
            </w:r>
            <w:r w:rsidR="005F1382">
              <w:rPr>
                <w:noProof/>
                <w:webHidden/>
              </w:rPr>
              <w:tab/>
            </w:r>
            <w:r>
              <w:rPr>
                <w:noProof/>
                <w:webHidden/>
              </w:rPr>
              <w:fldChar w:fldCharType="begin"/>
            </w:r>
            <w:r w:rsidR="005F1382">
              <w:rPr>
                <w:noProof/>
                <w:webHidden/>
              </w:rPr>
              <w:instrText xml:space="preserve"> PAGEREF _Toc365277087 \h </w:instrText>
            </w:r>
            <w:r>
              <w:rPr>
                <w:noProof/>
                <w:webHidden/>
              </w:rPr>
            </w:r>
            <w:r>
              <w:rPr>
                <w:noProof/>
                <w:webHidden/>
              </w:rPr>
              <w:fldChar w:fldCharType="separate"/>
            </w:r>
            <w:r w:rsidR="005F1382">
              <w:rPr>
                <w:noProof/>
                <w:webHidden/>
              </w:rPr>
              <w:t>9</w:t>
            </w:r>
            <w:r>
              <w:rPr>
                <w:noProof/>
                <w:webHidden/>
              </w:rPr>
              <w:fldChar w:fldCharType="end"/>
            </w:r>
          </w:hyperlink>
        </w:p>
        <w:p w:rsidR="005F1382" w:rsidRDefault="00A9506B">
          <w:pPr>
            <w:pStyle w:val="Inhopg2"/>
            <w:tabs>
              <w:tab w:val="right" w:leader="dot" w:pos="9062"/>
            </w:tabs>
            <w:rPr>
              <w:noProof/>
            </w:rPr>
          </w:pPr>
          <w:hyperlink w:anchor="_Toc365277088" w:history="1">
            <w:r w:rsidR="005F1382" w:rsidRPr="00BC3182">
              <w:rPr>
                <w:rStyle w:val="Hyperlink"/>
                <w:noProof/>
              </w:rPr>
              <w:t>2.6 Aanbodzijde huizenmarkt</w:t>
            </w:r>
            <w:r w:rsidR="005F1382">
              <w:rPr>
                <w:noProof/>
                <w:webHidden/>
              </w:rPr>
              <w:tab/>
            </w:r>
            <w:r>
              <w:rPr>
                <w:noProof/>
                <w:webHidden/>
              </w:rPr>
              <w:fldChar w:fldCharType="begin"/>
            </w:r>
            <w:r w:rsidR="005F1382">
              <w:rPr>
                <w:noProof/>
                <w:webHidden/>
              </w:rPr>
              <w:instrText xml:space="preserve"> PAGEREF _Toc365277088 \h </w:instrText>
            </w:r>
            <w:r>
              <w:rPr>
                <w:noProof/>
                <w:webHidden/>
              </w:rPr>
            </w:r>
            <w:r>
              <w:rPr>
                <w:noProof/>
                <w:webHidden/>
              </w:rPr>
              <w:fldChar w:fldCharType="separate"/>
            </w:r>
            <w:r w:rsidR="005F1382">
              <w:rPr>
                <w:noProof/>
                <w:webHidden/>
              </w:rPr>
              <w:t>11</w:t>
            </w:r>
            <w:r>
              <w:rPr>
                <w:noProof/>
                <w:webHidden/>
              </w:rPr>
              <w:fldChar w:fldCharType="end"/>
            </w:r>
          </w:hyperlink>
        </w:p>
        <w:p w:rsidR="005F1382" w:rsidRDefault="00A9506B">
          <w:pPr>
            <w:pStyle w:val="Inhopg1"/>
            <w:tabs>
              <w:tab w:val="right" w:leader="dot" w:pos="9062"/>
            </w:tabs>
            <w:rPr>
              <w:noProof/>
            </w:rPr>
          </w:pPr>
          <w:hyperlink w:anchor="_Toc365277089" w:history="1">
            <w:r w:rsidR="005F1382" w:rsidRPr="00BC3182">
              <w:rPr>
                <w:rStyle w:val="Hyperlink"/>
                <w:noProof/>
              </w:rPr>
              <w:t>3. De woningmarkt en economische prestaties</w:t>
            </w:r>
            <w:r w:rsidR="005F1382">
              <w:rPr>
                <w:noProof/>
                <w:webHidden/>
              </w:rPr>
              <w:tab/>
            </w:r>
            <w:r>
              <w:rPr>
                <w:noProof/>
                <w:webHidden/>
              </w:rPr>
              <w:fldChar w:fldCharType="begin"/>
            </w:r>
            <w:r w:rsidR="005F1382">
              <w:rPr>
                <w:noProof/>
                <w:webHidden/>
              </w:rPr>
              <w:instrText xml:space="preserve"> PAGEREF _Toc365277089 \h </w:instrText>
            </w:r>
            <w:r>
              <w:rPr>
                <w:noProof/>
                <w:webHidden/>
              </w:rPr>
            </w:r>
            <w:r>
              <w:rPr>
                <w:noProof/>
                <w:webHidden/>
              </w:rPr>
              <w:fldChar w:fldCharType="separate"/>
            </w:r>
            <w:r w:rsidR="005F1382">
              <w:rPr>
                <w:noProof/>
                <w:webHidden/>
              </w:rPr>
              <w:t>13</w:t>
            </w:r>
            <w:r>
              <w:rPr>
                <w:noProof/>
                <w:webHidden/>
              </w:rPr>
              <w:fldChar w:fldCharType="end"/>
            </w:r>
          </w:hyperlink>
        </w:p>
        <w:p w:rsidR="005F1382" w:rsidRDefault="00A9506B">
          <w:pPr>
            <w:pStyle w:val="Inhopg2"/>
            <w:tabs>
              <w:tab w:val="right" w:leader="dot" w:pos="9062"/>
            </w:tabs>
            <w:rPr>
              <w:noProof/>
            </w:rPr>
          </w:pPr>
          <w:hyperlink w:anchor="_Toc365277090" w:history="1">
            <w:r w:rsidR="005F1382" w:rsidRPr="00BC3182">
              <w:rPr>
                <w:rStyle w:val="Hyperlink"/>
                <w:noProof/>
              </w:rPr>
              <w:t>3.1 Inleiding</w:t>
            </w:r>
            <w:r w:rsidR="005F1382">
              <w:rPr>
                <w:noProof/>
                <w:webHidden/>
              </w:rPr>
              <w:tab/>
            </w:r>
            <w:r>
              <w:rPr>
                <w:noProof/>
                <w:webHidden/>
              </w:rPr>
              <w:fldChar w:fldCharType="begin"/>
            </w:r>
            <w:r w:rsidR="005F1382">
              <w:rPr>
                <w:noProof/>
                <w:webHidden/>
              </w:rPr>
              <w:instrText xml:space="preserve"> PAGEREF _Toc365277090 \h </w:instrText>
            </w:r>
            <w:r>
              <w:rPr>
                <w:noProof/>
                <w:webHidden/>
              </w:rPr>
            </w:r>
            <w:r>
              <w:rPr>
                <w:noProof/>
                <w:webHidden/>
              </w:rPr>
              <w:fldChar w:fldCharType="separate"/>
            </w:r>
            <w:r w:rsidR="005F1382">
              <w:rPr>
                <w:noProof/>
                <w:webHidden/>
              </w:rPr>
              <w:t>13</w:t>
            </w:r>
            <w:r>
              <w:rPr>
                <w:noProof/>
                <w:webHidden/>
              </w:rPr>
              <w:fldChar w:fldCharType="end"/>
            </w:r>
          </w:hyperlink>
        </w:p>
        <w:p w:rsidR="005F1382" w:rsidRDefault="00A9506B">
          <w:pPr>
            <w:pStyle w:val="Inhopg2"/>
            <w:tabs>
              <w:tab w:val="right" w:leader="dot" w:pos="9062"/>
            </w:tabs>
            <w:rPr>
              <w:noProof/>
            </w:rPr>
          </w:pPr>
          <w:hyperlink w:anchor="_Toc365277091" w:history="1">
            <w:r w:rsidR="005F1382" w:rsidRPr="00BC3182">
              <w:rPr>
                <w:rStyle w:val="Hyperlink"/>
                <w:noProof/>
              </w:rPr>
              <w:t>3.2 De hypotheekrente</w:t>
            </w:r>
            <w:r w:rsidR="005F1382">
              <w:rPr>
                <w:noProof/>
                <w:webHidden/>
              </w:rPr>
              <w:tab/>
            </w:r>
            <w:r>
              <w:rPr>
                <w:noProof/>
                <w:webHidden/>
              </w:rPr>
              <w:fldChar w:fldCharType="begin"/>
            </w:r>
            <w:r w:rsidR="005F1382">
              <w:rPr>
                <w:noProof/>
                <w:webHidden/>
              </w:rPr>
              <w:instrText xml:space="preserve"> PAGEREF _Toc365277091 \h </w:instrText>
            </w:r>
            <w:r>
              <w:rPr>
                <w:noProof/>
                <w:webHidden/>
              </w:rPr>
            </w:r>
            <w:r>
              <w:rPr>
                <w:noProof/>
                <w:webHidden/>
              </w:rPr>
              <w:fldChar w:fldCharType="separate"/>
            </w:r>
            <w:r w:rsidR="005F1382">
              <w:rPr>
                <w:noProof/>
                <w:webHidden/>
              </w:rPr>
              <w:t>13</w:t>
            </w:r>
            <w:r>
              <w:rPr>
                <w:noProof/>
                <w:webHidden/>
              </w:rPr>
              <w:fldChar w:fldCharType="end"/>
            </w:r>
          </w:hyperlink>
        </w:p>
        <w:p w:rsidR="005F1382" w:rsidRDefault="00A9506B">
          <w:pPr>
            <w:pStyle w:val="Inhopg2"/>
            <w:tabs>
              <w:tab w:val="right" w:leader="dot" w:pos="9062"/>
            </w:tabs>
            <w:rPr>
              <w:noProof/>
            </w:rPr>
          </w:pPr>
          <w:hyperlink w:anchor="_Toc365277092" w:history="1">
            <w:r w:rsidR="005F1382" w:rsidRPr="00BC3182">
              <w:rPr>
                <w:rStyle w:val="Hyperlink"/>
                <w:noProof/>
              </w:rPr>
              <w:t>3.3 Consumptie-effecten en dalende huizenprijzen</w:t>
            </w:r>
            <w:r w:rsidR="005F1382">
              <w:rPr>
                <w:noProof/>
                <w:webHidden/>
              </w:rPr>
              <w:tab/>
            </w:r>
            <w:r>
              <w:rPr>
                <w:noProof/>
                <w:webHidden/>
              </w:rPr>
              <w:fldChar w:fldCharType="begin"/>
            </w:r>
            <w:r w:rsidR="005F1382">
              <w:rPr>
                <w:noProof/>
                <w:webHidden/>
              </w:rPr>
              <w:instrText xml:space="preserve"> PAGEREF _Toc365277092 \h </w:instrText>
            </w:r>
            <w:r>
              <w:rPr>
                <w:noProof/>
                <w:webHidden/>
              </w:rPr>
            </w:r>
            <w:r>
              <w:rPr>
                <w:noProof/>
                <w:webHidden/>
              </w:rPr>
              <w:fldChar w:fldCharType="separate"/>
            </w:r>
            <w:r w:rsidR="005F1382">
              <w:rPr>
                <w:noProof/>
                <w:webHidden/>
              </w:rPr>
              <w:t>16</w:t>
            </w:r>
            <w:r>
              <w:rPr>
                <w:noProof/>
                <w:webHidden/>
              </w:rPr>
              <w:fldChar w:fldCharType="end"/>
            </w:r>
          </w:hyperlink>
        </w:p>
        <w:p w:rsidR="005F1382" w:rsidRDefault="00A9506B">
          <w:pPr>
            <w:pStyle w:val="Inhopg2"/>
            <w:tabs>
              <w:tab w:val="right" w:leader="dot" w:pos="9062"/>
            </w:tabs>
            <w:rPr>
              <w:noProof/>
            </w:rPr>
          </w:pPr>
          <w:hyperlink w:anchor="_Toc365277093" w:history="1">
            <w:r w:rsidR="005F1382" w:rsidRPr="00BC3182">
              <w:rPr>
                <w:rStyle w:val="Hyperlink"/>
                <w:noProof/>
              </w:rPr>
              <w:t>3.4 Flexibiliteit arbeidsmarkt</w:t>
            </w:r>
            <w:r w:rsidR="005F1382">
              <w:rPr>
                <w:noProof/>
                <w:webHidden/>
              </w:rPr>
              <w:tab/>
            </w:r>
            <w:r>
              <w:rPr>
                <w:noProof/>
                <w:webHidden/>
              </w:rPr>
              <w:fldChar w:fldCharType="begin"/>
            </w:r>
            <w:r w:rsidR="005F1382">
              <w:rPr>
                <w:noProof/>
                <w:webHidden/>
              </w:rPr>
              <w:instrText xml:space="preserve"> PAGEREF _Toc365277093 \h </w:instrText>
            </w:r>
            <w:r>
              <w:rPr>
                <w:noProof/>
                <w:webHidden/>
              </w:rPr>
            </w:r>
            <w:r>
              <w:rPr>
                <w:noProof/>
                <w:webHidden/>
              </w:rPr>
              <w:fldChar w:fldCharType="separate"/>
            </w:r>
            <w:r w:rsidR="005F1382">
              <w:rPr>
                <w:noProof/>
                <w:webHidden/>
              </w:rPr>
              <w:t>17</w:t>
            </w:r>
            <w:r>
              <w:rPr>
                <w:noProof/>
                <w:webHidden/>
              </w:rPr>
              <w:fldChar w:fldCharType="end"/>
            </w:r>
          </w:hyperlink>
        </w:p>
        <w:p w:rsidR="005F1382" w:rsidRDefault="00A9506B">
          <w:pPr>
            <w:pStyle w:val="Inhopg2"/>
            <w:tabs>
              <w:tab w:val="right" w:leader="dot" w:pos="9062"/>
            </w:tabs>
            <w:rPr>
              <w:noProof/>
            </w:rPr>
          </w:pPr>
          <w:hyperlink w:anchor="_Toc365277094" w:history="1">
            <w:r w:rsidR="005F1382" w:rsidRPr="00BC3182">
              <w:rPr>
                <w:rStyle w:val="Hyperlink"/>
                <w:noProof/>
              </w:rPr>
              <w:t>3.5 Misallocatie van kapitaal</w:t>
            </w:r>
            <w:r w:rsidR="005F1382">
              <w:rPr>
                <w:noProof/>
                <w:webHidden/>
              </w:rPr>
              <w:tab/>
            </w:r>
            <w:r>
              <w:rPr>
                <w:noProof/>
                <w:webHidden/>
              </w:rPr>
              <w:fldChar w:fldCharType="begin"/>
            </w:r>
            <w:r w:rsidR="005F1382">
              <w:rPr>
                <w:noProof/>
                <w:webHidden/>
              </w:rPr>
              <w:instrText xml:space="preserve"> PAGEREF _Toc365277094 \h </w:instrText>
            </w:r>
            <w:r>
              <w:rPr>
                <w:noProof/>
                <w:webHidden/>
              </w:rPr>
            </w:r>
            <w:r>
              <w:rPr>
                <w:noProof/>
                <w:webHidden/>
              </w:rPr>
              <w:fldChar w:fldCharType="separate"/>
            </w:r>
            <w:r w:rsidR="005F1382">
              <w:rPr>
                <w:noProof/>
                <w:webHidden/>
              </w:rPr>
              <w:t>18</w:t>
            </w:r>
            <w:r>
              <w:rPr>
                <w:noProof/>
                <w:webHidden/>
              </w:rPr>
              <w:fldChar w:fldCharType="end"/>
            </w:r>
          </w:hyperlink>
        </w:p>
        <w:p w:rsidR="005F1382" w:rsidRDefault="00A9506B">
          <w:pPr>
            <w:pStyle w:val="Inhopg2"/>
            <w:tabs>
              <w:tab w:val="right" w:leader="dot" w:pos="9062"/>
            </w:tabs>
            <w:rPr>
              <w:noProof/>
            </w:rPr>
          </w:pPr>
          <w:hyperlink w:anchor="_Toc365277095" w:history="1">
            <w:r w:rsidR="005F1382" w:rsidRPr="00BC3182">
              <w:rPr>
                <w:rStyle w:val="Hyperlink"/>
                <w:noProof/>
              </w:rPr>
              <w:t>3.6 Systeemrisico</w:t>
            </w:r>
            <w:r w:rsidR="005F1382">
              <w:rPr>
                <w:noProof/>
                <w:webHidden/>
              </w:rPr>
              <w:tab/>
            </w:r>
            <w:r>
              <w:rPr>
                <w:noProof/>
                <w:webHidden/>
              </w:rPr>
              <w:fldChar w:fldCharType="begin"/>
            </w:r>
            <w:r w:rsidR="005F1382">
              <w:rPr>
                <w:noProof/>
                <w:webHidden/>
              </w:rPr>
              <w:instrText xml:space="preserve"> PAGEREF _Toc365277095 \h </w:instrText>
            </w:r>
            <w:r>
              <w:rPr>
                <w:noProof/>
                <w:webHidden/>
              </w:rPr>
            </w:r>
            <w:r>
              <w:rPr>
                <w:noProof/>
                <w:webHidden/>
              </w:rPr>
              <w:fldChar w:fldCharType="separate"/>
            </w:r>
            <w:r w:rsidR="005F1382">
              <w:rPr>
                <w:noProof/>
                <w:webHidden/>
              </w:rPr>
              <w:t>18</w:t>
            </w:r>
            <w:r>
              <w:rPr>
                <w:noProof/>
                <w:webHidden/>
              </w:rPr>
              <w:fldChar w:fldCharType="end"/>
            </w:r>
          </w:hyperlink>
        </w:p>
        <w:p w:rsidR="005F1382" w:rsidRDefault="00A9506B">
          <w:pPr>
            <w:pStyle w:val="Inhopg1"/>
            <w:tabs>
              <w:tab w:val="right" w:leader="dot" w:pos="9062"/>
            </w:tabs>
            <w:rPr>
              <w:noProof/>
            </w:rPr>
          </w:pPr>
          <w:hyperlink w:anchor="_Toc365277096" w:history="1">
            <w:r w:rsidR="005F1382" w:rsidRPr="00BC3182">
              <w:rPr>
                <w:rStyle w:val="Hyperlink"/>
                <w:noProof/>
              </w:rPr>
              <w:t>4.Wat zijn de beleidsimplicaties?</w:t>
            </w:r>
            <w:r w:rsidR="005F1382">
              <w:rPr>
                <w:noProof/>
                <w:webHidden/>
              </w:rPr>
              <w:tab/>
            </w:r>
            <w:r>
              <w:rPr>
                <w:noProof/>
                <w:webHidden/>
              </w:rPr>
              <w:fldChar w:fldCharType="begin"/>
            </w:r>
            <w:r w:rsidR="005F1382">
              <w:rPr>
                <w:noProof/>
                <w:webHidden/>
              </w:rPr>
              <w:instrText xml:space="preserve"> PAGEREF _Toc365277096 \h </w:instrText>
            </w:r>
            <w:r>
              <w:rPr>
                <w:noProof/>
                <w:webHidden/>
              </w:rPr>
            </w:r>
            <w:r>
              <w:rPr>
                <w:noProof/>
                <w:webHidden/>
              </w:rPr>
              <w:fldChar w:fldCharType="separate"/>
            </w:r>
            <w:r w:rsidR="005F1382">
              <w:rPr>
                <w:noProof/>
                <w:webHidden/>
              </w:rPr>
              <w:t>19</w:t>
            </w:r>
            <w:r>
              <w:rPr>
                <w:noProof/>
                <w:webHidden/>
              </w:rPr>
              <w:fldChar w:fldCharType="end"/>
            </w:r>
          </w:hyperlink>
        </w:p>
        <w:p w:rsidR="005F1382" w:rsidRDefault="00A9506B">
          <w:pPr>
            <w:pStyle w:val="Inhopg2"/>
            <w:tabs>
              <w:tab w:val="right" w:leader="dot" w:pos="9062"/>
            </w:tabs>
            <w:rPr>
              <w:noProof/>
            </w:rPr>
          </w:pPr>
          <w:hyperlink w:anchor="_Toc365277097" w:history="1">
            <w:r w:rsidR="005F1382" w:rsidRPr="00BC3182">
              <w:rPr>
                <w:rStyle w:val="Hyperlink"/>
                <w:noProof/>
              </w:rPr>
              <w:t>4.1 Inleiding</w:t>
            </w:r>
            <w:r w:rsidR="005F1382">
              <w:rPr>
                <w:noProof/>
                <w:webHidden/>
              </w:rPr>
              <w:tab/>
            </w:r>
            <w:r>
              <w:rPr>
                <w:noProof/>
                <w:webHidden/>
              </w:rPr>
              <w:fldChar w:fldCharType="begin"/>
            </w:r>
            <w:r w:rsidR="005F1382">
              <w:rPr>
                <w:noProof/>
                <w:webHidden/>
              </w:rPr>
              <w:instrText xml:space="preserve"> PAGEREF _Toc365277097 \h </w:instrText>
            </w:r>
            <w:r>
              <w:rPr>
                <w:noProof/>
                <w:webHidden/>
              </w:rPr>
            </w:r>
            <w:r>
              <w:rPr>
                <w:noProof/>
                <w:webHidden/>
              </w:rPr>
              <w:fldChar w:fldCharType="separate"/>
            </w:r>
            <w:r w:rsidR="005F1382">
              <w:rPr>
                <w:noProof/>
                <w:webHidden/>
              </w:rPr>
              <w:t>19</w:t>
            </w:r>
            <w:r>
              <w:rPr>
                <w:noProof/>
                <w:webHidden/>
              </w:rPr>
              <w:fldChar w:fldCharType="end"/>
            </w:r>
          </w:hyperlink>
        </w:p>
        <w:p w:rsidR="005F1382" w:rsidRDefault="00A9506B">
          <w:pPr>
            <w:pStyle w:val="Inhopg2"/>
            <w:tabs>
              <w:tab w:val="right" w:leader="dot" w:pos="9062"/>
            </w:tabs>
            <w:rPr>
              <w:noProof/>
            </w:rPr>
          </w:pPr>
          <w:hyperlink w:anchor="_Toc365277098" w:history="1">
            <w:r w:rsidR="005F1382" w:rsidRPr="00BC3182">
              <w:rPr>
                <w:rStyle w:val="Hyperlink"/>
                <w:noProof/>
              </w:rPr>
              <w:t>4.2 Beleidsimplicaties huurmarkt</w:t>
            </w:r>
            <w:r w:rsidR="005F1382">
              <w:rPr>
                <w:noProof/>
                <w:webHidden/>
              </w:rPr>
              <w:tab/>
            </w:r>
            <w:r>
              <w:rPr>
                <w:noProof/>
                <w:webHidden/>
              </w:rPr>
              <w:fldChar w:fldCharType="begin"/>
            </w:r>
            <w:r w:rsidR="005F1382">
              <w:rPr>
                <w:noProof/>
                <w:webHidden/>
              </w:rPr>
              <w:instrText xml:space="preserve"> PAGEREF _Toc365277098 \h </w:instrText>
            </w:r>
            <w:r>
              <w:rPr>
                <w:noProof/>
                <w:webHidden/>
              </w:rPr>
            </w:r>
            <w:r>
              <w:rPr>
                <w:noProof/>
                <w:webHidden/>
              </w:rPr>
              <w:fldChar w:fldCharType="separate"/>
            </w:r>
            <w:r w:rsidR="005F1382">
              <w:rPr>
                <w:noProof/>
                <w:webHidden/>
              </w:rPr>
              <w:t>19</w:t>
            </w:r>
            <w:r>
              <w:rPr>
                <w:noProof/>
                <w:webHidden/>
              </w:rPr>
              <w:fldChar w:fldCharType="end"/>
            </w:r>
          </w:hyperlink>
        </w:p>
        <w:p w:rsidR="005F1382" w:rsidRDefault="00A9506B">
          <w:pPr>
            <w:pStyle w:val="Inhopg2"/>
            <w:tabs>
              <w:tab w:val="right" w:leader="dot" w:pos="9062"/>
            </w:tabs>
            <w:rPr>
              <w:noProof/>
            </w:rPr>
          </w:pPr>
          <w:hyperlink w:anchor="_Toc365277099" w:history="1">
            <w:r w:rsidR="005F1382" w:rsidRPr="00BC3182">
              <w:rPr>
                <w:rStyle w:val="Hyperlink"/>
                <w:noProof/>
              </w:rPr>
              <w:t>4.3 Beleidsimplicaties huizenmarkt</w:t>
            </w:r>
            <w:r w:rsidR="005F1382">
              <w:rPr>
                <w:noProof/>
                <w:webHidden/>
              </w:rPr>
              <w:tab/>
            </w:r>
            <w:r>
              <w:rPr>
                <w:noProof/>
                <w:webHidden/>
              </w:rPr>
              <w:fldChar w:fldCharType="begin"/>
            </w:r>
            <w:r w:rsidR="005F1382">
              <w:rPr>
                <w:noProof/>
                <w:webHidden/>
              </w:rPr>
              <w:instrText xml:space="preserve"> PAGEREF _Toc365277099 \h </w:instrText>
            </w:r>
            <w:r>
              <w:rPr>
                <w:noProof/>
                <w:webHidden/>
              </w:rPr>
            </w:r>
            <w:r>
              <w:rPr>
                <w:noProof/>
                <w:webHidden/>
              </w:rPr>
              <w:fldChar w:fldCharType="separate"/>
            </w:r>
            <w:r w:rsidR="005F1382">
              <w:rPr>
                <w:noProof/>
                <w:webHidden/>
              </w:rPr>
              <w:t>20</w:t>
            </w:r>
            <w:r>
              <w:rPr>
                <w:noProof/>
                <w:webHidden/>
              </w:rPr>
              <w:fldChar w:fldCharType="end"/>
            </w:r>
          </w:hyperlink>
        </w:p>
        <w:p w:rsidR="005F1382" w:rsidRDefault="00A9506B">
          <w:pPr>
            <w:pStyle w:val="Inhopg2"/>
            <w:tabs>
              <w:tab w:val="right" w:leader="dot" w:pos="9062"/>
            </w:tabs>
            <w:rPr>
              <w:noProof/>
            </w:rPr>
          </w:pPr>
          <w:hyperlink w:anchor="_Toc365277100" w:history="1">
            <w:r w:rsidR="005F1382" w:rsidRPr="00BC3182">
              <w:rPr>
                <w:rStyle w:val="Hyperlink"/>
                <w:noProof/>
              </w:rPr>
              <w:t>4.4 oplossing huidige problematiek</w:t>
            </w:r>
            <w:r w:rsidR="005F1382">
              <w:rPr>
                <w:noProof/>
                <w:webHidden/>
              </w:rPr>
              <w:tab/>
            </w:r>
            <w:r>
              <w:rPr>
                <w:noProof/>
                <w:webHidden/>
              </w:rPr>
              <w:fldChar w:fldCharType="begin"/>
            </w:r>
            <w:r w:rsidR="005F1382">
              <w:rPr>
                <w:noProof/>
                <w:webHidden/>
              </w:rPr>
              <w:instrText xml:space="preserve"> PAGEREF _Toc365277100 \h </w:instrText>
            </w:r>
            <w:r>
              <w:rPr>
                <w:noProof/>
                <w:webHidden/>
              </w:rPr>
            </w:r>
            <w:r>
              <w:rPr>
                <w:noProof/>
                <w:webHidden/>
              </w:rPr>
              <w:fldChar w:fldCharType="separate"/>
            </w:r>
            <w:r w:rsidR="005F1382">
              <w:rPr>
                <w:noProof/>
                <w:webHidden/>
              </w:rPr>
              <w:t>21</w:t>
            </w:r>
            <w:r>
              <w:rPr>
                <w:noProof/>
                <w:webHidden/>
              </w:rPr>
              <w:fldChar w:fldCharType="end"/>
            </w:r>
          </w:hyperlink>
        </w:p>
        <w:p w:rsidR="005F1382" w:rsidRDefault="00A9506B">
          <w:pPr>
            <w:pStyle w:val="Inhopg2"/>
            <w:tabs>
              <w:tab w:val="right" w:leader="dot" w:pos="9062"/>
            </w:tabs>
            <w:rPr>
              <w:noProof/>
            </w:rPr>
          </w:pPr>
          <w:hyperlink w:anchor="_Toc365277101" w:history="1">
            <w:r w:rsidR="005F1382" w:rsidRPr="00BC3182">
              <w:rPr>
                <w:rStyle w:val="Hyperlink"/>
                <w:noProof/>
              </w:rPr>
              <w:t>4.5 Is de bodem in zicht?</w:t>
            </w:r>
            <w:r w:rsidR="005F1382">
              <w:rPr>
                <w:noProof/>
                <w:webHidden/>
              </w:rPr>
              <w:tab/>
            </w:r>
            <w:r>
              <w:rPr>
                <w:noProof/>
                <w:webHidden/>
              </w:rPr>
              <w:fldChar w:fldCharType="begin"/>
            </w:r>
            <w:r w:rsidR="005F1382">
              <w:rPr>
                <w:noProof/>
                <w:webHidden/>
              </w:rPr>
              <w:instrText xml:space="preserve"> PAGEREF _Toc365277101 \h </w:instrText>
            </w:r>
            <w:r>
              <w:rPr>
                <w:noProof/>
                <w:webHidden/>
              </w:rPr>
            </w:r>
            <w:r>
              <w:rPr>
                <w:noProof/>
                <w:webHidden/>
              </w:rPr>
              <w:fldChar w:fldCharType="separate"/>
            </w:r>
            <w:r w:rsidR="005F1382">
              <w:rPr>
                <w:noProof/>
                <w:webHidden/>
              </w:rPr>
              <w:t>23</w:t>
            </w:r>
            <w:r>
              <w:rPr>
                <w:noProof/>
                <w:webHidden/>
              </w:rPr>
              <w:fldChar w:fldCharType="end"/>
            </w:r>
          </w:hyperlink>
        </w:p>
        <w:p w:rsidR="005F1382" w:rsidRDefault="00A9506B">
          <w:pPr>
            <w:pStyle w:val="Inhopg1"/>
            <w:tabs>
              <w:tab w:val="right" w:leader="dot" w:pos="9062"/>
            </w:tabs>
            <w:rPr>
              <w:noProof/>
            </w:rPr>
          </w:pPr>
          <w:hyperlink w:anchor="_Toc365277102" w:history="1">
            <w:r w:rsidR="005F1382" w:rsidRPr="00BC3182">
              <w:rPr>
                <w:rStyle w:val="Hyperlink"/>
                <w:noProof/>
              </w:rPr>
              <w:t>5. Samenvatting en conclusie</w:t>
            </w:r>
            <w:r w:rsidR="005F1382">
              <w:rPr>
                <w:noProof/>
                <w:webHidden/>
              </w:rPr>
              <w:tab/>
            </w:r>
            <w:r>
              <w:rPr>
                <w:noProof/>
                <w:webHidden/>
              </w:rPr>
              <w:fldChar w:fldCharType="begin"/>
            </w:r>
            <w:r w:rsidR="005F1382">
              <w:rPr>
                <w:noProof/>
                <w:webHidden/>
              </w:rPr>
              <w:instrText xml:space="preserve"> PAGEREF _Toc365277102 \h </w:instrText>
            </w:r>
            <w:r>
              <w:rPr>
                <w:noProof/>
                <w:webHidden/>
              </w:rPr>
            </w:r>
            <w:r>
              <w:rPr>
                <w:noProof/>
                <w:webHidden/>
              </w:rPr>
              <w:fldChar w:fldCharType="separate"/>
            </w:r>
            <w:r w:rsidR="005F1382">
              <w:rPr>
                <w:noProof/>
                <w:webHidden/>
              </w:rPr>
              <w:t>24</w:t>
            </w:r>
            <w:r>
              <w:rPr>
                <w:noProof/>
                <w:webHidden/>
              </w:rPr>
              <w:fldChar w:fldCharType="end"/>
            </w:r>
          </w:hyperlink>
        </w:p>
        <w:p w:rsidR="005F1382" w:rsidRDefault="00A9506B">
          <w:pPr>
            <w:pStyle w:val="Inhopg1"/>
            <w:tabs>
              <w:tab w:val="right" w:leader="dot" w:pos="9062"/>
            </w:tabs>
            <w:rPr>
              <w:noProof/>
            </w:rPr>
          </w:pPr>
          <w:hyperlink w:anchor="_Toc365277103" w:history="1">
            <w:r w:rsidR="005F1382" w:rsidRPr="00BC3182">
              <w:rPr>
                <w:rStyle w:val="Hyperlink"/>
                <w:noProof/>
              </w:rPr>
              <w:t>6. Bibliografie</w:t>
            </w:r>
            <w:r w:rsidR="005F1382">
              <w:rPr>
                <w:noProof/>
                <w:webHidden/>
              </w:rPr>
              <w:tab/>
            </w:r>
            <w:r>
              <w:rPr>
                <w:noProof/>
                <w:webHidden/>
              </w:rPr>
              <w:fldChar w:fldCharType="begin"/>
            </w:r>
            <w:r w:rsidR="005F1382">
              <w:rPr>
                <w:noProof/>
                <w:webHidden/>
              </w:rPr>
              <w:instrText xml:space="preserve"> PAGEREF _Toc365277103 \h </w:instrText>
            </w:r>
            <w:r>
              <w:rPr>
                <w:noProof/>
                <w:webHidden/>
              </w:rPr>
            </w:r>
            <w:r>
              <w:rPr>
                <w:noProof/>
                <w:webHidden/>
              </w:rPr>
              <w:fldChar w:fldCharType="separate"/>
            </w:r>
            <w:r w:rsidR="005F1382">
              <w:rPr>
                <w:noProof/>
                <w:webHidden/>
              </w:rPr>
              <w:t>27</w:t>
            </w:r>
            <w:r>
              <w:rPr>
                <w:noProof/>
                <w:webHidden/>
              </w:rPr>
              <w:fldChar w:fldCharType="end"/>
            </w:r>
          </w:hyperlink>
        </w:p>
        <w:p w:rsidR="00674926" w:rsidRDefault="00A9506B">
          <w:r>
            <w:fldChar w:fldCharType="end"/>
          </w:r>
        </w:p>
      </w:sdtContent>
    </w:sdt>
    <w:p w:rsidR="00674926" w:rsidRPr="00674926" w:rsidRDefault="00674926" w:rsidP="00674926"/>
    <w:p w:rsidR="00674926" w:rsidRPr="00674926" w:rsidRDefault="00674926" w:rsidP="00674926"/>
    <w:p w:rsidR="00674926" w:rsidRDefault="00674926" w:rsidP="00674926"/>
    <w:p w:rsidR="00674926" w:rsidRDefault="00674926">
      <w:r>
        <w:br w:type="page"/>
      </w:r>
    </w:p>
    <w:p w:rsidR="00F9448A" w:rsidRPr="00F14325" w:rsidRDefault="00F9448A" w:rsidP="00680BAD">
      <w:pPr>
        <w:pStyle w:val="Kop1"/>
      </w:pPr>
      <w:bookmarkStart w:id="1" w:name="_Toc365277078"/>
      <w:r w:rsidRPr="00F14325">
        <w:lastRenderedPageBreak/>
        <w:t>1.Inleiding, onderzoeksvraag en opzet</w:t>
      </w:r>
      <w:bookmarkEnd w:id="1"/>
    </w:p>
    <w:p w:rsidR="00F9448A" w:rsidRPr="00F14325" w:rsidRDefault="001C1C85" w:rsidP="00680BAD">
      <w:pPr>
        <w:pStyle w:val="Kop2"/>
      </w:pPr>
      <w:bookmarkStart w:id="2" w:name="_Toc365277079"/>
      <w:r w:rsidRPr="00F14325">
        <w:t>1.1 I</w:t>
      </w:r>
      <w:r w:rsidR="00F9448A" w:rsidRPr="00F14325">
        <w:t>nleiding</w:t>
      </w:r>
      <w:bookmarkEnd w:id="2"/>
    </w:p>
    <w:p w:rsidR="00F9448A" w:rsidRPr="00F14325" w:rsidRDefault="00F9448A" w:rsidP="002E4516">
      <w:pPr>
        <w:spacing w:line="360" w:lineRule="auto"/>
        <w:jc w:val="both"/>
        <w:rPr>
          <w:rFonts w:ascii="Times New Roman" w:hAnsi="Times New Roman" w:cs="Times New Roman"/>
          <w:sz w:val="24"/>
          <w:szCs w:val="24"/>
          <w:shd w:val="clear" w:color="auto" w:fill="FFFFFF"/>
        </w:rPr>
      </w:pPr>
      <w:r w:rsidRPr="00F14325">
        <w:rPr>
          <w:rFonts w:ascii="Times New Roman" w:hAnsi="Times New Roman" w:cs="Times New Roman"/>
          <w:sz w:val="24"/>
          <w:szCs w:val="24"/>
          <w:shd w:val="clear" w:color="auto" w:fill="FFFFFF"/>
        </w:rPr>
        <w:t xml:space="preserve">Toen minister-president Rutte op 14 april 2013 de Nederlanders opriep om niet zo te somberen en toch maar ‘die auto te kopen’ of ‘dat nieuwe huis </w:t>
      </w:r>
      <w:r w:rsidR="002F7BF3">
        <w:rPr>
          <w:rFonts w:ascii="Times New Roman" w:hAnsi="Times New Roman" w:cs="Times New Roman"/>
          <w:sz w:val="24"/>
          <w:szCs w:val="24"/>
          <w:shd w:val="clear" w:color="auto" w:fill="FFFFFF"/>
        </w:rPr>
        <w:t xml:space="preserve">te </w:t>
      </w:r>
      <w:r w:rsidRPr="00F14325">
        <w:rPr>
          <w:rFonts w:ascii="Times New Roman" w:hAnsi="Times New Roman" w:cs="Times New Roman"/>
          <w:sz w:val="24"/>
          <w:szCs w:val="24"/>
          <w:shd w:val="clear" w:color="auto" w:fill="FFFFFF"/>
        </w:rPr>
        <w:t>kopen’ riep hij storm van kritiek op. Rutte zou niets begrijpen va</w:t>
      </w:r>
      <w:r w:rsidR="00F815C2">
        <w:rPr>
          <w:rFonts w:ascii="Times New Roman" w:hAnsi="Times New Roman" w:cs="Times New Roman"/>
          <w:sz w:val="24"/>
          <w:szCs w:val="24"/>
          <w:shd w:val="clear" w:color="auto" w:fill="FFFFFF"/>
        </w:rPr>
        <w:t>n de macro-economische situatie</w:t>
      </w:r>
      <w:r w:rsidRPr="00F14325">
        <w:rPr>
          <w:rFonts w:ascii="Times New Roman" w:hAnsi="Times New Roman" w:cs="Times New Roman"/>
          <w:sz w:val="24"/>
          <w:szCs w:val="24"/>
          <w:shd w:val="clear" w:color="auto" w:fill="FFFFFF"/>
        </w:rPr>
        <w:t xml:space="preserve"> en het consumentenvertrouwen zien als een toverstaf om Nederland uit de crisis te helpen.</w:t>
      </w:r>
      <w:r w:rsidRPr="00F14325">
        <w:rPr>
          <w:rStyle w:val="Voetnootmarkering"/>
          <w:rFonts w:ascii="Times New Roman" w:hAnsi="Times New Roman" w:cs="Times New Roman"/>
          <w:sz w:val="24"/>
          <w:szCs w:val="24"/>
          <w:shd w:val="clear" w:color="auto" w:fill="FFFFFF"/>
        </w:rPr>
        <w:footnoteReference w:id="1"/>
      </w:r>
      <w:r w:rsidRPr="00F14325">
        <w:rPr>
          <w:rFonts w:ascii="Times New Roman" w:hAnsi="Times New Roman" w:cs="Times New Roman"/>
          <w:sz w:val="24"/>
          <w:szCs w:val="24"/>
          <w:shd w:val="clear" w:color="auto" w:fill="FFFFFF"/>
        </w:rPr>
        <w:t xml:space="preserve"> Van verschillende kanten klonk de kritiek dat de Nederlandse consument wel degelijk reden had om zo te somberen. Onder andere Peter Boelhouwer (hoogleraar woningmarkt TU Delft) w</w:t>
      </w:r>
      <w:r w:rsidR="002F7BF3">
        <w:rPr>
          <w:rFonts w:ascii="Times New Roman" w:hAnsi="Times New Roman" w:cs="Times New Roman"/>
          <w:sz w:val="24"/>
          <w:szCs w:val="24"/>
          <w:shd w:val="clear" w:color="auto" w:fill="FFFFFF"/>
        </w:rPr>
        <w:t>ees</w:t>
      </w:r>
      <w:r w:rsidRPr="00F14325">
        <w:rPr>
          <w:rFonts w:ascii="Times New Roman" w:hAnsi="Times New Roman" w:cs="Times New Roman"/>
          <w:sz w:val="24"/>
          <w:szCs w:val="24"/>
          <w:shd w:val="clear" w:color="auto" w:fill="FFFFFF"/>
        </w:rPr>
        <w:t xml:space="preserve"> erop dat de problemen op de huizenmarkt ervoor zorgen dat deze crisis heftiger is dan nodig.</w:t>
      </w:r>
      <w:r w:rsidRPr="00F14325">
        <w:rPr>
          <w:rStyle w:val="Voetnootmarkering"/>
          <w:rFonts w:ascii="Times New Roman" w:hAnsi="Times New Roman" w:cs="Times New Roman"/>
          <w:sz w:val="24"/>
          <w:szCs w:val="24"/>
          <w:shd w:val="clear" w:color="auto" w:fill="FFFFFF"/>
        </w:rPr>
        <w:footnoteReference w:id="2"/>
      </w:r>
      <w:r w:rsidRPr="00F14325">
        <w:rPr>
          <w:rFonts w:ascii="Times New Roman" w:hAnsi="Times New Roman" w:cs="Times New Roman"/>
          <w:sz w:val="24"/>
          <w:szCs w:val="24"/>
          <w:shd w:val="clear" w:color="auto" w:fill="FFFFFF"/>
        </w:rPr>
        <w:t xml:space="preserve"> Daarnaast uitten </w:t>
      </w:r>
      <w:r w:rsidR="00F815C2">
        <w:rPr>
          <w:rFonts w:ascii="Times New Roman" w:hAnsi="Times New Roman" w:cs="Times New Roman"/>
          <w:sz w:val="24"/>
          <w:szCs w:val="24"/>
          <w:shd w:val="clear" w:color="auto" w:fill="FFFFFF"/>
        </w:rPr>
        <w:t xml:space="preserve">ook </w:t>
      </w:r>
      <w:r w:rsidRPr="00F14325">
        <w:rPr>
          <w:rFonts w:ascii="Times New Roman" w:hAnsi="Times New Roman" w:cs="Times New Roman"/>
          <w:sz w:val="24"/>
          <w:szCs w:val="24"/>
          <w:shd w:val="clear" w:color="auto" w:fill="FFFFFF"/>
        </w:rPr>
        <w:t xml:space="preserve">anderen hun zorgen over de pensioenen, </w:t>
      </w:r>
      <w:r w:rsidR="00F815C2" w:rsidRPr="00F14325">
        <w:rPr>
          <w:rFonts w:ascii="Times New Roman" w:hAnsi="Times New Roman" w:cs="Times New Roman"/>
          <w:sz w:val="24"/>
          <w:szCs w:val="24"/>
          <w:shd w:val="clear" w:color="auto" w:fill="FFFFFF"/>
        </w:rPr>
        <w:t>de huizenmarkt</w:t>
      </w:r>
      <w:r w:rsidR="00F815C2">
        <w:rPr>
          <w:rFonts w:ascii="Times New Roman" w:hAnsi="Times New Roman" w:cs="Times New Roman"/>
          <w:sz w:val="24"/>
          <w:szCs w:val="24"/>
          <w:shd w:val="clear" w:color="auto" w:fill="FFFFFF"/>
        </w:rPr>
        <w:t>, de</w:t>
      </w:r>
      <w:r w:rsidR="00F815C2" w:rsidRPr="00F14325">
        <w:rPr>
          <w:rFonts w:ascii="Times New Roman" w:hAnsi="Times New Roman" w:cs="Times New Roman"/>
          <w:sz w:val="24"/>
          <w:szCs w:val="24"/>
          <w:shd w:val="clear" w:color="auto" w:fill="FFFFFF"/>
        </w:rPr>
        <w:t xml:space="preserve"> </w:t>
      </w:r>
      <w:r w:rsidR="00F815C2">
        <w:rPr>
          <w:rFonts w:ascii="Times New Roman" w:hAnsi="Times New Roman" w:cs="Times New Roman"/>
          <w:sz w:val="24"/>
          <w:szCs w:val="24"/>
          <w:shd w:val="clear" w:color="auto" w:fill="FFFFFF"/>
        </w:rPr>
        <w:t>hoge schulden van huishoudens en</w:t>
      </w:r>
      <w:r w:rsidRPr="00F14325">
        <w:rPr>
          <w:rFonts w:ascii="Times New Roman" w:hAnsi="Times New Roman" w:cs="Times New Roman"/>
          <w:sz w:val="24"/>
          <w:szCs w:val="24"/>
          <w:shd w:val="clear" w:color="auto" w:fill="FFFFFF"/>
        </w:rPr>
        <w:t xml:space="preserve"> banken</w:t>
      </w:r>
      <w:r w:rsidR="00F815C2">
        <w:rPr>
          <w:rFonts w:ascii="Times New Roman" w:hAnsi="Times New Roman" w:cs="Times New Roman"/>
          <w:sz w:val="24"/>
          <w:szCs w:val="24"/>
          <w:shd w:val="clear" w:color="auto" w:fill="FFFFFF"/>
        </w:rPr>
        <w:t>.</w:t>
      </w:r>
      <w:r w:rsidRPr="00F14325">
        <w:rPr>
          <w:rStyle w:val="Voetnootmarkering"/>
          <w:rFonts w:ascii="Times New Roman" w:hAnsi="Times New Roman" w:cs="Times New Roman"/>
          <w:sz w:val="24"/>
          <w:szCs w:val="24"/>
          <w:shd w:val="clear" w:color="auto" w:fill="FFFFFF"/>
        </w:rPr>
        <w:footnoteReference w:id="3"/>
      </w:r>
    </w:p>
    <w:p w:rsidR="00F9448A" w:rsidRPr="00F14325" w:rsidRDefault="00F9448A" w:rsidP="002E4516">
      <w:pPr>
        <w:spacing w:line="360" w:lineRule="auto"/>
        <w:jc w:val="both"/>
        <w:rPr>
          <w:rFonts w:ascii="Times New Roman" w:hAnsi="Times New Roman" w:cs="Times New Roman"/>
          <w:sz w:val="24"/>
          <w:szCs w:val="24"/>
          <w:shd w:val="clear" w:color="auto" w:fill="FFFFFF"/>
        </w:rPr>
      </w:pPr>
    </w:p>
    <w:p w:rsidR="00F9448A" w:rsidRPr="00F14325" w:rsidRDefault="00F9448A" w:rsidP="00680BAD">
      <w:pPr>
        <w:pStyle w:val="Kop2"/>
        <w:rPr>
          <w:shd w:val="clear" w:color="auto" w:fill="FFFFFF"/>
        </w:rPr>
      </w:pPr>
      <w:bookmarkStart w:id="3" w:name="_Toc365277080"/>
      <w:r w:rsidRPr="00F14325">
        <w:rPr>
          <w:shd w:val="clear" w:color="auto" w:fill="FFFFFF"/>
        </w:rPr>
        <w:t>1.2 Onderzoeksvraag</w:t>
      </w:r>
      <w:bookmarkEnd w:id="3"/>
    </w:p>
    <w:p w:rsidR="00F9448A" w:rsidRPr="00F14325" w:rsidRDefault="00F9448A" w:rsidP="002E4516">
      <w:pPr>
        <w:spacing w:line="360" w:lineRule="auto"/>
        <w:jc w:val="both"/>
        <w:rPr>
          <w:rFonts w:ascii="Times New Roman" w:hAnsi="Times New Roman" w:cs="Times New Roman"/>
          <w:sz w:val="24"/>
          <w:szCs w:val="24"/>
          <w:shd w:val="clear" w:color="auto" w:fill="FFFFFF"/>
        </w:rPr>
      </w:pPr>
      <w:r w:rsidRPr="00F14325">
        <w:rPr>
          <w:rFonts w:ascii="Times New Roman" w:hAnsi="Times New Roman" w:cs="Times New Roman"/>
          <w:sz w:val="24"/>
          <w:szCs w:val="24"/>
          <w:shd w:val="clear" w:color="auto" w:fill="FFFFFF"/>
        </w:rPr>
        <w:t xml:space="preserve">In deze scriptie ga ik de rol van instituten bestuderen in de context van de huidige economische </w:t>
      </w:r>
      <w:r w:rsidR="005C7020">
        <w:rPr>
          <w:rFonts w:ascii="Times New Roman" w:hAnsi="Times New Roman" w:cs="Times New Roman"/>
          <w:sz w:val="24"/>
          <w:szCs w:val="24"/>
          <w:shd w:val="clear" w:color="auto" w:fill="FFFFFF"/>
        </w:rPr>
        <w:t>omstandigheden</w:t>
      </w:r>
      <w:r w:rsidRPr="00F14325">
        <w:rPr>
          <w:rFonts w:ascii="Times New Roman" w:hAnsi="Times New Roman" w:cs="Times New Roman"/>
          <w:sz w:val="24"/>
          <w:szCs w:val="24"/>
          <w:shd w:val="clear" w:color="auto" w:fill="FFFFFF"/>
        </w:rPr>
        <w:t>. De centrale vraag die ik probeer te beantwoorden luidt als volgt:</w:t>
      </w:r>
    </w:p>
    <w:p w:rsidR="00F9448A" w:rsidRPr="00F14325" w:rsidRDefault="00F9448A" w:rsidP="002E4516">
      <w:pPr>
        <w:spacing w:line="360" w:lineRule="auto"/>
        <w:ind w:left="708"/>
        <w:jc w:val="both"/>
        <w:rPr>
          <w:rFonts w:ascii="Times New Roman" w:hAnsi="Times New Roman" w:cs="Times New Roman"/>
          <w:i/>
          <w:sz w:val="24"/>
          <w:szCs w:val="24"/>
          <w:shd w:val="clear" w:color="auto" w:fill="FFFFFF"/>
        </w:rPr>
      </w:pPr>
      <w:r w:rsidRPr="00F14325">
        <w:rPr>
          <w:rFonts w:ascii="Times New Roman" w:hAnsi="Times New Roman" w:cs="Times New Roman"/>
          <w:i/>
          <w:sz w:val="24"/>
          <w:szCs w:val="24"/>
          <w:shd w:val="clear" w:color="auto" w:fill="FFFFFF"/>
        </w:rPr>
        <w:t>Welke rol speelt het instituut ‘</w:t>
      </w:r>
      <w:r w:rsidR="00B10813">
        <w:rPr>
          <w:rFonts w:ascii="Times New Roman" w:hAnsi="Times New Roman" w:cs="Times New Roman"/>
          <w:i/>
          <w:sz w:val="24"/>
          <w:szCs w:val="24"/>
          <w:shd w:val="clear" w:color="auto" w:fill="FFFFFF"/>
        </w:rPr>
        <w:t>woningmarkt</w:t>
      </w:r>
      <w:r w:rsidRPr="00F14325">
        <w:rPr>
          <w:rFonts w:ascii="Times New Roman" w:hAnsi="Times New Roman" w:cs="Times New Roman"/>
          <w:i/>
          <w:sz w:val="24"/>
          <w:szCs w:val="24"/>
          <w:shd w:val="clear" w:color="auto" w:fill="FFFFFF"/>
        </w:rPr>
        <w:t xml:space="preserve">’ in de huidige economische </w:t>
      </w:r>
      <w:r w:rsidR="005C7020">
        <w:rPr>
          <w:rFonts w:ascii="Times New Roman" w:hAnsi="Times New Roman" w:cs="Times New Roman"/>
          <w:i/>
          <w:sz w:val="24"/>
          <w:szCs w:val="24"/>
          <w:shd w:val="clear" w:color="auto" w:fill="FFFFFF"/>
        </w:rPr>
        <w:t>context</w:t>
      </w:r>
      <w:r w:rsidRPr="00F14325">
        <w:rPr>
          <w:rFonts w:ascii="Times New Roman" w:hAnsi="Times New Roman" w:cs="Times New Roman"/>
          <w:i/>
          <w:sz w:val="24"/>
          <w:szCs w:val="24"/>
          <w:shd w:val="clear" w:color="auto" w:fill="FFFFFF"/>
        </w:rPr>
        <w:t xml:space="preserve"> en welke beleidsimplicaties heeft dat? </w:t>
      </w:r>
    </w:p>
    <w:p w:rsidR="00F9448A" w:rsidRPr="00F14325" w:rsidRDefault="00F9448A" w:rsidP="002E4516">
      <w:pPr>
        <w:spacing w:line="360" w:lineRule="auto"/>
        <w:jc w:val="both"/>
        <w:rPr>
          <w:rFonts w:ascii="Times New Roman" w:hAnsi="Times New Roman" w:cs="Times New Roman"/>
          <w:sz w:val="24"/>
          <w:szCs w:val="24"/>
          <w:shd w:val="clear" w:color="auto" w:fill="FFFFFF"/>
        </w:rPr>
      </w:pPr>
      <w:r w:rsidRPr="00F14325">
        <w:rPr>
          <w:rFonts w:ascii="Times New Roman" w:hAnsi="Times New Roman" w:cs="Times New Roman"/>
          <w:sz w:val="24"/>
          <w:szCs w:val="24"/>
          <w:shd w:val="clear" w:color="auto" w:fill="FFFFFF"/>
        </w:rPr>
        <w:t xml:space="preserve">Waarom wordt er gekozen voor dit instituut? Volgens het CPB zijn de oorzaken van de crisis de achterblijvende binnenlandse consumptie en de </w:t>
      </w:r>
      <w:r w:rsidR="00F815C2">
        <w:rPr>
          <w:rFonts w:ascii="Times New Roman" w:hAnsi="Times New Roman" w:cs="Times New Roman"/>
          <w:sz w:val="24"/>
          <w:szCs w:val="24"/>
          <w:shd w:val="clear" w:color="auto" w:fill="FFFFFF"/>
        </w:rPr>
        <w:t>achterblijvende investeringen (C</w:t>
      </w:r>
      <w:r w:rsidRPr="00F14325">
        <w:rPr>
          <w:rFonts w:ascii="Times New Roman" w:hAnsi="Times New Roman" w:cs="Times New Roman"/>
          <w:sz w:val="24"/>
          <w:szCs w:val="24"/>
          <w:shd w:val="clear" w:color="auto" w:fill="FFFFFF"/>
        </w:rPr>
        <w:t xml:space="preserve">entraal </w:t>
      </w:r>
      <w:r w:rsidR="00F815C2">
        <w:rPr>
          <w:rFonts w:ascii="Times New Roman" w:hAnsi="Times New Roman" w:cs="Times New Roman"/>
          <w:sz w:val="24"/>
          <w:szCs w:val="24"/>
          <w:shd w:val="clear" w:color="auto" w:fill="FFFFFF"/>
        </w:rPr>
        <w:t>Economisch P</w:t>
      </w:r>
      <w:r w:rsidRPr="00F14325">
        <w:rPr>
          <w:rFonts w:ascii="Times New Roman" w:hAnsi="Times New Roman" w:cs="Times New Roman"/>
          <w:sz w:val="24"/>
          <w:szCs w:val="24"/>
          <w:shd w:val="clear" w:color="auto" w:fill="FFFFFF"/>
        </w:rPr>
        <w:t xml:space="preserve">lan, 2013). In het rapport </w:t>
      </w:r>
      <w:r w:rsidR="00F815C2">
        <w:rPr>
          <w:rFonts w:ascii="Times New Roman" w:hAnsi="Times New Roman" w:cs="Times New Roman"/>
          <w:i/>
          <w:sz w:val="24"/>
          <w:szCs w:val="24"/>
          <w:shd w:val="clear" w:color="auto" w:fill="FFFFFF"/>
        </w:rPr>
        <w:t>V</w:t>
      </w:r>
      <w:r w:rsidRPr="00F815C2">
        <w:rPr>
          <w:rFonts w:ascii="Times New Roman" w:hAnsi="Times New Roman" w:cs="Times New Roman"/>
          <w:i/>
          <w:sz w:val="24"/>
          <w:szCs w:val="24"/>
          <w:shd w:val="clear" w:color="auto" w:fill="FFFFFF"/>
        </w:rPr>
        <w:t>erkenningen</w:t>
      </w:r>
      <w:r w:rsidRPr="00F14325">
        <w:rPr>
          <w:rFonts w:ascii="Times New Roman" w:hAnsi="Times New Roman" w:cs="Times New Roman"/>
          <w:sz w:val="24"/>
          <w:szCs w:val="24"/>
          <w:shd w:val="clear" w:color="auto" w:fill="FFFFFF"/>
        </w:rPr>
        <w:t xml:space="preserve">, van de SER (SER </w:t>
      </w:r>
      <w:r w:rsidRPr="00F14325">
        <w:rPr>
          <w:rFonts w:ascii="Times New Roman" w:hAnsi="Times New Roman" w:cs="Times New Roman"/>
          <w:i/>
          <w:sz w:val="24"/>
          <w:szCs w:val="24"/>
          <w:shd w:val="clear" w:color="auto" w:fill="FFFFFF"/>
        </w:rPr>
        <w:t>verkenningen</w:t>
      </w:r>
      <w:r w:rsidRPr="00F14325">
        <w:rPr>
          <w:rFonts w:ascii="Times New Roman" w:hAnsi="Times New Roman" w:cs="Times New Roman"/>
          <w:sz w:val="24"/>
          <w:szCs w:val="24"/>
          <w:shd w:val="clear" w:color="auto" w:fill="FFFFFF"/>
        </w:rPr>
        <w:t>, 2013) worden drie aanjagers van de achterblijvende binnenlandse consumptie genoemd: de stagnerende huizenmarkt (huiseigenaren onder water), de onzekerheid over de pensioenen en de problemen bij de banken. Ook Bas Jacobs noemt onder andere de woningmarkt als oorzaak van de economische stagnatie (Bas Jacobs, 2012). Om het onderzoek voldoende af te bakenen gaat deze scriptie alleen in op de huizenmarkt.</w:t>
      </w:r>
    </w:p>
    <w:p w:rsidR="00ED410B" w:rsidRDefault="00ED410B" w:rsidP="00680BAD">
      <w:pPr>
        <w:pStyle w:val="Kop2"/>
        <w:rPr>
          <w:shd w:val="clear" w:color="auto" w:fill="FFFFFF"/>
        </w:rPr>
      </w:pPr>
      <w:bookmarkStart w:id="4" w:name="_Toc365277081"/>
    </w:p>
    <w:p w:rsidR="00F9448A" w:rsidRPr="00F14325" w:rsidRDefault="00F9448A" w:rsidP="00680BAD">
      <w:pPr>
        <w:pStyle w:val="Kop2"/>
        <w:rPr>
          <w:shd w:val="clear" w:color="auto" w:fill="FFFFFF"/>
        </w:rPr>
      </w:pPr>
      <w:r w:rsidRPr="00F14325">
        <w:rPr>
          <w:shd w:val="clear" w:color="auto" w:fill="FFFFFF"/>
        </w:rPr>
        <w:t>1.3 Opzet</w:t>
      </w:r>
      <w:bookmarkEnd w:id="4"/>
    </w:p>
    <w:p w:rsidR="00F9448A" w:rsidRPr="00F14325" w:rsidRDefault="00F9448A" w:rsidP="002E4516">
      <w:pPr>
        <w:spacing w:line="360" w:lineRule="auto"/>
        <w:jc w:val="both"/>
        <w:rPr>
          <w:rFonts w:ascii="Times New Roman" w:hAnsi="Times New Roman" w:cs="Times New Roman"/>
          <w:sz w:val="24"/>
          <w:szCs w:val="24"/>
          <w:shd w:val="clear" w:color="auto" w:fill="FFFFFF"/>
        </w:rPr>
      </w:pPr>
      <w:r w:rsidRPr="00F14325">
        <w:rPr>
          <w:rFonts w:ascii="Times New Roman" w:hAnsi="Times New Roman" w:cs="Times New Roman"/>
          <w:sz w:val="24"/>
          <w:szCs w:val="24"/>
          <w:shd w:val="clear" w:color="auto" w:fill="FFFFFF"/>
        </w:rPr>
        <w:t xml:space="preserve">Voor een juist perspectief wordt de rol van de huizenmarkt vergeleken met de rol die hetzelfde instituut speelt in de Duitse economie. Waarom Duitsland? In de huidige economische crisis zal het niemand ontgaan zijn dat van de Europese landen Duitsland bijzonder goed presteert. Samen met Duitsland </w:t>
      </w:r>
      <w:r w:rsidR="00C423D0">
        <w:rPr>
          <w:rFonts w:ascii="Times New Roman" w:hAnsi="Times New Roman" w:cs="Times New Roman"/>
          <w:sz w:val="24"/>
          <w:szCs w:val="24"/>
          <w:shd w:val="clear" w:color="auto" w:fill="FFFFFF"/>
        </w:rPr>
        <w:t xml:space="preserve">werd </w:t>
      </w:r>
      <w:r w:rsidRPr="00F14325">
        <w:rPr>
          <w:rFonts w:ascii="Times New Roman" w:hAnsi="Times New Roman" w:cs="Times New Roman"/>
          <w:sz w:val="24"/>
          <w:szCs w:val="24"/>
          <w:shd w:val="clear" w:color="auto" w:fill="FFFFFF"/>
        </w:rPr>
        <w:t xml:space="preserve">Nederland </w:t>
      </w:r>
      <w:r w:rsidR="00C423D0">
        <w:rPr>
          <w:rFonts w:ascii="Times New Roman" w:hAnsi="Times New Roman" w:cs="Times New Roman"/>
          <w:sz w:val="24"/>
          <w:szCs w:val="24"/>
          <w:shd w:val="clear" w:color="auto" w:fill="FFFFFF"/>
        </w:rPr>
        <w:t xml:space="preserve">tot voor kort </w:t>
      </w:r>
      <w:r w:rsidRPr="00F14325">
        <w:rPr>
          <w:rFonts w:ascii="Times New Roman" w:hAnsi="Times New Roman" w:cs="Times New Roman"/>
          <w:sz w:val="24"/>
          <w:szCs w:val="24"/>
          <w:shd w:val="clear" w:color="auto" w:fill="FFFFFF"/>
        </w:rPr>
        <w:t xml:space="preserve">gerekend tot de sterke lidstaten van de Europese unie. Dit blijkt met name uit de lage rentes die betaald moeten worden op staatsleningen. </w:t>
      </w:r>
      <w:r w:rsidR="002F7BF3">
        <w:rPr>
          <w:rFonts w:ascii="Times New Roman" w:hAnsi="Times New Roman" w:cs="Times New Roman"/>
          <w:sz w:val="24"/>
          <w:szCs w:val="24"/>
          <w:shd w:val="clear" w:color="auto" w:fill="FFFFFF"/>
        </w:rPr>
        <w:t>Daarnaast vertoonde d</w:t>
      </w:r>
      <w:r w:rsidRPr="00F14325">
        <w:rPr>
          <w:rFonts w:ascii="Times New Roman" w:hAnsi="Times New Roman" w:cs="Times New Roman"/>
          <w:sz w:val="24"/>
          <w:szCs w:val="24"/>
          <w:shd w:val="clear" w:color="auto" w:fill="FFFFFF"/>
        </w:rPr>
        <w:t xml:space="preserve">e Duits economie vorig jaar (2012) een groei van 0.7%, verwacht dit jaar (2013) een groei van 0,5% en </w:t>
      </w:r>
      <w:r w:rsidRPr="00667673">
        <w:rPr>
          <w:rFonts w:ascii="Times New Roman" w:hAnsi="Times New Roman" w:cs="Times New Roman"/>
          <w:sz w:val="24"/>
          <w:szCs w:val="24"/>
          <w:shd w:val="clear" w:color="auto" w:fill="FFFFFF"/>
        </w:rPr>
        <w:t xml:space="preserve">voor volgend jaar (2014) </w:t>
      </w:r>
      <w:r w:rsidR="00F815C2" w:rsidRPr="00667673">
        <w:rPr>
          <w:rFonts w:ascii="Times New Roman" w:hAnsi="Times New Roman" w:cs="Times New Roman"/>
          <w:sz w:val="24"/>
          <w:szCs w:val="24"/>
          <w:shd w:val="clear" w:color="auto" w:fill="FFFFFF"/>
        </w:rPr>
        <w:t>verwacht men een</w:t>
      </w:r>
      <w:r w:rsidRPr="00667673">
        <w:rPr>
          <w:rFonts w:ascii="Times New Roman" w:hAnsi="Times New Roman" w:cs="Times New Roman"/>
          <w:sz w:val="24"/>
          <w:szCs w:val="24"/>
          <w:shd w:val="clear" w:color="auto" w:fill="FFFFFF"/>
        </w:rPr>
        <w:t xml:space="preserve"> groei van 1,6%. </w:t>
      </w:r>
      <w:r w:rsidR="00F815C2" w:rsidRPr="00667673">
        <w:rPr>
          <w:rFonts w:ascii="Times New Roman" w:hAnsi="Times New Roman" w:cs="Times New Roman"/>
          <w:sz w:val="24"/>
          <w:szCs w:val="24"/>
          <w:shd w:val="clear" w:color="auto" w:fill="FFFFFF"/>
        </w:rPr>
        <w:t>De Nederlandse groeicijfers steken hier schril tegen af.</w:t>
      </w:r>
      <w:r w:rsidRPr="00667673">
        <w:rPr>
          <w:rFonts w:ascii="Times New Roman" w:hAnsi="Times New Roman" w:cs="Times New Roman"/>
          <w:sz w:val="24"/>
          <w:szCs w:val="24"/>
          <w:shd w:val="clear" w:color="auto" w:fill="FFFFFF"/>
        </w:rPr>
        <w:t xml:space="preserve"> Voor het jaar 2012 noteerde de Nederlan</w:t>
      </w:r>
      <w:r w:rsidR="00AB792C" w:rsidRPr="00667673">
        <w:rPr>
          <w:rFonts w:ascii="Times New Roman" w:hAnsi="Times New Roman" w:cs="Times New Roman"/>
          <w:sz w:val="24"/>
          <w:szCs w:val="24"/>
          <w:shd w:val="clear" w:color="auto" w:fill="FFFFFF"/>
        </w:rPr>
        <w:t>dse economie een krimp van 0,9%. I</w:t>
      </w:r>
      <w:r w:rsidRPr="00667673">
        <w:rPr>
          <w:rFonts w:ascii="Times New Roman" w:hAnsi="Times New Roman" w:cs="Times New Roman"/>
          <w:sz w:val="24"/>
          <w:szCs w:val="24"/>
          <w:shd w:val="clear" w:color="auto" w:fill="FFFFFF"/>
        </w:rPr>
        <w:t>n 2013 voorspel</w:t>
      </w:r>
      <w:r w:rsidR="00F815C2" w:rsidRPr="00667673">
        <w:rPr>
          <w:rFonts w:ascii="Times New Roman" w:hAnsi="Times New Roman" w:cs="Times New Roman"/>
          <w:sz w:val="24"/>
          <w:szCs w:val="24"/>
          <w:shd w:val="clear" w:color="auto" w:fill="FFFFFF"/>
        </w:rPr>
        <w:t>t</w:t>
      </w:r>
      <w:r w:rsidRPr="00667673">
        <w:rPr>
          <w:rFonts w:ascii="Times New Roman" w:hAnsi="Times New Roman" w:cs="Times New Roman"/>
          <w:sz w:val="24"/>
          <w:szCs w:val="24"/>
          <w:shd w:val="clear" w:color="auto" w:fill="FFFFFF"/>
        </w:rPr>
        <w:t xml:space="preserve"> het CPB een krimp van 0,5% en voor 2014 wordt een groei van 1% verwacht.</w:t>
      </w:r>
    </w:p>
    <w:p w:rsidR="00F9448A" w:rsidRPr="00F14325" w:rsidRDefault="00F9448A" w:rsidP="002E4516">
      <w:pPr>
        <w:spacing w:line="360" w:lineRule="auto"/>
        <w:jc w:val="both"/>
        <w:rPr>
          <w:rFonts w:ascii="Times New Roman" w:hAnsi="Times New Roman" w:cs="Times New Roman"/>
          <w:sz w:val="24"/>
          <w:szCs w:val="24"/>
          <w:shd w:val="clear" w:color="auto" w:fill="FFFFFF"/>
        </w:rPr>
      </w:pPr>
      <w:r w:rsidRPr="00F14325">
        <w:rPr>
          <w:rFonts w:ascii="Times New Roman" w:hAnsi="Times New Roman" w:cs="Times New Roman"/>
          <w:sz w:val="24"/>
          <w:szCs w:val="24"/>
          <w:shd w:val="clear" w:color="auto" w:fill="FFFFFF"/>
        </w:rPr>
        <w:t>Dit is opvallend</w:t>
      </w:r>
      <w:r w:rsidR="00AB792C">
        <w:rPr>
          <w:rFonts w:ascii="Times New Roman" w:hAnsi="Times New Roman" w:cs="Times New Roman"/>
          <w:sz w:val="24"/>
          <w:szCs w:val="24"/>
          <w:shd w:val="clear" w:color="auto" w:fill="FFFFFF"/>
        </w:rPr>
        <w:t>,</w:t>
      </w:r>
      <w:r w:rsidRPr="00F14325">
        <w:rPr>
          <w:rFonts w:ascii="Times New Roman" w:hAnsi="Times New Roman" w:cs="Times New Roman"/>
          <w:sz w:val="24"/>
          <w:szCs w:val="24"/>
          <w:shd w:val="clear" w:color="auto" w:fill="FFFFFF"/>
        </w:rPr>
        <w:t xml:space="preserve"> gezien de vanouds sterke economische verwevenheid tussen beide landen die onder andere de onderwerpen monetair beleid (voor de oprichting monetaire unie in 1998) en de handel betreffen. Ook onderwerpen met betrekking tot de werkgelegenheid en andere beleidsmaatregelen die genomen worden</w:t>
      </w:r>
      <w:r w:rsidR="00F815C2">
        <w:rPr>
          <w:rFonts w:ascii="Times New Roman" w:hAnsi="Times New Roman" w:cs="Times New Roman"/>
          <w:sz w:val="24"/>
          <w:szCs w:val="24"/>
          <w:shd w:val="clear" w:color="auto" w:fill="FFFFFF"/>
        </w:rPr>
        <w:t>,</w:t>
      </w:r>
      <w:r w:rsidRPr="00F14325">
        <w:rPr>
          <w:rFonts w:ascii="Times New Roman" w:hAnsi="Times New Roman" w:cs="Times New Roman"/>
          <w:sz w:val="24"/>
          <w:szCs w:val="24"/>
          <w:shd w:val="clear" w:color="auto" w:fill="FFFFFF"/>
        </w:rPr>
        <w:t xml:space="preserve"> vertonen overeenkomsten, hoewel de oplossingen en de manieren van aanpak wel verschillen (CPB </w:t>
      </w:r>
      <w:r w:rsidRPr="00F14325">
        <w:rPr>
          <w:rFonts w:ascii="Times New Roman" w:hAnsi="Times New Roman" w:cs="Times New Roman"/>
          <w:i/>
          <w:sz w:val="24"/>
          <w:szCs w:val="24"/>
          <w:shd w:val="clear" w:color="auto" w:fill="FFFFFF"/>
        </w:rPr>
        <w:t>challenging neighbours</w:t>
      </w:r>
      <w:r w:rsidRPr="00F14325">
        <w:rPr>
          <w:rFonts w:ascii="Times New Roman" w:hAnsi="Times New Roman" w:cs="Times New Roman"/>
          <w:sz w:val="24"/>
          <w:szCs w:val="24"/>
          <w:shd w:val="clear" w:color="auto" w:fill="FFFFFF"/>
        </w:rPr>
        <w:t xml:space="preserve">, 1997). </w:t>
      </w:r>
    </w:p>
    <w:p w:rsidR="00F9448A" w:rsidRPr="00F14325" w:rsidRDefault="00F9448A"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Voor een goed</w:t>
      </w:r>
      <w:r w:rsidR="00F815C2">
        <w:rPr>
          <w:rFonts w:ascii="Times New Roman" w:hAnsi="Times New Roman" w:cs="Times New Roman"/>
          <w:sz w:val="24"/>
          <w:szCs w:val="24"/>
        </w:rPr>
        <w:t>e</w:t>
      </w:r>
      <w:r w:rsidRPr="00F14325">
        <w:rPr>
          <w:rFonts w:ascii="Times New Roman" w:hAnsi="Times New Roman" w:cs="Times New Roman"/>
          <w:sz w:val="24"/>
          <w:szCs w:val="24"/>
        </w:rPr>
        <w:t xml:space="preserve"> beantwoording van de hoofdvraag zal ik gebruik maken van een uitgebreide literatuurstudie. Na deze inleiding z</w:t>
      </w:r>
      <w:r w:rsidR="00F815C2">
        <w:rPr>
          <w:rFonts w:ascii="Times New Roman" w:hAnsi="Times New Roman" w:cs="Times New Roman"/>
          <w:sz w:val="24"/>
          <w:szCs w:val="24"/>
        </w:rPr>
        <w:t>ul</w:t>
      </w:r>
      <w:r w:rsidRPr="00F14325">
        <w:rPr>
          <w:rFonts w:ascii="Times New Roman" w:hAnsi="Times New Roman" w:cs="Times New Roman"/>
          <w:sz w:val="24"/>
          <w:szCs w:val="24"/>
        </w:rPr>
        <w:t>l</w:t>
      </w:r>
      <w:r w:rsidR="00F815C2">
        <w:rPr>
          <w:rFonts w:ascii="Times New Roman" w:hAnsi="Times New Roman" w:cs="Times New Roman"/>
          <w:sz w:val="24"/>
          <w:szCs w:val="24"/>
        </w:rPr>
        <w:t>en</w:t>
      </w:r>
      <w:r w:rsidRPr="00F14325">
        <w:rPr>
          <w:rFonts w:ascii="Times New Roman" w:hAnsi="Times New Roman" w:cs="Times New Roman"/>
          <w:sz w:val="24"/>
          <w:szCs w:val="24"/>
        </w:rPr>
        <w:t xml:space="preserve"> in het tweede hoofdstuk de verschillen tussen beide landen met betrekking tot de huizenmarkt behandeld worden. In hoofdstuk drie wordt de invloed van de huizenmarkt met betrekking tot de economische prestaties behandeld. Het vierde hoofdstuk gaat in op de beleidsimplicaties die volgen uit de geconstateerde problemen en invloeden daarvan op de economische prestaties. Het laatste hoofdstuk zal een samenvatting en conclusie bevatten.</w:t>
      </w: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2E4516">
      <w:pPr>
        <w:spacing w:line="360" w:lineRule="auto"/>
        <w:rPr>
          <w:rFonts w:ascii="Times New Roman" w:hAnsi="Times New Roman" w:cs="Times New Roman"/>
          <w:b/>
          <w:sz w:val="24"/>
          <w:szCs w:val="24"/>
          <w:u w:val="single"/>
        </w:rPr>
      </w:pPr>
    </w:p>
    <w:p w:rsidR="00F9448A" w:rsidRPr="00F14325" w:rsidRDefault="00F9448A" w:rsidP="00680BAD">
      <w:pPr>
        <w:pStyle w:val="Kop1"/>
      </w:pPr>
      <w:bookmarkStart w:id="5" w:name="_Toc365277082"/>
      <w:r w:rsidRPr="00F14325">
        <w:lastRenderedPageBreak/>
        <w:t>2. De woningmarkt vergeleken</w:t>
      </w:r>
      <w:bookmarkEnd w:id="5"/>
    </w:p>
    <w:p w:rsidR="00747094" w:rsidRPr="00F14325" w:rsidRDefault="00331319" w:rsidP="00680BAD">
      <w:pPr>
        <w:pStyle w:val="Kop2"/>
      </w:pPr>
      <w:bookmarkStart w:id="6" w:name="_Toc365277083"/>
      <w:r>
        <w:t xml:space="preserve">2.1 </w:t>
      </w:r>
      <w:r w:rsidR="00747094" w:rsidRPr="00F14325">
        <w:t>Institutionele setting</w:t>
      </w:r>
      <w:bookmarkEnd w:id="6"/>
    </w:p>
    <w:p w:rsidR="00AB79D3" w:rsidRDefault="001F03A4" w:rsidP="002E4516">
      <w:pPr>
        <w:autoSpaceDE w:val="0"/>
        <w:autoSpaceDN w:val="0"/>
        <w:adjustRightInd w:val="0"/>
        <w:spacing w:after="0" w:line="360" w:lineRule="auto"/>
        <w:jc w:val="both"/>
        <w:rPr>
          <w:rFonts w:ascii="Times New Roman" w:hAnsi="Times New Roman" w:cs="Times New Roman"/>
          <w:color w:val="000000"/>
          <w:sz w:val="24"/>
          <w:szCs w:val="24"/>
        </w:rPr>
      </w:pPr>
      <w:r w:rsidRPr="00F14325">
        <w:rPr>
          <w:rFonts w:ascii="Times New Roman" w:hAnsi="Times New Roman" w:cs="Times New Roman"/>
          <w:sz w:val="24"/>
          <w:szCs w:val="24"/>
        </w:rPr>
        <w:t xml:space="preserve">De institutionele structuur van de woningmarkt wordt in belangrijke mate bepaald door de </w:t>
      </w:r>
      <w:r w:rsidR="00F815C2">
        <w:rPr>
          <w:rFonts w:ascii="Times New Roman" w:hAnsi="Times New Roman" w:cs="Times New Roman"/>
          <w:sz w:val="24"/>
          <w:szCs w:val="24"/>
        </w:rPr>
        <w:t>wijze</w:t>
      </w:r>
      <w:r w:rsidRPr="00F14325">
        <w:rPr>
          <w:rFonts w:ascii="Times New Roman" w:hAnsi="Times New Roman" w:cs="Times New Roman"/>
          <w:sz w:val="24"/>
          <w:szCs w:val="24"/>
        </w:rPr>
        <w:t xml:space="preserve"> waarop een woning gefinancierd wordt. Of, anders gezegd, de structuur van de woningmarkt hangt zeer sterk samen met de hypotheekmarkt. In tegenstelling tot Duitsland wordt in Nederland het eigen woningbezit sterk gestimuleerd. </w:t>
      </w:r>
      <w:r w:rsidR="00F815C2">
        <w:rPr>
          <w:rFonts w:ascii="Times New Roman" w:hAnsi="Times New Roman" w:cs="Times New Roman"/>
          <w:sz w:val="24"/>
          <w:szCs w:val="24"/>
        </w:rPr>
        <w:t>D</w:t>
      </w:r>
      <w:r w:rsidR="00485B6E" w:rsidRPr="00F14325">
        <w:rPr>
          <w:rFonts w:ascii="Times New Roman" w:hAnsi="Times New Roman" w:cs="Times New Roman"/>
          <w:sz w:val="24"/>
          <w:szCs w:val="24"/>
        </w:rPr>
        <w:t xml:space="preserve">e Europese Commissie </w:t>
      </w:r>
      <w:r w:rsidR="00F815C2">
        <w:rPr>
          <w:rFonts w:ascii="Times New Roman" w:hAnsi="Times New Roman" w:cs="Times New Roman"/>
          <w:sz w:val="24"/>
          <w:szCs w:val="24"/>
        </w:rPr>
        <w:t xml:space="preserve">(2012) </w:t>
      </w:r>
      <w:r w:rsidR="00485B6E" w:rsidRPr="00F14325">
        <w:rPr>
          <w:rFonts w:ascii="Times New Roman" w:hAnsi="Times New Roman" w:cs="Times New Roman"/>
          <w:sz w:val="24"/>
          <w:szCs w:val="24"/>
        </w:rPr>
        <w:t xml:space="preserve">concludeert dat de Nederlandse huizenmarkt vergaand gevormd is door beleidsinterventies en prikkels </w:t>
      </w:r>
      <w:r w:rsidR="00F815C2">
        <w:rPr>
          <w:rFonts w:ascii="Times New Roman" w:hAnsi="Times New Roman" w:cs="Times New Roman"/>
          <w:sz w:val="24"/>
          <w:szCs w:val="24"/>
        </w:rPr>
        <w:t xml:space="preserve">die zijn </w:t>
      </w:r>
      <w:r w:rsidR="00485B6E" w:rsidRPr="00F14325">
        <w:rPr>
          <w:rFonts w:ascii="Times New Roman" w:hAnsi="Times New Roman" w:cs="Times New Roman"/>
          <w:sz w:val="24"/>
          <w:szCs w:val="24"/>
        </w:rPr>
        <w:t xml:space="preserve">gericht op </w:t>
      </w:r>
      <w:r w:rsidR="002F7BF3">
        <w:rPr>
          <w:rFonts w:ascii="Times New Roman" w:hAnsi="Times New Roman" w:cs="Times New Roman"/>
          <w:sz w:val="24"/>
          <w:szCs w:val="24"/>
        </w:rPr>
        <w:t xml:space="preserve">het verschaffen van huurwoningen voor de </w:t>
      </w:r>
      <w:r w:rsidR="00485B6E" w:rsidRPr="00F14325">
        <w:rPr>
          <w:rFonts w:ascii="Times New Roman" w:hAnsi="Times New Roman" w:cs="Times New Roman"/>
          <w:sz w:val="24"/>
          <w:szCs w:val="24"/>
        </w:rPr>
        <w:t xml:space="preserve">lage inkomensklassen en </w:t>
      </w:r>
      <w:r w:rsidR="00F815C2">
        <w:rPr>
          <w:rFonts w:ascii="Times New Roman" w:hAnsi="Times New Roman" w:cs="Times New Roman"/>
          <w:sz w:val="24"/>
          <w:szCs w:val="24"/>
        </w:rPr>
        <w:t xml:space="preserve">op </w:t>
      </w:r>
      <w:r w:rsidR="00485B6E" w:rsidRPr="00F14325">
        <w:rPr>
          <w:rFonts w:ascii="Times New Roman" w:hAnsi="Times New Roman" w:cs="Times New Roman"/>
          <w:sz w:val="24"/>
          <w:szCs w:val="24"/>
        </w:rPr>
        <w:t xml:space="preserve">de stimulatie van </w:t>
      </w:r>
      <w:r w:rsidR="00F815C2">
        <w:rPr>
          <w:rFonts w:ascii="Times New Roman" w:hAnsi="Times New Roman" w:cs="Times New Roman"/>
          <w:sz w:val="24"/>
          <w:szCs w:val="24"/>
        </w:rPr>
        <w:t>het</w:t>
      </w:r>
      <w:r w:rsidR="00485B6E" w:rsidRPr="00F14325">
        <w:rPr>
          <w:rFonts w:ascii="Times New Roman" w:hAnsi="Times New Roman" w:cs="Times New Roman"/>
          <w:sz w:val="24"/>
          <w:szCs w:val="24"/>
        </w:rPr>
        <w:t xml:space="preserve"> eigen woningbezit</w:t>
      </w:r>
      <w:r w:rsidR="00F815C2">
        <w:rPr>
          <w:rFonts w:ascii="Times New Roman" w:hAnsi="Times New Roman" w:cs="Times New Roman"/>
          <w:sz w:val="24"/>
          <w:szCs w:val="24"/>
        </w:rPr>
        <w:t xml:space="preserve"> (EU, 2012). </w:t>
      </w:r>
      <w:r w:rsidRPr="00F14325">
        <w:rPr>
          <w:rFonts w:ascii="Times New Roman" w:hAnsi="Times New Roman" w:cs="Times New Roman"/>
          <w:sz w:val="24"/>
          <w:szCs w:val="24"/>
        </w:rPr>
        <w:t>De meest in het oog springende maatregel is de hypotheekrenteaftrek</w:t>
      </w:r>
      <w:r w:rsidR="00485B6E" w:rsidRPr="00F14325">
        <w:rPr>
          <w:rFonts w:ascii="Times New Roman" w:hAnsi="Times New Roman" w:cs="Times New Roman"/>
          <w:sz w:val="24"/>
          <w:szCs w:val="24"/>
        </w:rPr>
        <w:t>.</w:t>
      </w:r>
      <w:r w:rsidR="002F7BF3">
        <w:rPr>
          <w:rFonts w:ascii="Times New Roman" w:hAnsi="Times New Roman" w:cs="Times New Roman"/>
          <w:sz w:val="24"/>
          <w:szCs w:val="24"/>
        </w:rPr>
        <w:t xml:space="preserve"> Deze maatregel dateert uit het jaar 1898 met de invoering van de Wet inkomstenbelasting 1892 door minister van financiën Pierson. De gedachte </w:t>
      </w:r>
      <w:r w:rsidR="003C72DE">
        <w:rPr>
          <w:rFonts w:ascii="Times New Roman" w:hAnsi="Times New Roman" w:cs="Times New Roman"/>
          <w:sz w:val="24"/>
          <w:szCs w:val="24"/>
        </w:rPr>
        <w:t xml:space="preserve">hierachter </w:t>
      </w:r>
      <w:r w:rsidR="001E14AC">
        <w:rPr>
          <w:rFonts w:ascii="Times New Roman" w:hAnsi="Times New Roman" w:cs="Times New Roman"/>
          <w:sz w:val="24"/>
          <w:szCs w:val="24"/>
        </w:rPr>
        <w:t xml:space="preserve">was dat de woning gold als bron van inkomsten. De kosten </w:t>
      </w:r>
      <w:r w:rsidR="00C40AAB">
        <w:rPr>
          <w:rFonts w:ascii="Times New Roman" w:hAnsi="Times New Roman" w:cs="Times New Roman"/>
          <w:sz w:val="24"/>
          <w:szCs w:val="24"/>
        </w:rPr>
        <w:t>die gemaakt moesten worden om het inkomen te verwerven mocht men aftrekken van het belastbare inkomen.</w:t>
      </w:r>
      <w:r w:rsidR="001E14AC">
        <w:rPr>
          <w:rFonts w:ascii="Times New Roman" w:hAnsi="Times New Roman" w:cs="Times New Roman"/>
          <w:sz w:val="24"/>
          <w:szCs w:val="24"/>
        </w:rPr>
        <w:t xml:space="preserve"> </w:t>
      </w:r>
      <w:r w:rsidR="00C40AAB">
        <w:rPr>
          <w:rFonts w:ascii="Times New Roman" w:hAnsi="Times New Roman" w:cs="Times New Roman"/>
          <w:sz w:val="24"/>
          <w:szCs w:val="24"/>
        </w:rPr>
        <w:t xml:space="preserve">Het idee dat de overheid de burger moest ondersteunen bij de aankoop van een </w:t>
      </w:r>
      <w:r w:rsidR="00BD4401">
        <w:rPr>
          <w:rFonts w:ascii="Times New Roman" w:hAnsi="Times New Roman" w:cs="Times New Roman"/>
          <w:sz w:val="24"/>
          <w:szCs w:val="24"/>
        </w:rPr>
        <w:t xml:space="preserve">eigen </w:t>
      </w:r>
      <w:r w:rsidR="00C40AAB">
        <w:rPr>
          <w:rFonts w:ascii="Times New Roman" w:hAnsi="Times New Roman" w:cs="Times New Roman"/>
          <w:sz w:val="24"/>
          <w:szCs w:val="24"/>
        </w:rPr>
        <w:t xml:space="preserve">woning ontstond na de Tweede wereldoorlog. De hypotheekrenteaftrek werd op deze manier een beleidsinstrument om het eigen woningbezit te stimuleren. </w:t>
      </w:r>
      <w:r w:rsidR="005B0FD1">
        <w:rPr>
          <w:rFonts w:ascii="Times New Roman" w:hAnsi="Times New Roman" w:cs="Times New Roman"/>
          <w:sz w:val="24"/>
          <w:szCs w:val="24"/>
        </w:rPr>
        <w:t xml:space="preserve">In Nederland is men jarenlang ruimhartige geweest met de hypotheekrenteaftrek. </w:t>
      </w:r>
      <w:r w:rsidR="0012488D">
        <w:rPr>
          <w:rFonts w:ascii="Times New Roman" w:hAnsi="Times New Roman" w:cs="Times New Roman"/>
          <w:sz w:val="24"/>
          <w:szCs w:val="24"/>
        </w:rPr>
        <w:t xml:space="preserve">Ook </w:t>
      </w:r>
      <w:r w:rsidR="00112CE2">
        <w:rPr>
          <w:rFonts w:ascii="Times New Roman" w:hAnsi="Times New Roman" w:cs="Times New Roman"/>
          <w:sz w:val="24"/>
          <w:szCs w:val="24"/>
        </w:rPr>
        <w:t>de verstrekking van deze kredieten door de banken is deze jaren royaal geweest. Hypotheekverstrekkers</w:t>
      </w:r>
      <w:r w:rsidR="0012488D">
        <w:rPr>
          <w:rFonts w:ascii="Times New Roman" w:hAnsi="Times New Roman" w:cs="Times New Roman"/>
          <w:sz w:val="24"/>
          <w:szCs w:val="24"/>
        </w:rPr>
        <w:t xml:space="preserve"> </w:t>
      </w:r>
      <w:r w:rsidR="00112CE2">
        <w:rPr>
          <w:rFonts w:ascii="Times New Roman" w:hAnsi="Times New Roman" w:cs="Times New Roman"/>
          <w:sz w:val="24"/>
          <w:szCs w:val="24"/>
        </w:rPr>
        <w:t>verstrekten</w:t>
      </w:r>
      <w:r w:rsidR="0012488D">
        <w:rPr>
          <w:rFonts w:ascii="Times New Roman" w:hAnsi="Times New Roman" w:cs="Times New Roman"/>
          <w:sz w:val="24"/>
          <w:szCs w:val="24"/>
        </w:rPr>
        <w:t xml:space="preserve"> hypotheken tot 125% van de woningwaarde. </w:t>
      </w:r>
      <w:r w:rsidR="00C40AAB">
        <w:rPr>
          <w:rFonts w:ascii="Times New Roman" w:hAnsi="Times New Roman" w:cs="Times New Roman"/>
          <w:sz w:val="24"/>
          <w:szCs w:val="24"/>
        </w:rPr>
        <w:t>In Duits</w:t>
      </w:r>
      <w:r w:rsidR="006E1B94" w:rsidRPr="00F14325">
        <w:rPr>
          <w:rFonts w:ascii="Times New Roman" w:hAnsi="Times New Roman" w:cs="Times New Roman"/>
          <w:sz w:val="24"/>
          <w:szCs w:val="24"/>
        </w:rPr>
        <w:t xml:space="preserve">land wordt daarentegen een terughoudend beleid gevoerd met </w:t>
      </w:r>
      <w:r w:rsidR="00E05BEF" w:rsidRPr="00F14325">
        <w:rPr>
          <w:rFonts w:ascii="Times New Roman" w:hAnsi="Times New Roman" w:cs="Times New Roman"/>
          <w:sz w:val="24"/>
          <w:szCs w:val="24"/>
        </w:rPr>
        <w:t>betrekking tot het financieren van woningen. Gewoonlijk financiert de bank maximaal 70-80% v</w:t>
      </w:r>
      <w:r w:rsidR="00F815C2">
        <w:rPr>
          <w:rFonts w:ascii="Times New Roman" w:hAnsi="Times New Roman" w:cs="Times New Roman"/>
          <w:sz w:val="24"/>
          <w:szCs w:val="24"/>
        </w:rPr>
        <w:t>an de aankoopsom van de woning. D</w:t>
      </w:r>
      <w:r w:rsidR="00E05BEF" w:rsidRPr="00F14325">
        <w:rPr>
          <w:rFonts w:ascii="Times New Roman" w:hAnsi="Times New Roman" w:cs="Times New Roman"/>
          <w:sz w:val="24"/>
          <w:szCs w:val="24"/>
        </w:rPr>
        <w:t xml:space="preserve">egene die het huis koopt moet 20-30% zelf financieren. </w:t>
      </w:r>
      <w:r w:rsidR="00485B6E" w:rsidRPr="00F14325">
        <w:rPr>
          <w:rFonts w:ascii="Times New Roman" w:hAnsi="Times New Roman" w:cs="Times New Roman"/>
          <w:sz w:val="24"/>
          <w:szCs w:val="24"/>
        </w:rPr>
        <w:t xml:space="preserve">Dit is een van de oorzaken dat een Duitser </w:t>
      </w:r>
      <w:r w:rsidR="00F815C2">
        <w:rPr>
          <w:rFonts w:ascii="Times New Roman" w:hAnsi="Times New Roman" w:cs="Times New Roman"/>
          <w:sz w:val="24"/>
          <w:szCs w:val="24"/>
        </w:rPr>
        <w:t xml:space="preserve">pas </w:t>
      </w:r>
      <w:r w:rsidR="00485B6E" w:rsidRPr="00F14325">
        <w:rPr>
          <w:rFonts w:ascii="Times New Roman" w:hAnsi="Times New Roman" w:cs="Times New Roman"/>
          <w:sz w:val="24"/>
          <w:szCs w:val="24"/>
        </w:rPr>
        <w:t>op</w:t>
      </w:r>
      <w:r w:rsidR="00F815C2">
        <w:rPr>
          <w:rFonts w:ascii="Times New Roman" w:hAnsi="Times New Roman" w:cs="Times New Roman"/>
          <w:sz w:val="24"/>
          <w:szCs w:val="24"/>
        </w:rPr>
        <w:t xml:space="preserve"> een</w:t>
      </w:r>
      <w:r w:rsidR="00485B6E" w:rsidRPr="00F14325">
        <w:rPr>
          <w:rFonts w:ascii="Times New Roman" w:hAnsi="Times New Roman" w:cs="Times New Roman"/>
          <w:sz w:val="24"/>
          <w:szCs w:val="24"/>
        </w:rPr>
        <w:t xml:space="preserve"> gemiddelde le</w:t>
      </w:r>
      <w:r w:rsidR="00A82EEF" w:rsidRPr="00F14325">
        <w:rPr>
          <w:rFonts w:ascii="Times New Roman" w:hAnsi="Times New Roman" w:cs="Times New Roman"/>
          <w:sz w:val="24"/>
          <w:szCs w:val="24"/>
        </w:rPr>
        <w:t>e</w:t>
      </w:r>
      <w:r w:rsidR="00485B6E" w:rsidRPr="00F14325">
        <w:rPr>
          <w:rFonts w:ascii="Times New Roman" w:hAnsi="Times New Roman" w:cs="Times New Roman"/>
          <w:sz w:val="24"/>
          <w:szCs w:val="24"/>
        </w:rPr>
        <w:t xml:space="preserve">ftijd van 35 jaar een eigen woning koopt. </w:t>
      </w:r>
      <w:r w:rsidR="00BD4401">
        <w:rPr>
          <w:rFonts w:ascii="Times New Roman" w:hAnsi="Times New Roman" w:cs="Times New Roman"/>
          <w:sz w:val="24"/>
          <w:szCs w:val="24"/>
        </w:rPr>
        <w:t xml:space="preserve">In de Nederland daarentegen is de gemiddelde leeftijd waarop men een koopwoning verwerft 27 jaar. </w:t>
      </w:r>
      <w:r w:rsidR="00E05BEF" w:rsidRPr="00F14325">
        <w:rPr>
          <w:rFonts w:ascii="Times New Roman" w:hAnsi="Times New Roman" w:cs="Times New Roman"/>
          <w:sz w:val="24"/>
          <w:szCs w:val="24"/>
        </w:rPr>
        <w:t xml:space="preserve">De Duitse overheid heeft </w:t>
      </w:r>
      <w:r w:rsidR="00637FF1" w:rsidRPr="00F14325">
        <w:rPr>
          <w:rFonts w:ascii="Times New Roman" w:hAnsi="Times New Roman" w:cs="Times New Roman"/>
          <w:sz w:val="24"/>
          <w:szCs w:val="24"/>
        </w:rPr>
        <w:t>echter om het eigen woningbezit te stimuleren</w:t>
      </w:r>
      <w:r w:rsidR="00A82EEF" w:rsidRPr="00F14325">
        <w:rPr>
          <w:rFonts w:ascii="Times New Roman" w:hAnsi="Times New Roman" w:cs="Times New Roman"/>
          <w:sz w:val="24"/>
          <w:szCs w:val="24"/>
        </w:rPr>
        <w:t xml:space="preserve"> en de overstap naar een koopwoning eenvoudiger te maken,</w:t>
      </w:r>
      <w:r w:rsidR="00637FF1" w:rsidRPr="00F14325">
        <w:rPr>
          <w:rFonts w:ascii="Times New Roman" w:hAnsi="Times New Roman" w:cs="Times New Roman"/>
          <w:sz w:val="24"/>
          <w:szCs w:val="24"/>
        </w:rPr>
        <w:t xml:space="preserve"> een fiscaal aantrekkelijk manier van sparen geïntroduceerd: het zogenaamde ‘Bausparen’, waar veel Duitsers gebruik van maken. Daarnaast kent men in Duitsland nog een andere maatregel om het eigen woningbezit te stimuleren</w:t>
      </w:r>
      <w:r w:rsidR="00C939F2" w:rsidRPr="00F14325">
        <w:rPr>
          <w:rFonts w:ascii="Times New Roman" w:hAnsi="Times New Roman" w:cs="Times New Roman"/>
          <w:sz w:val="24"/>
          <w:szCs w:val="24"/>
        </w:rPr>
        <w:t>;</w:t>
      </w:r>
      <w:r w:rsidR="00637FF1" w:rsidRPr="00F14325">
        <w:rPr>
          <w:rFonts w:ascii="Times New Roman" w:hAnsi="Times New Roman" w:cs="Times New Roman"/>
          <w:sz w:val="24"/>
          <w:szCs w:val="24"/>
        </w:rPr>
        <w:t xml:space="preserve"> de zogenaamde </w:t>
      </w:r>
      <w:r w:rsidR="00637FF1" w:rsidRPr="00F14325">
        <w:rPr>
          <w:rFonts w:ascii="Times New Roman" w:hAnsi="Times New Roman" w:cs="Times New Roman"/>
          <w:color w:val="000000"/>
          <w:sz w:val="24"/>
          <w:szCs w:val="24"/>
        </w:rPr>
        <w:t xml:space="preserve">'Eigenheimzulage' waarbij kopers van een eigen </w:t>
      </w:r>
      <w:r w:rsidR="00F815C2">
        <w:rPr>
          <w:rFonts w:ascii="Times New Roman" w:hAnsi="Times New Roman" w:cs="Times New Roman"/>
          <w:color w:val="000000"/>
          <w:sz w:val="24"/>
          <w:szCs w:val="24"/>
        </w:rPr>
        <w:t>woning</w:t>
      </w:r>
      <w:r w:rsidR="00637FF1" w:rsidRPr="00F14325">
        <w:rPr>
          <w:rFonts w:ascii="Times New Roman" w:hAnsi="Times New Roman" w:cs="Times New Roman"/>
          <w:color w:val="000000"/>
          <w:sz w:val="24"/>
          <w:szCs w:val="24"/>
        </w:rPr>
        <w:t xml:space="preserve"> gemiddeld 1500 euro op jaarbasis </w:t>
      </w:r>
      <w:r w:rsidR="00AB79D3" w:rsidRPr="00F14325">
        <w:rPr>
          <w:rFonts w:ascii="Times New Roman" w:hAnsi="Times New Roman" w:cs="Times New Roman"/>
          <w:color w:val="000000"/>
          <w:sz w:val="24"/>
          <w:szCs w:val="24"/>
        </w:rPr>
        <w:t>vergoed krijgen. Ondanks deze maatregelen is het eigenwoningbezi</w:t>
      </w:r>
      <w:r w:rsidR="00433CC8">
        <w:rPr>
          <w:rFonts w:ascii="Times New Roman" w:hAnsi="Times New Roman" w:cs="Times New Roman"/>
          <w:color w:val="000000"/>
          <w:sz w:val="24"/>
          <w:szCs w:val="24"/>
        </w:rPr>
        <w:t>t in Duitsland het laagste van E</w:t>
      </w:r>
      <w:r w:rsidR="00AB79D3" w:rsidRPr="00F14325">
        <w:rPr>
          <w:rFonts w:ascii="Times New Roman" w:hAnsi="Times New Roman" w:cs="Times New Roman"/>
          <w:color w:val="000000"/>
          <w:sz w:val="24"/>
          <w:szCs w:val="24"/>
        </w:rPr>
        <w:t xml:space="preserve">uropa, </w:t>
      </w:r>
      <w:r w:rsidR="00A53740" w:rsidRPr="00F14325">
        <w:rPr>
          <w:rFonts w:ascii="Times New Roman" w:hAnsi="Times New Roman" w:cs="Times New Roman"/>
          <w:color w:val="000000"/>
          <w:sz w:val="24"/>
          <w:szCs w:val="24"/>
        </w:rPr>
        <w:t xml:space="preserve">momenteel </w:t>
      </w:r>
      <w:r w:rsidR="00AB79D3" w:rsidRPr="00F14325">
        <w:rPr>
          <w:rFonts w:ascii="Times New Roman" w:hAnsi="Times New Roman" w:cs="Times New Roman"/>
          <w:color w:val="000000"/>
          <w:sz w:val="24"/>
          <w:szCs w:val="24"/>
        </w:rPr>
        <w:t>ongeveer 44%. In Nederland daarentegen is het eigen woningbezit ongeveer 56%.</w:t>
      </w:r>
      <w:r w:rsidR="00A82EEF" w:rsidRPr="00F14325">
        <w:rPr>
          <w:rFonts w:ascii="Times New Roman" w:hAnsi="Times New Roman" w:cs="Times New Roman"/>
          <w:color w:val="000000"/>
          <w:sz w:val="24"/>
          <w:szCs w:val="24"/>
        </w:rPr>
        <w:t xml:space="preserve"> </w:t>
      </w:r>
      <w:r w:rsidR="00AB79D3" w:rsidRPr="00F14325">
        <w:rPr>
          <w:rFonts w:ascii="Times New Roman" w:hAnsi="Times New Roman" w:cs="Times New Roman"/>
          <w:color w:val="000000"/>
          <w:sz w:val="24"/>
          <w:szCs w:val="24"/>
        </w:rPr>
        <w:t xml:space="preserve"> </w:t>
      </w:r>
      <w:r w:rsidR="00B10813">
        <w:rPr>
          <w:rFonts w:ascii="Times New Roman" w:hAnsi="Times New Roman" w:cs="Times New Roman"/>
          <w:color w:val="000000"/>
          <w:sz w:val="24"/>
          <w:szCs w:val="24"/>
        </w:rPr>
        <w:t>(Zie tabel 1)</w:t>
      </w:r>
    </w:p>
    <w:p w:rsidR="00994A94" w:rsidRDefault="00994A94" w:rsidP="00C93EB3">
      <w:pPr>
        <w:spacing w:line="360" w:lineRule="auto"/>
        <w:jc w:val="both"/>
        <w:rPr>
          <w:rFonts w:ascii="Times New Roman" w:hAnsi="Times New Roman" w:cs="Times New Roman"/>
          <w:b/>
          <w:sz w:val="24"/>
          <w:szCs w:val="24"/>
          <w:u w:val="single"/>
        </w:rPr>
      </w:pPr>
    </w:p>
    <w:p w:rsidR="00C93EB3" w:rsidRPr="00C93EB3" w:rsidRDefault="00C93EB3" w:rsidP="00C93EB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Tabel 1: Eigen woningbezit in Europese landen</w:t>
      </w:r>
      <w:r w:rsidR="00BD4401">
        <w:rPr>
          <w:rFonts w:ascii="Times New Roman" w:hAnsi="Times New Roman" w:cs="Times New Roman"/>
          <w:b/>
          <w:sz w:val="24"/>
          <w:szCs w:val="24"/>
          <w:u w:val="single"/>
        </w:rPr>
        <w:t xml:space="preserve"> als % van de huishoudens</w:t>
      </w:r>
    </w:p>
    <w:tbl>
      <w:tblPr>
        <w:tblStyle w:val="Tabelraster"/>
        <w:tblW w:w="0" w:type="auto"/>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4"/>
        <w:gridCol w:w="1524"/>
        <w:gridCol w:w="1562"/>
        <w:gridCol w:w="851"/>
      </w:tblGrid>
      <w:tr w:rsidR="00C93EB3" w:rsidTr="00C93EB3">
        <w:trPr>
          <w:jc w:val="center"/>
        </w:trPr>
        <w:tc>
          <w:tcPr>
            <w:tcW w:w="134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Spanje</w:t>
            </w:r>
          </w:p>
        </w:tc>
        <w:tc>
          <w:tcPr>
            <w:tcW w:w="152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1562"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Polen</w:t>
            </w:r>
          </w:p>
        </w:tc>
        <w:tc>
          <w:tcPr>
            <w:tcW w:w="851"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C93EB3" w:rsidTr="00C93EB3">
        <w:trPr>
          <w:jc w:val="center"/>
        </w:trPr>
        <w:tc>
          <w:tcPr>
            <w:tcW w:w="134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Italië</w:t>
            </w:r>
          </w:p>
        </w:tc>
        <w:tc>
          <w:tcPr>
            <w:tcW w:w="152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62"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Duitsland</w:t>
            </w:r>
          </w:p>
        </w:tc>
        <w:tc>
          <w:tcPr>
            <w:tcW w:w="851"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C93EB3" w:rsidTr="00C93EB3">
        <w:trPr>
          <w:jc w:val="center"/>
        </w:trPr>
        <w:tc>
          <w:tcPr>
            <w:tcW w:w="134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Ierland</w:t>
            </w:r>
          </w:p>
        </w:tc>
        <w:tc>
          <w:tcPr>
            <w:tcW w:w="152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562"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België</w:t>
            </w:r>
          </w:p>
        </w:tc>
        <w:tc>
          <w:tcPr>
            <w:tcW w:w="851"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r>
      <w:tr w:rsidR="00C93EB3" w:rsidTr="00C93EB3">
        <w:trPr>
          <w:jc w:val="center"/>
        </w:trPr>
        <w:tc>
          <w:tcPr>
            <w:tcW w:w="134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Engeland</w:t>
            </w:r>
          </w:p>
        </w:tc>
        <w:tc>
          <w:tcPr>
            <w:tcW w:w="152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62"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Denemarken</w:t>
            </w:r>
          </w:p>
        </w:tc>
        <w:tc>
          <w:tcPr>
            <w:tcW w:w="851"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r>
      <w:tr w:rsidR="00C93EB3" w:rsidTr="00C93EB3">
        <w:trPr>
          <w:jc w:val="center"/>
        </w:trPr>
        <w:tc>
          <w:tcPr>
            <w:tcW w:w="134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Frankrijk</w:t>
            </w:r>
          </w:p>
        </w:tc>
        <w:tc>
          <w:tcPr>
            <w:tcW w:w="1524" w:type="dxa"/>
          </w:tcPr>
          <w:p w:rsidR="00C93EB3" w:rsidRDefault="00C93EB3" w:rsidP="00C93EB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562"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Nederland</w:t>
            </w:r>
          </w:p>
        </w:tc>
        <w:tc>
          <w:tcPr>
            <w:tcW w:w="851" w:type="dxa"/>
          </w:tcPr>
          <w:p w:rsidR="00C93EB3" w:rsidRDefault="00C93EB3"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r>
    </w:tbl>
    <w:p w:rsidR="00B10813" w:rsidRDefault="00B10813" w:rsidP="002E4516">
      <w:pPr>
        <w:autoSpaceDE w:val="0"/>
        <w:autoSpaceDN w:val="0"/>
        <w:adjustRightInd w:val="0"/>
        <w:spacing w:after="0" w:line="360" w:lineRule="auto"/>
        <w:jc w:val="both"/>
        <w:rPr>
          <w:rFonts w:ascii="Times New Roman" w:hAnsi="Times New Roman" w:cs="Times New Roman"/>
          <w:color w:val="000000"/>
          <w:sz w:val="24"/>
          <w:szCs w:val="24"/>
        </w:rPr>
      </w:pPr>
    </w:p>
    <w:p w:rsidR="00B10813" w:rsidRPr="00C93EB3" w:rsidRDefault="00C93EB3" w:rsidP="002E4516">
      <w:pPr>
        <w:autoSpaceDE w:val="0"/>
        <w:autoSpaceDN w:val="0"/>
        <w:adjustRightInd w:val="0"/>
        <w:spacing w:after="0" w:line="36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Bron:</w:t>
      </w:r>
      <w:r w:rsidR="00667673">
        <w:rPr>
          <w:rFonts w:ascii="Times New Roman" w:hAnsi="Times New Roman" w:cs="Times New Roman"/>
          <w:color w:val="000000"/>
          <w:sz w:val="18"/>
          <w:szCs w:val="18"/>
        </w:rPr>
        <w:t xml:space="preserve"> </w:t>
      </w:r>
      <w:r>
        <w:rPr>
          <w:rFonts w:ascii="Times New Roman" w:hAnsi="Times New Roman" w:cs="Times New Roman"/>
          <w:color w:val="000000"/>
          <w:sz w:val="18"/>
          <w:szCs w:val="18"/>
        </w:rPr>
        <w:t>IMF</w:t>
      </w:r>
    </w:p>
    <w:p w:rsidR="00B10813" w:rsidRDefault="00B10813" w:rsidP="002E4516">
      <w:pPr>
        <w:autoSpaceDE w:val="0"/>
        <w:autoSpaceDN w:val="0"/>
        <w:adjustRightInd w:val="0"/>
        <w:spacing w:after="0" w:line="360" w:lineRule="auto"/>
        <w:jc w:val="both"/>
        <w:rPr>
          <w:rFonts w:ascii="Times New Roman" w:hAnsi="Times New Roman" w:cs="Times New Roman"/>
          <w:color w:val="000000"/>
          <w:sz w:val="24"/>
          <w:szCs w:val="24"/>
        </w:rPr>
      </w:pPr>
    </w:p>
    <w:p w:rsidR="00B10813" w:rsidRPr="00F14325" w:rsidRDefault="00B10813" w:rsidP="002E4516">
      <w:pPr>
        <w:autoSpaceDE w:val="0"/>
        <w:autoSpaceDN w:val="0"/>
        <w:adjustRightInd w:val="0"/>
        <w:spacing w:after="0" w:line="360" w:lineRule="auto"/>
        <w:jc w:val="both"/>
        <w:rPr>
          <w:rFonts w:ascii="Times New Roman" w:hAnsi="Times New Roman" w:cs="Times New Roman"/>
          <w:color w:val="000000"/>
          <w:sz w:val="24"/>
          <w:szCs w:val="24"/>
        </w:rPr>
      </w:pPr>
    </w:p>
    <w:p w:rsidR="00485B6E" w:rsidRPr="00F14325" w:rsidRDefault="00485B6E" w:rsidP="002E4516">
      <w:pPr>
        <w:autoSpaceDE w:val="0"/>
        <w:autoSpaceDN w:val="0"/>
        <w:adjustRightInd w:val="0"/>
        <w:spacing w:after="0" w:line="360" w:lineRule="auto"/>
        <w:jc w:val="both"/>
        <w:rPr>
          <w:rFonts w:ascii="Times New Roman" w:hAnsi="Times New Roman" w:cs="Times New Roman"/>
          <w:color w:val="000000"/>
          <w:sz w:val="24"/>
          <w:szCs w:val="24"/>
        </w:rPr>
      </w:pPr>
    </w:p>
    <w:p w:rsidR="00AB79D3" w:rsidRDefault="00AB79D3" w:rsidP="002E4516">
      <w:pPr>
        <w:autoSpaceDE w:val="0"/>
        <w:autoSpaceDN w:val="0"/>
        <w:adjustRightInd w:val="0"/>
        <w:spacing w:after="0" w:line="360" w:lineRule="auto"/>
        <w:jc w:val="both"/>
        <w:rPr>
          <w:rFonts w:ascii="Times New Roman" w:hAnsi="Times New Roman" w:cs="Times New Roman"/>
          <w:b/>
          <w:sz w:val="24"/>
          <w:szCs w:val="24"/>
          <w:u w:val="single"/>
        </w:rPr>
      </w:pPr>
      <w:r w:rsidRPr="00F14325">
        <w:rPr>
          <w:rFonts w:ascii="Times New Roman" w:hAnsi="Times New Roman" w:cs="Times New Roman"/>
          <w:color w:val="000000"/>
          <w:sz w:val="24"/>
          <w:szCs w:val="24"/>
        </w:rPr>
        <w:t xml:space="preserve">De woningmarkt in Nederland wordt in sterke mate gekenmerkt door </w:t>
      </w:r>
      <w:r w:rsidR="00C543DE" w:rsidRPr="00F14325">
        <w:rPr>
          <w:rFonts w:ascii="Times New Roman" w:hAnsi="Times New Roman" w:cs="Times New Roman"/>
          <w:color w:val="000000"/>
          <w:sz w:val="24"/>
          <w:szCs w:val="24"/>
        </w:rPr>
        <w:t xml:space="preserve">de sterke stimulering van het eigen woningbezit door </w:t>
      </w:r>
      <w:r w:rsidR="00C939F2" w:rsidRPr="00F14325">
        <w:rPr>
          <w:rFonts w:ascii="Times New Roman" w:hAnsi="Times New Roman" w:cs="Times New Roman"/>
          <w:color w:val="000000"/>
          <w:sz w:val="24"/>
          <w:szCs w:val="24"/>
        </w:rPr>
        <w:t xml:space="preserve">middel van </w:t>
      </w:r>
      <w:r w:rsidR="00C543DE" w:rsidRPr="00F14325">
        <w:rPr>
          <w:rFonts w:ascii="Times New Roman" w:hAnsi="Times New Roman" w:cs="Times New Roman"/>
          <w:color w:val="000000"/>
          <w:sz w:val="24"/>
          <w:szCs w:val="24"/>
        </w:rPr>
        <w:t xml:space="preserve">de hypotheekrenteaftrek. </w:t>
      </w:r>
      <w:r w:rsidR="00485B6E" w:rsidRPr="00F14325">
        <w:rPr>
          <w:rFonts w:ascii="Times New Roman" w:hAnsi="Times New Roman" w:cs="Times New Roman"/>
          <w:color w:val="000000"/>
          <w:sz w:val="24"/>
          <w:szCs w:val="24"/>
        </w:rPr>
        <w:t>Met deze maatregel kan d</w:t>
      </w:r>
      <w:r w:rsidR="00C543DE" w:rsidRPr="00F14325">
        <w:rPr>
          <w:rFonts w:ascii="Times New Roman" w:hAnsi="Times New Roman" w:cs="Times New Roman"/>
          <w:color w:val="000000"/>
          <w:sz w:val="24"/>
          <w:szCs w:val="24"/>
        </w:rPr>
        <w:t xml:space="preserve">e rente die betaald wordt over de </w:t>
      </w:r>
      <w:r w:rsidR="00433CC8">
        <w:rPr>
          <w:rFonts w:ascii="Times New Roman" w:hAnsi="Times New Roman" w:cs="Times New Roman"/>
          <w:color w:val="000000"/>
          <w:sz w:val="24"/>
          <w:szCs w:val="24"/>
        </w:rPr>
        <w:t>lening</w:t>
      </w:r>
      <w:r w:rsidR="00485B6E" w:rsidRPr="00F14325">
        <w:rPr>
          <w:rFonts w:ascii="Times New Roman" w:hAnsi="Times New Roman" w:cs="Times New Roman"/>
          <w:color w:val="000000"/>
          <w:sz w:val="24"/>
          <w:szCs w:val="24"/>
        </w:rPr>
        <w:t xml:space="preserve"> die gezekerd is door middel van een hypotheek (de eigen woning)</w:t>
      </w:r>
      <w:r w:rsidR="00C939F2" w:rsidRPr="00F14325">
        <w:rPr>
          <w:rFonts w:ascii="Times New Roman" w:hAnsi="Times New Roman" w:cs="Times New Roman"/>
          <w:color w:val="000000"/>
          <w:sz w:val="24"/>
          <w:szCs w:val="24"/>
        </w:rPr>
        <w:t>,</w:t>
      </w:r>
      <w:r w:rsidR="00485B6E" w:rsidRPr="00F14325">
        <w:rPr>
          <w:rFonts w:ascii="Times New Roman" w:hAnsi="Times New Roman" w:cs="Times New Roman"/>
          <w:color w:val="000000"/>
          <w:sz w:val="24"/>
          <w:szCs w:val="24"/>
        </w:rPr>
        <w:t xml:space="preserve"> van </w:t>
      </w:r>
      <w:r w:rsidR="00433CC8">
        <w:rPr>
          <w:rFonts w:ascii="Times New Roman" w:hAnsi="Times New Roman" w:cs="Times New Roman"/>
          <w:color w:val="000000"/>
          <w:sz w:val="24"/>
          <w:szCs w:val="24"/>
        </w:rPr>
        <w:t>het belastbaar inkomen</w:t>
      </w:r>
      <w:r w:rsidR="00485B6E" w:rsidRPr="00F14325">
        <w:rPr>
          <w:rFonts w:ascii="Times New Roman" w:hAnsi="Times New Roman" w:cs="Times New Roman"/>
          <w:color w:val="000000"/>
          <w:sz w:val="24"/>
          <w:szCs w:val="24"/>
        </w:rPr>
        <w:t xml:space="preserve"> worden afgetrokken. </w:t>
      </w:r>
      <w:r w:rsidR="00112CE2">
        <w:rPr>
          <w:rFonts w:ascii="Times New Roman" w:hAnsi="Times New Roman" w:cs="Times New Roman"/>
          <w:color w:val="000000"/>
          <w:sz w:val="24"/>
          <w:szCs w:val="24"/>
        </w:rPr>
        <w:t xml:space="preserve">Niet alleen </w:t>
      </w:r>
      <w:r w:rsidR="00485B6E" w:rsidRPr="00F14325">
        <w:rPr>
          <w:rFonts w:ascii="Times New Roman" w:hAnsi="Times New Roman" w:cs="Times New Roman"/>
          <w:color w:val="000000"/>
          <w:sz w:val="24"/>
          <w:szCs w:val="24"/>
        </w:rPr>
        <w:t>door de hypotheekrenteaftrek is het financieren van een huis door vreemd vermogen sterk gestimuleerd</w:t>
      </w:r>
      <w:r w:rsidR="00112CE2">
        <w:rPr>
          <w:rFonts w:ascii="Times New Roman" w:hAnsi="Times New Roman" w:cs="Times New Roman"/>
          <w:color w:val="000000"/>
          <w:sz w:val="24"/>
          <w:szCs w:val="24"/>
        </w:rPr>
        <w:t xml:space="preserve">, ook door de ruimhartige verstrekking van kredieten door de banken is de hypotheekschuld van de Nederlandse huishoudens fors hoger dan die in Duitsland. </w:t>
      </w:r>
      <w:r w:rsidR="00C939F2" w:rsidRPr="00F14325">
        <w:rPr>
          <w:rFonts w:ascii="Times New Roman" w:hAnsi="Times New Roman" w:cs="Times New Roman"/>
          <w:color w:val="000000"/>
          <w:sz w:val="24"/>
          <w:szCs w:val="24"/>
        </w:rPr>
        <w:t xml:space="preserve">Ook </w:t>
      </w:r>
      <w:r w:rsidR="00C75441" w:rsidRPr="00F14325">
        <w:rPr>
          <w:rFonts w:ascii="Times New Roman" w:hAnsi="Times New Roman" w:cs="Times New Roman"/>
          <w:color w:val="000000"/>
          <w:sz w:val="24"/>
          <w:szCs w:val="24"/>
        </w:rPr>
        <w:t xml:space="preserve">in internationaal </w:t>
      </w:r>
      <w:r w:rsidR="00C939F2" w:rsidRPr="00F14325">
        <w:rPr>
          <w:rFonts w:ascii="Times New Roman" w:hAnsi="Times New Roman" w:cs="Times New Roman"/>
          <w:color w:val="000000"/>
          <w:sz w:val="24"/>
          <w:szCs w:val="24"/>
        </w:rPr>
        <w:t>verband springt deze hoge schuld van de Nederlandse huishoudens in het oog.</w:t>
      </w:r>
      <w:r w:rsidR="00C939F2" w:rsidRPr="00F14325">
        <w:rPr>
          <w:rStyle w:val="Voetnootmarkering"/>
          <w:rFonts w:ascii="Times New Roman" w:hAnsi="Times New Roman" w:cs="Times New Roman"/>
          <w:color w:val="000000"/>
          <w:sz w:val="24"/>
          <w:szCs w:val="24"/>
        </w:rPr>
        <w:footnoteReference w:id="4"/>
      </w:r>
      <w:r w:rsidR="002069E6">
        <w:rPr>
          <w:rFonts w:ascii="Times New Roman" w:hAnsi="Times New Roman" w:cs="Times New Roman"/>
          <w:color w:val="000000"/>
          <w:sz w:val="24"/>
          <w:szCs w:val="24"/>
        </w:rPr>
        <w:t xml:space="preserve"> </w:t>
      </w:r>
    </w:p>
    <w:p w:rsidR="00275965" w:rsidRDefault="00275965" w:rsidP="002E4516">
      <w:pPr>
        <w:autoSpaceDE w:val="0"/>
        <w:autoSpaceDN w:val="0"/>
        <w:adjustRightInd w:val="0"/>
        <w:spacing w:after="0" w:line="360" w:lineRule="auto"/>
        <w:jc w:val="both"/>
        <w:rPr>
          <w:rFonts w:ascii="Times New Roman" w:hAnsi="Times New Roman" w:cs="Times New Roman"/>
          <w:b/>
          <w:sz w:val="24"/>
          <w:szCs w:val="24"/>
          <w:u w:val="single"/>
        </w:rPr>
      </w:pPr>
    </w:p>
    <w:p w:rsidR="000A14CD" w:rsidRPr="000A14CD" w:rsidRDefault="000A14CD" w:rsidP="002E451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Grafiek 1: langlopende leningen huishoudens inclusief IZWh’s (% bbp)</w:t>
      </w:r>
    </w:p>
    <w:p w:rsidR="000A14CD" w:rsidRDefault="000A14CD" w:rsidP="000A14CD">
      <w:pPr>
        <w:autoSpaceDE w:val="0"/>
        <w:autoSpaceDN w:val="0"/>
        <w:adjustRightInd w:val="0"/>
        <w:spacing w:after="0" w:line="360" w:lineRule="auto"/>
        <w:jc w:val="center"/>
        <w:rPr>
          <w:rFonts w:ascii="Times New Roman" w:hAnsi="Times New Roman" w:cs="Times New Roman"/>
          <w:sz w:val="24"/>
          <w:szCs w:val="24"/>
        </w:rPr>
      </w:pPr>
      <w:r w:rsidRPr="000A14CD">
        <w:rPr>
          <w:rFonts w:ascii="Times New Roman" w:hAnsi="Times New Roman" w:cs="Times New Roman"/>
          <w:noProof/>
          <w:sz w:val="24"/>
          <w:szCs w:val="24"/>
        </w:rPr>
        <w:drawing>
          <wp:inline distT="0" distB="0" distL="0" distR="0">
            <wp:extent cx="4992337" cy="2491278"/>
            <wp:effectExtent l="0" t="0" r="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39F2" w:rsidRPr="00552058" w:rsidRDefault="00552058" w:rsidP="002E4516">
      <w:pPr>
        <w:autoSpaceDE w:val="0"/>
        <w:autoSpaceDN w:val="0"/>
        <w:adjustRightInd w:val="0"/>
        <w:spacing w:after="0" w:line="360" w:lineRule="auto"/>
        <w:rPr>
          <w:rFonts w:ascii="Times New Roman" w:hAnsi="Times New Roman" w:cs="Times New Roman"/>
          <w:sz w:val="18"/>
          <w:szCs w:val="18"/>
        </w:rPr>
      </w:pPr>
      <w:r w:rsidRPr="00552058">
        <w:rPr>
          <w:rFonts w:ascii="Times New Roman" w:hAnsi="Times New Roman" w:cs="Times New Roman"/>
          <w:sz w:val="18"/>
          <w:szCs w:val="18"/>
        </w:rPr>
        <w:t>Bron: eurostat</w:t>
      </w:r>
    </w:p>
    <w:p w:rsidR="00C939F2" w:rsidRPr="00F14325" w:rsidRDefault="00C939F2" w:rsidP="002E4516">
      <w:pPr>
        <w:autoSpaceDE w:val="0"/>
        <w:autoSpaceDN w:val="0"/>
        <w:adjustRightInd w:val="0"/>
        <w:spacing w:after="0" w:line="360" w:lineRule="auto"/>
        <w:rPr>
          <w:rFonts w:ascii="Times New Roman" w:hAnsi="Times New Roman" w:cs="Times New Roman"/>
          <w:sz w:val="24"/>
          <w:szCs w:val="24"/>
        </w:rPr>
      </w:pPr>
    </w:p>
    <w:p w:rsidR="007E1F5C" w:rsidRPr="007E1F5C" w:rsidRDefault="00331319" w:rsidP="00680BAD">
      <w:pPr>
        <w:pStyle w:val="Kop2"/>
      </w:pPr>
      <w:bookmarkStart w:id="7" w:name="_Toc365277084"/>
      <w:r>
        <w:lastRenderedPageBreak/>
        <w:t xml:space="preserve">2.2 </w:t>
      </w:r>
      <w:r w:rsidR="007E1F5C" w:rsidRPr="007E1F5C">
        <w:t>De Huurmarkt</w:t>
      </w:r>
      <w:bookmarkEnd w:id="7"/>
    </w:p>
    <w:p w:rsidR="00433CC8" w:rsidRPr="00433CC8" w:rsidRDefault="00747094"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Ook de </w:t>
      </w:r>
      <w:r w:rsidR="00C75441" w:rsidRPr="00F14325">
        <w:rPr>
          <w:rFonts w:ascii="Times New Roman" w:hAnsi="Times New Roman" w:cs="Times New Roman"/>
          <w:sz w:val="24"/>
          <w:szCs w:val="24"/>
        </w:rPr>
        <w:t>vormgeving</w:t>
      </w:r>
      <w:r w:rsidRPr="00F14325">
        <w:rPr>
          <w:rFonts w:ascii="Times New Roman" w:hAnsi="Times New Roman" w:cs="Times New Roman"/>
          <w:sz w:val="24"/>
          <w:szCs w:val="24"/>
        </w:rPr>
        <w:t xml:space="preserve"> van de huurmarkt speelt een grote rol bij de institutionele </w:t>
      </w:r>
      <w:r w:rsidR="00C75441" w:rsidRPr="00F14325">
        <w:rPr>
          <w:rFonts w:ascii="Times New Roman" w:hAnsi="Times New Roman" w:cs="Times New Roman"/>
          <w:sz w:val="24"/>
          <w:szCs w:val="24"/>
        </w:rPr>
        <w:t>setting van</w:t>
      </w:r>
      <w:r w:rsidRPr="00F14325">
        <w:rPr>
          <w:rFonts w:ascii="Times New Roman" w:hAnsi="Times New Roman" w:cs="Times New Roman"/>
          <w:sz w:val="24"/>
          <w:szCs w:val="24"/>
        </w:rPr>
        <w:t xml:space="preserve"> de woningmarkt. Wanneer de overheid sterke regelgeving implementeert met betrekking tot </w:t>
      </w:r>
      <w:r w:rsidR="00433CC8">
        <w:rPr>
          <w:rFonts w:ascii="Times New Roman" w:hAnsi="Times New Roman" w:cs="Times New Roman"/>
          <w:sz w:val="24"/>
          <w:szCs w:val="24"/>
        </w:rPr>
        <w:t xml:space="preserve">de </w:t>
      </w:r>
      <w:r w:rsidRPr="00F14325">
        <w:rPr>
          <w:rFonts w:ascii="Times New Roman" w:hAnsi="Times New Roman" w:cs="Times New Roman"/>
          <w:sz w:val="24"/>
          <w:szCs w:val="24"/>
        </w:rPr>
        <w:t>hoogte van de huren of met betrekking tot de duur van de contracten</w:t>
      </w:r>
      <w:r w:rsidR="00433CC8">
        <w:rPr>
          <w:rFonts w:ascii="Times New Roman" w:hAnsi="Times New Roman" w:cs="Times New Roman"/>
          <w:sz w:val="24"/>
          <w:szCs w:val="24"/>
        </w:rPr>
        <w:t>,</w:t>
      </w:r>
      <w:r w:rsidRPr="00F14325">
        <w:rPr>
          <w:rFonts w:ascii="Times New Roman" w:hAnsi="Times New Roman" w:cs="Times New Roman"/>
          <w:sz w:val="24"/>
          <w:szCs w:val="24"/>
        </w:rPr>
        <w:t xml:space="preserve"> kan dit de vraag naar huizen </w:t>
      </w:r>
      <w:r w:rsidR="00937C8B">
        <w:rPr>
          <w:rFonts w:ascii="Times New Roman" w:hAnsi="Times New Roman" w:cs="Times New Roman"/>
          <w:sz w:val="24"/>
          <w:szCs w:val="24"/>
        </w:rPr>
        <w:t>onder druk zetten</w:t>
      </w:r>
      <w:r w:rsidRPr="00F14325">
        <w:rPr>
          <w:rFonts w:ascii="Times New Roman" w:hAnsi="Times New Roman" w:cs="Times New Roman"/>
          <w:sz w:val="24"/>
          <w:szCs w:val="24"/>
        </w:rPr>
        <w:t>.</w:t>
      </w:r>
      <w:r w:rsidR="00E37B46" w:rsidRPr="00F14325">
        <w:rPr>
          <w:rFonts w:ascii="Times New Roman" w:hAnsi="Times New Roman" w:cs="Times New Roman"/>
          <w:sz w:val="24"/>
          <w:szCs w:val="24"/>
        </w:rPr>
        <w:t xml:space="preserve"> </w:t>
      </w:r>
      <w:r w:rsidRPr="00F14325">
        <w:rPr>
          <w:rFonts w:ascii="Times New Roman" w:hAnsi="Times New Roman" w:cs="Times New Roman"/>
          <w:sz w:val="24"/>
          <w:szCs w:val="24"/>
        </w:rPr>
        <w:t>Alhoewel de Europese lidstaten de huurmarkten aan het liberaliseren zijn</w:t>
      </w:r>
      <w:r w:rsidR="00433CC8">
        <w:rPr>
          <w:rFonts w:ascii="Times New Roman" w:hAnsi="Times New Roman" w:cs="Times New Roman"/>
          <w:sz w:val="24"/>
          <w:szCs w:val="24"/>
        </w:rPr>
        <w:t>,</w:t>
      </w:r>
      <w:r w:rsidRPr="00F14325">
        <w:rPr>
          <w:rFonts w:ascii="Times New Roman" w:hAnsi="Times New Roman" w:cs="Times New Roman"/>
          <w:sz w:val="24"/>
          <w:szCs w:val="24"/>
        </w:rPr>
        <w:t xml:space="preserve"> is het tempo hiervan nog zeer laag. De Europese huurmarkten zijn over het algemeen sterk gereguleerd</w:t>
      </w:r>
      <w:r w:rsidR="00433CC8">
        <w:rPr>
          <w:rFonts w:ascii="Times New Roman" w:hAnsi="Times New Roman" w:cs="Times New Roman"/>
          <w:sz w:val="24"/>
          <w:szCs w:val="24"/>
        </w:rPr>
        <w:t>. A</w:t>
      </w:r>
      <w:r w:rsidRPr="00F14325">
        <w:rPr>
          <w:rFonts w:ascii="Times New Roman" w:hAnsi="Times New Roman" w:cs="Times New Roman"/>
          <w:sz w:val="24"/>
          <w:szCs w:val="24"/>
        </w:rPr>
        <w:t>lleen Ierland begon eind jaren ’80 de huurmarkten sterk te dereguleren waarna andere Europese lidstaten snel volgden. Duitsland wachtte tot 2001 voordat het een grotere flexibiliteit toeliet in de huursector. In de totale Europese huizensector blijft de rol van de overheid onverminderd groot, zo ook in Nederland. In Duitsland bestaat zo’n 60% van de huizenmarkt uit huurhuizen,</w:t>
      </w:r>
      <w:r w:rsidR="00A82EEF" w:rsidRPr="00F14325">
        <w:rPr>
          <w:rStyle w:val="Voetnootmarkering"/>
          <w:rFonts w:ascii="Times New Roman" w:hAnsi="Times New Roman" w:cs="Times New Roman"/>
          <w:sz w:val="24"/>
          <w:szCs w:val="24"/>
        </w:rPr>
        <w:footnoteReference w:id="5"/>
      </w:r>
      <w:r w:rsidRPr="00F14325">
        <w:rPr>
          <w:rFonts w:ascii="Times New Roman" w:hAnsi="Times New Roman" w:cs="Times New Roman"/>
          <w:sz w:val="24"/>
          <w:szCs w:val="24"/>
        </w:rPr>
        <w:t xml:space="preserve"> in</w:t>
      </w:r>
      <w:r w:rsidR="00A82EEF" w:rsidRPr="00F14325">
        <w:rPr>
          <w:rFonts w:ascii="Times New Roman" w:hAnsi="Times New Roman" w:cs="Times New Roman"/>
          <w:sz w:val="24"/>
          <w:szCs w:val="24"/>
        </w:rPr>
        <w:t xml:space="preserve"> Nederland is dat percentage 40</w:t>
      </w:r>
      <w:r w:rsidRPr="00F14325">
        <w:rPr>
          <w:rFonts w:ascii="Times New Roman" w:hAnsi="Times New Roman" w:cs="Times New Roman"/>
          <w:sz w:val="24"/>
          <w:szCs w:val="24"/>
        </w:rPr>
        <w:t>%. Huren is in Duitsland dan ook een geaccepteerde vorm van wonen, terwijl in Nederland het huren van een huis meer wordt geassocieerd met een lage status. 54% van de huurmarkt in Duitsland wordt bovendien verzorgd door de particuliere sector. De Nederlandse huurmarkt daarentegen wordt gedomin</w:t>
      </w:r>
      <w:r w:rsidR="00C34D25" w:rsidRPr="00F14325">
        <w:rPr>
          <w:rFonts w:ascii="Times New Roman" w:hAnsi="Times New Roman" w:cs="Times New Roman"/>
          <w:sz w:val="24"/>
          <w:szCs w:val="24"/>
        </w:rPr>
        <w:t>eerd door de overheid, slechts 18</w:t>
      </w:r>
      <w:r w:rsidRPr="00F14325">
        <w:rPr>
          <w:rFonts w:ascii="Times New Roman" w:hAnsi="Times New Roman" w:cs="Times New Roman"/>
          <w:sz w:val="24"/>
          <w:szCs w:val="24"/>
        </w:rPr>
        <w:t>% van het huurwoningaanbod wordt verzorgd door vo</w:t>
      </w:r>
      <w:r w:rsidR="00433CC8">
        <w:rPr>
          <w:rFonts w:ascii="Times New Roman" w:hAnsi="Times New Roman" w:cs="Times New Roman"/>
          <w:sz w:val="24"/>
          <w:szCs w:val="24"/>
        </w:rPr>
        <w:t>lledige particuliere aanbieders.</w:t>
      </w:r>
      <w:r w:rsidR="00C34D25" w:rsidRPr="00F14325">
        <w:rPr>
          <w:rFonts w:ascii="Times New Roman" w:hAnsi="Times New Roman" w:cs="Times New Roman"/>
          <w:sz w:val="24"/>
          <w:szCs w:val="24"/>
        </w:rPr>
        <w:t xml:space="preserve"> </w:t>
      </w:r>
      <w:r w:rsidR="00433CC8">
        <w:rPr>
          <w:rFonts w:ascii="Times New Roman" w:hAnsi="Times New Roman" w:cs="Times New Roman"/>
          <w:sz w:val="24"/>
          <w:szCs w:val="24"/>
        </w:rPr>
        <w:t>Zij hebben echte</w:t>
      </w:r>
      <w:r w:rsidR="00C423D0">
        <w:rPr>
          <w:rFonts w:ascii="Times New Roman" w:hAnsi="Times New Roman" w:cs="Times New Roman"/>
          <w:sz w:val="24"/>
          <w:szCs w:val="24"/>
        </w:rPr>
        <w:t>r</w:t>
      </w:r>
      <w:r w:rsidR="00433CC8">
        <w:rPr>
          <w:rFonts w:ascii="Times New Roman" w:hAnsi="Times New Roman" w:cs="Times New Roman"/>
          <w:sz w:val="24"/>
          <w:szCs w:val="24"/>
        </w:rPr>
        <w:t xml:space="preserve"> wel te maken met sterke overheidsregulering.</w:t>
      </w:r>
      <w:r w:rsidR="00680BAD">
        <w:rPr>
          <w:rFonts w:ascii="Times New Roman" w:hAnsi="Times New Roman" w:cs="Times New Roman"/>
          <w:sz w:val="24"/>
          <w:szCs w:val="24"/>
        </w:rPr>
        <w:t xml:space="preserve"> </w:t>
      </w:r>
      <w:r w:rsidR="000613DF">
        <w:rPr>
          <w:rFonts w:ascii="Times New Roman" w:hAnsi="Times New Roman" w:cs="Times New Roman"/>
          <w:sz w:val="24"/>
          <w:szCs w:val="24"/>
        </w:rPr>
        <w:t xml:space="preserve">Uiteindelijk blijkt dat slecht 7% van het huurwoningaanbod volledig te zijn geliberaliseerd. Van deze 7% huurwoningen is bijna de helft (3%) in handen van de woningcorporaties. Zowel op de vrije markt als op de gereguleerde markt is </w:t>
      </w:r>
      <w:r w:rsidR="00680BAD">
        <w:rPr>
          <w:rFonts w:ascii="Times New Roman" w:hAnsi="Times New Roman" w:cs="Times New Roman"/>
          <w:sz w:val="24"/>
          <w:szCs w:val="24"/>
        </w:rPr>
        <w:t xml:space="preserve">dus </w:t>
      </w:r>
      <w:r w:rsidR="000613DF">
        <w:rPr>
          <w:rFonts w:ascii="Times New Roman" w:hAnsi="Times New Roman" w:cs="Times New Roman"/>
          <w:sz w:val="24"/>
          <w:szCs w:val="24"/>
        </w:rPr>
        <w:t xml:space="preserve">een grote rol weggelegd voor </w:t>
      </w:r>
      <w:r w:rsidR="00C93EB3">
        <w:rPr>
          <w:rFonts w:ascii="Times New Roman" w:hAnsi="Times New Roman" w:cs="Times New Roman"/>
          <w:sz w:val="24"/>
          <w:szCs w:val="24"/>
        </w:rPr>
        <w:t>de woningcorporaties</w:t>
      </w:r>
      <w:r w:rsidR="00667673">
        <w:rPr>
          <w:rFonts w:ascii="Times New Roman" w:hAnsi="Times New Roman" w:cs="Times New Roman"/>
          <w:sz w:val="24"/>
          <w:szCs w:val="24"/>
        </w:rPr>
        <w:t xml:space="preserve"> </w:t>
      </w:r>
      <w:r w:rsidR="00C93EB3">
        <w:rPr>
          <w:rFonts w:ascii="Times New Roman" w:hAnsi="Times New Roman" w:cs="Times New Roman"/>
          <w:sz w:val="24"/>
          <w:szCs w:val="24"/>
        </w:rPr>
        <w:t>(zie tabel 2</w:t>
      </w:r>
      <w:r w:rsidR="000613DF">
        <w:rPr>
          <w:rFonts w:ascii="Times New Roman" w:hAnsi="Times New Roman" w:cs="Times New Roman"/>
          <w:sz w:val="24"/>
          <w:szCs w:val="24"/>
        </w:rPr>
        <w:t>).</w:t>
      </w:r>
    </w:p>
    <w:p w:rsidR="00433CC8" w:rsidRPr="00055441" w:rsidRDefault="00055441" w:rsidP="002E451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Tabel </w:t>
      </w:r>
      <w:r w:rsidR="00C93EB3">
        <w:rPr>
          <w:rFonts w:ascii="Times New Roman" w:hAnsi="Times New Roman" w:cs="Times New Roman"/>
          <w:b/>
          <w:sz w:val="24"/>
          <w:szCs w:val="24"/>
          <w:u w:val="single"/>
        </w:rPr>
        <w:t>2</w:t>
      </w:r>
      <w:r>
        <w:rPr>
          <w:rFonts w:ascii="Times New Roman" w:hAnsi="Times New Roman" w:cs="Times New Roman"/>
          <w:b/>
          <w:sz w:val="24"/>
          <w:szCs w:val="24"/>
          <w:u w:val="single"/>
        </w:rPr>
        <w:t>: samenstelling huursegment</w:t>
      </w:r>
      <w:r w:rsidR="00B10813">
        <w:rPr>
          <w:rFonts w:ascii="Times New Roman" w:hAnsi="Times New Roman" w:cs="Times New Roman"/>
          <w:b/>
          <w:sz w:val="24"/>
          <w:szCs w:val="24"/>
          <w:u w:val="single"/>
        </w:rPr>
        <w:t xml:space="preserve"> in Nederland</w:t>
      </w:r>
    </w:p>
    <w:tbl>
      <w:tblPr>
        <w:tblStyle w:val="Tabelraster"/>
        <w:tblW w:w="0" w:type="auto"/>
        <w:jc w:val="center"/>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9"/>
        <w:gridCol w:w="1685"/>
        <w:gridCol w:w="1843"/>
        <w:gridCol w:w="1471"/>
      </w:tblGrid>
      <w:tr w:rsidR="00055441" w:rsidTr="004734EC">
        <w:trPr>
          <w:jc w:val="center"/>
        </w:trPr>
        <w:tc>
          <w:tcPr>
            <w:tcW w:w="1629" w:type="dxa"/>
          </w:tcPr>
          <w:p w:rsidR="00055441" w:rsidRDefault="00055441" w:rsidP="002E4516">
            <w:pPr>
              <w:spacing w:line="360" w:lineRule="auto"/>
              <w:jc w:val="both"/>
              <w:rPr>
                <w:rFonts w:ascii="Times New Roman" w:hAnsi="Times New Roman" w:cs="Times New Roman"/>
                <w:sz w:val="24"/>
                <w:szCs w:val="24"/>
              </w:rPr>
            </w:pPr>
          </w:p>
        </w:tc>
        <w:tc>
          <w:tcPr>
            <w:tcW w:w="1685"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Sociaal huursegment</w:t>
            </w:r>
          </w:p>
        </w:tc>
        <w:tc>
          <w:tcPr>
            <w:tcW w:w="1843"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Commercieel huursegment</w:t>
            </w:r>
          </w:p>
        </w:tc>
        <w:tc>
          <w:tcPr>
            <w:tcW w:w="1471"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totaal</w:t>
            </w:r>
          </w:p>
        </w:tc>
      </w:tr>
      <w:tr w:rsidR="00055441" w:rsidTr="004734EC">
        <w:trPr>
          <w:jc w:val="center"/>
        </w:trPr>
        <w:tc>
          <w:tcPr>
            <w:tcW w:w="1629" w:type="dxa"/>
          </w:tcPr>
          <w:p w:rsidR="00055441" w:rsidRDefault="00055441" w:rsidP="00CD05F8">
            <w:pPr>
              <w:spacing w:line="360" w:lineRule="auto"/>
              <w:rPr>
                <w:rFonts w:ascii="Times New Roman" w:hAnsi="Times New Roman" w:cs="Times New Roman"/>
                <w:sz w:val="24"/>
                <w:szCs w:val="24"/>
              </w:rPr>
            </w:pPr>
            <w:r>
              <w:rPr>
                <w:rFonts w:ascii="Times New Roman" w:hAnsi="Times New Roman" w:cs="Times New Roman"/>
                <w:sz w:val="24"/>
                <w:szCs w:val="24"/>
              </w:rPr>
              <w:t>gereguleerd</w:t>
            </w:r>
          </w:p>
        </w:tc>
        <w:tc>
          <w:tcPr>
            <w:tcW w:w="1685"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843"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71"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055441" w:rsidTr="004734EC">
        <w:trPr>
          <w:jc w:val="center"/>
        </w:trPr>
        <w:tc>
          <w:tcPr>
            <w:tcW w:w="1629" w:type="dxa"/>
          </w:tcPr>
          <w:p w:rsidR="00055441" w:rsidRDefault="00055441" w:rsidP="00CD05F8">
            <w:pPr>
              <w:spacing w:line="360" w:lineRule="auto"/>
              <w:rPr>
                <w:rFonts w:ascii="Times New Roman" w:hAnsi="Times New Roman" w:cs="Times New Roman"/>
                <w:sz w:val="24"/>
                <w:szCs w:val="24"/>
              </w:rPr>
            </w:pPr>
            <w:r>
              <w:rPr>
                <w:rFonts w:ascii="Times New Roman" w:hAnsi="Times New Roman" w:cs="Times New Roman"/>
                <w:sz w:val="24"/>
                <w:szCs w:val="24"/>
              </w:rPr>
              <w:t>geliberaliseerd</w:t>
            </w:r>
          </w:p>
        </w:tc>
        <w:tc>
          <w:tcPr>
            <w:tcW w:w="1685"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1"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55441" w:rsidTr="004734EC">
        <w:trPr>
          <w:jc w:val="center"/>
        </w:trPr>
        <w:tc>
          <w:tcPr>
            <w:tcW w:w="1629" w:type="dxa"/>
          </w:tcPr>
          <w:p w:rsidR="00055441" w:rsidRDefault="00055441" w:rsidP="00CD05F8">
            <w:pPr>
              <w:spacing w:line="360" w:lineRule="auto"/>
              <w:rPr>
                <w:rFonts w:ascii="Times New Roman" w:hAnsi="Times New Roman" w:cs="Times New Roman"/>
                <w:sz w:val="24"/>
                <w:szCs w:val="24"/>
              </w:rPr>
            </w:pPr>
            <w:r>
              <w:rPr>
                <w:rFonts w:ascii="Times New Roman" w:hAnsi="Times New Roman" w:cs="Times New Roman"/>
                <w:sz w:val="24"/>
                <w:szCs w:val="24"/>
              </w:rPr>
              <w:t>totaal</w:t>
            </w:r>
          </w:p>
        </w:tc>
        <w:tc>
          <w:tcPr>
            <w:tcW w:w="1685"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843"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471" w:type="dxa"/>
          </w:tcPr>
          <w:p w:rsidR="00055441" w:rsidRDefault="00055441" w:rsidP="00055441">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734EC" w:rsidRDefault="004734EC" w:rsidP="002E4516">
      <w:pPr>
        <w:spacing w:line="360" w:lineRule="auto"/>
        <w:jc w:val="both"/>
        <w:rPr>
          <w:rFonts w:ascii="Times New Roman" w:hAnsi="Times New Roman" w:cs="Times New Roman"/>
          <w:sz w:val="18"/>
          <w:szCs w:val="18"/>
        </w:rPr>
      </w:pPr>
    </w:p>
    <w:p w:rsidR="00CD05F8" w:rsidRPr="00C116E9" w:rsidRDefault="00C116E9" w:rsidP="002E4516">
      <w:pPr>
        <w:spacing w:line="360" w:lineRule="auto"/>
        <w:jc w:val="both"/>
        <w:rPr>
          <w:rFonts w:ascii="Times New Roman" w:hAnsi="Times New Roman" w:cs="Times New Roman"/>
          <w:sz w:val="18"/>
          <w:szCs w:val="18"/>
        </w:rPr>
      </w:pPr>
      <w:r>
        <w:rPr>
          <w:rFonts w:ascii="Times New Roman" w:hAnsi="Times New Roman" w:cs="Times New Roman"/>
          <w:sz w:val="18"/>
          <w:szCs w:val="18"/>
        </w:rPr>
        <w:t>Bron: WooN 2009</w:t>
      </w:r>
    </w:p>
    <w:p w:rsidR="008B6A64" w:rsidRPr="00F14325" w:rsidRDefault="001B7B2B"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Vier</w:t>
      </w:r>
      <w:r w:rsidR="008B6A64" w:rsidRPr="00F14325">
        <w:rPr>
          <w:rFonts w:ascii="Times New Roman" w:hAnsi="Times New Roman" w:cs="Times New Roman"/>
          <w:sz w:val="24"/>
          <w:szCs w:val="24"/>
        </w:rPr>
        <w:t xml:space="preserve"> centrale elementen binnen deze regulering zijn de: </w:t>
      </w:r>
    </w:p>
    <w:p w:rsidR="008B6A64" w:rsidRPr="00F14325" w:rsidRDefault="001B7B2B" w:rsidP="002E4516">
      <w:pPr>
        <w:pStyle w:val="Lijstalinea"/>
        <w:numPr>
          <w:ilvl w:val="0"/>
          <w:numId w:val="3"/>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lastRenderedPageBreak/>
        <w:t>Maximale toegestane renteniveaus</w:t>
      </w:r>
      <w:r w:rsidRPr="00F14325">
        <w:rPr>
          <w:rStyle w:val="Voetnootmarkering"/>
          <w:rFonts w:ascii="Times New Roman" w:hAnsi="Times New Roman" w:cs="Times New Roman"/>
          <w:sz w:val="24"/>
          <w:szCs w:val="24"/>
        </w:rPr>
        <w:footnoteReference w:id="6"/>
      </w:r>
    </w:p>
    <w:p w:rsidR="001B7B2B" w:rsidRPr="00F14325" w:rsidRDefault="000E4F58" w:rsidP="002E4516">
      <w:pPr>
        <w:pStyle w:val="Lijstalinea"/>
        <w:numPr>
          <w:ilvl w:val="0"/>
          <w:numId w:val="3"/>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Maximale </w:t>
      </w:r>
      <w:r w:rsidR="00667673">
        <w:rPr>
          <w:rFonts w:ascii="Times New Roman" w:hAnsi="Times New Roman" w:cs="Times New Roman"/>
          <w:sz w:val="24"/>
          <w:szCs w:val="24"/>
        </w:rPr>
        <w:t>h</w:t>
      </w:r>
      <w:r w:rsidR="001B7B2B" w:rsidRPr="00F14325">
        <w:rPr>
          <w:rFonts w:ascii="Times New Roman" w:hAnsi="Times New Roman" w:cs="Times New Roman"/>
          <w:sz w:val="24"/>
          <w:szCs w:val="24"/>
        </w:rPr>
        <w:t>uurstijging (die politiek bepaald wordt)</w:t>
      </w:r>
    </w:p>
    <w:p w:rsidR="001B7B2B" w:rsidRPr="00F14325" w:rsidRDefault="001B7B2B" w:rsidP="002E4516">
      <w:pPr>
        <w:pStyle w:val="Lijstalinea"/>
        <w:numPr>
          <w:ilvl w:val="0"/>
          <w:numId w:val="3"/>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Strikte bescherming</w:t>
      </w:r>
      <w:r w:rsidR="000E4F58" w:rsidRPr="00F14325">
        <w:rPr>
          <w:rFonts w:ascii="Times New Roman" w:hAnsi="Times New Roman" w:cs="Times New Roman"/>
          <w:sz w:val="24"/>
          <w:szCs w:val="24"/>
        </w:rPr>
        <w:t xml:space="preserve"> van huurders</w:t>
      </w:r>
    </w:p>
    <w:p w:rsidR="001B7B2B" w:rsidRPr="00F14325" w:rsidRDefault="001B7B2B" w:rsidP="002E4516">
      <w:pPr>
        <w:pStyle w:val="Lijstalinea"/>
        <w:numPr>
          <w:ilvl w:val="0"/>
          <w:numId w:val="3"/>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Uitgebreid systeem van huurtoeslag</w:t>
      </w:r>
    </w:p>
    <w:p w:rsidR="00747094" w:rsidRPr="00F14325" w:rsidRDefault="00C75441" w:rsidP="00A82EEF">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De sterke gerichtheid van de Nederlandse overheid op het voorzien van go</w:t>
      </w:r>
      <w:r w:rsidR="00561030" w:rsidRPr="00F14325">
        <w:rPr>
          <w:rFonts w:ascii="Times New Roman" w:hAnsi="Times New Roman" w:cs="Times New Roman"/>
          <w:sz w:val="24"/>
          <w:szCs w:val="24"/>
        </w:rPr>
        <w:t xml:space="preserve">ede kwaliteit huizen voor de laagste inkomensklassen heeft vooral </w:t>
      </w:r>
      <w:r w:rsidR="00C34D25" w:rsidRPr="00F14325">
        <w:rPr>
          <w:rFonts w:ascii="Times New Roman" w:hAnsi="Times New Roman" w:cs="Times New Roman"/>
          <w:sz w:val="24"/>
          <w:szCs w:val="24"/>
        </w:rPr>
        <w:t>neerslag gevonden in de</w:t>
      </w:r>
      <w:r w:rsidR="001B7B2B" w:rsidRPr="00F14325">
        <w:rPr>
          <w:rFonts w:ascii="Times New Roman" w:hAnsi="Times New Roman" w:cs="Times New Roman"/>
          <w:sz w:val="24"/>
          <w:szCs w:val="24"/>
        </w:rPr>
        <w:t>ze</w:t>
      </w:r>
      <w:r w:rsidR="00C34D25" w:rsidRPr="00F14325">
        <w:rPr>
          <w:rFonts w:ascii="Times New Roman" w:hAnsi="Times New Roman" w:cs="Times New Roman"/>
          <w:sz w:val="24"/>
          <w:szCs w:val="24"/>
        </w:rPr>
        <w:t xml:space="preserve"> strikte regulering binnen de huurmarkten.</w:t>
      </w:r>
    </w:p>
    <w:p w:rsidR="000613DF" w:rsidRDefault="00331319" w:rsidP="00680BAD">
      <w:pPr>
        <w:pStyle w:val="Kop2"/>
      </w:pPr>
      <w:bookmarkStart w:id="8" w:name="_Toc365277085"/>
      <w:r>
        <w:t xml:space="preserve">2.3 </w:t>
      </w:r>
      <w:r w:rsidR="00680BAD">
        <w:t>De huizenmarkt</w:t>
      </w:r>
      <w:bookmarkEnd w:id="8"/>
    </w:p>
    <w:p w:rsidR="00741E46" w:rsidRPr="00F14325" w:rsidRDefault="00E37B46" w:rsidP="00A82EEF">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Het volgende aspect wat </w:t>
      </w:r>
      <w:r w:rsidR="000613DF">
        <w:rPr>
          <w:rFonts w:ascii="Times New Roman" w:hAnsi="Times New Roman" w:cs="Times New Roman"/>
          <w:sz w:val="24"/>
          <w:szCs w:val="24"/>
        </w:rPr>
        <w:t>aan de orde komt</w:t>
      </w:r>
      <w:r w:rsidR="00AB792C">
        <w:rPr>
          <w:rFonts w:ascii="Times New Roman" w:hAnsi="Times New Roman" w:cs="Times New Roman"/>
          <w:sz w:val="24"/>
          <w:szCs w:val="24"/>
        </w:rPr>
        <w:t>,</w:t>
      </w:r>
      <w:r w:rsidRPr="00F14325">
        <w:rPr>
          <w:rFonts w:ascii="Times New Roman" w:hAnsi="Times New Roman" w:cs="Times New Roman"/>
          <w:sz w:val="24"/>
          <w:szCs w:val="24"/>
        </w:rPr>
        <w:t xml:space="preserve"> is de ontwikkeling van de huizenprijzen</w:t>
      </w:r>
      <w:r w:rsidR="002F140A">
        <w:rPr>
          <w:rFonts w:ascii="Times New Roman" w:hAnsi="Times New Roman" w:cs="Times New Roman"/>
          <w:sz w:val="24"/>
          <w:szCs w:val="24"/>
        </w:rPr>
        <w:t xml:space="preserve"> op de hu</w:t>
      </w:r>
      <w:r w:rsidR="006F510E">
        <w:rPr>
          <w:rFonts w:ascii="Times New Roman" w:hAnsi="Times New Roman" w:cs="Times New Roman"/>
          <w:sz w:val="24"/>
          <w:szCs w:val="24"/>
        </w:rPr>
        <w:t>i</w:t>
      </w:r>
      <w:r w:rsidR="002F140A">
        <w:rPr>
          <w:rFonts w:ascii="Times New Roman" w:hAnsi="Times New Roman" w:cs="Times New Roman"/>
          <w:sz w:val="24"/>
          <w:szCs w:val="24"/>
        </w:rPr>
        <w:t>z</w:t>
      </w:r>
      <w:r w:rsidR="006F510E">
        <w:rPr>
          <w:rFonts w:ascii="Times New Roman" w:hAnsi="Times New Roman" w:cs="Times New Roman"/>
          <w:sz w:val="24"/>
          <w:szCs w:val="24"/>
        </w:rPr>
        <w:t>enmarkt</w:t>
      </w:r>
      <w:r w:rsidRPr="00F14325">
        <w:rPr>
          <w:rFonts w:ascii="Times New Roman" w:hAnsi="Times New Roman" w:cs="Times New Roman"/>
          <w:sz w:val="24"/>
          <w:szCs w:val="24"/>
        </w:rPr>
        <w:t>.</w:t>
      </w:r>
      <w:r w:rsidR="00F9448A" w:rsidRPr="00F14325">
        <w:rPr>
          <w:rFonts w:ascii="Times New Roman" w:hAnsi="Times New Roman" w:cs="Times New Roman"/>
          <w:sz w:val="24"/>
          <w:szCs w:val="24"/>
        </w:rPr>
        <w:t xml:space="preserve"> Wat opvalt</w:t>
      </w:r>
      <w:r w:rsidR="000613DF">
        <w:rPr>
          <w:rFonts w:ascii="Times New Roman" w:hAnsi="Times New Roman" w:cs="Times New Roman"/>
          <w:sz w:val="24"/>
          <w:szCs w:val="24"/>
        </w:rPr>
        <w:t>,</w:t>
      </w:r>
      <w:r w:rsidR="00F9448A" w:rsidRPr="00F14325">
        <w:rPr>
          <w:rFonts w:ascii="Times New Roman" w:hAnsi="Times New Roman" w:cs="Times New Roman"/>
          <w:sz w:val="24"/>
          <w:szCs w:val="24"/>
        </w:rPr>
        <w:t xml:space="preserve"> is dat de huizenprijzen in Nederland snel stegen</w:t>
      </w:r>
      <w:r w:rsidR="000613DF">
        <w:rPr>
          <w:rFonts w:ascii="Times New Roman" w:hAnsi="Times New Roman" w:cs="Times New Roman"/>
          <w:sz w:val="24"/>
          <w:szCs w:val="24"/>
        </w:rPr>
        <w:t>. R</w:t>
      </w:r>
      <w:r w:rsidR="00F9448A" w:rsidRPr="00F14325">
        <w:rPr>
          <w:rFonts w:ascii="Times New Roman" w:hAnsi="Times New Roman" w:cs="Times New Roman"/>
          <w:sz w:val="24"/>
          <w:szCs w:val="24"/>
        </w:rPr>
        <w:t xml:space="preserve">ond de eeuwwisseling </w:t>
      </w:r>
      <w:r w:rsidR="000613DF">
        <w:rPr>
          <w:rFonts w:ascii="Times New Roman" w:hAnsi="Times New Roman" w:cs="Times New Roman"/>
          <w:sz w:val="24"/>
          <w:szCs w:val="24"/>
        </w:rPr>
        <w:t>was de stijging 20%.</w:t>
      </w:r>
      <w:r w:rsidR="00F9448A" w:rsidRPr="00F14325">
        <w:rPr>
          <w:rFonts w:ascii="Times New Roman" w:hAnsi="Times New Roman" w:cs="Times New Roman"/>
          <w:sz w:val="24"/>
          <w:szCs w:val="24"/>
        </w:rPr>
        <w:t xml:space="preserve"> Ook de huizenprijzen in andere Europese landen als België, Spanje, Ierland, het verenigd Koninkrijk en Frankrijk vertoonden een zeer sterk stijging. De huizenprijzen in Duitsland vertoonden rond de eeuwwisseling echter een lichte daling. </w:t>
      </w:r>
    </w:p>
    <w:p w:rsidR="00674926" w:rsidRDefault="00674926" w:rsidP="002E4516">
      <w:pPr>
        <w:spacing w:line="360" w:lineRule="auto"/>
        <w:rPr>
          <w:rFonts w:ascii="Times New Roman" w:hAnsi="Times New Roman" w:cs="Times New Roman"/>
          <w:b/>
          <w:sz w:val="24"/>
          <w:szCs w:val="24"/>
          <w:u w:val="single"/>
        </w:rPr>
      </w:pPr>
    </w:p>
    <w:p w:rsidR="00552058" w:rsidRDefault="00BA0044" w:rsidP="002E4516">
      <w:pPr>
        <w:spacing w:line="360" w:lineRule="auto"/>
        <w:rPr>
          <w:rFonts w:ascii="Times New Roman" w:hAnsi="Times New Roman" w:cs="Times New Roman"/>
          <w:sz w:val="24"/>
          <w:szCs w:val="24"/>
        </w:rPr>
      </w:pPr>
      <w:r>
        <w:rPr>
          <w:rFonts w:ascii="Times New Roman" w:hAnsi="Times New Roman" w:cs="Times New Roman"/>
          <w:b/>
          <w:sz w:val="24"/>
          <w:szCs w:val="24"/>
          <w:u w:val="single"/>
        </w:rPr>
        <w:t>Figuur 2: prijsindex bestaande koopwoningen (2010=100)</w:t>
      </w:r>
      <w:r w:rsidR="00741E46" w:rsidRPr="00F14325">
        <w:rPr>
          <w:rFonts w:ascii="Times New Roman" w:hAnsi="Times New Roman" w:cs="Times New Roman"/>
          <w:sz w:val="24"/>
          <w:szCs w:val="24"/>
        </w:rPr>
        <w:t xml:space="preserve"> </w:t>
      </w:r>
    </w:p>
    <w:p w:rsidR="00741E46" w:rsidRPr="00F14325" w:rsidRDefault="000A14CD" w:rsidP="002E4516">
      <w:pPr>
        <w:spacing w:line="360" w:lineRule="auto"/>
        <w:rPr>
          <w:rFonts w:ascii="Times New Roman" w:hAnsi="Times New Roman" w:cs="Times New Roman"/>
          <w:sz w:val="24"/>
          <w:szCs w:val="24"/>
        </w:rPr>
      </w:pPr>
      <w:r w:rsidRPr="000A14CD">
        <w:rPr>
          <w:rFonts w:ascii="Times New Roman" w:hAnsi="Times New Roman" w:cs="Times New Roman"/>
          <w:noProof/>
          <w:sz w:val="24"/>
          <w:szCs w:val="24"/>
        </w:rPr>
        <w:drawing>
          <wp:inline distT="0" distB="0" distL="0" distR="0">
            <wp:extent cx="5882986" cy="2660073"/>
            <wp:effectExtent l="19050" t="0" r="0" b="0"/>
            <wp:docPr id="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2058" w:rsidRPr="00F815C2" w:rsidRDefault="00552058" w:rsidP="002E4516">
      <w:pPr>
        <w:spacing w:line="360" w:lineRule="auto"/>
        <w:jc w:val="both"/>
        <w:rPr>
          <w:rFonts w:ascii="Times New Roman" w:hAnsi="Times New Roman" w:cs="Times New Roman"/>
          <w:sz w:val="18"/>
          <w:szCs w:val="18"/>
        </w:rPr>
      </w:pPr>
      <w:r w:rsidRPr="00F815C2">
        <w:rPr>
          <w:rFonts w:ascii="Times New Roman" w:hAnsi="Times New Roman" w:cs="Times New Roman"/>
          <w:sz w:val="18"/>
          <w:szCs w:val="18"/>
        </w:rPr>
        <w:t>Bron: Bank for International Settlements</w:t>
      </w:r>
    </w:p>
    <w:p w:rsidR="00DD66B8" w:rsidRDefault="00F9448A" w:rsidP="007A3721">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lastRenderedPageBreak/>
        <w:t>Ook op de hypotheekmarkt vinden we een opvallend verschil.</w:t>
      </w:r>
      <w:r w:rsidR="00E37B46" w:rsidRPr="00F14325">
        <w:rPr>
          <w:rFonts w:ascii="Times New Roman" w:hAnsi="Times New Roman" w:cs="Times New Roman"/>
          <w:sz w:val="24"/>
          <w:szCs w:val="24"/>
        </w:rPr>
        <w:t xml:space="preserve"> De gemiddelde schuld van de </w:t>
      </w:r>
      <w:r w:rsidR="000613DF">
        <w:rPr>
          <w:rFonts w:ascii="Times New Roman" w:hAnsi="Times New Roman" w:cs="Times New Roman"/>
          <w:sz w:val="24"/>
          <w:szCs w:val="24"/>
        </w:rPr>
        <w:t>Duitse huishoudens is afgenomen</w:t>
      </w:r>
      <w:r w:rsidR="00E37B46" w:rsidRPr="00F14325">
        <w:rPr>
          <w:rFonts w:ascii="Times New Roman" w:hAnsi="Times New Roman" w:cs="Times New Roman"/>
          <w:sz w:val="24"/>
          <w:szCs w:val="24"/>
        </w:rPr>
        <w:t xml:space="preserve"> en blijft stabiel op ongeveer 60% van het bruto binnenlands product.</w:t>
      </w:r>
      <w:r w:rsidRPr="00F14325">
        <w:rPr>
          <w:rFonts w:ascii="Times New Roman" w:hAnsi="Times New Roman" w:cs="Times New Roman"/>
          <w:sz w:val="24"/>
          <w:szCs w:val="24"/>
        </w:rPr>
        <w:t xml:space="preserve"> </w:t>
      </w:r>
      <w:r w:rsidR="000613DF">
        <w:rPr>
          <w:rFonts w:ascii="Times New Roman" w:hAnsi="Times New Roman" w:cs="Times New Roman"/>
          <w:sz w:val="24"/>
          <w:szCs w:val="24"/>
        </w:rPr>
        <w:t>Echter</w:t>
      </w:r>
      <w:r w:rsidR="002F140A">
        <w:rPr>
          <w:rFonts w:ascii="Times New Roman" w:hAnsi="Times New Roman" w:cs="Times New Roman"/>
          <w:sz w:val="24"/>
          <w:szCs w:val="24"/>
        </w:rPr>
        <w:t>,</w:t>
      </w:r>
      <w:r w:rsidR="00E37B46" w:rsidRPr="00F14325">
        <w:rPr>
          <w:rFonts w:ascii="Times New Roman" w:hAnsi="Times New Roman" w:cs="Times New Roman"/>
          <w:sz w:val="24"/>
          <w:szCs w:val="24"/>
        </w:rPr>
        <w:t xml:space="preserve"> die</w:t>
      </w:r>
      <w:r w:rsidR="000613DF">
        <w:rPr>
          <w:rFonts w:ascii="Times New Roman" w:hAnsi="Times New Roman" w:cs="Times New Roman"/>
          <w:sz w:val="24"/>
          <w:szCs w:val="24"/>
        </w:rPr>
        <w:t xml:space="preserve"> schuld lag</w:t>
      </w:r>
      <w:r w:rsidR="00E37B46" w:rsidRPr="00F14325">
        <w:rPr>
          <w:rFonts w:ascii="Times New Roman" w:hAnsi="Times New Roman" w:cs="Times New Roman"/>
          <w:sz w:val="24"/>
          <w:szCs w:val="24"/>
        </w:rPr>
        <w:t xml:space="preserve"> in Nederland </w:t>
      </w:r>
      <w:r w:rsidR="008B6A64" w:rsidRPr="00F14325">
        <w:rPr>
          <w:rFonts w:ascii="Times New Roman" w:hAnsi="Times New Roman" w:cs="Times New Roman"/>
          <w:sz w:val="24"/>
          <w:szCs w:val="24"/>
        </w:rPr>
        <w:t>in 2011 rond de 122% va</w:t>
      </w:r>
      <w:r w:rsidR="002F140A">
        <w:rPr>
          <w:rFonts w:ascii="Times New Roman" w:hAnsi="Times New Roman" w:cs="Times New Roman"/>
          <w:sz w:val="24"/>
          <w:szCs w:val="24"/>
        </w:rPr>
        <w:t xml:space="preserve">n het bruto binnenlands product </w:t>
      </w:r>
      <w:r w:rsidR="00741E46" w:rsidRPr="00F14325">
        <w:rPr>
          <w:rFonts w:ascii="Times New Roman" w:hAnsi="Times New Roman" w:cs="Times New Roman"/>
          <w:sz w:val="24"/>
          <w:szCs w:val="24"/>
        </w:rPr>
        <w:t>(zie figuur 1)</w:t>
      </w:r>
      <w:r w:rsidR="002F140A">
        <w:rPr>
          <w:rFonts w:ascii="Times New Roman" w:hAnsi="Times New Roman" w:cs="Times New Roman"/>
          <w:sz w:val="24"/>
          <w:szCs w:val="24"/>
        </w:rPr>
        <w:t>.</w:t>
      </w:r>
      <w:r w:rsidR="00741E46" w:rsidRPr="00F14325">
        <w:rPr>
          <w:rFonts w:ascii="Times New Roman" w:hAnsi="Times New Roman" w:cs="Times New Roman"/>
          <w:sz w:val="24"/>
          <w:szCs w:val="24"/>
        </w:rPr>
        <w:t xml:space="preserve"> </w:t>
      </w:r>
      <w:r w:rsidR="001A2D70" w:rsidRPr="00F14325">
        <w:rPr>
          <w:rFonts w:ascii="Times New Roman" w:hAnsi="Times New Roman" w:cs="Times New Roman"/>
          <w:sz w:val="24"/>
          <w:szCs w:val="24"/>
        </w:rPr>
        <w:t>In de regel brengt een hogere huizenprijs ee</w:t>
      </w:r>
      <w:r w:rsidR="000613DF">
        <w:rPr>
          <w:rFonts w:ascii="Times New Roman" w:hAnsi="Times New Roman" w:cs="Times New Roman"/>
          <w:sz w:val="24"/>
          <w:szCs w:val="24"/>
        </w:rPr>
        <w:t xml:space="preserve">n hogere hypotheek met zich mee. </w:t>
      </w:r>
      <w:r w:rsidR="00DD66B8">
        <w:rPr>
          <w:rFonts w:ascii="Times New Roman" w:hAnsi="Times New Roman" w:cs="Times New Roman"/>
          <w:sz w:val="24"/>
          <w:szCs w:val="24"/>
        </w:rPr>
        <w:t>Op de</w:t>
      </w:r>
      <w:r w:rsidR="00DD66B8">
        <w:rPr>
          <w:rFonts w:ascii="Times New Roman" w:hAnsi="Times New Roman" w:cs="Times New Roman"/>
          <w:color w:val="000000"/>
          <w:sz w:val="24"/>
          <w:szCs w:val="24"/>
        </w:rPr>
        <w:t xml:space="preserve"> vraag of de hypotheekrenteaftrek de huizenprijzen opwaarts beïnvloed heeft</w:t>
      </w:r>
      <w:r w:rsidR="004573CA">
        <w:rPr>
          <w:rFonts w:ascii="Times New Roman" w:hAnsi="Times New Roman" w:cs="Times New Roman"/>
          <w:color w:val="000000"/>
          <w:sz w:val="24"/>
          <w:szCs w:val="24"/>
        </w:rPr>
        <w:t>,</w:t>
      </w:r>
      <w:r w:rsidR="00DD66B8">
        <w:rPr>
          <w:rFonts w:ascii="Times New Roman" w:hAnsi="Times New Roman" w:cs="Times New Roman"/>
          <w:color w:val="000000"/>
          <w:sz w:val="24"/>
          <w:szCs w:val="24"/>
        </w:rPr>
        <w:t xml:space="preserve"> bestaat in de literatuur geen eenduidig antwoord. Het IMF (World Economic </w:t>
      </w:r>
      <w:r w:rsidR="004573CA">
        <w:rPr>
          <w:rFonts w:ascii="Times New Roman" w:hAnsi="Times New Roman" w:cs="Times New Roman"/>
          <w:color w:val="000000"/>
          <w:sz w:val="24"/>
          <w:szCs w:val="24"/>
        </w:rPr>
        <w:t>O</w:t>
      </w:r>
      <w:r w:rsidR="00DD66B8">
        <w:rPr>
          <w:rFonts w:ascii="Times New Roman" w:hAnsi="Times New Roman" w:cs="Times New Roman"/>
          <w:color w:val="000000"/>
          <w:sz w:val="24"/>
          <w:szCs w:val="24"/>
        </w:rPr>
        <w:t>utlook 2008) stelt dat 30% van de waardestijging in de periode 1997-2007 in de Nederlandse huizenmarkt niet kan worden toegeschreven aan fundamentele factoren</w:t>
      </w:r>
      <w:r w:rsidR="002E10E2">
        <w:rPr>
          <w:rFonts w:ascii="Times New Roman" w:hAnsi="Times New Roman" w:cs="Times New Roman"/>
          <w:color w:val="000000"/>
          <w:sz w:val="24"/>
          <w:szCs w:val="24"/>
        </w:rPr>
        <w:t>.</w:t>
      </w:r>
      <w:r w:rsidR="007A3721">
        <w:rPr>
          <w:rFonts w:ascii="Times New Roman" w:hAnsi="Times New Roman" w:cs="Times New Roman"/>
          <w:color w:val="000000"/>
          <w:sz w:val="24"/>
          <w:szCs w:val="24"/>
        </w:rPr>
        <w:t xml:space="preserve"> </w:t>
      </w:r>
      <w:r w:rsidR="00DD66B8">
        <w:rPr>
          <w:rFonts w:ascii="Times New Roman" w:hAnsi="Times New Roman" w:cs="Times New Roman"/>
          <w:color w:val="000000"/>
          <w:sz w:val="24"/>
          <w:szCs w:val="24"/>
        </w:rPr>
        <w:t>Het CPB (2008) stelt echter dat de huizenprijzen bijna geheel te verklaren zijn vanuit de fundamentele factoren.</w:t>
      </w:r>
      <w:r w:rsidR="004573CA">
        <w:rPr>
          <w:rFonts w:ascii="Times New Roman" w:hAnsi="Times New Roman" w:cs="Times New Roman"/>
          <w:color w:val="000000"/>
          <w:sz w:val="24"/>
          <w:szCs w:val="24"/>
        </w:rPr>
        <w:t xml:space="preserve"> De ontwikkeling van deze fundamentele factoren worden nu besproken voor wat betreft Duitsland en Nederland. </w:t>
      </w:r>
      <w:r w:rsidR="00DD66B8">
        <w:rPr>
          <w:rFonts w:ascii="Times New Roman" w:hAnsi="Times New Roman" w:cs="Times New Roman"/>
          <w:color w:val="000000"/>
          <w:sz w:val="24"/>
          <w:szCs w:val="24"/>
        </w:rPr>
        <w:t xml:space="preserve">  </w:t>
      </w:r>
    </w:p>
    <w:p w:rsidR="00112CE2" w:rsidRDefault="00112CE2" w:rsidP="00680BAD">
      <w:pPr>
        <w:pStyle w:val="Kop2"/>
      </w:pPr>
    </w:p>
    <w:p w:rsidR="0033369F" w:rsidRDefault="002E10E2" w:rsidP="002E10E2">
      <w:pPr>
        <w:pStyle w:val="Kop2"/>
      </w:pPr>
      <w:bookmarkStart w:id="9" w:name="_Toc365277086"/>
      <w:r>
        <w:t xml:space="preserve">2.4 </w:t>
      </w:r>
      <w:r w:rsidR="0033369F">
        <w:t>Fundamentele factoren</w:t>
      </w:r>
      <w:bookmarkEnd w:id="9"/>
    </w:p>
    <w:p w:rsidR="002E10E2" w:rsidRPr="002E10E2" w:rsidRDefault="002E10E2" w:rsidP="002E10E2">
      <w:pPr>
        <w:spacing w:line="360" w:lineRule="auto"/>
        <w:jc w:val="both"/>
        <w:rPr>
          <w:rFonts w:ascii="Times New Roman" w:hAnsi="Times New Roman" w:cs="Times New Roman"/>
          <w:sz w:val="24"/>
          <w:szCs w:val="24"/>
        </w:rPr>
      </w:pPr>
      <w:r w:rsidRPr="002E10E2">
        <w:rPr>
          <w:rFonts w:ascii="Times New Roman" w:hAnsi="Times New Roman" w:cs="Times New Roman"/>
          <w:sz w:val="24"/>
          <w:szCs w:val="24"/>
        </w:rPr>
        <w:t xml:space="preserve">Onder de fundamentele factoren wordt verstaan de factoren die aan de basis liggen voor de prijsontwikkelingen binnen de woningmarkt. </w:t>
      </w:r>
      <w:r w:rsidR="0033369F" w:rsidRPr="002E10E2">
        <w:rPr>
          <w:rFonts w:ascii="Times New Roman" w:hAnsi="Times New Roman" w:cs="Times New Roman"/>
          <w:sz w:val="24"/>
          <w:szCs w:val="24"/>
        </w:rPr>
        <w:t>Bi</w:t>
      </w:r>
      <w:r w:rsidRPr="002E10E2">
        <w:rPr>
          <w:rFonts w:ascii="Times New Roman" w:hAnsi="Times New Roman" w:cs="Times New Roman"/>
          <w:sz w:val="24"/>
          <w:szCs w:val="24"/>
        </w:rPr>
        <w:t xml:space="preserve">nnen deze fundamentele factoren </w:t>
      </w:r>
      <w:r w:rsidR="0033369F" w:rsidRPr="002E10E2">
        <w:rPr>
          <w:rFonts w:ascii="Times New Roman" w:hAnsi="Times New Roman" w:cs="Times New Roman"/>
          <w:sz w:val="24"/>
          <w:szCs w:val="24"/>
        </w:rPr>
        <w:t>kunnen we een tweedeling maken naar vraag- en aanbodfactoren.</w:t>
      </w:r>
      <w:r w:rsidRPr="002E10E2">
        <w:rPr>
          <w:rFonts w:ascii="Times New Roman" w:hAnsi="Times New Roman" w:cs="Times New Roman"/>
          <w:sz w:val="24"/>
          <w:szCs w:val="24"/>
        </w:rPr>
        <w:t xml:space="preserve"> Volgens het rapport </w:t>
      </w:r>
      <w:r w:rsidRPr="002E10E2">
        <w:rPr>
          <w:rFonts w:ascii="Times New Roman" w:hAnsi="Times New Roman" w:cs="Times New Roman"/>
          <w:i/>
          <w:sz w:val="24"/>
          <w:szCs w:val="24"/>
        </w:rPr>
        <w:t xml:space="preserve">House Price Developments in Europe: a Comparision  </w:t>
      </w:r>
      <w:r w:rsidRPr="002E10E2">
        <w:rPr>
          <w:rFonts w:ascii="Times New Roman" w:hAnsi="Times New Roman" w:cs="Times New Roman"/>
          <w:sz w:val="24"/>
          <w:szCs w:val="24"/>
        </w:rPr>
        <w:t>van het IMF wordt de vraag naar woningen voornamelijk bepaald door de volgende factoren: het besteedbare inkomen, de rentestanden, de populatie en de samenstelling van de huishoudens.  De determinanten die het aanbod op de huizenmarkt bepalen zijn voornamelijk de woningvoorraad, de schaarste van de beschikbare grond (dit hangt onder andere af van regels en vergunningsprocedures) en de ontwikkeling op de hypotheekmarkt.</w:t>
      </w:r>
    </w:p>
    <w:p w:rsidR="002E10E2" w:rsidRPr="00F14325" w:rsidRDefault="002E10E2" w:rsidP="002E10E2">
      <w:pPr>
        <w:spacing w:line="360" w:lineRule="auto"/>
        <w:jc w:val="both"/>
        <w:rPr>
          <w:rFonts w:ascii="Times New Roman" w:hAnsi="Times New Roman" w:cs="Times New Roman"/>
          <w:sz w:val="24"/>
          <w:szCs w:val="24"/>
        </w:rPr>
      </w:pPr>
    </w:p>
    <w:p w:rsidR="00F9448A" w:rsidRPr="00F14325" w:rsidRDefault="002E10E2" w:rsidP="00680BAD">
      <w:pPr>
        <w:pStyle w:val="Kop2"/>
      </w:pPr>
      <w:bookmarkStart w:id="10" w:name="_Toc365277087"/>
      <w:r>
        <w:t>2.5</w:t>
      </w:r>
      <w:r w:rsidR="002F3412" w:rsidRPr="00F14325">
        <w:t xml:space="preserve"> V</w:t>
      </w:r>
      <w:r w:rsidR="00F9448A" w:rsidRPr="00F14325">
        <w:t xml:space="preserve">raagzijde </w:t>
      </w:r>
      <w:r w:rsidR="008F3EF3">
        <w:t>huizen</w:t>
      </w:r>
      <w:r w:rsidR="00F9448A" w:rsidRPr="00F14325">
        <w:t>markt</w:t>
      </w:r>
      <w:bookmarkEnd w:id="10"/>
      <w:r w:rsidR="00F9448A" w:rsidRPr="00F14325">
        <w:t xml:space="preserve">   </w:t>
      </w:r>
    </w:p>
    <w:p w:rsidR="00F9448A" w:rsidRDefault="00F9448A"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Het besteedbare inkomen is van invloed op de vraag naar woningen</w:t>
      </w:r>
      <w:r w:rsidR="000613DF">
        <w:rPr>
          <w:rFonts w:ascii="Times New Roman" w:hAnsi="Times New Roman" w:cs="Times New Roman"/>
          <w:sz w:val="24"/>
          <w:szCs w:val="24"/>
        </w:rPr>
        <w:t>. E</w:t>
      </w:r>
      <w:r w:rsidRPr="00F14325">
        <w:rPr>
          <w:rFonts w:ascii="Times New Roman" w:hAnsi="Times New Roman" w:cs="Times New Roman"/>
          <w:sz w:val="24"/>
          <w:szCs w:val="24"/>
        </w:rPr>
        <w:t>r gel</w:t>
      </w:r>
      <w:r w:rsidR="000613DF">
        <w:rPr>
          <w:rFonts w:ascii="Times New Roman" w:hAnsi="Times New Roman" w:cs="Times New Roman"/>
          <w:sz w:val="24"/>
          <w:szCs w:val="24"/>
        </w:rPr>
        <w:t>d</w:t>
      </w:r>
      <w:r w:rsidR="00C423D0">
        <w:rPr>
          <w:rFonts w:ascii="Times New Roman" w:hAnsi="Times New Roman" w:cs="Times New Roman"/>
          <w:sz w:val="24"/>
          <w:szCs w:val="24"/>
        </w:rPr>
        <w:t>t</w:t>
      </w:r>
      <w:r w:rsidR="000613DF">
        <w:rPr>
          <w:rFonts w:ascii="Times New Roman" w:hAnsi="Times New Roman" w:cs="Times New Roman"/>
          <w:sz w:val="24"/>
          <w:szCs w:val="24"/>
        </w:rPr>
        <w:t xml:space="preserve"> namelijk hoe </w:t>
      </w:r>
      <w:r w:rsidRPr="00F14325">
        <w:rPr>
          <w:rFonts w:ascii="Times New Roman" w:hAnsi="Times New Roman" w:cs="Times New Roman"/>
          <w:sz w:val="24"/>
          <w:szCs w:val="24"/>
        </w:rPr>
        <w:t xml:space="preserve">hoger het inkomen hoe hoger de hypotheek die men zich kan veroorloven. Tot aan de kredietcrisis in 2008 steeg het Nederlandse inkomen per hoofd van de bevolking met ongeveer 4% per jaar. Volgens Frank Notten in het CBS rapport </w:t>
      </w:r>
      <w:r w:rsidRPr="00F14325">
        <w:rPr>
          <w:rFonts w:ascii="Times New Roman" w:hAnsi="Times New Roman" w:cs="Times New Roman"/>
          <w:i/>
          <w:sz w:val="24"/>
          <w:szCs w:val="24"/>
        </w:rPr>
        <w:t xml:space="preserve">De Nederlandse economie 2011 </w:t>
      </w:r>
      <w:r w:rsidRPr="00F14325">
        <w:rPr>
          <w:rFonts w:ascii="Times New Roman" w:hAnsi="Times New Roman" w:cs="Times New Roman"/>
          <w:sz w:val="24"/>
          <w:szCs w:val="24"/>
        </w:rPr>
        <w:t>lag dit aan de stijgende arbeidsparticipatie in combinatie met de sterke loonstijgingen gedurende de periode 1995 en 2007. In Duitsland lag de groei van het inkomen gedurende de ja</w:t>
      </w:r>
      <w:r w:rsidR="000613DF">
        <w:rPr>
          <w:rFonts w:ascii="Times New Roman" w:hAnsi="Times New Roman" w:cs="Times New Roman"/>
          <w:sz w:val="24"/>
          <w:szCs w:val="24"/>
        </w:rPr>
        <w:t>ren ’90 ongeveer 1% punt lager. D</w:t>
      </w:r>
      <w:r w:rsidRPr="00F14325">
        <w:rPr>
          <w:rFonts w:ascii="Times New Roman" w:hAnsi="Times New Roman" w:cs="Times New Roman"/>
          <w:sz w:val="24"/>
          <w:szCs w:val="24"/>
        </w:rPr>
        <w:t xml:space="preserve">it is vooral te verklaren uit het feit dat de Duitse economie eind jaren negentig minder snel groeide dan de Nederlandse economie. </w:t>
      </w:r>
    </w:p>
    <w:p w:rsidR="00BA0044" w:rsidRPr="00BA0044" w:rsidRDefault="00BA0044" w:rsidP="002E451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Figuur 3: groei beschikbaar inkomen (groei BNI als % per capita)</w:t>
      </w:r>
    </w:p>
    <w:p w:rsidR="00F9448A" w:rsidRPr="00F14325" w:rsidRDefault="00BA0044" w:rsidP="00A22914">
      <w:pPr>
        <w:spacing w:line="360" w:lineRule="auto"/>
        <w:jc w:val="center"/>
        <w:rPr>
          <w:rFonts w:ascii="Times New Roman" w:hAnsi="Times New Roman" w:cs="Times New Roman"/>
          <w:sz w:val="24"/>
          <w:szCs w:val="24"/>
        </w:rPr>
      </w:pPr>
      <w:r w:rsidRPr="00BA0044">
        <w:rPr>
          <w:rFonts w:ascii="Times New Roman" w:hAnsi="Times New Roman" w:cs="Times New Roman"/>
          <w:noProof/>
          <w:sz w:val="24"/>
          <w:szCs w:val="24"/>
        </w:rPr>
        <w:drawing>
          <wp:inline distT="0" distB="0" distL="0" distR="0">
            <wp:extent cx="6019800" cy="2733675"/>
            <wp:effectExtent l="0" t="0" r="0" b="0"/>
            <wp:docPr id="5"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2F81" w:rsidRPr="001146AE" w:rsidRDefault="00552058" w:rsidP="002E4516">
      <w:pPr>
        <w:spacing w:line="360" w:lineRule="auto"/>
        <w:jc w:val="both"/>
        <w:rPr>
          <w:rFonts w:ascii="Times New Roman" w:hAnsi="Times New Roman" w:cs="Times New Roman"/>
          <w:sz w:val="18"/>
          <w:szCs w:val="18"/>
        </w:rPr>
      </w:pPr>
      <w:r w:rsidRPr="001146AE">
        <w:rPr>
          <w:rFonts w:ascii="Times New Roman" w:hAnsi="Times New Roman" w:cs="Times New Roman"/>
          <w:sz w:val="18"/>
          <w:szCs w:val="18"/>
        </w:rPr>
        <w:t xml:space="preserve">Bron: Worldbank </w:t>
      </w:r>
    </w:p>
    <w:p w:rsidR="0074788D" w:rsidRDefault="00F9448A"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Het aantal huishoudens wordt bepaald door enerzijds de groei van de bevolking en anderzijds de samenstelling van de huishoudens. De Nederlandse bevolking groeit sinds 1960 bijna onafgebroken sterker dan de Duitse bevolking. Ook het aantal huishoudens neemt sterker toe dan het aantal Duitse huishoudens. De sterke toename van het aantal </w:t>
      </w:r>
      <w:r w:rsidR="000613DF">
        <w:rPr>
          <w:rFonts w:ascii="Times New Roman" w:hAnsi="Times New Roman" w:cs="Times New Roman"/>
          <w:sz w:val="24"/>
          <w:szCs w:val="24"/>
        </w:rPr>
        <w:t xml:space="preserve">Nederlandse </w:t>
      </w:r>
      <w:r w:rsidRPr="00F14325">
        <w:rPr>
          <w:rFonts w:ascii="Times New Roman" w:hAnsi="Times New Roman" w:cs="Times New Roman"/>
          <w:sz w:val="24"/>
          <w:szCs w:val="24"/>
        </w:rPr>
        <w:t>huishoudens heeft niet alleen te make</w:t>
      </w:r>
      <w:r w:rsidR="004D6BE5">
        <w:rPr>
          <w:rFonts w:ascii="Times New Roman" w:hAnsi="Times New Roman" w:cs="Times New Roman"/>
          <w:sz w:val="24"/>
          <w:szCs w:val="24"/>
        </w:rPr>
        <w:t>n met de groei van de bevolking (zie figuur 4),</w:t>
      </w:r>
      <w:r w:rsidRPr="00F14325">
        <w:rPr>
          <w:rFonts w:ascii="Times New Roman" w:hAnsi="Times New Roman" w:cs="Times New Roman"/>
          <w:sz w:val="24"/>
          <w:szCs w:val="24"/>
        </w:rPr>
        <w:t xml:space="preserve"> maar heeft ook te maken met de samenstelling van de huishoudens. Het aantal eenpersoonshuishoudens steeg en het aantal huishoudens met meerdere personen nam als percentage van het totale aantal huishoudens af. Deze trend kunnen we echter ook in Duitsland opmerken.</w:t>
      </w: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74788D" w:rsidRDefault="0074788D" w:rsidP="002E4516">
      <w:pPr>
        <w:spacing w:line="360" w:lineRule="auto"/>
        <w:jc w:val="both"/>
        <w:rPr>
          <w:rFonts w:ascii="Times New Roman" w:hAnsi="Times New Roman" w:cs="Times New Roman"/>
          <w:sz w:val="24"/>
          <w:szCs w:val="24"/>
        </w:rPr>
      </w:pPr>
    </w:p>
    <w:p w:rsidR="00007E6E" w:rsidRPr="001146AE" w:rsidRDefault="00007E6E" w:rsidP="002E4516">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Figuur 4: bevolkingsgroei (% groei)</w:t>
      </w:r>
      <w:r w:rsidR="00A22914">
        <w:rPr>
          <w:rFonts w:ascii="Times New Roman" w:hAnsi="Times New Roman" w:cs="Times New Roman"/>
          <w:b/>
          <w:sz w:val="24"/>
          <w:szCs w:val="24"/>
          <w:u w:val="single"/>
        </w:rPr>
        <w:t xml:space="preserve"> </w:t>
      </w:r>
    </w:p>
    <w:p w:rsidR="00A22914" w:rsidRPr="001146AE" w:rsidRDefault="00007E6E" w:rsidP="00A22914">
      <w:pPr>
        <w:keepNext/>
        <w:spacing w:line="360" w:lineRule="auto"/>
        <w:jc w:val="both"/>
        <w:rPr>
          <w:rFonts w:ascii="Times New Roman" w:hAnsi="Times New Roman" w:cs="Times New Roman"/>
          <w:sz w:val="16"/>
          <w:szCs w:val="16"/>
        </w:rPr>
      </w:pPr>
      <w:r w:rsidRPr="00007E6E">
        <w:rPr>
          <w:rFonts w:ascii="Times New Roman" w:hAnsi="Times New Roman" w:cs="Times New Roman"/>
          <w:noProof/>
          <w:sz w:val="24"/>
          <w:szCs w:val="24"/>
        </w:rPr>
        <w:drawing>
          <wp:inline distT="0" distB="0" distL="0" distR="0">
            <wp:extent cx="5343525" cy="2771775"/>
            <wp:effectExtent l="0" t="0" r="0" b="0"/>
            <wp:docPr id="8"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22914" w:rsidRPr="001146AE">
        <w:rPr>
          <w:rFonts w:ascii="Times New Roman" w:hAnsi="Times New Roman" w:cs="Times New Roman"/>
          <w:sz w:val="16"/>
          <w:szCs w:val="16"/>
        </w:rPr>
        <w:t xml:space="preserve"> </w:t>
      </w:r>
    </w:p>
    <w:p w:rsidR="00007E6E" w:rsidRPr="001146AE" w:rsidRDefault="00A22914" w:rsidP="00A22914">
      <w:pPr>
        <w:keepNext/>
        <w:spacing w:line="360" w:lineRule="auto"/>
        <w:jc w:val="both"/>
        <w:rPr>
          <w:sz w:val="18"/>
          <w:szCs w:val="18"/>
        </w:rPr>
      </w:pPr>
      <w:r w:rsidRPr="001146AE">
        <w:rPr>
          <w:rFonts w:ascii="Times New Roman" w:hAnsi="Times New Roman" w:cs="Times New Roman"/>
          <w:sz w:val="18"/>
          <w:szCs w:val="18"/>
        </w:rPr>
        <w:t xml:space="preserve">Bron: Worldbank </w:t>
      </w:r>
    </w:p>
    <w:p w:rsidR="00F9448A" w:rsidRPr="00F14325" w:rsidRDefault="00F9448A" w:rsidP="007A3721">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Zowel het toenemende aantal huishoudens en het toenemende besteedbaar inkomen hebben voor een stijging v</w:t>
      </w:r>
      <w:r w:rsidR="007A3721">
        <w:rPr>
          <w:rFonts w:ascii="Times New Roman" w:hAnsi="Times New Roman" w:cs="Times New Roman"/>
          <w:sz w:val="24"/>
          <w:szCs w:val="24"/>
        </w:rPr>
        <w:t>an de vraag naar huizen gezorgd. E</w:t>
      </w:r>
      <w:r w:rsidRPr="00F14325">
        <w:rPr>
          <w:rFonts w:ascii="Times New Roman" w:hAnsi="Times New Roman" w:cs="Times New Roman"/>
          <w:sz w:val="24"/>
          <w:szCs w:val="24"/>
        </w:rPr>
        <w:t>chter</w:t>
      </w:r>
      <w:r w:rsidR="007A3721">
        <w:rPr>
          <w:rFonts w:ascii="Times New Roman" w:hAnsi="Times New Roman" w:cs="Times New Roman"/>
          <w:sz w:val="24"/>
          <w:szCs w:val="24"/>
        </w:rPr>
        <w:t>,</w:t>
      </w:r>
      <w:r w:rsidRPr="00F14325">
        <w:rPr>
          <w:rFonts w:ascii="Times New Roman" w:hAnsi="Times New Roman" w:cs="Times New Roman"/>
          <w:sz w:val="24"/>
          <w:szCs w:val="24"/>
        </w:rPr>
        <w:t xml:space="preserve"> in de meeste Europese landen, waaronder Nede</w:t>
      </w:r>
      <w:r w:rsidR="004D6BE5">
        <w:rPr>
          <w:rFonts w:ascii="Times New Roman" w:hAnsi="Times New Roman" w:cs="Times New Roman"/>
          <w:sz w:val="24"/>
          <w:szCs w:val="24"/>
        </w:rPr>
        <w:t xml:space="preserve">rland, stegen de huizenprijzen </w:t>
      </w:r>
      <w:r w:rsidR="007A3721">
        <w:rPr>
          <w:rFonts w:ascii="Times New Roman" w:hAnsi="Times New Roman" w:cs="Times New Roman"/>
          <w:sz w:val="24"/>
          <w:szCs w:val="24"/>
        </w:rPr>
        <w:t xml:space="preserve">sneller dan deze </w:t>
      </w:r>
      <w:r w:rsidRPr="00F14325">
        <w:rPr>
          <w:rFonts w:ascii="Times New Roman" w:hAnsi="Times New Roman" w:cs="Times New Roman"/>
          <w:sz w:val="24"/>
          <w:szCs w:val="24"/>
        </w:rPr>
        <w:t>variabelen. Een mogelijke verklaring voor deze stijging zijn de dalende rentestanden als gevolg van het convergerende monetaire beleid en de daarmee gepaard gaande monetaire verruiming van de Europese Centrale Bank. Deze monetaire verruiming leidt tot een daling van rentestanden die voor een toenemende liquiditeit en een toenemende vraag naar huizen zorgt</w:t>
      </w:r>
      <w:r w:rsidR="00B96F0C">
        <w:rPr>
          <w:rFonts w:ascii="Times New Roman" w:hAnsi="Times New Roman" w:cs="Times New Roman"/>
          <w:sz w:val="24"/>
          <w:szCs w:val="24"/>
        </w:rPr>
        <w:t xml:space="preserve"> (IMF, 2012).</w:t>
      </w:r>
      <w:r w:rsidR="004D6BE5">
        <w:rPr>
          <w:rFonts w:ascii="Times New Roman" w:hAnsi="Times New Roman" w:cs="Times New Roman"/>
          <w:sz w:val="24"/>
          <w:szCs w:val="24"/>
        </w:rPr>
        <w:t xml:space="preserve"> </w:t>
      </w:r>
    </w:p>
    <w:p w:rsidR="007A3721" w:rsidRDefault="007A3721" w:rsidP="00680BAD">
      <w:pPr>
        <w:pStyle w:val="Kop2"/>
      </w:pPr>
    </w:p>
    <w:p w:rsidR="00F9448A" w:rsidRPr="00F14325" w:rsidRDefault="002E10E2" w:rsidP="00680BAD">
      <w:pPr>
        <w:pStyle w:val="Kop2"/>
      </w:pPr>
      <w:bookmarkStart w:id="11" w:name="_Toc365277088"/>
      <w:r>
        <w:t>2.6</w:t>
      </w:r>
      <w:r w:rsidR="001C1C85" w:rsidRPr="00F14325">
        <w:t xml:space="preserve"> A</w:t>
      </w:r>
      <w:r w:rsidR="00F9448A" w:rsidRPr="00F14325">
        <w:t>anbodzijde</w:t>
      </w:r>
      <w:r w:rsidR="00725E69" w:rsidRPr="00F14325">
        <w:t xml:space="preserve"> </w:t>
      </w:r>
      <w:r w:rsidR="008F3EF3">
        <w:t>huizenmarkt</w:t>
      </w:r>
      <w:bookmarkEnd w:id="11"/>
    </w:p>
    <w:p w:rsidR="00F5652F" w:rsidRDefault="00F9448A" w:rsidP="00763F7D">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De woningvoorraad in Nederland steeg in vergelijking met de totale Duitse woningvoorraad beduidend minder hard. Tussen 1995 en 2011 lag de groei van de woningvoorraad in Nederland op gemiddeld 0.9%</w:t>
      </w:r>
      <w:r w:rsidR="00B96F0C">
        <w:rPr>
          <w:rFonts w:ascii="Times New Roman" w:hAnsi="Times New Roman" w:cs="Times New Roman"/>
          <w:sz w:val="24"/>
          <w:szCs w:val="24"/>
        </w:rPr>
        <w:t xml:space="preserve"> (CBS, 201</w:t>
      </w:r>
      <w:r w:rsidR="004D6BE5">
        <w:rPr>
          <w:rFonts w:ascii="Times New Roman" w:hAnsi="Times New Roman" w:cs="Times New Roman"/>
          <w:sz w:val="24"/>
          <w:szCs w:val="24"/>
        </w:rPr>
        <w:t>1</w:t>
      </w:r>
      <w:r w:rsidR="00B96F0C">
        <w:rPr>
          <w:rFonts w:ascii="Times New Roman" w:hAnsi="Times New Roman" w:cs="Times New Roman"/>
          <w:sz w:val="24"/>
          <w:szCs w:val="24"/>
        </w:rPr>
        <w:t>)</w:t>
      </w:r>
      <w:r w:rsidR="002F140A">
        <w:rPr>
          <w:rFonts w:ascii="Times New Roman" w:hAnsi="Times New Roman" w:cs="Times New Roman"/>
          <w:sz w:val="24"/>
          <w:szCs w:val="24"/>
        </w:rPr>
        <w:t>.</w:t>
      </w:r>
      <w:r w:rsidRPr="00F14325">
        <w:rPr>
          <w:rFonts w:ascii="Times New Roman" w:hAnsi="Times New Roman" w:cs="Times New Roman"/>
          <w:sz w:val="24"/>
          <w:szCs w:val="24"/>
        </w:rPr>
        <w:t xml:space="preserve"> In Duitsland daarentegen constateren we een groei van 3,9% vanaf 1995 tot 2011. De nieuwbouw van woningen nam echter af</w:t>
      </w:r>
      <w:r w:rsidR="004D6BE5">
        <w:rPr>
          <w:rFonts w:ascii="Times New Roman" w:hAnsi="Times New Roman" w:cs="Times New Roman"/>
          <w:sz w:val="24"/>
          <w:szCs w:val="24"/>
        </w:rPr>
        <w:t>:</w:t>
      </w:r>
      <w:r w:rsidRPr="00F14325">
        <w:rPr>
          <w:rFonts w:ascii="Times New Roman" w:hAnsi="Times New Roman" w:cs="Times New Roman"/>
          <w:sz w:val="24"/>
          <w:szCs w:val="24"/>
        </w:rPr>
        <w:t xml:space="preserve"> van 500.00</w:t>
      </w:r>
      <w:r w:rsidR="00937C8B">
        <w:rPr>
          <w:rFonts w:ascii="Times New Roman" w:hAnsi="Times New Roman" w:cs="Times New Roman"/>
          <w:sz w:val="24"/>
          <w:szCs w:val="24"/>
        </w:rPr>
        <w:t>0</w:t>
      </w:r>
      <w:r w:rsidRPr="00F14325">
        <w:rPr>
          <w:rFonts w:ascii="Times New Roman" w:hAnsi="Times New Roman" w:cs="Times New Roman"/>
          <w:sz w:val="24"/>
          <w:szCs w:val="24"/>
        </w:rPr>
        <w:t xml:space="preserve"> nieuwe woningen in 1995 tot 135.000 in 2010.</w:t>
      </w:r>
      <w:r w:rsidR="002F140A">
        <w:rPr>
          <w:rFonts w:ascii="Times New Roman" w:hAnsi="Times New Roman" w:cs="Times New Roman"/>
          <w:sz w:val="24"/>
          <w:szCs w:val="24"/>
        </w:rPr>
        <w:t xml:space="preserve"> </w:t>
      </w:r>
      <w:r w:rsidRPr="00F14325">
        <w:rPr>
          <w:rFonts w:ascii="Times New Roman" w:hAnsi="Times New Roman" w:cs="Times New Roman"/>
          <w:sz w:val="24"/>
          <w:szCs w:val="24"/>
        </w:rPr>
        <w:t>Dit heeft te maken met een overreactie van Duitse beleidsmakers op de eenwording van Oost- en West-Duitsland</w:t>
      </w:r>
      <w:r w:rsidR="00FB1AB7">
        <w:rPr>
          <w:rStyle w:val="Voetnootmarkering"/>
          <w:rFonts w:ascii="Times New Roman" w:hAnsi="Times New Roman" w:cs="Times New Roman"/>
          <w:sz w:val="24"/>
          <w:szCs w:val="24"/>
        </w:rPr>
        <w:t xml:space="preserve"> </w:t>
      </w:r>
      <w:r w:rsidR="00FB1AB7">
        <w:rPr>
          <w:rFonts w:ascii="Times New Roman" w:hAnsi="Times New Roman" w:cs="Times New Roman"/>
          <w:sz w:val="24"/>
          <w:szCs w:val="24"/>
        </w:rPr>
        <w:t>(IMF, 2008)</w:t>
      </w:r>
      <w:r w:rsidRPr="00F14325">
        <w:rPr>
          <w:rFonts w:ascii="Times New Roman" w:hAnsi="Times New Roman" w:cs="Times New Roman"/>
          <w:sz w:val="24"/>
          <w:szCs w:val="24"/>
        </w:rPr>
        <w:t>. De bouw concentreerde zich vooral in de Oost-Duitse staten waar de huizen niet voldeden aan de moderne standaarden.</w:t>
      </w:r>
      <w:r w:rsidR="00283961" w:rsidRPr="00F14325">
        <w:rPr>
          <w:rFonts w:ascii="Times New Roman" w:hAnsi="Times New Roman" w:cs="Times New Roman"/>
          <w:sz w:val="24"/>
          <w:szCs w:val="24"/>
        </w:rPr>
        <w:t xml:space="preserve"> De tweede factor die een rol speelt op de woningmarkt is de schaarste van de grond, alhoewel het daadwerkelijke effect van inperkingen op de beschikbare grond door middel van vergunningaanvragen en andere formele procedures </w:t>
      </w:r>
      <w:r w:rsidR="00283961" w:rsidRPr="00F14325">
        <w:rPr>
          <w:rFonts w:ascii="Times New Roman" w:hAnsi="Times New Roman" w:cs="Times New Roman"/>
          <w:sz w:val="24"/>
          <w:szCs w:val="24"/>
        </w:rPr>
        <w:lastRenderedPageBreak/>
        <w:t xml:space="preserve">moeilijk te kwantificeren is, </w:t>
      </w:r>
      <w:r w:rsidR="00FB1AB7">
        <w:rPr>
          <w:rFonts w:ascii="Times New Roman" w:hAnsi="Times New Roman" w:cs="Times New Roman"/>
          <w:sz w:val="24"/>
          <w:szCs w:val="24"/>
        </w:rPr>
        <w:t>vormt</w:t>
      </w:r>
      <w:r w:rsidR="00283961" w:rsidRPr="00F14325">
        <w:rPr>
          <w:rFonts w:ascii="Times New Roman" w:hAnsi="Times New Roman" w:cs="Times New Roman"/>
          <w:sz w:val="24"/>
          <w:szCs w:val="24"/>
        </w:rPr>
        <w:t xml:space="preserve"> de </w:t>
      </w:r>
      <w:r w:rsidR="00FB1AB7">
        <w:rPr>
          <w:rFonts w:ascii="Times New Roman" w:hAnsi="Times New Roman" w:cs="Times New Roman"/>
          <w:sz w:val="24"/>
          <w:szCs w:val="24"/>
        </w:rPr>
        <w:t xml:space="preserve">hoge </w:t>
      </w:r>
      <w:r w:rsidR="00283961" w:rsidRPr="00F14325">
        <w:rPr>
          <w:rFonts w:ascii="Times New Roman" w:hAnsi="Times New Roman" w:cs="Times New Roman"/>
          <w:sz w:val="24"/>
          <w:szCs w:val="24"/>
        </w:rPr>
        <w:t xml:space="preserve">woningdichtheid in Nederland </w:t>
      </w:r>
      <w:r w:rsidR="00FB1AB7">
        <w:rPr>
          <w:rFonts w:ascii="Times New Roman" w:hAnsi="Times New Roman" w:cs="Times New Roman"/>
          <w:sz w:val="24"/>
          <w:szCs w:val="24"/>
        </w:rPr>
        <w:t>een indicator om te veronderstellen dat de grond schaarser is in Nederland.</w:t>
      </w:r>
      <w:r w:rsidR="00537D31">
        <w:rPr>
          <w:rFonts w:ascii="Times New Roman" w:hAnsi="Times New Roman" w:cs="Times New Roman"/>
          <w:sz w:val="24"/>
          <w:szCs w:val="24"/>
        </w:rPr>
        <w:t xml:space="preserve"> </w:t>
      </w:r>
      <w:r w:rsidR="00763F7D">
        <w:rPr>
          <w:rFonts w:ascii="Times New Roman" w:hAnsi="Times New Roman" w:cs="Times New Roman"/>
          <w:sz w:val="24"/>
          <w:szCs w:val="24"/>
        </w:rPr>
        <w:t>De</w:t>
      </w:r>
      <w:r w:rsidR="00F5652F" w:rsidRPr="00F14325">
        <w:rPr>
          <w:rFonts w:ascii="Times New Roman" w:hAnsi="Times New Roman" w:cs="Times New Roman"/>
          <w:sz w:val="24"/>
          <w:szCs w:val="24"/>
        </w:rPr>
        <w:t xml:space="preserve"> laatste factor die meespeelt is de aanwezigheid van een goed ontwikkelde hypotheekmarkt. Hoe groter het bereik en de flexibiliteit van de aangeboden financiële </w:t>
      </w:r>
      <w:r w:rsidR="00F5652F" w:rsidRPr="00763F7D">
        <w:rPr>
          <w:rFonts w:ascii="Times New Roman" w:hAnsi="Times New Roman" w:cs="Times New Roman"/>
          <w:sz w:val="24"/>
          <w:szCs w:val="24"/>
        </w:rPr>
        <w:t>instrumenten, hoe groter de kans is dat er bij elk niveau van inkomen een bijpassend huis veroorloofd kan worden.</w:t>
      </w:r>
      <w:r w:rsidR="00193A6A">
        <w:rPr>
          <w:rFonts w:ascii="Times New Roman" w:hAnsi="Times New Roman" w:cs="Times New Roman"/>
          <w:sz w:val="24"/>
          <w:szCs w:val="24"/>
        </w:rPr>
        <w:t xml:space="preserve"> In Nederland wordt er door </w:t>
      </w:r>
      <w:r w:rsidR="00C7782D">
        <w:rPr>
          <w:rFonts w:ascii="Times New Roman" w:hAnsi="Times New Roman" w:cs="Times New Roman"/>
          <w:sz w:val="24"/>
          <w:szCs w:val="24"/>
        </w:rPr>
        <w:t>de hypotheekverstrekkers</w:t>
      </w:r>
      <w:r w:rsidR="00193A6A">
        <w:rPr>
          <w:rFonts w:ascii="Times New Roman" w:hAnsi="Times New Roman" w:cs="Times New Roman"/>
          <w:sz w:val="24"/>
          <w:szCs w:val="24"/>
        </w:rPr>
        <w:t xml:space="preserve"> een grote diversiteit</w:t>
      </w:r>
      <w:r w:rsidR="00C7782D">
        <w:rPr>
          <w:rFonts w:ascii="Times New Roman" w:hAnsi="Times New Roman" w:cs="Times New Roman"/>
          <w:sz w:val="24"/>
          <w:szCs w:val="24"/>
        </w:rPr>
        <w:t xml:space="preserve"> aan hypotheken aangeboden</w:t>
      </w:r>
      <w:r w:rsidR="002F140A">
        <w:rPr>
          <w:rFonts w:ascii="Times New Roman" w:hAnsi="Times New Roman" w:cs="Times New Roman"/>
          <w:sz w:val="24"/>
          <w:szCs w:val="24"/>
        </w:rPr>
        <w:t>,</w:t>
      </w:r>
      <w:r w:rsidR="00C7782D">
        <w:rPr>
          <w:rFonts w:ascii="Times New Roman" w:hAnsi="Times New Roman" w:cs="Times New Roman"/>
          <w:sz w:val="24"/>
          <w:szCs w:val="24"/>
        </w:rPr>
        <w:t xml:space="preserve"> zodat er voor verschillende niveaus van inkomen een passende hypotheek beschikbaar is. Personen met een laag inkomen kunnen dus zo betrekkelijk eenvoudig een hypotheek verkrijgen.  Dat is anders in Duitsland waar de diversiteit van de aangeboden</w:t>
      </w:r>
      <w:r w:rsidR="00994A94">
        <w:rPr>
          <w:rFonts w:ascii="Times New Roman" w:hAnsi="Times New Roman" w:cs="Times New Roman"/>
          <w:sz w:val="24"/>
          <w:szCs w:val="24"/>
        </w:rPr>
        <w:t xml:space="preserve"> hypotheken lager is. Vergeleken met Nederland zijn er relatief minder personen voor wie een passende hypotheek beschikbaar is. </w:t>
      </w:r>
      <w:r w:rsidR="00F5652F" w:rsidRPr="00F14325">
        <w:rPr>
          <w:rFonts w:ascii="Times New Roman" w:hAnsi="Times New Roman" w:cs="Times New Roman"/>
          <w:sz w:val="24"/>
          <w:szCs w:val="24"/>
        </w:rPr>
        <w:t xml:space="preserve">Op </w:t>
      </w:r>
      <w:r w:rsidR="00994A94">
        <w:rPr>
          <w:rFonts w:ascii="Times New Roman" w:hAnsi="Times New Roman" w:cs="Times New Roman"/>
          <w:sz w:val="24"/>
          <w:szCs w:val="24"/>
        </w:rPr>
        <w:t>een</w:t>
      </w:r>
      <w:r w:rsidR="00F5652F" w:rsidRPr="00F14325">
        <w:rPr>
          <w:rFonts w:ascii="Times New Roman" w:hAnsi="Times New Roman" w:cs="Times New Roman"/>
          <w:sz w:val="24"/>
          <w:szCs w:val="24"/>
        </w:rPr>
        <w:t xml:space="preserve"> ranglijst van de meest complete hypotheekmarkten scoort Nederland met 0.71 (van 0-1) ver boven het Duitse cijfer van 0.28</w:t>
      </w:r>
      <w:r w:rsidR="00193A6A">
        <w:rPr>
          <w:rFonts w:ascii="Times New Roman" w:hAnsi="Times New Roman" w:cs="Times New Roman"/>
          <w:sz w:val="24"/>
          <w:szCs w:val="24"/>
        </w:rPr>
        <w:t xml:space="preserve"> (zie tabel 3)</w:t>
      </w:r>
      <w:r w:rsidR="001656A4">
        <w:rPr>
          <w:rFonts w:ascii="Times New Roman" w:hAnsi="Times New Roman" w:cs="Times New Roman"/>
          <w:sz w:val="24"/>
          <w:szCs w:val="24"/>
        </w:rPr>
        <w:t>.</w:t>
      </w:r>
      <w:r w:rsidR="00980927" w:rsidRPr="00F14325">
        <w:rPr>
          <w:rFonts w:ascii="Times New Roman" w:hAnsi="Times New Roman" w:cs="Times New Roman"/>
          <w:sz w:val="24"/>
          <w:szCs w:val="24"/>
        </w:rPr>
        <w:t xml:space="preserve"> </w:t>
      </w:r>
      <w:r w:rsidR="004D6BE5">
        <w:rPr>
          <w:rFonts w:ascii="Times New Roman" w:hAnsi="Times New Roman" w:cs="Times New Roman"/>
          <w:sz w:val="24"/>
          <w:szCs w:val="24"/>
        </w:rPr>
        <w:t>Ook v</w:t>
      </w:r>
      <w:r w:rsidR="001146AE">
        <w:rPr>
          <w:rFonts w:ascii="Times New Roman" w:hAnsi="Times New Roman" w:cs="Times New Roman"/>
          <w:sz w:val="24"/>
          <w:szCs w:val="24"/>
        </w:rPr>
        <w:t xml:space="preserve">olgens het RICS (2012) </w:t>
      </w:r>
      <w:r w:rsidR="00FB1AB7">
        <w:rPr>
          <w:rFonts w:ascii="Times New Roman" w:hAnsi="Times New Roman" w:cs="Times New Roman"/>
          <w:sz w:val="24"/>
          <w:szCs w:val="24"/>
        </w:rPr>
        <w:t>is een</w:t>
      </w:r>
      <w:r w:rsidR="00980927" w:rsidRPr="00F14325">
        <w:rPr>
          <w:rFonts w:ascii="Times New Roman" w:hAnsi="Times New Roman" w:cs="Times New Roman"/>
          <w:sz w:val="24"/>
          <w:szCs w:val="24"/>
        </w:rPr>
        <w:t xml:space="preserve"> goed aansluitende markt voor de financiering van het huis is een aanbodfactor die de huizenmarkt </w:t>
      </w:r>
      <w:r w:rsidR="00763F7D">
        <w:rPr>
          <w:rFonts w:ascii="Times New Roman" w:hAnsi="Times New Roman" w:cs="Times New Roman"/>
          <w:sz w:val="24"/>
          <w:szCs w:val="24"/>
        </w:rPr>
        <w:t>kan beïnvloeden</w:t>
      </w:r>
      <w:r w:rsidR="00980927" w:rsidRPr="00F14325">
        <w:rPr>
          <w:rFonts w:ascii="Times New Roman" w:hAnsi="Times New Roman" w:cs="Times New Roman"/>
          <w:sz w:val="24"/>
          <w:szCs w:val="24"/>
        </w:rPr>
        <w:t>.</w:t>
      </w:r>
      <w:r w:rsidR="00980927" w:rsidRPr="00F14325">
        <w:rPr>
          <w:rStyle w:val="Voetnootmarkering"/>
          <w:rFonts w:ascii="Times New Roman" w:hAnsi="Times New Roman" w:cs="Times New Roman"/>
          <w:sz w:val="24"/>
          <w:szCs w:val="24"/>
        </w:rPr>
        <w:t xml:space="preserve"> </w:t>
      </w:r>
    </w:p>
    <w:p w:rsidR="00193A6A" w:rsidRPr="00193A6A" w:rsidRDefault="00193A6A" w:rsidP="002E451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Tabel 3: mate van compleetheid van de aangeboden hypotheken in Europa </w:t>
      </w:r>
    </w:p>
    <w:tbl>
      <w:tblPr>
        <w:tblStyle w:val="Tabelraster"/>
        <w:tblW w:w="0" w:type="auto"/>
        <w:jc w:val="center"/>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6"/>
        <w:gridCol w:w="1701"/>
        <w:gridCol w:w="1559"/>
        <w:gridCol w:w="851"/>
      </w:tblGrid>
      <w:tr w:rsidR="00193A6A" w:rsidTr="00193A6A">
        <w:trPr>
          <w:jc w:val="center"/>
        </w:trPr>
        <w:tc>
          <w:tcPr>
            <w:tcW w:w="1276"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Spanje </w:t>
            </w:r>
          </w:p>
        </w:tc>
        <w:tc>
          <w:tcPr>
            <w:tcW w:w="170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1559"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Oostenrijk</w:t>
            </w:r>
          </w:p>
        </w:tc>
        <w:tc>
          <w:tcPr>
            <w:tcW w:w="85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0.31</w:t>
            </w:r>
          </w:p>
        </w:tc>
      </w:tr>
      <w:tr w:rsidR="00193A6A" w:rsidTr="00193A6A">
        <w:trPr>
          <w:jc w:val="center"/>
        </w:trPr>
        <w:tc>
          <w:tcPr>
            <w:tcW w:w="1276"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Italië</w:t>
            </w:r>
          </w:p>
        </w:tc>
        <w:tc>
          <w:tcPr>
            <w:tcW w:w="170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559"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Duitsland</w:t>
            </w:r>
          </w:p>
        </w:tc>
        <w:tc>
          <w:tcPr>
            <w:tcW w:w="85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0.28</w:t>
            </w:r>
          </w:p>
        </w:tc>
      </w:tr>
      <w:tr w:rsidR="00193A6A" w:rsidTr="00193A6A">
        <w:trPr>
          <w:jc w:val="center"/>
        </w:trPr>
        <w:tc>
          <w:tcPr>
            <w:tcW w:w="1276"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Ierland</w:t>
            </w:r>
          </w:p>
        </w:tc>
        <w:tc>
          <w:tcPr>
            <w:tcW w:w="170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0.39</w:t>
            </w:r>
          </w:p>
        </w:tc>
        <w:tc>
          <w:tcPr>
            <w:tcW w:w="1559"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België</w:t>
            </w:r>
          </w:p>
        </w:tc>
        <w:tc>
          <w:tcPr>
            <w:tcW w:w="85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0.34</w:t>
            </w:r>
          </w:p>
        </w:tc>
      </w:tr>
      <w:tr w:rsidR="00193A6A" w:rsidTr="00193A6A">
        <w:trPr>
          <w:jc w:val="center"/>
        </w:trPr>
        <w:tc>
          <w:tcPr>
            <w:tcW w:w="1276"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Engeland</w:t>
            </w:r>
          </w:p>
        </w:tc>
        <w:tc>
          <w:tcPr>
            <w:tcW w:w="170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0.58</w:t>
            </w:r>
          </w:p>
        </w:tc>
        <w:tc>
          <w:tcPr>
            <w:tcW w:w="1559"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Denemarken</w:t>
            </w:r>
          </w:p>
        </w:tc>
        <w:tc>
          <w:tcPr>
            <w:tcW w:w="85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0.82</w:t>
            </w:r>
          </w:p>
        </w:tc>
      </w:tr>
      <w:tr w:rsidR="00193A6A" w:rsidTr="00193A6A">
        <w:trPr>
          <w:jc w:val="center"/>
        </w:trPr>
        <w:tc>
          <w:tcPr>
            <w:tcW w:w="1276"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Frankrijk</w:t>
            </w:r>
          </w:p>
        </w:tc>
        <w:tc>
          <w:tcPr>
            <w:tcW w:w="170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559"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Nederland</w:t>
            </w:r>
          </w:p>
        </w:tc>
        <w:tc>
          <w:tcPr>
            <w:tcW w:w="851" w:type="dxa"/>
          </w:tcPr>
          <w:p w:rsidR="00193A6A" w:rsidRDefault="00193A6A" w:rsidP="00193A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0.71</w:t>
            </w:r>
          </w:p>
        </w:tc>
      </w:tr>
    </w:tbl>
    <w:p w:rsidR="00193A6A" w:rsidRPr="00763F7D" w:rsidRDefault="00C7782D" w:rsidP="002E4516">
      <w:pPr>
        <w:spacing w:line="360" w:lineRule="auto"/>
        <w:jc w:val="both"/>
        <w:rPr>
          <w:rFonts w:ascii="Times New Roman" w:hAnsi="Times New Roman" w:cs="Times New Roman"/>
          <w:sz w:val="18"/>
          <w:szCs w:val="18"/>
        </w:rPr>
      </w:pPr>
      <w:r w:rsidRPr="00C7782D">
        <w:rPr>
          <w:rFonts w:ascii="Times New Roman" w:hAnsi="Times New Roman" w:cs="Times New Roman"/>
          <w:sz w:val="18"/>
          <w:szCs w:val="18"/>
        </w:rPr>
        <w:t>Bron: IMF, 2008</w:t>
      </w:r>
    </w:p>
    <w:p w:rsidR="002E4516" w:rsidRPr="00CB3392" w:rsidRDefault="00DA0EE6" w:rsidP="00537D31">
      <w:pPr>
        <w:spacing w:line="360" w:lineRule="auto"/>
        <w:jc w:val="both"/>
        <w:rPr>
          <w:rFonts w:ascii="Times New Roman" w:hAnsi="Times New Roman" w:cs="Times New Roman"/>
          <w:sz w:val="24"/>
          <w:szCs w:val="24"/>
        </w:rPr>
      </w:pPr>
      <w:r w:rsidRPr="00763F7D">
        <w:rPr>
          <w:rFonts w:ascii="Times New Roman" w:hAnsi="Times New Roman" w:cs="Times New Roman"/>
          <w:sz w:val="24"/>
          <w:szCs w:val="24"/>
        </w:rPr>
        <w:t>De</w:t>
      </w:r>
      <w:r w:rsidR="006F510E" w:rsidRPr="00763F7D">
        <w:rPr>
          <w:rFonts w:ascii="Times New Roman" w:hAnsi="Times New Roman" w:cs="Times New Roman"/>
          <w:sz w:val="24"/>
          <w:szCs w:val="24"/>
        </w:rPr>
        <w:t xml:space="preserve"> hiervoor beschreven</w:t>
      </w:r>
      <w:r w:rsidRPr="00763F7D">
        <w:rPr>
          <w:rFonts w:ascii="Times New Roman" w:hAnsi="Times New Roman" w:cs="Times New Roman"/>
          <w:sz w:val="24"/>
          <w:szCs w:val="24"/>
        </w:rPr>
        <w:t xml:space="preserve"> aanbod- en vraagfactoren bieden een </w:t>
      </w:r>
      <w:r w:rsidR="001A7445">
        <w:rPr>
          <w:rFonts w:ascii="Times New Roman" w:hAnsi="Times New Roman" w:cs="Times New Roman"/>
          <w:sz w:val="24"/>
          <w:szCs w:val="24"/>
        </w:rPr>
        <w:t>verklaring</w:t>
      </w:r>
      <w:r>
        <w:rPr>
          <w:rFonts w:ascii="Times New Roman" w:hAnsi="Times New Roman" w:cs="Times New Roman"/>
          <w:sz w:val="24"/>
          <w:szCs w:val="24"/>
        </w:rPr>
        <w:t xml:space="preserve"> voor de verschillende ontwikkelingen op de Nederlandse en Duitse huizenmarkten</w:t>
      </w:r>
      <w:r w:rsidR="006F510E">
        <w:rPr>
          <w:rFonts w:ascii="Times New Roman" w:hAnsi="Times New Roman" w:cs="Times New Roman"/>
          <w:sz w:val="24"/>
          <w:szCs w:val="24"/>
        </w:rPr>
        <w:t xml:space="preserve"> gedurende de periode 1995-2008</w:t>
      </w:r>
      <w:r>
        <w:rPr>
          <w:rFonts w:ascii="Times New Roman" w:hAnsi="Times New Roman" w:cs="Times New Roman"/>
          <w:sz w:val="24"/>
          <w:szCs w:val="24"/>
        </w:rPr>
        <w:t xml:space="preserve">. </w:t>
      </w:r>
      <w:r w:rsidR="00537D31">
        <w:rPr>
          <w:rFonts w:ascii="Times New Roman" w:hAnsi="Times New Roman" w:cs="Times New Roman"/>
          <w:sz w:val="24"/>
          <w:szCs w:val="24"/>
        </w:rPr>
        <w:t xml:space="preserve">Voornamelijk de </w:t>
      </w:r>
      <w:r w:rsidR="00DD66B8">
        <w:rPr>
          <w:rFonts w:ascii="Times New Roman" w:hAnsi="Times New Roman" w:cs="Times New Roman"/>
          <w:sz w:val="24"/>
          <w:szCs w:val="24"/>
        </w:rPr>
        <w:t>fundamentele factoren spe</w:t>
      </w:r>
      <w:r w:rsidR="006F510E">
        <w:rPr>
          <w:rFonts w:ascii="Times New Roman" w:hAnsi="Times New Roman" w:cs="Times New Roman"/>
          <w:sz w:val="24"/>
          <w:szCs w:val="24"/>
        </w:rPr>
        <w:t>l</w:t>
      </w:r>
      <w:r w:rsidR="00DD66B8">
        <w:rPr>
          <w:rFonts w:ascii="Times New Roman" w:hAnsi="Times New Roman" w:cs="Times New Roman"/>
          <w:sz w:val="24"/>
          <w:szCs w:val="24"/>
        </w:rPr>
        <w:t xml:space="preserve">en een rol om </w:t>
      </w:r>
      <w:r w:rsidR="00537D31">
        <w:rPr>
          <w:rFonts w:ascii="Times New Roman" w:hAnsi="Times New Roman" w:cs="Times New Roman"/>
          <w:sz w:val="24"/>
          <w:szCs w:val="24"/>
        </w:rPr>
        <w:t>de sterk stijg</w:t>
      </w:r>
      <w:r w:rsidR="00DD66B8">
        <w:rPr>
          <w:rFonts w:ascii="Times New Roman" w:hAnsi="Times New Roman" w:cs="Times New Roman"/>
          <w:sz w:val="24"/>
          <w:szCs w:val="24"/>
        </w:rPr>
        <w:t>ende huizenprijzen</w:t>
      </w:r>
      <w:r w:rsidR="006F510E">
        <w:rPr>
          <w:rFonts w:ascii="Times New Roman" w:hAnsi="Times New Roman" w:cs="Times New Roman"/>
          <w:sz w:val="24"/>
          <w:szCs w:val="24"/>
        </w:rPr>
        <w:t xml:space="preserve"> gedurende die periode</w:t>
      </w:r>
      <w:r w:rsidR="00DD66B8">
        <w:rPr>
          <w:rFonts w:ascii="Times New Roman" w:hAnsi="Times New Roman" w:cs="Times New Roman"/>
          <w:sz w:val="24"/>
          <w:szCs w:val="24"/>
        </w:rPr>
        <w:t xml:space="preserve"> in Nederland te verklaren. </w:t>
      </w:r>
      <w:r w:rsidR="00C423D0">
        <w:rPr>
          <w:rFonts w:ascii="Times New Roman" w:hAnsi="Times New Roman" w:cs="Times New Roman"/>
          <w:sz w:val="24"/>
          <w:szCs w:val="24"/>
        </w:rPr>
        <w:t>D</w:t>
      </w:r>
      <w:r w:rsidR="00DD66B8">
        <w:rPr>
          <w:rFonts w:ascii="Times New Roman" w:hAnsi="Times New Roman" w:cs="Times New Roman"/>
          <w:sz w:val="24"/>
          <w:szCs w:val="24"/>
        </w:rPr>
        <w:t xml:space="preserve">e hypotheekrenteaftrek </w:t>
      </w:r>
      <w:r w:rsidR="00C423D0">
        <w:rPr>
          <w:rFonts w:ascii="Times New Roman" w:hAnsi="Times New Roman" w:cs="Times New Roman"/>
          <w:sz w:val="24"/>
          <w:szCs w:val="24"/>
        </w:rPr>
        <w:t xml:space="preserve">lijkt geen sterk positief effect te hebben </w:t>
      </w:r>
      <w:r w:rsidR="00DD66B8">
        <w:rPr>
          <w:rFonts w:ascii="Times New Roman" w:hAnsi="Times New Roman" w:cs="Times New Roman"/>
          <w:sz w:val="24"/>
          <w:szCs w:val="24"/>
        </w:rPr>
        <w:t xml:space="preserve">op de huizenprijzen. Voor wat betreft de </w:t>
      </w:r>
      <w:r w:rsidR="00C423D0">
        <w:rPr>
          <w:rFonts w:ascii="Times New Roman" w:hAnsi="Times New Roman" w:cs="Times New Roman"/>
          <w:sz w:val="24"/>
          <w:szCs w:val="24"/>
        </w:rPr>
        <w:t>hoge gemiddelde langlopende leningen van de Nederlandse huishoudens</w:t>
      </w:r>
      <w:r w:rsidR="00763F7D">
        <w:rPr>
          <w:rFonts w:ascii="Times New Roman" w:hAnsi="Times New Roman" w:cs="Times New Roman"/>
          <w:sz w:val="24"/>
          <w:szCs w:val="24"/>
        </w:rPr>
        <w:t>,</w:t>
      </w:r>
      <w:r w:rsidR="00C423D0">
        <w:rPr>
          <w:rFonts w:ascii="Times New Roman" w:hAnsi="Times New Roman" w:cs="Times New Roman"/>
          <w:sz w:val="24"/>
          <w:szCs w:val="24"/>
        </w:rPr>
        <w:t xml:space="preserve"> </w:t>
      </w:r>
      <w:r w:rsidR="00DD66B8">
        <w:rPr>
          <w:rFonts w:ascii="Times New Roman" w:hAnsi="Times New Roman" w:cs="Times New Roman"/>
          <w:sz w:val="24"/>
          <w:szCs w:val="24"/>
        </w:rPr>
        <w:t xml:space="preserve">bieden de </w:t>
      </w:r>
      <w:r w:rsidR="00537D31">
        <w:rPr>
          <w:rFonts w:ascii="Times New Roman" w:hAnsi="Times New Roman" w:cs="Times New Roman"/>
          <w:sz w:val="24"/>
          <w:szCs w:val="24"/>
        </w:rPr>
        <w:t>stijgende huizenprijzen maar ten dele een verklaring</w:t>
      </w:r>
      <w:r w:rsidR="00C423D0">
        <w:rPr>
          <w:rFonts w:ascii="Times New Roman" w:hAnsi="Times New Roman" w:cs="Times New Roman"/>
          <w:sz w:val="24"/>
          <w:szCs w:val="24"/>
        </w:rPr>
        <w:t>. Vooral de stimulering van het eigen woningbezit door middel van de hypotheekrenteaftrek blijkt van doorslaggevend belang om de hoge hypotheekschuld in Nederland te verklaren.</w:t>
      </w:r>
    </w:p>
    <w:p w:rsidR="0074788D" w:rsidRDefault="0074788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523DF" w:rsidRPr="0074788D" w:rsidRDefault="00AA0F10" w:rsidP="0074788D">
      <w:pPr>
        <w:pStyle w:val="Kop1"/>
        <w:rPr>
          <w:rFonts w:ascii="Times New Roman" w:hAnsi="Times New Roman" w:cs="Times New Roman"/>
          <w:sz w:val="24"/>
          <w:szCs w:val="24"/>
          <w:u w:val="single"/>
        </w:rPr>
      </w:pPr>
      <w:bookmarkStart w:id="12" w:name="_Toc365277089"/>
      <w:r>
        <w:lastRenderedPageBreak/>
        <w:t xml:space="preserve">3. De </w:t>
      </w:r>
      <w:r w:rsidR="008F3EF3">
        <w:t>woningmarkt</w:t>
      </w:r>
      <w:r>
        <w:t xml:space="preserve"> en </w:t>
      </w:r>
      <w:r w:rsidR="004523DF" w:rsidRPr="00F14325">
        <w:t>economische prestaties</w:t>
      </w:r>
      <w:bookmarkEnd w:id="12"/>
    </w:p>
    <w:p w:rsidR="00331319" w:rsidRPr="00331319" w:rsidRDefault="00331319" w:rsidP="00331319"/>
    <w:p w:rsidR="00331319" w:rsidRDefault="00331319" w:rsidP="00331319">
      <w:pPr>
        <w:pStyle w:val="Kop2"/>
      </w:pPr>
      <w:bookmarkStart w:id="13" w:name="_Toc365277090"/>
      <w:r>
        <w:t>3.1 Inleiding</w:t>
      </w:r>
      <w:bookmarkEnd w:id="13"/>
    </w:p>
    <w:p w:rsidR="00B8486C" w:rsidRPr="00F14325" w:rsidRDefault="002950A3"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De eigen woning is in veel Nederlandse</w:t>
      </w:r>
      <w:r w:rsidR="008563A7" w:rsidRPr="00F14325">
        <w:rPr>
          <w:rFonts w:ascii="Times New Roman" w:hAnsi="Times New Roman" w:cs="Times New Roman"/>
          <w:sz w:val="24"/>
          <w:szCs w:val="24"/>
        </w:rPr>
        <w:t xml:space="preserve"> en Duitse huishoudens</w:t>
      </w:r>
      <w:r w:rsidR="004573CA">
        <w:rPr>
          <w:rFonts w:ascii="Times New Roman" w:hAnsi="Times New Roman" w:cs="Times New Roman"/>
          <w:sz w:val="24"/>
          <w:szCs w:val="24"/>
        </w:rPr>
        <w:t xml:space="preserve"> veruit het grootste bezit. E</w:t>
      </w:r>
      <w:r w:rsidRPr="00F14325">
        <w:rPr>
          <w:rFonts w:ascii="Times New Roman" w:hAnsi="Times New Roman" w:cs="Times New Roman"/>
          <w:sz w:val="24"/>
          <w:szCs w:val="24"/>
        </w:rPr>
        <w:t xml:space="preserve">en verandering in de </w:t>
      </w:r>
      <w:r w:rsidR="008563A7" w:rsidRPr="00F14325">
        <w:rPr>
          <w:rFonts w:ascii="Times New Roman" w:hAnsi="Times New Roman" w:cs="Times New Roman"/>
          <w:sz w:val="24"/>
          <w:szCs w:val="24"/>
        </w:rPr>
        <w:t>waarde van dit bezit of een verandering van de kosten van de financiering hiervan he</w:t>
      </w:r>
      <w:r w:rsidR="000C1847" w:rsidRPr="00F14325">
        <w:rPr>
          <w:rFonts w:ascii="Times New Roman" w:hAnsi="Times New Roman" w:cs="Times New Roman"/>
          <w:sz w:val="24"/>
          <w:szCs w:val="24"/>
        </w:rPr>
        <w:t>eft</w:t>
      </w:r>
      <w:r w:rsidR="008563A7" w:rsidRPr="00F14325">
        <w:rPr>
          <w:rFonts w:ascii="Times New Roman" w:hAnsi="Times New Roman" w:cs="Times New Roman"/>
          <w:sz w:val="24"/>
          <w:szCs w:val="24"/>
        </w:rPr>
        <w:t xml:space="preserve"> gevolgen voor de economische prestaties.</w:t>
      </w:r>
      <w:r w:rsidR="00A82EEF" w:rsidRPr="00F14325">
        <w:rPr>
          <w:rFonts w:ascii="Times New Roman" w:hAnsi="Times New Roman" w:cs="Times New Roman"/>
          <w:sz w:val="24"/>
          <w:szCs w:val="24"/>
        </w:rPr>
        <w:t xml:space="preserve"> Dit </w:t>
      </w:r>
      <w:r w:rsidR="001E4F38" w:rsidRPr="00F14325">
        <w:rPr>
          <w:rFonts w:ascii="Times New Roman" w:hAnsi="Times New Roman" w:cs="Times New Roman"/>
          <w:sz w:val="24"/>
          <w:szCs w:val="24"/>
        </w:rPr>
        <w:t>hoofdstuk geeft een beschrijving op welke manier veranderingen in de verschillende facetten van de woningmarkt van invloed zijn op de economische prestaties.</w:t>
      </w:r>
      <w:r w:rsidR="00EB68EC" w:rsidRPr="00F14325">
        <w:rPr>
          <w:rFonts w:ascii="Times New Roman" w:hAnsi="Times New Roman" w:cs="Times New Roman"/>
          <w:sz w:val="24"/>
          <w:szCs w:val="24"/>
        </w:rPr>
        <w:t xml:space="preserve"> Dat zijn achtereenvolgens</w:t>
      </w:r>
      <w:r w:rsidR="006D7472" w:rsidRPr="00F14325">
        <w:rPr>
          <w:rFonts w:ascii="Times New Roman" w:hAnsi="Times New Roman" w:cs="Times New Roman"/>
          <w:sz w:val="24"/>
          <w:szCs w:val="24"/>
        </w:rPr>
        <w:t>:</w:t>
      </w:r>
      <w:r w:rsidR="00EB68EC" w:rsidRPr="00F14325">
        <w:rPr>
          <w:rFonts w:ascii="Times New Roman" w:hAnsi="Times New Roman" w:cs="Times New Roman"/>
          <w:sz w:val="24"/>
          <w:szCs w:val="24"/>
        </w:rPr>
        <w:t xml:space="preserve"> de kosten voor het f</w:t>
      </w:r>
      <w:r w:rsidR="004573CA">
        <w:rPr>
          <w:rFonts w:ascii="Times New Roman" w:hAnsi="Times New Roman" w:cs="Times New Roman"/>
          <w:sz w:val="24"/>
          <w:szCs w:val="24"/>
        </w:rPr>
        <w:t>inancieren met vreemd vermogen (</w:t>
      </w:r>
      <w:r w:rsidR="00EB68EC" w:rsidRPr="00F14325">
        <w:rPr>
          <w:rFonts w:ascii="Times New Roman" w:hAnsi="Times New Roman" w:cs="Times New Roman"/>
          <w:sz w:val="24"/>
          <w:szCs w:val="24"/>
        </w:rPr>
        <w:t xml:space="preserve">in dit </w:t>
      </w:r>
      <w:r w:rsidR="001E4F38" w:rsidRPr="00F14325">
        <w:rPr>
          <w:rFonts w:ascii="Times New Roman" w:hAnsi="Times New Roman" w:cs="Times New Roman"/>
          <w:sz w:val="24"/>
          <w:szCs w:val="24"/>
        </w:rPr>
        <w:t>geval is d</w:t>
      </w:r>
      <w:r w:rsidR="004573CA">
        <w:rPr>
          <w:rFonts w:ascii="Times New Roman" w:hAnsi="Times New Roman" w:cs="Times New Roman"/>
          <w:sz w:val="24"/>
          <w:szCs w:val="24"/>
        </w:rPr>
        <w:t>at de hypotheekrente),</w:t>
      </w:r>
      <w:r w:rsidR="001E4F38" w:rsidRPr="00F14325">
        <w:rPr>
          <w:rFonts w:ascii="Times New Roman" w:hAnsi="Times New Roman" w:cs="Times New Roman"/>
          <w:sz w:val="24"/>
          <w:szCs w:val="24"/>
        </w:rPr>
        <w:t xml:space="preserve"> </w:t>
      </w:r>
      <w:r w:rsidR="00EB68EC" w:rsidRPr="00F14325">
        <w:rPr>
          <w:rFonts w:ascii="Times New Roman" w:hAnsi="Times New Roman" w:cs="Times New Roman"/>
          <w:sz w:val="24"/>
          <w:szCs w:val="24"/>
        </w:rPr>
        <w:t>de invloed van de</w:t>
      </w:r>
      <w:r w:rsidR="001E4F38" w:rsidRPr="00F14325">
        <w:rPr>
          <w:rFonts w:ascii="Times New Roman" w:hAnsi="Times New Roman" w:cs="Times New Roman"/>
          <w:sz w:val="24"/>
          <w:szCs w:val="24"/>
        </w:rPr>
        <w:t xml:space="preserve"> huizenprijzen op de consumptie en de overige effecten waaronder: de flexibiliteit op de arbeidsmarkt, de misallocatie van kapitaal en het systeemrisico door de eenzijdige balanssamenstelling van Nederlandse banken.</w:t>
      </w:r>
      <w:r w:rsidR="00B8486C" w:rsidRPr="00F14325">
        <w:rPr>
          <w:rFonts w:ascii="Times New Roman" w:hAnsi="Times New Roman" w:cs="Times New Roman"/>
          <w:sz w:val="24"/>
          <w:szCs w:val="24"/>
        </w:rPr>
        <w:t xml:space="preserve"> </w:t>
      </w:r>
    </w:p>
    <w:p w:rsidR="00AA0F10" w:rsidRDefault="00AA0F10" w:rsidP="002E4516">
      <w:pPr>
        <w:spacing w:line="360" w:lineRule="auto"/>
        <w:jc w:val="both"/>
        <w:rPr>
          <w:rFonts w:ascii="Times New Roman" w:hAnsi="Times New Roman" w:cs="Times New Roman"/>
          <w:b/>
          <w:sz w:val="24"/>
          <w:szCs w:val="24"/>
          <w:u w:val="single"/>
        </w:rPr>
      </w:pPr>
    </w:p>
    <w:p w:rsidR="006D7472" w:rsidRPr="00F14325" w:rsidRDefault="00331319" w:rsidP="00680BAD">
      <w:pPr>
        <w:pStyle w:val="Kop2"/>
      </w:pPr>
      <w:bookmarkStart w:id="14" w:name="_Toc365277091"/>
      <w:r>
        <w:t xml:space="preserve">3.2 </w:t>
      </w:r>
      <w:r w:rsidR="006D7472" w:rsidRPr="00F14325">
        <w:t>De hypotheekrente</w:t>
      </w:r>
      <w:bookmarkEnd w:id="14"/>
    </w:p>
    <w:p w:rsidR="000C1200" w:rsidRDefault="006D7472"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In de nasleep van de financiële crisis in 2008 daalden de hypotheekrentes in alle Europese landen. In Nederland is de daling echter niet zo sterk als in Duitsland.</w:t>
      </w:r>
      <w:r w:rsidR="00662CC8" w:rsidRPr="00F14325">
        <w:rPr>
          <w:rFonts w:ascii="Times New Roman" w:hAnsi="Times New Roman" w:cs="Times New Roman"/>
          <w:sz w:val="24"/>
          <w:szCs w:val="24"/>
        </w:rPr>
        <w:t xml:space="preserve"> Volgens de ECB ligt de hypotheekrente ongeveer 1% boven de hypotheekr</w:t>
      </w:r>
      <w:r w:rsidR="007C1506" w:rsidRPr="00F14325">
        <w:rPr>
          <w:rFonts w:ascii="Times New Roman" w:hAnsi="Times New Roman" w:cs="Times New Roman"/>
          <w:sz w:val="24"/>
          <w:szCs w:val="24"/>
        </w:rPr>
        <w:t>entes in de andere E</w:t>
      </w:r>
      <w:r w:rsidR="00662CC8" w:rsidRPr="00F14325">
        <w:rPr>
          <w:rFonts w:ascii="Times New Roman" w:hAnsi="Times New Roman" w:cs="Times New Roman"/>
          <w:sz w:val="24"/>
          <w:szCs w:val="24"/>
        </w:rPr>
        <w:t>uropese landen.</w:t>
      </w:r>
      <w:r w:rsidR="00564AC3" w:rsidRPr="00F14325">
        <w:rPr>
          <w:rFonts w:ascii="Times New Roman" w:hAnsi="Times New Roman" w:cs="Times New Roman"/>
          <w:sz w:val="24"/>
          <w:szCs w:val="24"/>
        </w:rPr>
        <w:t xml:space="preserve"> </w:t>
      </w:r>
      <w:r w:rsidR="004E549D">
        <w:rPr>
          <w:rFonts w:ascii="Times New Roman" w:hAnsi="Times New Roman" w:cs="Times New Roman"/>
          <w:sz w:val="24"/>
          <w:szCs w:val="24"/>
        </w:rPr>
        <w:t>(zie figuur 6)</w:t>
      </w:r>
    </w:p>
    <w:p w:rsidR="00CE13B5" w:rsidRPr="00552058" w:rsidRDefault="00CE13B5" w:rsidP="002E4516">
      <w:pPr>
        <w:spacing w:line="360" w:lineRule="auto"/>
        <w:jc w:val="both"/>
        <w:rPr>
          <w:rFonts w:ascii="Times New Roman" w:hAnsi="Times New Roman" w:cs="Times New Roman"/>
          <w:b/>
          <w:sz w:val="24"/>
          <w:szCs w:val="24"/>
          <w:u w:val="single"/>
        </w:rPr>
      </w:pPr>
      <w:r w:rsidRPr="00552058">
        <w:rPr>
          <w:rFonts w:ascii="Times New Roman" w:hAnsi="Times New Roman" w:cs="Times New Roman"/>
          <w:b/>
          <w:sz w:val="24"/>
          <w:szCs w:val="24"/>
          <w:u w:val="single"/>
        </w:rPr>
        <w:t>Figu</w:t>
      </w:r>
      <w:r w:rsidR="00552058" w:rsidRPr="00552058">
        <w:rPr>
          <w:rFonts w:ascii="Times New Roman" w:hAnsi="Times New Roman" w:cs="Times New Roman"/>
          <w:b/>
          <w:sz w:val="24"/>
          <w:szCs w:val="24"/>
          <w:u w:val="single"/>
        </w:rPr>
        <w:t>ur 5: gemiddelde hypotheekrente (%)</w:t>
      </w:r>
    </w:p>
    <w:p w:rsidR="00CE13B5" w:rsidRPr="00F14325" w:rsidRDefault="00CE13B5" w:rsidP="002E4516">
      <w:pPr>
        <w:spacing w:line="360" w:lineRule="auto"/>
        <w:jc w:val="both"/>
        <w:rPr>
          <w:rFonts w:ascii="Times New Roman" w:hAnsi="Times New Roman" w:cs="Times New Roman"/>
          <w:sz w:val="24"/>
          <w:szCs w:val="24"/>
        </w:rPr>
      </w:pPr>
      <w:r w:rsidRPr="00CE13B5">
        <w:rPr>
          <w:rFonts w:ascii="Times New Roman" w:hAnsi="Times New Roman" w:cs="Times New Roman"/>
          <w:noProof/>
          <w:sz w:val="24"/>
          <w:szCs w:val="24"/>
        </w:rPr>
        <w:drawing>
          <wp:inline distT="0" distB="0" distL="0" distR="0">
            <wp:extent cx="5605153" cy="2624446"/>
            <wp:effectExtent l="0" t="0" r="0" b="0"/>
            <wp:docPr id="11"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200" w:rsidRPr="00552058" w:rsidRDefault="00552058" w:rsidP="002E4516">
      <w:pPr>
        <w:spacing w:line="360" w:lineRule="auto"/>
        <w:jc w:val="both"/>
        <w:rPr>
          <w:rFonts w:ascii="Times New Roman" w:hAnsi="Times New Roman" w:cs="Times New Roman"/>
          <w:sz w:val="18"/>
          <w:szCs w:val="18"/>
        </w:rPr>
      </w:pPr>
      <w:r w:rsidRPr="00552058">
        <w:rPr>
          <w:rFonts w:ascii="Times New Roman" w:hAnsi="Times New Roman" w:cs="Times New Roman"/>
          <w:sz w:val="18"/>
          <w:szCs w:val="18"/>
        </w:rPr>
        <w:t>Bron: ECB</w:t>
      </w:r>
    </w:p>
    <w:p w:rsidR="004E549D" w:rsidRPr="00F14325" w:rsidRDefault="00662CC8"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lastRenderedPageBreak/>
        <w:t>De</w:t>
      </w:r>
      <w:r w:rsidR="000C1200" w:rsidRPr="00F14325">
        <w:rPr>
          <w:rFonts w:ascii="Times New Roman" w:hAnsi="Times New Roman" w:cs="Times New Roman"/>
          <w:sz w:val="24"/>
          <w:szCs w:val="24"/>
        </w:rPr>
        <w:t>ze</w:t>
      </w:r>
      <w:r w:rsidRPr="00F14325">
        <w:rPr>
          <w:rFonts w:ascii="Times New Roman" w:hAnsi="Times New Roman" w:cs="Times New Roman"/>
          <w:sz w:val="24"/>
          <w:szCs w:val="24"/>
        </w:rPr>
        <w:t xml:space="preserve"> hoge</w:t>
      </w:r>
      <w:r w:rsidR="000C1200" w:rsidRPr="00F14325">
        <w:rPr>
          <w:rFonts w:ascii="Times New Roman" w:hAnsi="Times New Roman" w:cs="Times New Roman"/>
          <w:sz w:val="24"/>
          <w:szCs w:val="24"/>
        </w:rPr>
        <w:t>re</w:t>
      </w:r>
      <w:r w:rsidRPr="00F14325">
        <w:rPr>
          <w:rFonts w:ascii="Times New Roman" w:hAnsi="Times New Roman" w:cs="Times New Roman"/>
          <w:sz w:val="24"/>
          <w:szCs w:val="24"/>
        </w:rPr>
        <w:t xml:space="preserve"> hypotheekrente </w:t>
      </w:r>
      <w:r w:rsidR="000C1200" w:rsidRPr="00F14325">
        <w:rPr>
          <w:rFonts w:ascii="Times New Roman" w:hAnsi="Times New Roman" w:cs="Times New Roman"/>
          <w:sz w:val="24"/>
          <w:szCs w:val="24"/>
        </w:rPr>
        <w:t xml:space="preserve">(alhoewel nog steeds historisch laag) </w:t>
      </w:r>
      <w:r w:rsidR="006F510E">
        <w:rPr>
          <w:rFonts w:ascii="Times New Roman" w:hAnsi="Times New Roman" w:cs="Times New Roman"/>
          <w:sz w:val="24"/>
          <w:szCs w:val="24"/>
        </w:rPr>
        <w:t>drukt de consumptie meer dan in Duitsland het geval is.</w:t>
      </w:r>
      <w:r w:rsidRPr="00F14325">
        <w:rPr>
          <w:rFonts w:ascii="Times New Roman" w:hAnsi="Times New Roman" w:cs="Times New Roman"/>
          <w:sz w:val="24"/>
          <w:szCs w:val="24"/>
        </w:rPr>
        <w:t xml:space="preserve"> </w:t>
      </w:r>
      <w:r w:rsidR="006F510E">
        <w:rPr>
          <w:rFonts w:ascii="Times New Roman" w:hAnsi="Times New Roman" w:cs="Times New Roman"/>
          <w:sz w:val="24"/>
          <w:szCs w:val="24"/>
        </w:rPr>
        <w:t>Het effect op de consumptie is evenwel klein aangezien de hypotheekrente zich momenteel op historisch laag niveau bevindt. V</w:t>
      </w:r>
      <w:r w:rsidR="00564AC3" w:rsidRPr="00F14325">
        <w:rPr>
          <w:rFonts w:ascii="Times New Roman" w:hAnsi="Times New Roman" w:cs="Times New Roman"/>
          <w:sz w:val="24"/>
          <w:szCs w:val="24"/>
        </w:rPr>
        <w:t xml:space="preserve">olgens het CPB is </w:t>
      </w:r>
      <w:r w:rsidR="007C1506" w:rsidRPr="00F14325">
        <w:rPr>
          <w:rFonts w:ascii="Times New Roman" w:hAnsi="Times New Roman" w:cs="Times New Roman"/>
          <w:sz w:val="24"/>
          <w:szCs w:val="24"/>
        </w:rPr>
        <w:t xml:space="preserve">de relatief hoge rente </w:t>
      </w:r>
      <w:r w:rsidR="00564AC3" w:rsidRPr="00F14325">
        <w:rPr>
          <w:rFonts w:ascii="Times New Roman" w:hAnsi="Times New Roman" w:cs="Times New Roman"/>
          <w:sz w:val="24"/>
          <w:szCs w:val="24"/>
        </w:rPr>
        <w:t xml:space="preserve"> mogelijk te wijten aan drie oorzaken:</w:t>
      </w:r>
    </w:p>
    <w:p w:rsidR="00564AC3" w:rsidRPr="00F14325" w:rsidRDefault="00564AC3" w:rsidP="002E4516">
      <w:pPr>
        <w:pStyle w:val="Lijstalinea"/>
        <w:numPr>
          <w:ilvl w:val="0"/>
          <w:numId w:val="4"/>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Nederlandse banken zijn</w:t>
      </w:r>
      <w:r w:rsidR="001D74C6" w:rsidRPr="00F14325">
        <w:rPr>
          <w:rFonts w:ascii="Times New Roman" w:hAnsi="Times New Roman" w:cs="Times New Roman"/>
          <w:sz w:val="24"/>
          <w:szCs w:val="24"/>
        </w:rPr>
        <w:t xml:space="preserve"> hun hefbomen aan het verlagen en </w:t>
      </w:r>
      <w:r w:rsidR="004573CA">
        <w:rPr>
          <w:rFonts w:ascii="Times New Roman" w:hAnsi="Times New Roman" w:cs="Times New Roman"/>
          <w:sz w:val="24"/>
          <w:szCs w:val="24"/>
        </w:rPr>
        <w:t>doen</w:t>
      </w:r>
      <w:r w:rsidR="001D74C6" w:rsidRPr="00F14325">
        <w:rPr>
          <w:rFonts w:ascii="Times New Roman" w:hAnsi="Times New Roman" w:cs="Times New Roman"/>
          <w:sz w:val="24"/>
          <w:szCs w:val="24"/>
        </w:rPr>
        <w:t xml:space="preserve"> dat in</w:t>
      </w:r>
      <w:r w:rsidRPr="00F14325">
        <w:rPr>
          <w:rFonts w:ascii="Times New Roman" w:hAnsi="Times New Roman" w:cs="Times New Roman"/>
          <w:sz w:val="24"/>
          <w:szCs w:val="24"/>
        </w:rPr>
        <w:t xml:space="preserve"> sterkere mate dan de banken in andere landen. Hierdoor wordt de markt geconfronteerd met capaciteitsrestricties waardoor de rentes stijgen.</w:t>
      </w:r>
    </w:p>
    <w:p w:rsidR="007C1506" w:rsidRPr="00F14325" w:rsidRDefault="007C1506" w:rsidP="002E4516">
      <w:pPr>
        <w:pStyle w:val="Lijstalinea"/>
        <w:spacing w:line="360" w:lineRule="auto"/>
        <w:jc w:val="both"/>
        <w:rPr>
          <w:rFonts w:ascii="Times New Roman" w:hAnsi="Times New Roman" w:cs="Times New Roman"/>
          <w:sz w:val="24"/>
          <w:szCs w:val="24"/>
        </w:rPr>
      </w:pPr>
    </w:p>
    <w:p w:rsidR="001E4F38" w:rsidRPr="00F14325" w:rsidRDefault="00564AC3" w:rsidP="001E4F38">
      <w:pPr>
        <w:pStyle w:val="Lijstalinea"/>
        <w:numPr>
          <w:ilvl w:val="0"/>
          <w:numId w:val="4"/>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De binnenlandse concurrentie op </w:t>
      </w:r>
      <w:r w:rsidR="001E4F38" w:rsidRPr="00F14325">
        <w:rPr>
          <w:rFonts w:ascii="Times New Roman" w:hAnsi="Times New Roman" w:cs="Times New Roman"/>
          <w:sz w:val="24"/>
          <w:szCs w:val="24"/>
        </w:rPr>
        <w:t>de hypotheekmarkt is afgenomen</w:t>
      </w:r>
      <w:r w:rsidR="004573CA">
        <w:rPr>
          <w:rFonts w:ascii="Times New Roman" w:hAnsi="Times New Roman" w:cs="Times New Roman"/>
          <w:sz w:val="24"/>
          <w:szCs w:val="24"/>
        </w:rPr>
        <w:t>.</w:t>
      </w:r>
      <w:r w:rsidR="001E4F38" w:rsidRPr="00F14325">
        <w:rPr>
          <w:rFonts w:ascii="Times New Roman" w:hAnsi="Times New Roman" w:cs="Times New Roman"/>
          <w:sz w:val="24"/>
          <w:szCs w:val="24"/>
        </w:rPr>
        <w:t xml:space="preserve"> </w:t>
      </w:r>
    </w:p>
    <w:p w:rsidR="001E4F38" w:rsidRPr="00F14325" w:rsidRDefault="001E4F38" w:rsidP="001E4F38">
      <w:pPr>
        <w:pStyle w:val="Lijstalinea"/>
        <w:rPr>
          <w:rFonts w:ascii="Times New Roman" w:hAnsi="Times New Roman" w:cs="Times New Roman"/>
          <w:sz w:val="24"/>
          <w:szCs w:val="24"/>
        </w:rPr>
      </w:pPr>
    </w:p>
    <w:p w:rsidR="001B079D" w:rsidRPr="00F14325" w:rsidRDefault="001B079D" w:rsidP="001E4F38">
      <w:pPr>
        <w:pStyle w:val="Lijstalinea"/>
        <w:numPr>
          <w:ilvl w:val="0"/>
          <w:numId w:val="4"/>
        </w:num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De risico’s op de Nederlandse hypotheekmarkt als gevolg van de tegenvallende conjuncturele ontwikkelingen en de dalende huizenprijzen.</w:t>
      </w:r>
    </w:p>
    <w:p w:rsidR="002F669B" w:rsidRPr="00943FFF" w:rsidRDefault="002F669B" w:rsidP="001C5306">
      <w:pPr>
        <w:pStyle w:val="Voetnoottekst"/>
        <w:spacing w:line="360" w:lineRule="auto"/>
        <w:jc w:val="both"/>
      </w:pPr>
      <w:r>
        <w:rPr>
          <w:rFonts w:ascii="Times New Roman" w:hAnsi="Times New Roman" w:cs="Times New Roman"/>
          <w:sz w:val="24"/>
          <w:szCs w:val="24"/>
        </w:rPr>
        <w:t>Ad 1. In verband met de Basel III regelgeving zijn de banken verplicht hun kapitaalbuffers te verhogen m.a.w de hefbomen te verlagen. Dit kan op drie manieren: ten eerste door nieuw kapitaal aan te trekken door middel van de uitgifte van bijvoorbeeld aandelen, ten tweede kan dit door winstinhoudingen en ten derde kan dit door</w:t>
      </w:r>
      <w:r w:rsidRPr="002F669B">
        <w:rPr>
          <w:rFonts w:ascii="Times New Roman" w:hAnsi="Times New Roman" w:cs="Times New Roman"/>
          <w:sz w:val="24"/>
          <w:szCs w:val="24"/>
        </w:rPr>
        <w:t xml:space="preserve"> een balansverkleining door bijvoorbeeld minder hypotheken te verstrekken (tegen een hogere rente)</w:t>
      </w:r>
      <w:r>
        <w:rPr>
          <w:rFonts w:ascii="Times New Roman" w:hAnsi="Times New Roman" w:cs="Times New Roman"/>
          <w:sz w:val="24"/>
          <w:szCs w:val="24"/>
        </w:rPr>
        <w:t xml:space="preserve">. </w:t>
      </w:r>
      <w:r w:rsidR="001C5306">
        <w:rPr>
          <w:rFonts w:ascii="Times New Roman" w:hAnsi="Times New Roman" w:cs="Times New Roman"/>
          <w:sz w:val="24"/>
          <w:szCs w:val="24"/>
        </w:rPr>
        <w:t>Uit onderzoek blijkt dat wanneer banken in problemen komen de aanzuivering van het eigen vermogen gepaard gaat met een vermindering van het aantal afgesloten leningen en een hogere rente (CPB, 2013).</w:t>
      </w:r>
      <w:r w:rsidRPr="002F669B">
        <w:rPr>
          <w:rFonts w:ascii="Times New Roman" w:hAnsi="Times New Roman" w:cs="Times New Roman"/>
          <w:sz w:val="24"/>
          <w:szCs w:val="24"/>
        </w:rPr>
        <w:t xml:space="preserve"> </w:t>
      </w:r>
      <w:r w:rsidR="007257B5" w:rsidRPr="00F14325">
        <w:rPr>
          <w:rFonts w:ascii="Times New Roman" w:hAnsi="Times New Roman" w:cs="Times New Roman"/>
          <w:sz w:val="24"/>
          <w:szCs w:val="24"/>
        </w:rPr>
        <w:t xml:space="preserve">Een vergelijking </w:t>
      </w:r>
      <w:r w:rsidR="00943FFF" w:rsidRPr="00F14325">
        <w:rPr>
          <w:rFonts w:ascii="Times New Roman" w:hAnsi="Times New Roman" w:cs="Times New Roman"/>
          <w:sz w:val="24"/>
          <w:szCs w:val="24"/>
        </w:rPr>
        <w:t xml:space="preserve">met </w:t>
      </w:r>
      <w:r w:rsidR="00273A43" w:rsidRPr="00F14325">
        <w:rPr>
          <w:rFonts w:ascii="Times New Roman" w:hAnsi="Times New Roman" w:cs="Times New Roman"/>
          <w:sz w:val="24"/>
          <w:szCs w:val="24"/>
        </w:rPr>
        <w:t xml:space="preserve">de </w:t>
      </w:r>
      <w:r w:rsidR="00943FFF" w:rsidRPr="00F14325">
        <w:rPr>
          <w:rFonts w:ascii="Times New Roman" w:hAnsi="Times New Roman" w:cs="Times New Roman"/>
          <w:sz w:val="24"/>
          <w:szCs w:val="24"/>
        </w:rPr>
        <w:t>balansen van D</w:t>
      </w:r>
      <w:r w:rsidR="00A6721C" w:rsidRPr="00F14325">
        <w:rPr>
          <w:rFonts w:ascii="Times New Roman" w:hAnsi="Times New Roman" w:cs="Times New Roman"/>
          <w:sz w:val="24"/>
          <w:szCs w:val="24"/>
        </w:rPr>
        <w:t xml:space="preserve">uitse banken leert </w:t>
      </w:r>
      <w:r w:rsidR="001C5306">
        <w:rPr>
          <w:rFonts w:ascii="Times New Roman" w:hAnsi="Times New Roman" w:cs="Times New Roman"/>
          <w:sz w:val="24"/>
          <w:szCs w:val="24"/>
        </w:rPr>
        <w:t xml:space="preserve">echter </w:t>
      </w:r>
      <w:r w:rsidR="00A6721C" w:rsidRPr="00F14325">
        <w:rPr>
          <w:rFonts w:ascii="Times New Roman" w:hAnsi="Times New Roman" w:cs="Times New Roman"/>
          <w:sz w:val="24"/>
          <w:szCs w:val="24"/>
        </w:rPr>
        <w:t xml:space="preserve">dat </w:t>
      </w:r>
      <w:r w:rsidR="001D74C6" w:rsidRPr="00F14325">
        <w:rPr>
          <w:rFonts w:ascii="Times New Roman" w:hAnsi="Times New Roman" w:cs="Times New Roman"/>
          <w:sz w:val="24"/>
          <w:szCs w:val="24"/>
        </w:rPr>
        <w:t>de gemiddelde he</w:t>
      </w:r>
      <w:r w:rsidR="00A6721C" w:rsidRPr="00F14325">
        <w:rPr>
          <w:rFonts w:ascii="Times New Roman" w:hAnsi="Times New Roman" w:cs="Times New Roman"/>
          <w:sz w:val="24"/>
          <w:szCs w:val="24"/>
        </w:rPr>
        <w:t>fbo</w:t>
      </w:r>
      <w:r w:rsidR="001D74C6" w:rsidRPr="00F14325">
        <w:rPr>
          <w:rFonts w:ascii="Times New Roman" w:hAnsi="Times New Roman" w:cs="Times New Roman"/>
          <w:sz w:val="24"/>
          <w:szCs w:val="24"/>
        </w:rPr>
        <w:t xml:space="preserve">om in Duitsland hoger is dan de </w:t>
      </w:r>
      <w:r w:rsidR="001C5306">
        <w:rPr>
          <w:rFonts w:ascii="Times New Roman" w:hAnsi="Times New Roman" w:cs="Times New Roman"/>
          <w:sz w:val="24"/>
          <w:szCs w:val="24"/>
        </w:rPr>
        <w:t xml:space="preserve">gemiddelde </w:t>
      </w:r>
      <w:r w:rsidR="001D74C6" w:rsidRPr="00F14325">
        <w:rPr>
          <w:rFonts w:ascii="Times New Roman" w:hAnsi="Times New Roman" w:cs="Times New Roman"/>
          <w:sz w:val="24"/>
          <w:szCs w:val="24"/>
        </w:rPr>
        <w:t>Nederlandse hefbo</w:t>
      </w:r>
      <w:r w:rsidR="001C5306">
        <w:rPr>
          <w:rFonts w:ascii="Times New Roman" w:hAnsi="Times New Roman" w:cs="Times New Roman"/>
          <w:sz w:val="24"/>
          <w:szCs w:val="24"/>
        </w:rPr>
        <w:t>men</w:t>
      </w:r>
      <w:r w:rsidR="004573CA">
        <w:rPr>
          <w:rFonts w:ascii="Times New Roman" w:hAnsi="Times New Roman" w:cs="Times New Roman"/>
          <w:sz w:val="24"/>
          <w:szCs w:val="24"/>
        </w:rPr>
        <w:t>. E</w:t>
      </w:r>
      <w:r w:rsidR="001D74C6" w:rsidRPr="00F14325">
        <w:rPr>
          <w:rFonts w:ascii="Times New Roman" w:hAnsi="Times New Roman" w:cs="Times New Roman"/>
          <w:sz w:val="24"/>
          <w:szCs w:val="24"/>
        </w:rPr>
        <w:t>en afdoende verklaring voor de renteverschillen tussen Nederland en Duitsland b</w:t>
      </w:r>
      <w:r w:rsidR="00BD7F16" w:rsidRPr="00F14325">
        <w:rPr>
          <w:rFonts w:ascii="Times New Roman" w:hAnsi="Times New Roman" w:cs="Times New Roman"/>
          <w:sz w:val="24"/>
          <w:szCs w:val="24"/>
        </w:rPr>
        <w:t>ied</w:t>
      </w:r>
      <w:r w:rsidR="00BA6B42">
        <w:rPr>
          <w:rFonts w:ascii="Times New Roman" w:hAnsi="Times New Roman" w:cs="Times New Roman"/>
          <w:sz w:val="24"/>
          <w:szCs w:val="24"/>
        </w:rPr>
        <w:t>t</w:t>
      </w:r>
      <w:r w:rsidR="001D74C6" w:rsidRPr="00F14325">
        <w:rPr>
          <w:rFonts w:ascii="Times New Roman" w:hAnsi="Times New Roman" w:cs="Times New Roman"/>
          <w:sz w:val="24"/>
          <w:szCs w:val="24"/>
        </w:rPr>
        <w:t xml:space="preserve"> dit niet</w:t>
      </w:r>
      <w:r w:rsidR="005C7020">
        <w:rPr>
          <w:rFonts w:ascii="Times New Roman" w:hAnsi="Times New Roman" w:cs="Times New Roman"/>
          <w:sz w:val="24"/>
          <w:szCs w:val="24"/>
        </w:rPr>
        <w:t xml:space="preserve"> (figuur 6).</w:t>
      </w:r>
      <w:r>
        <w:t xml:space="preserve"> </w:t>
      </w:r>
    </w:p>
    <w:p w:rsidR="00704DC3" w:rsidRPr="00704DC3" w:rsidRDefault="00704DC3" w:rsidP="002E451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Figuur 6: de gemiddelde hefboom van de bancaire sector (totale bezittingen/eigen vermogen)</w:t>
      </w:r>
    </w:p>
    <w:p w:rsidR="00986215" w:rsidRDefault="00AE3111" w:rsidP="00986215">
      <w:pPr>
        <w:spacing w:line="360" w:lineRule="auto"/>
        <w:jc w:val="center"/>
        <w:rPr>
          <w:rFonts w:ascii="Times New Roman" w:hAnsi="Times New Roman" w:cs="Times New Roman"/>
          <w:sz w:val="24"/>
          <w:szCs w:val="24"/>
        </w:rPr>
      </w:pPr>
      <w:r w:rsidRPr="00AE3111">
        <w:rPr>
          <w:rFonts w:ascii="Times New Roman" w:hAnsi="Times New Roman" w:cs="Times New Roman"/>
          <w:noProof/>
          <w:sz w:val="24"/>
          <w:szCs w:val="24"/>
        </w:rPr>
        <w:drawing>
          <wp:inline distT="0" distB="0" distL="0" distR="0">
            <wp:extent cx="2284763" cy="1793174"/>
            <wp:effectExtent l="19050" t="0" r="0" b="0"/>
            <wp:docPr id="13"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E3111">
        <w:rPr>
          <w:rFonts w:ascii="Times New Roman" w:hAnsi="Times New Roman" w:cs="Times New Roman"/>
          <w:sz w:val="24"/>
          <w:szCs w:val="24"/>
        </w:rPr>
        <w:t xml:space="preserve"> </w:t>
      </w:r>
    </w:p>
    <w:p w:rsidR="0084212A" w:rsidRPr="00986215" w:rsidRDefault="00704DC3" w:rsidP="00986215">
      <w:pPr>
        <w:spacing w:line="360" w:lineRule="auto"/>
        <w:rPr>
          <w:rFonts w:ascii="Times New Roman" w:hAnsi="Times New Roman" w:cs="Times New Roman"/>
          <w:sz w:val="24"/>
          <w:szCs w:val="24"/>
        </w:rPr>
      </w:pPr>
      <w:r w:rsidRPr="00AE3111">
        <w:rPr>
          <w:rFonts w:ascii="Times New Roman" w:hAnsi="Times New Roman" w:cs="Times New Roman"/>
          <w:sz w:val="18"/>
          <w:szCs w:val="18"/>
        </w:rPr>
        <w:t>Bron: ECB</w:t>
      </w:r>
      <w:r w:rsidR="00AE3111" w:rsidRPr="00AE3111">
        <w:rPr>
          <w:rFonts w:ascii="Times New Roman" w:hAnsi="Times New Roman" w:cs="Times New Roman"/>
          <w:sz w:val="18"/>
          <w:szCs w:val="18"/>
        </w:rPr>
        <w:t xml:space="preserve"> balansgegevens per land</w:t>
      </w:r>
    </w:p>
    <w:p w:rsidR="00D518F7" w:rsidRPr="00F14325" w:rsidRDefault="002F669B" w:rsidP="002E45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 2. </w:t>
      </w:r>
      <w:r w:rsidR="0084212A" w:rsidRPr="00F14325">
        <w:rPr>
          <w:rFonts w:ascii="Times New Roman" w:hAnsi="Times New Roman" w:cs="Times New Roman"/>
          <w:sz w:val="24"/>
          <w:szCs w:val="24"/>
        </w:rPr>
        <w:t xml:space="preserve">De binnenlandse concurrentie op de Duitse hypotheekmarkt is sterker dan de </w:t>
      </w:r>
      <w:r w:rsidR="004573CA">
        <w:rPr>
          <w:rFonts w:ascii="Times New Roman" w:hAnsi="Times New Roman" w:cs="Times New Roman"/>
          <w:sz w:val="24"/>
          <w:szCs w:val="24"/>
        </w:rPr>
        <w:t xml:space="preserve">concurrentie op de </w:t>
      </w:r>
      <w:r w:rsidR="0084212A" w:rsidRPr="00F14325">
        <w:rPr>
          <w:rFonts w:ascii="Times New Roman" w:hAnsi="Times New Roman" w:cs="Times New Roman"/>
          <w:sz w:val="24"/>
          <w:szCs w:val="24"/>
        </w:rPr>
        <w:t>Nederlandse</w:t>
      </w:r>
      <w:r w:rsidR="004573CA">
        <w:rPr>
          <w:rFonts w:ascii="Times New Roman" w:hAnsi="Times New Roman" w:cs="Times New Roman"/>
          <w:sz w:val="24"/>
          <w:szCs w:val="24"/>
        </w:rPr>
        <w:t xml:space="preserve"> hypotheekmarkt</w:t>
      </w:r>
      <w:r w:rsidR="0084212A" w:rsidRPr="00F14325">
        <w:rPr>
          <w:rFonts w:ascii="Times New Roman" w:hAnsi="Times New Roman" w:cs="Times New Roman"/>
          <w:sz w:val="24"/>
          <w:szCs w:val="24"/>
        </w:rPr>
        <w:t xml:space="preserve">. De Nederlandse markt wordt gedomineerd door de ING, ABN AMRO en de Rabobank die vanouds het grootste gedeelte van de markt </w:t>
      </w:r>
      <w:r w:rsidR="00337CA4" w:rsidRPr="00F14325">
        <w:rPr>
          <w:rFonts w:ascii="Times New Roman" w:hAnsi="Times New Roman" w:cs="Times New Roman"/>
          <w:sz w:val="24"/>
          <w:szCs w:val="24"/>
        </w:rPr>
        <w:t>voorzien</w:t>
      </w:r>
      <w:r w:rsidR="0084212A" w:rsidRPr="00F14325">
        <w:rPr>
          <w:rFonts w:ascii="Times New Roman" w:hAnsi="Times New Roman" w:cs="Times New Roman"/>
          <w:sz w:val="24"/>
          <w:szCs w:val="24"/>
        </w:rPr>
        <w:t xml:space="preserve">. </w:t>
      </w:r>
      <w:r w:rsidR="004573CA">
        <w:rPr>
          <w:rFonts w:ascii="Times New Roman" w:hAnsi="Times New Roman" w:cs="Times New Roman"/>
          <w:sz w:val="24"/>
          <w:szCs w:val="24"/>
        </w:rPr>
        <w:t xml:space="preserve">Dit was </w:t>
      </w:r>
      <w:r w:rsidR="00BA6B42">
        <w:rPr>
          <w:rFonts w:ascii="Times New Roman" w:hAnsi="Times New Roman" w:cs="Times New Roman"/>
          <w:sz w:val="24"/>
          <w:szCs w:val="24"/>
        </w:rPr>
        <w:t xml:space="preserve">84% </w:t>
      </w:r>
      <w:r w:rsidR="004573CA">
        <w:rPr>
          <w:rFonts w:ascii="Times New Roman" w:hAnsi="Times New Roman" w:cs="Times New Roman"/>
          <w:sz w:val="24"/>
          <w:szCs w:val="24"/>
        </w:rPr>
        <w:t xml:space="preserve"> van de markt </w:t>
      </w:r>
      <w:r w:rsidR="00BA6B42">
        <w:rPr>
          <w:rFonts w:ascii="Times New Roman" w:hAnsi="Times New Roman" w:cs="Times New Roman"/>
          <w:sz w:val="24"/>
          <w:szCs w:val="24"/>
        </w:rPr>
        <w:t xml:space="preserve">in 2011. </w:t>
      </w:r>
      <w:r w:rsidR="0084212A" w:rsidRPr="00F14325">
        <w:rPr>
          <w:rFonts w:ascii="Times New Roman" w:hAnsi="Times New Roman" w:cs="Times New Roman"/>
          <w:sz w:val="24"/>
          <w:szCs w:val="24"/>
        </w:rPr>
        <w:t xml:space="preserve">In Duitsland daarentegen is de concurrentie sterk te noemen. </w:t>
      </w:r>
      <w:r w:rsidR="00D518F7" w:rsidRPr="00F14325">
        <w:rPr>
          <w:rFonts w:ascii="Times New Roman" w:hAnsi="Times New Roman" w:cs="Times New Roman"/>
          <w:sz w:val="24"/>
          <w:szCs w:val="24"/>
        </w:rPr>
        <w:t>De vijf grootste hypotheekverstrekkers voorzien slechts 33% van de totale markt van een hypotheek.</w:t>
      </w:r>
      <w:r w:rsidR="00BA6B42">
        <w:rPr>
          <w:rStyle w:val="Voetnootmarkering"/>
          <w:rFonts w:ascii="Times New Roman" w:hAnsi="Times New Roman" w:cs="Times New Roman"/>
          <w:sz w:val="24"/>
          <w:szCs w:val="24"/>
        </w:rPr>
        <w:footnoteReference w:id="7"/>
      </w:r>
      <w:r w:rsidR="001146AE">
        <w:rPr>
          <w:rFonts w:ascii="Times New Roman" w:hAnsi="Times New Roman" w:cs="Times New Roman"/>
          <w:sz w:val="24"/>
          <w:szCs w:val="24"/>
        </w:rPr>
        <w:t xml:space="preserve"> </w:t>
      </w:r>
      <w:r w:rsidR="00D518F7" w:rsidRPr="00F14325">
        <w:rPr>
          <w:rFonts w:ascii="Times New Roman" w:hAnsi="Times New Roman" w:cs="Times New Roman"/>
          <w:sz w:val="24"/>
          <w:szCs w:val="24"/>
        </w:rPr>
        <w:t>Een andere verklaring voor de geringe concurrentie op de Nederlandse hypotheekmarkt wordt gevormd door de regelgeving uit Brussel. In ruil voor het ontvangen van sta</w:t>
      </w:r>
      <w:r w:rsidR="001F08C2">
        <w:rPr>
          <w:rFonts w:ascii="Times New Roman" w:hAnsi="Times New Roman" w:cs="Times New Roman"/>
          <w:sz w:val="24"/>
          <w:szCs w:val="24"/>
        </w:rPr>
        <w:t>atsteun mocht zowel de ING, ABN</w:t>
      </w:r>
      <w:r w:rsidR="00D518F7" w:rsidRPr="00F14325">
        <w:rPr>
          <w:rFonts w:ascii="Times New Roman" w:hAnsi="Times New Roman" w:cs="Times New Roman"/>
          <w:sz w:val="24"/>
          <w:szCs w:val="24"/>
        </w:rPr>
        <w:t>Amro en Aegon geen prijsleider zijn. De facto is de Rabobank de marktleider in Nederlan</w:t>
      </w:r>
      <w:r w:rsidR="00B96F0C">
        <w:rPr>
          <w:rFonts w:ascii="Times New Roman" w:hAnsi="Times New Roman" w:cs="Times New Roman"/>
          <w:sz w:val="24"/>
          <w:szCs w:val="24"/>
        </w:rPr>
        <w:t>d (EU, 2012)</w:t>
      </w:r>
    </w:p>
    <w:p w:rsidR="001B079D" w:rsidRDefault="002F669B" w:rsidP="002E45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 3. </w:t>
      </w:r>
      <w:r w:rsidR="00185D89" w:rsidRPr="00F14325">
        <w:rPr>
          <w:rFonts w:ascii="Times New Roman" w:hAnsi="Times New Roman" w:cs="Times New Roman"/>
          <w:sz w:val="24"/>
          <w:szCs w:val="24"/>
        </w:rPr>
        <w:t xml:space="preserve">De derde verklaring voor de hoge rentes op de Nederlandse hypotheken wordt gevormd door de toegenomen risico’s op de hypotheekmarkt. Zoals eerder al is aangegeven (figuur 1: langlopende leningen huishoudens) is de particuliere schuld in Nederland hoog. </w:t>
      </w:r>
      <w:r w:rsidR="00E138F9" w:rsidRPr="00F14325">
        <w:rPr>
          <w:rFonts w:ascii="Times New Roman" w:hAnsi="Times New Roman" w:cs="Times New Roman"/>
          <w:sz w:val="24"/>
          <w:szCs w:val="24"/>
        </w:rPr>
        <w:t xml:space="preserve">Huishoudens lopen grote risico’s vanwege de dalende huizenprijzen waartegenover een hoge hypotheek staat. Het CBS becijferde onlangs het aantal huiseigenaren waarvan de woningwaarde lager is dan de hypotheekschuld. 25% van alle huiseigenaren </w:t>
      </w:r>
      <w:r w:rsidR="00BD7F16" w:rsidRPr="00F14325">
        <w:rPr>
          <w:rFonts w:ascii="Times New Roman" w:hAnsi="Times New Roman" w:cs="Times New Roman"/>
          <w:sz w:val="24"/>
          <w:szCs w:val="24"/>
        </w:rPr>
        <w:t xml:space="preserve">(dat zijn ongeveer 1,1 miljoen huishoudens in 2011) </w:t>
      </w:r>
      <w:r w:rsidR="00E138F9" w:rsidRPr="00F14325">
        <w:rPr>
          <w:rFonts w:ascii="Times New Roman" w:hAnsi="Times New Roman" w:cs="Times New Roman"/>
          <w:sz w:val="24"/>
          <w:szCs w:val="24"/>
        </w:rPr>
        <w:t xml:space="preserve">kampt bij een verkoop van het huis met een restschuld. Dit </w:t>
      </w:r>
      <w:r w:rsidR="00BD7F16" w:rsidRPr="00F14325">
        <w:rPr>
          <w:rFonts w:ascii="Times New Roman" w:hAnsi="Times New Roman" w:cs="Times New Roman"/>
          <w:sz w:val="24"/>
          <w:szCs w:val="24"/>
        </w:rPr>
        <w:t xml:space="preserve">werkt </w:t>
      </w:r>
      <w:r w:rsidR="00E138F9" w:rsidRPr="00F14325">
        <w:rPr>
          <w:rFonts w:ascii="Times New Roman" w:hAnsi="Times New Roman" w:cs="Times New Roman"/>
          <w:sz w:val="24"/>
          <w:szCs w:val="24"/>
        </w:rPr>
        <w:t>enerzijds</w:t>
      </w:r>
      <w:r w:rsidR="00BD7F16" w:rsidRPr="00F14325">
        <w:rPr>
          <w:rFonts w:ascii="Times New Roman" w:hAnsi="Times New Roman" w:cs="Times New Roman"/>
          <w:sz w:val="24"/>
          <w:szCs w:val="24"/>
        </w:rPr>
        <w:t xml:space="preserve"> negatief op</w:t>
      </w:r>
      <w:r w:rsidR="00E138F9" w:rsidRPr="00F14325">
        <w:rPr>
          <w:rFonts w:ascii="Times New Roman" w:hAnsi="Times New Roman" w:cs="Times New Roman"/>
          <w:sz w:val="24"/>
          <w:szCs w:val="24"/>
        </w:rPr>
        <w:t xml:space="preserve"> de mobiliteit op de woningmarkt</w:t>
      </w:r>
      <w:r w:rsidR="001C5306">
        <w:rPr>
          <w:rFonts w:ascii="Times New Roman" w:hAnsi="Times New Roman" w:cs="Times New Roman"/>
          <w:sz w:val="24"/>
          <w:szCs w:val="24"/>
        </w:rPr>
        <w:t xml:space="preserve">. Immers, </w:t>
      </w:r>
      <w:r w:rsidR="00BD7F16" w:rsidRPr="00F14325">
        <w:rPr>
          <w:rFonts w:ascii="Times New Roman" w:hAnsi="Times New Roman" w:cs="Times New Roman"/>
          <w:sz w:val="24"/>
          <w:szCs w:val="24"/>
        </w:rPr>
        <w:t>wie verhuist als hij blijft kampen met een restschuld? A</w:t>
      </w:r>
      <w:r w:rsidR="00E138F9" w:rsidRPr="00F14325">
        <w:rPr>
          <w:rFonts w:ascii="Times New Roman" w:hAnsi="Times New Roman" w:cs="Times New Roman"/>
          <w:sz w:val="24"/>
          <w:szCs w:val="24"/>
        </w:rPr>
        <w:t>nderzijds vormt deze restschuld een risico voor de hypotheekverstrekker die met een oninbare vordering opgescheept zit</w:t>
      </w:r>
      <w:r w:rsidR="003526E5" w:rsidRPr="00F14325">
        <w:rPr>
          <w:rFonts w:ascii="Times New Roman" w:hAnsi="Times New Roman" w:cs="Times New Roman"/>
          <w:sz w:val="24"/>
          <w:szCs w:val="24"/>
        </w:rPr>
        <w:t xml:space="preserve"> na een gedwongen verkoop</w:t>
      </w:r>
      <w:r w:rsidR="00E138F9" w:rsidRPr="00F14325">
        <w:rPr>
          <w:rFonts w:ascii="Times New Roman" w:hAnsi="Times New Roman" w:cs="Times New Roman"/>
          <w:sz w:val="24"/>
          <w:szCs w:val="24"/>
        </w:rPr>
        <w:t xml:space="preserve">. Hiertegenover staat echter wel de nationale hypotheekgarantie, een verzekering voor de hypotheekverstrekker, </w:t>
      </w:r>
      <w:r w:rsidR="003526E5" w:rsidRPr="00F14325">
        <w:rPr>
          <w:rFonts w:ascii="Times New Roman" w:hAnsi="Times New Roman" w:cs="Times New Roman"/>
          <w:sz w:val="24"/>
          <w:szCs w:val="24"/>
        </w:rPr>
        <w:t>die bij dergelijke gevallen terug kan grijpen op de NHG. Door deze securisatie zou in theorie de rente die in rekening gebracht wordt, omlaag kunnen.</w:t>
      </w:r>
      <w:r w:rsidR="00BD7F16" w:rsidRPr="00F14325">
        <w:rPr>
          <w:rFonts w:ascii="Times New Roman" w:hAnsi="Times New Roman" w:cs="Times New Roman"/>
          <w:sz w:val="24"/>
          <w:szCs w:val="24"/>
        </w:rPr>
        <w:t xml:space="preserve"> In Duitsland is </w:t>
      </w:r>
      <w:r w:rsidR="001C5306">
        <w:rPr>
          <w:rFonts w:ascii="Times New Roman" w:hAnsi="Times New Roman" w:cs="Times New Roman"/>
          <w:sz w:val="24"/>
          <w:szCs w:val="24"/>
        </w:rPr>
        <w:t xml:space="preserve">de </w:t>
      </w:r>
      <w:r w:rsidR="00BD7F16" w:rsidRPr="00F14325">
        <w:rPr>
          <w:rFonts w:ascii="Times New Roman" w:hAnsi="Times New Roman" w:cs="Times New Roman"/>
          <w:sz w:val="24"/>
          <w:szCs w:val="24"/>
        </w:rPr>
        <w:t xml:space="preserve">hypotheekschuld </w:t>
      </w:r>
      <w:r w:rsidR="0029369A" w:rsidRPr="00F14325">
        <w:rPr>
          <w:rFonts w:ascii="Times New Roman" w:hAnsi="Times New Roman" w:cs="Times New Roman"/>
          <w:sz w:val="24"/>
          <w:szCs w:val="24"/>
        </w:rPr>
        <w:t xml:space="preserve">vele malen </w:t>
      </w:r>
      <w:r w:rsidR="00BD7F16" w:rsidRPr="00F14325">
        <w:rPr>
          <w:rFonts w:ascii="Times New Roman" w:hAnsi="Times New Roman" w:cs="Times New Roman"/>
          <w:sz w:val="24"/>
          <w:szCs w:val="24"/>
        </w:rPr>
        <w:t>lager dan de waarde van de woning. Een goede maatstaf om de</w:t>
      </w:r>
      <w:r w:rsidR="00E34658" w:rsidRPr="00F14325">
        <w:rPr>
          <w:rFonts w:ascii="Times New Roman" w:hAnsi="Times New Roman" w:cs="Times New Roman"/>
          <w:sz w:val="24"/>
          <w:szCs w:val="24"/>
        </w:rPr>
        <w:t>ze cijfers te vergelijke</w:t>
      </w:r>
      <w:r w:rsidR="001C5306">
        <w:rPr>
          <w:rFonts w:ascii="Times New Roman" w:hAnsi="Times New Roman" w:cs="Times New Roman"/>
          <w:sz w:val="24"/>
          <w:szCs w:val="24"/>
        </w:rPr>
        <w:t>n</w:t>
      </w:r>
      <w:r w:rsidR="00E34658" w:rsidRPr="00F14325">
        <w:rPr>
          <w:rFonts w:ascii="Times New Roman" w:hAnsi="Times New Roman" w:cs="Times New Roman"/>
          <w:sz w:val="24"/>
          <w:szCs w:val="24"/>
        </w:rPr>
        <w:t xml:space="preserve"> is de loan-to-</w:t>
      </w:r>
      <w:r w:rsidR="00A03A16">
        <w:rPr>
          <w:rFonts w:ascii="Times New Roman" w:hAnsi="Times New Roman" w:cs="Times New Roman"/>
          <w:sz w:val="24"/>
          <w:szCs w:val="24"/>
        </w:rPr>
        <w:t>value ratio</w:t>
      </w:r>
      <w:r w:rsidR="00E34658" w:rsidRPr="00F14325">
        <w:rPr>
          <w:rFonts w:ascii="Times New Roman" w:hAnsi="Times New Roman" w:cs="Times New Roman"/>
          <w:sz w:val="24"/>
          <w:szCs w:val="24"/>
        </w:rPr>
        <w:t>. Voor Nederland zien we dat deze sterk is g</w:t>
      </w:r>
      <w:r w:rsidR="00D23862">
        <w:rPr>
          <w:rFonts w:ascii="Times New Roman" w:hAnsi="Times New Roman" w:cs="Times New Roman"/>
          <w:sz w:val="24"/>
          <w:szCs w:val="24"/>
        </w:rPr>
        <w:t>estegen tot ongeveer 120 in 2010</w:t>
      </w:r>
      <w:r w:rsidR="00E34658" w:rsidRPr="00F14325">
        <w:rPr>
          <w:rFonts w:ascii="Times New Roman" w:hAnsi="Times New Roman" w:cs="Times New Roman"/>
          <w:sz w:val="24"/>
          <w:szCs w:val="24"/>
        </w:rPr>
        <w:t>. Dat wil zeggen dat de hypotheekschuld gemiddeld 1,2 keer groter</w:t>
      </w:r>
      <w:r w:rsidR="00674926">
        <w:rPr>
          <w:rFonts w:ascii="Times New Roman" w:hAnsi="Times New Roman" w:cs="Times New Roman"/>
          <w:sz w:val="24"/>
          <w:szCs w:val="24"/>
        </w:rPr>
        <w:t xml:space="preserve"> is dan de waarde van het huis (zie figuur 7).</w:t>
      </w:r>
    </w:p>
    <w:p w:rsidR="000105AB" w:rsidRPr="00AB792C" w:rsidRDefault="000105AB" w:rsidP="001146AE">
      <w:pPr>
        <w:spacing w:line="360" w:lineRule="auto"/>
        <w:jc w:val="both"/>
        <w:rPr>
          <w:rFonts w:ascii="Times New Roman" w:hAnsi="Times New Roman" w:cs="Times New Roman"/>
          <w:b/>
          <w:sz w:val="24"/>
          <w:szCs w:val="24"/>
          <w:u w:val="single"/>
        </w:rPr>
      </w:pPr>
    </w:p>
    <w:p w:rsidR="000105AB" w:rsidRPr="00AB792C" w:rsidRDefault="000105AB" w:rsidP="001146AE">
      <w:pPr>
        <w:spacing w:line="360" w:lineRule="auto"/>
        <w:jc w:val="both"/>
        <w:rPr>
          <w:rFonts w:ascii="Times New Roman" w:hAnsi="Times New Roman" w:cs="Times New Roman"/>
          <w:b/>
          <w:sz w:val="24"/>
          <w:szCs w:val="24"/>
          <w:u w:val="single"/>
        </w:rPr>
      </w:pPr>
    </w:p>
    <w:p w:rsidR="000105AB" w:rsidRDefault="000105AB" w:rsidP="001146AE">
      <w:pPr>
        <w:spacing w:line="360" w:lineRule="auto"/>
        <w:jc w:val="both"/>
        <w:rPr>
          <w:rFonts w:ascii="Times New Roman" w:hAnsi="Times New Roman" w:cs="Times New Roman"/>
          <w:b/>
          <w:sz w:val="24"/>
          <w:szCs w:val="24"/>
          <w:u w:val="single"/>
        </w:rPr>
      </w:pPr>
    </w:p>
    <w:p w:rsidR="00763F7D" w:rsidRPr="00AB792C" w:rsidRDefault="00763F7D" w:rsidP="001146AE">
      <w:pPr>
        <w:spacing w:line="360" w:lineRule="auto"/>
        <w:jc w:val="both"/>
        <w:rPr>
          <w:rFonts w:ascii="Times New Roman" w:hAnsi="Times New Roman" w:cs="Times New Roman"/>
          <w:b/>
          <w:sz w:val="24"/>
          <w:szCs w:val="24"/>
          <w:u w:val="single"/>
        </w:rPr>
      </w:pPr>
    </w:p>
    <w:p w:rsidR="001146AE" w:rsidRPr="001C5306" w:rsidRDefault="00512F66" w:rsidP="001146AE">
      <w:pPr>
        <w:spacing w:line="360" w:lineRule="auto"/>
        <w:jc w:val="both"/>
        <w:rPr>
          <w:rFonts w:ascii="Times New Roman" w:hAnsi="Times New Roman" w:cs="Times New Roman"/>
          <w:b/>
          <w:sz w:val="24"/>
          <w:szCs w:val="24"/>
          <w:u w:val="single"/>
          <w:lang w:val="en-CA"/>
        </w:rPr>
      </w:pPr>
      <w:r w:rsidRPr="001C5306">
        <w:rPr>
          <w:rFonts w:ascii="Times New Roman" w:hAnsi="Times New Roman" w:cs="Times New Roman"/>
          <w:b/>
          <w:sz w:val="24"/>
          <w:szCs w:val="24"/>
          <w:u w:val="single"/>
          <w:lang w:val="en-CA"/>
        </w:rPr>
        <w:lastRenderedPageBreak/>
        <w:t xml:space="preserve">Figuur 7: </w:t>
      </w:r>
      <w:r w:rsidR="001C5306" w:rsidRPr="001C5306">
        <w:rPr>
          <w:rFonts w:ascii="Times New Roman" w:hAnsi="Times New Roman" w:cs="Times New Roman"/>
          <w:b/>
          <w:sz w:val="24"/>
          <w:szCs w:val="24"/>
          <w:u w:val="single"/>
          <w:lang w:val="en-CA"/>
        </w:rPr>
        <w:t>L</w:t>
      </w:r>
      <w:r w:rsidRPr="001C5306">
        <w:rPr>
          <w:rFonts w:ascii="Times New Roman" w:hAnsi="Times New Roman" w:cs="Times New Roman"/>
          <w:b/>
          <w:sz w:val="24"/>
          <w:szCs w:val="24"/>
          <w:u w:val="single"/>
          <w:lang w:val="en-CA"/>
        </w:rPr>
        <w:t>oan-to-value ratio (%)</w:t>
      </w:r>
    </w:p>
    <w:p w:rsidR="00D23862" w:rsidRPr="001146AE" w:rsidRDefault="001146AE" w:rsidP="001146AE">
      <w:pPr>
        <w:spacing w:line="360" w:lineRule="auto"/>
        <w:rPr>
          <w:rFonts w:ascii="Times New Roman" w:hAnsi="Times New Roman" w:cs="Times New Roman"/>
          <w:sz w:val="24"/>
          <w:szCs w:val="24"/>
        </w:rPr>
      </w:pPr>
      <w:r w:rsidRPr="001146AE">
        <w:rPr>
          <w:rFonts w:ascii="Times New Roman" w:hAnsi="Times New Roman" w:cs="Times New Roman"/>
          <w:sz w:val="18"/>
          <w:szCs w:val="18"/>
        </w:rPr>
        <w:t>Bron: Het Kadas</w:t>
      </w:r>
      <w:r w:rsidRPr="00AA0F10">
        <w:rPr>
          <w:rFonts w:ascii="Times New Roman" w:hAnsi="Times New Roman" w:cs="Times New Roman"/>
          <w:sz w:val="18"/>
          <w:szCs w:val="18"/>
        </w:rPr>
        <w:t>ter</w:t>
      </w:r>
      <w:r w:rsidR="00D23862" w:rsidRPr="00D23862">
        <w:rPr>
          <w:rFonts w:ascii="Times New Roman" w:hAnsi="Times New Roman" w:cs="Times New Roman"/>
          <w:noProof/>
          <w:sz w:val="24"/>
          <w:szCs w:val="24"/>
        </w:rPr>
        <w:drawing>
          <wp:inline distT="0" distB="0" distL="0" distR="0">
            <wp:extent cx="3776353" cy="2291938"/>
            <wp:effectExtent l="19050" t="0" r="0" b="0"/>
            <wp:docPr id="14"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34658" w:rsidRPr="00F14325" w:rsidRDefault="00331319" w:rsidP="00680BAD">
      <w:pPr>
        <w:pStyle w:val="Kop2"/>
      </w:pPr>
      <w:bookmarkStart w:id="15" w:name="_Toc365277092"/>
      <w:r>
        <w:t xml:space="preserve">3.3 </w:t>
      </w:r>
      <w:r w:rsidR="00E1304B" w:rsidRPr="00F14325">
        <w:t>Consumptie-effecten</w:t>
      </w:r>
      <w:r w:rsidR="000D4392">
        <w:t xml:space="preserve"> en</w:t>
      </w:r>
      <w:r w:rsidR="00503B9C" w:rsidRPr="00F14325">
        <w:t xml:space="preserve"> dalende huizenprijzen</w:t>
      </w:r>
      <w:bookmarkEnd w:id="15"/>
    </w:p>
    <w:p w:rsidR="00503B9C" w:rsidRPr="00F14325" w:rsidRDefault="00F35962"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In het begin van de jaren negentig bracht men voor de koop van </w:t>
      </w:r>
      <w:r w:rsidR="006533EF" w:rsidRPr="00F14325">
        <w:rPr>
          <w:rFonts w:ascii="Times New Roman" w:hAnsi="Times New Roman" w:cs="Times New Roman"/>
          <w:sz w:val="24"/>
          <w:szCs w:val="24"/>
        </w:rPr>
        <w:t>een</w:t>
      </w:r>
      <w:r w:rsidR="001C5306">
        <w:rPr>
          <w:rFonts w:ascii="Times New Roman" w:hAnsi="Times New Roman" w:cs="Times New Roman"/>
          <w:sz w:val="24"/>
          <w:szCs w:val="24"/>
        </w:rPr>
        <w:t xml:space="preserve"> woning meer eigen vermogen mee. D</w:t>
      </w:r>
      <w:r w:rsidR="006533EF" w:rsidRPr="00F14325">
        <w:rPr>
          <w:rFonts w:ascii="Times New Roman" w:hAnsi="Times New Roman" w:cs="Times New Roman"/>
          <w:sz w:val="24"/>
          <w:szCs w:val="24"/>
        </w:rPr>
        <w:t>e hypotheek werd</w:t>
      </w:r>
      <w:r w:rsidR="001C5306">
        <w:rPr>
          <w:rFonts w:ascii="Times New Roman" w:hAnsi="Times New Roman" w:cs="Times New Roman"/>
          <w:sz w:val="24"/>
          <w:szCs w:val="24"/>
        </w:rPr>
        <w:t xml:space="preserve"> slechts</w:t>
      </w:r>
      <w:r w:rsidR="006533EF" w:rsidRPr="00F14325">
        <w:rPr>
          <w:rFonts w:ascii="Times New Roman" w:hAnsi="Times New Roman" w:cs="Times New Roman"/>
          <w:sz w:val="24"/>
          <w:szCs w:val="24"/>
        </w:rPr>
        <w:t xml:space="preserve"> gebruikt als aanvulling. In de jaren 1999 en 2000 sloeg dit echter om toen er twee keer zoveel hypotheekschulden </w:t>
      </w:r>
      <w:r w:rsidR="00A81102" w:rsidRPr="00F14325">
        <w:rPr>
          <w:rFonts w:ascii="Times New Roman" w:hAnsi="Times New Roman" w:cs="Times New Roman"/>
          <w:sz w:val="24"/>
          <w:szCs w:val="24"/>
        </w:rPr>
        <w:t>werden op</w:t>
      </w:r>
      <w:r w:rsidR="006533EF" w:rsidRPr="00F14325">
        <w:rPr>
          <w:rFonts w:ascii="Times New Roman" w:hAnsi="Times New Roman" w:cs="Times New Roman"/>
          <w:sz w:val="24"/>
          <w:szCs w:val="24"/>
        </w:rPr>
        <w:t>genomen dan de waarde van de koopwoningen.</w:t>
      </w:r>
      <w:r w:rsidR="00A81102" w:rsidRPr="00F14325">
        <w:rPr>
          <w:rFonts w:ascii="Times New Roman" w:hAnsi="Times New Roman" w:cs="Times New Roman"/>
          <w:sz w:val="24"/>
          <w:szCs w:val="24"/>
        </w:rPr>
        <w:t xml:space="preserve"> Wanneer de woning als onderpand dient en tegelijker</w:t>
      </w:r>
      <w:r w:rsidR="001C5306">
        <w:rPr>
          <w:rFonts w:ascii="Times New Roman" w:hAnsi="Times New Roman" w:cs="Times New Roman"/>
          <w:sz w:val="24"/>
          <w:szCs w:val="24"/>
        </w:rPr>
        <w:t>tijd de prijzen van woningen stij</w:t>
      </w:r>
      <w:r w:rsidR="00A81102" w:rsidRPr="00F14325">
        <w:rPr>
          <w:rFonts w:ascii="Times New Roman" w:hAnsi="Times New Roman" w:cs="Times New Roman"/>
          <w:sz w:val="24"/>
          <w:szCs w:val="24"/>
        </w:rPr>
        <w:t>gen</w:t>
      </w:r>
      <w:r w:rsidR="001C5306">
        <w:rPr>
          <w:rFonts w:ascii="Times New Roman" w:hAnsi="Times New Roman" w:cs="Times New Roman"/>
          <w:sz w:val="24"/>
          <w:szCs w:val="24"/>
        </w:rPr>
        <w:t>, kunnen</w:t>
      </w:r>
      <w:r w:rsidR="00E1304B" w:rsidRPr="00F14325">
        <w:rPr>
          <w:rFonts w:ascii="Times New Roman" w:hAnsi="Times New Roman" w:cs="Times New Roman"/>
          <w:sz w:val="24"/>
          <w:szCs w:val="24"/>
        </w:rPr>
        <w:t xml:space="preserve"> huizenbezitters</w:t>
      </w:r>
      <w:r w:rsidR="007700C1" w:rsidRPr="00F14325">
        <w:rPr>
          <w:rFonts w:ascii="Times New Roman" w:hAnsi="Times New Roman" w:cs="Times New Roman"/>
          <w:sz w:val="24"/>
          <w:szCs w:val="24"/>
        </w:rPr>
        <w:t xml:space="preserve"> gemakkelijk</w:t>
      </w:r>
      <w:r w:rsidR="00A81102" w:rsidRPr="00F14325">
        <w:rPr>
          <w:rFonts w:ascii="Times New Roman" w:hAnsi="Times New Roman" w:cs="Times New Roman"/>
          <w:sz w:val="24"/>
          <w:szCs w:val="24"/>
        </w:rPr>
        <w:t xml:space="preserve"> over deze overwaarde</w:t>
      </w:r>
      <w:r w:rsidR="00E1304B" w:rsidRPr="00F14325">
        <w:rPr>
          <w:rFonts w:ascii="Times New Roman" w:hAnsi="Times New Roman" w:cs="Times New Roman"/>
          <w:sz w:val="24"/>
          <w:szCs w:val="24"/>
        </w:rPr>
        <w:t xml:space="preserve"> een aanvullend hypotheek opnemen voor </w:t>
      </w:r>
      <w:r w:rsidR="00B5127C" w:rsidRPr="00F14325">
        <w:rPr>
          <w:rFonts w:ascii="Times New Roman" w:hAnsi="Times New Roman" w:cs="Times New Roman"/>
          <w:sz w:val="24"/>
          <w:szCs w:val="24"/>
        </w:rPr>
        <w:t>consumptieve uitgaven.</w:t>
      </w:r>
      <w:r w:rsidR="00BD36DE">
        <w:rPr>
          <w:rFonts w:ascii="Times New Roman" w:hAnsi="Times New Roman" w:cs="Times New Roman"/>
          <w:sz w:val="24"/>
          <w:szCs w:val="24"/>
        </w:rPr>
        <w:t xml:space="preserve"> De banken faciliteerden dit gedrag ook door zonder veel restricties krediet te verstrekken, dat leek veilig aangezien de huizenprijzen gedurende lange tijd toch een groei vertoonden. </w:t>
      </w:r>
      <w:r w:rsidR="00B5127C" w:rsidRPr="00F14325">
        <w:rPr>
          <w:rFonts w:ascii="Times New Roman" w:hAnsi="Times New Roman" w:cs="Times New Roman"/>
          <w:sz w:val="24"/>
          <w:szCs w:val="24"/>
        </w:rPr>
        <w:t>Het CBS becijferde deze overwaarde</w:t>
      </w:r>
      <w:r w:rsidR="004C60AC" w:rsidRPr="00F14325">
        <w:rPr>
          <w:rFonts w:ascii="Times New Roman" w:hAnsi="Times New Roman" w:cs="Times New Roman"/>
          <w:sz w:val="24"/>
          <w:szCs w:val="24"/>
        </w:rPr>
        <w:t>. H</w:t>
      </w:r>
      <w:r w:rsidR="00B5127C" w:rsidRPr="00F14325">
        <w:rPr>
          <w:rFonts w:ascii="Times New Roman" w:hAnsi="Times New Roman" w:cs="Times New Roman"/>
          <w:sz w:val="24"/>
          <w:szCs w:val="24"/>
        </w:rPr>
        <w:t>et toppunt van deze overwaarde lag in 2</w:t>
      </w:r>
      <w:r w:rsidR="004C60AC" w:rsidRPr="00F14325">
        <w:rPr>
          <w:rFonts w:ascii="Times New Roman" w:hAnsi="Times New Roman" w:cs="Times New Roman"/>
          <w:sz w:val="24"/>
          <w:szCs w:val="24"/>
        </w:rPr>
        <w:t xml:space="preserve">007 op </w:t>
      </w:r>
      <w:r w:rsidR="00B5127C" w:rsidRPr="00F14325">
        <w:rPr>
          <w:rFonts w:ascii="Times New Roman" w:hAnsi="Times New Roman" w:cs="Times New Roman"/>
          <w:sz w:val="24"/>
          <w:szCs w:val="24"/>
        </w:rPr>
        <w:t>657</w:t>
      </w:r>
      <w:r w:rsidR="004C60AC" w:rsidRPr="00F14325">
        <w:rPr>
          <w:rFonts w:ascii="Times New Roman" w:hAnsi="Times New Roman" w:cs="Times New Roman"/>
          <w:sz w:val="24"/>
          <w:szCs w:val="24"/>
        </w:rPr>
        <w:t xml:space="preserve"> miljard euro. Dit ‘opeten’ van het huis vormde jarenlang de basis van de sterk stijgende consumptieve uitgaven.</w:t>
      </w:r>
      <w:r w:rsidR="005B4589" w:rsidRPr="00F14325">
        <w:rPr>
          <w:rStyle w:val="Voetnootmarkering"/>
          <w:rFonts w:ascii="Times New Roman" w:hAnsi="Times New Roman" w:cs="Times New Roman"/>
          <w:sz w:val="24"/>
          <w:szCs w:val="24"/>
        </w:rPr>
        <w:footnoteReference w:id="8"/>
      </w:r>
      <w:r w:rsidR="004C60AC" w:rsidRPr="00F14325">
        <w:rPr>
          <w:rFonts w:ascii="Times New Roman" w:hAnsi="Times New Roman" w:cs="Times New Roman"/>
          <w:sz w:val="24"/>
          <w:szCs w:val="24"/>
        </w:rPr>
        <w:t xml:space="preserve"> Sinds 2008 zijn de huizenprijzen echter geda</w:t>
      </w:r>
      <w:r w:rsidR="001C5306">
        <w:rPr>
          <w:rFonts w:ascii="Times New Roman" w:hAnsi="Times New Roman" w:cs="Times New Roman"/>
          <w:sz w:val="24"/>
          <w:szCs w:val="24"/>
        </w:rPr>
        <w:t xml:space="preserve">ald en is </w:t>
      </w:r>
      <w:r w:rsidR="004C60AC" w:rsidRPr="00F14325">
        <w:rPr>
          <w:rFonts w:ascii="Times New Roman" w:hAnsi="Times New Roman" w:cs="Times New Roman"/>
          <w:sz w:val="24"/>
          <w:szCs w:val="24"/>
        </w:rPr>
        <w:t xml:space="preserve">de basis voor de sterke </w:t>
      </w:r>
      <w:r w:rsidR="00392D46" w:rsidRPr="00F14325">
        <w:rPr>
          <w:rFonts w:ascii="Times New Roman" w:hAnsi="Times New Roman" w:cs="Times New Roman"/>
          <w:sz w:val="24"/>
          <w:szCs w:val="24"/>
        </w:rPr>
        <w:t xml:space="preserve">extra </w:t>
      </w:r>
      <w:r w:rsidR="004C60AC" w:rsidRPr="00F14325">
        <w:rPr>
          <w:rFonts w:ascii="Times New Roman" w:hAnsi="Times New Roman" w:cs="Times New Roman"/>
          <w:sz w:val="24"/>
          <w:szCs w:val="24"/>
        </w:rPr>
        <w:t>stijging niet meer aanwezig.</w:t>
      </w:r>
    </w:p>
    <w:p w:rsidR="00392D46" w:rsidRPr="00F14325" w:rsidRDefault="001C5306" w:rsidP="002E4516">
      <w:pPr>
        <w:spacing w:line="360" w:lineRule="auto"/>
        <w:jc w:val="both"/>
        <w:rPr>
          <w:rFonts w:ascii="Times New Roman" w:hAnsi="Times New Roman" w:cs="Times New Roman"/>
          <w:sz w:val="24"/>
          <w:szCs w:val="24"/>
        </w:rPr>
      </w:pPr>
      <w:r>
        <w:rPr>
          <w:rFonts w:ascii="Times New Roman" w:hAnsi="Times New Roman" w:cs="Times New Roman"/>
          <w:sz w:val="24"/>
          <w:szCs w:val="24"/>
        </w:rPr>
        <w:t>De laatste jaren is vrij veel onderzoek gedaan</w:t>
      </w:r>
      <w:r w:rsidR="00405008" w:rsidRPr="00F14325">
        <w:rPr>
          <w:rFonts w:ascii="Times New Roman" w:hAnsi="Times New Roman" w:cs="Times New Roman"/>
          <w:sz w:val="24"/>
          <w:szCs w:val="24"/>
        </w:rPr>
        <w:t xml:space="preserve"> naar de effecten van de huizenprijzen op de consumptie. Een benadering op microniveau gaat meestal uit van </w:t>
      </w:r>
      <w:r w:rsidR="00B41D00">
        <w:rPr>
          <w:rFonts w:ascii="Times New Roman" w:hAnsi="Times New Roman" w:cs="Times New Roman"/>
          <w:i/>
          <w:sz w:val="24"/>
          <w:szCs w:val="24"/>
        </w:rPr>
        <w:t xml:space="preserve">the </w:t>
      </w:r>
      <w:r w:rsidR="00405008" w:rsidRPr="00F14325">
        <w:rPr>
          <w:rFonts w:ascii="Times New Roman" w:hAnsi="Times New Roman" w:cs="Times New Roman"/>
          <w:i/>
          <w:sz w:val="24"/>
          <w:szCs w:val="24"/>
        </w:rPr>
        <w:t>per</w:t>
      </w:r>
      <w:r w:rsidR="007700C1" w:rsidRPr="00F14325">
        <w:rPr>
          <w:rFonts w:ascii="Times New Roman" w:hAnsi="Times New Roman" w:cs="Times New Roman"/>
          <w:i/>
          <w:sz w:val="24"/>
          <w:szCs w:val="24"/>
        </w:rPr>
        <w:t>man</w:t>
      </w:r>
      <w:r w:rsidR="00405008" w:rsidRPr="00F14325">
        <w:rPr>
          <w:rFonts w:ascii="Times New Roman" w:hAnsi="Times New Roman" w:cs="Times New Roman"/>
          <w:i/>
          <w:sz w:val="24"/>
          <w:szCs w:val="24"/>
        </w:rPr>
        <w:t>ent income hypothesis</w:t>
      </w:r>
      <w:r w:rsidR="00405008" w:rsidRPr="00F14325">
        <w:rPr>
          <w:rFonts w:ascii="Times New Roman" w:hAnsi="Times New Roman" w:cs="Times New Roman"/>
          <w:sz w:val="24"/>
          <w:szCs w:val="24"/>
        </w:rPr>
        <w:t>. Dat wil zeggen dat de consument zijn uitgaven baseert op zijn totale huidige vermogen en zijn totale toekomstige vermogen. Naarmate de huizenprijzen dalen</w:t>
      </w:r>
      <w:r w:rsidR="00B41D00">
        <w:rPr>
          <w:rFonts w:ascii="Times New Roman" w:hAnsi="Times New Roman" w:cs="Times New Roman"/>
          <w:sz w:val="24"/>
          <w:szCs w:val="24"/>
        </w:rPr>
        <w:t>,</w:t>
      </w:r>
      <w:r w:rsidR="00405008" w:rsidRPr="00F14325">
        <w:rPr>
          <w:rFonts w:ascii="Times New Roman" w:hAnsi="Times New Roman" w:cs="Times New Roman"/>
          <w:sz w:val="24"/>
          <w:szCs w:val="24"/>
        </w:rPr>
        <w:t xml:space="preserve"> neemt het vermogen af</w:t>
      </w:r>
      <w:r w:rsidR="00B41D00">
        <w:rPr>
          <w:rFonts w:ascii="Times New Roman" w:hAnsi="Times New Roman" w:cs="Times New Roman"/>
          <w:sz w:val="24"/>
          <w:szCs w:val="24"/>
        </w:rPr>
        <w:t>. D</w:t>
      </w:r>
      <w:r w:rsidR="00405008" w:rsidRPr="00F14325">
        <w:rPr>
          <w:rFonts w:ascii="Times New Roman" w:hAnsi="Times New Roman" w:cs="Times New Roman"/>
          <w:sz w:val="24"/>
          <w:szCs w:val="24"/>
        </w:rPr>
        <w:t xml:space="preserve">e consument baseert hier zijn consumptiebeslissingen op. </w:t>
      </w:r>
      <w:r w:rsidR="008F3D5B" w:rsidRPr="00F14325">
        <w:rPr>
          <w:rFonts w:ascii="Times New Roman" w:hAnsi="Times New Roman" w:cs="Times New Roman"/>
          <w:sz w:val="24"/>
          <w:szCs w:val="24"/>
        </w:rPr>
        <w:t xml:space="preserve">Het </w:t>
      </w:r>
      <w:r w:rsidR="00392D46" w:rsidRPr="00F14325">
        <w:rPr>
          <w:rFonts w:ascii="Times New Roman" w:hAnsi="Times New Roman" w:cs="Times New Roman"/>
          <w:sz w:val="24"/>
          <w:szCs w:val="24"/>
        </w:rPr>
        <w:t xml:space="preserve">onderzoeken naar het effect van huizenprijzen op de consumptie blijkt dat </w:t>
      </w:r>
      <w:r w:rsidR="006F2503" w:rsidRPr="00F14325">
        <w:rPr>
          <w:rFonts w:ascii="Times New Roman" w:hAnsi="Times New Roman" w:cs="Times New Roman"/>
          <w:sz w:val="24"/>
          <w:szCs w:val="24"/>
        </w:rPr>
        <w:t xml:space="preserve">een inzakkende huizenmarkt gepaard gaat met een afname in de consumptie. Dit effect is groter als daarvoor de </w:t>
      </w:r>
      <w:r w:rsidR="006F2503" w:rsidRPr="00F14325">
        <w:rPr>
          <w:rFonts w:ascii="Times New Roman" w:hAnsi="Times New Roman" w:cs="Times New Roman"/>
          <w:sz w:val="24"/>
          <w:szCs w:val="24"/>
        </w:rPr>
        <w:lastRenderedPageBreak/>
        <w:t>consumen</w:t>
      </w:r>
      <w:r w:rsidR="00B41D00">
        <w:rPr>
          <w:rFonts w:ascii="Times New Roman" w:hAnsi="Times New Roman" w:cs="Times New Roman"/>
          <w:sz w:val="24"/>
          <w:szCs w:val="24"/>
        </w:rPr>
        <w:t>tenschulden sterk gestegen zijn</w:t>
      </w:r>
      <w:r w:rsidR="006F2503" w:rsidRPr="00F14325">
        <w:rPr>
          <w:rFonts w:ascii="Times New Roman" w:hAnsi="Times New Roman" w:cs="Times New Roman"/>
          <w:sz w:val="24"/>
          <w:szCs w:val="24"/>
        </w:rPr>
        <w:t xml:space="preserve"> (IMF, 2012)</w:t>
      </w:r>
      <w:r w:rsidR="00B41D00">
        <w:rPr>
          <w:rFonts w:ascii="Times New Roman" w:hAnsi="Times New Roman" w:cs="Times New Roman"/>
          <w:sz w:val="24"/>
          <w:szCs w:val="24"/>
        </w:rPr>
        <w:t>.</w:t>
      </w:r>
      <w:r w:rsidR="006F2503" w:rsidRPr="00F14325">
        <w:rPr>
          <w:rFonts w:ascii="Times New Roman" w:hAnsi="Times New Roman" w:cs="Times New Roman"/>
          <w:sz w:val="24"/>
          <w:szCs w:val="24"/>
        </w:rPr>
        <w:t xml:space="preserve"> Deze situatie is vergelijkbaar met Nederland waar kort voor de inzakkende huizenmarkt de particuliere schulden enorm zijn toegenomen (zie figuur 1)</w:t>
      </w:r>
      <w:r w:rsidR="00774EEE" w:rsidRPr="00F14325">
        <w:rPr>
          <w:rFonts w:ascii="Times New Roman" w:hAnsi="Times New Roman" w:cs="Times New Roman"/>
          <w:sz w:val="24"/>
          <w:szCs w:val="24"/>
        </w:rPr>
        <w:t>.</w:t>
      </w:r>
      <w:r w:rsidR="001B4DEE" w:rsidRPr="00F14325">
        <w:rPr>
          <w:rFonts w:ascii="Times New Roman" w:hAnsi="Times New Roman" w:cs="Times New Roman"/>
          <w:sz w:val="24"/>
          <w:szCs w:val="24"/>
        </w:rPr>
        <w:t xml:space="preserve"> Campbell en Cocco (2007) vinden ditzelfde effect op basis van microdata voor het </w:t>
      </w:r>
      <w:r w:rsidR="00B41D00">
        <w:rPr>
          <w:rFonts w:ascii="Times New Roman" w:hAnsi="Times New Roman" w:cs="Times New Roman"/>
          <w:sz w:val="24"/>
          <w:szCs w:val="24"/>
        </w:rPr>
        <w:t>Verenigd K</w:t>
      </w:r>
      <w:r w:rsidR="001B4DEE" w:rsidRPr="00F14325">
        <w:rPr>
          <w:rFonts w:ascii="Times New Roman" w:hAnsi="Times New Roman" w:cs="Times New Roman"/>
          <w:sz w:val="24"/>
          <w:szCs w:val="24"/>
        </w:rPr>
        <w:t>oninkrijk, waarbij voor de oudere huizenbezitters een groter effect werd gevonden dan voor de jongere huizenbezitters.</w:t>
      </w:r>
      <w:r w:rsidR="00774EEE" w:rsidRPr="00F14325">
        <w:rPr>
          <w:rFonts w:ascii="Times New Roman" w:hAnsi="Times New Roman" w:cs="Times New Roman"/>
          <w:sz w:val="24"/>
          <w:szCs w:val="24"/>
        </w:rPr>
        <w:t xml:space="preserve"> Naast deze micro-economische benadering is er een </w:t>
      </w:r>
      <w:r w:rsidR="00193A12" w:rsidRPr="00F14325">
        <w:rPr>
          <w:rFonts w:ascii="Times New Roman" w:hAnsi="Times New Roman" w:cs="Times New Roman"/>
          <w:sz w:val="24"/>
          <w:szCs w:val="24"/>
        </w:rPr>
        <w:t>macro-economische</w:t>
      </w:r>
      <w:r w:rsidR="00774EEE" w:rsidRPr="00F14325">
        <w:rPr>
          <w:rFonts w:ascii="Times New Roman" w:hAnsi="Times New Roman" w:cs="Times New Roman"/>
          <w:sz w:val="24"/>
          <w:szCs w:val="24"/>
        </w:rPr>
        <w:t xml:space="preserve"> benadering</w:t>
      </w:r>
      <w:r w:rsidR="00193A12" w:rsidRPr="00F14325">
        <w:rPr>
          <w:rFonts w:ascii="Times New Roman" w:hAnsi="Times New Roman" w:cs="Times New Roman"/>
          <w:sz w:val="24"/>
          <w:szCs w:val="24"/>
        </w:rPr>
        <w:t xml:space="preserve">. Deze benadering relateert het effect van een verandering in het huizenvermogen op macro niveau aan veranderingen in de consumptie van </w:t>
      </w:r>
      <w:r w:rsidR="00246CC5" w:rsidRPr="00F14325">
        <w:rPr>
          <w:rFonts w:ascii="Times New Roman" w:hAnsi="Times New Roman" w:cs="Times New Roman"/>
          <w:sz w:val="24"/>
          <w:szCs w:val="24"/>
        </w:rPr>
        <w:t xml:space="preserve">de huishoudens. </w:t>
      </w:r>
      <w:r w:rsidR="001B4DEE" w:rsidRPr="00F14325">
        <w:rPr>
          <w:rFonts w:ascii="Times New Roman" w:hAnsi="Times New Roman" w:cs="Times New Roman"/>
          <w:sz w:val="24"/>
          <w:szCs w:val="24"/>
        </w:rPr>
        <w:t>Uit onderzo</w:t>
      </w:r>
      <w:r w:rsidR="006F0795" w:rsidRPr="00F14325">
        <w:rPr>
          <w:rFonts w:ascii="Times New Roman" w:hAnsi="Times New Roman" w:cs="Times New Roman"/>
          <w:sz w:val="24"/>
          <w:szCs w:val="24"/>
        </w:rPr>
        <w:t>ek op basis van data uit de VS vinden Caroll, Otsuka en Slacalec (2011) een elasticiteit van 0,02 op de korte termijn en 0,09 voor de lange termijn. In de modellen van het CPB die de consumptie modelleren</w:t>
      </w:r>
      <w:r w:rsidR="00B41D00">
        <w:rPr>
          <w:rFonts w:ascii="Times New Roman" w:hAnsi="Times New Roman" w:cs="Times New Roman"/>
          <w:sz w:val="24"/>
          <w:szCs w:val="24"/>
        </w:rPr>
        <w:t>,</w:t>
      </w:r>
      <w:r w:rsidR="006F0795" w:rsidRPr="00F14325">
        <w:rPr>
          <w:rFonts w:ascii="Times New Roman" w:hAnsi="Times New Roman" w:cs="Times New Roman"/>
          <w:sz w:val="24"/>
          <w:szCs w:val="24"/>
        </w:rPr>
        <w:t xml:space="preserve"> is in het saffier II model een coëfficiënt van  0,035 opgenomen. Elke 10.000 euro waardedaling van het huizenbezit leidt tot daling van de consumptie met 350 euro.</w:t>
      </w:r>
      <w:r w:rsidR="002E4516" w:rsidRPr="00F14325">
        <w:rPr>
          <w:rFonts w:ascii="Times New Roman" w:hAnsi="Times New Roman" w:cs="Times New Roman"/>
          <w:sz w:val="24"/>
          <w:szCs w:val="24"/>
        </w:rPr>
        <w:t xml:space="preserve"> Volgens het CPB kan de daling van de consumptie in de periode 2008-2012 voor ongeveer de helft worden toegeschreven aan</w:t>
      </w:r>
      <w:r w:rsidR="00512F66">
        <w:rPr>
          <w:rFonts w:ascii="Times New Roman" w:hAnsi="Times New Roman" w:cs="Times New Roman"/>
          <w:sz w:val="24"/>
          <w:szCs w:val="24"/>
        </w:rPr>
        <w:t xml:space="preserve"> de daling van de huizenprijzen (CPB, 2013).</w:t>
      </w:r>
    </w:p>
    <w:p w:rsidR="00B41D00" w:rsidRDefault="00B41D00" w:rsidP="00680BAD">
      <w:pPr>
        <w:pStyle w:val="Kop2"/>
      </w:pPr>
    </w:p>
    <w:p w:rsidR="001E4F38" w:rsidRPr="00F14325" w:rsidRDefault="00331319" w:rsidP="00680BAD">
      <w:pPr>
        <w:pStyle w:val="Kop2"/>
      </w:pPr>
      <w:bookmarkStart w:id="16" w:name="_Toc365277093"/>
      <w:r>
        <w:t xml:space="preserve">3.4 </w:t>
      </w:r>
      <w:r w:rsidR="001E4F38" w:rsidRPr="00F14325">
        <w:t>Flexibiliteit arbeidsmarkt</w:t>
      </w:r>
      <w:bookmarkEnd w:id="16"/>
      <w:r w:rsidR="001E4F38" w:rsidRPr="00F14325">
        <w:t xml:space="preserve"> </w:t>
      </w:r>
    </w:p>
    <w:p w:rsidR="001E4F38" w:rsidRPr="00F14325" w:rsidRDefault="0056645D"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Transactiekosten van onroerend goed hebben invloed op de economische prestaties van Nederland. Alhoewel de transactiekosten in </w:t>
      </w:r>
      <w:r w:rsidR="00B41D00">
        <w:rPr>
          <w:rFonts w:ascii="Times New Roman" w:hAnsi="Times New Roman" w:cs="Times New Roman"/>
          <w:sz w:val="24"/>
          <w:szCs w:val="24"/>
        </w:rPr>
        <w:t>E</w:t>
      </w:r>
      <w:r w:rsidRPr="00F14325">
        <w:rPr>
          <w:rFonts w:ascii="Times New Roman" w:hAnsi="Times New Roman" w:cs="Times New Roman"/>
          <w:sz w:val="24"/>
          <w:szCs w:val="24"/>
        </w:rPr>
        <w:t>uropees perspectief niet substantieel hoger zijn</w:t>
      </w:r>
      <w:r w:rsidR="00C51CD8" w:rsidRPr="00F14325">
        <w:rPr>
          <w:rFonts w:ascii="Times New Roman" w:hAnsi="Times New Roman" w:cs="Times New Roman"/>
          <w:sz w:val="24"/>
          <w:szCs w:val="24"/>
        </w:rPr>
        <w:t xml:space="preserve"> (vergelijkbaar met </w:t>
      </w:r>
      <w:r w:rsidR="00DD209E" w:rsidRPr="00F14325">
        <w:rPr>
          <w:rFonts w:ascii="Times New Roman" w:hAnsi="Times New Roman" w:cs="Times New Roman"/>
          <w:sz w:val="24"/>
          <w:szCs w:val="24"/>
        </w:rPr>
        <w:t>Duitsland</w:t>
      </w:r>
      <w:r w:rsidR="00C51CD8" w:rsidRPr="00F14325">
        <w:rPr>
          <w:rFonts w:ascii="Times New Roman" w:hAnsi="Times New Roman" w:cs="Times New Roman"/>
          <w:sz w:val="24"/>
          <w:szCs w:val="24"/>
        </w:rPr>
        <w:t>)</w:t>
      </w:r>
      <w:r w:rsidRPr="00F14325">
        <w:rPr>
          <w:rFonts w:ascii="Times New Roman" w:hAnsi="Times New Roman" w:cs="Times New Roman"/>
          <w:sz w:val="24"/>
          <w:szCs w:val="24"/>
        </w:rPr>
        <w:t>, kunnen deze kosten in combinatie met het feit dat veel huiseigenaren onder water st</w:t>
      </w:r>
      <w:r w:rsidR="00A82EEF" w:rsidRPr="00F14325">
        <w:rPr>
          <w:rFonts w:ascii="Times New Roman" w:hAnsi="Times New Roman" w:cs="Times New Roman"/>
          <w:sz w:val="24"/>
          <w:szCs w:val="24"/>
        </w:rPr>
        <w:t>aan</w:t>
      </w:r>
      <w:r w:rsidR="00B41D00">
        <w:rPr>
          <w:rFonts w:ascii="Times New Roman" w:hAnsi="Times New Roman" w:cs="Times New Roman"/>
          <w:sz w:val="24"/>
          <w:szCs w:val="24"/>
        </w:rPr>
        <w:t>,</w:t>
      </w:r>
      <w:r w:rsidR="00A82EEF" w:rsidRPr="00F14325">
        <w:rPr>
          <w:rFonts w:ascii="Times New Roman" w:hAnsi="Times New Roman" w:cs="Times New Roman"/>
          <w:sz w:val="24"/>
          <w:szCs w:val="24"/>
        </w:rPr>
        <w:t xml:space="preserve"> leiden tot een verstarring op</w:t>
      </w:r>
      <w:r w:rsidRPr="00F14325">
        <w:rPr>
          <w:rFonts w:ascii="Times New Roman" w:hAnsi="Times New Roman" w:cs="Times New Roman"/>
          <w:sz w:val="24"/>
          <w:szCs w:val="24"/>
        </w:rPr>
        <w:t xml:space="preserve"> de huizenmarkt. </w:t>
      </w:r>
      <w:r w:rsidR="00C51CD8" w:rsidRPr="00F14325">
        <w:rPr>
          <w:rFonts w:ascii="Times New Roman" w:hAnsi="Times New Roman" w:cs="Times New Roman"/>
          <w:sz w:val="24"/>
          <w:szCs w:val="24"/>
        </w:rPr>
        <w:t xml:space="preserve">Voorbeelden van deze kosten zijn: overdrachtsbelasting, registratiekosten voor eigendom en </w:t>
      </w:r>
      <w:r w:rsidR="00DD209E" w:rsidRPr="00F14325">
        <w:rPr>
          <w:rFonts w:ascii="Times New Roman" w:hAnsi="Times New Roman" w:cs="Times New Roman"/>
          <w:sz w:val="24"/>
          <w:szCs w:val="24"/>
        </w:rPr>
        <w:t xml:space="preserve">de </w:t>
      </w:r>
      <w:r w:rsidR="00C51CD8" w:rsidRPr="00F14325">
        <w:rPr>
          <w:rFonts w:ascii="Times New Roman" w:hAnsi="Times New Roman" w:cs="Times New Roman"/>
          <w:sz w:val="24"/>
          <w:szCs w:val="24"/>
        </w:rPr>
        <w:t xml:space="preserve">notariskosten. </w:t>
      </w:r>
      <w:r w:rsidRPr="00F14325">
        <w:rPr>
          <w:rFonts w:ascii="Times New Roman" w:hAnsi="Times New Roman" w:cs="Times New Roman"/>
          <w:sz w:val="24"/>
          <w:szCs w:val="24"/>
        </w:rPr>
        <w:t>Eigenaren zullen niet meer in staat zijn om hun eigendom te verkopen en te verhuizen naar elders. Dit heeft ook e</w:t>
      </w:r>
      <w:r w:rsidR="00C51CD8" w:rsidRPr="00F14325">
        <w:rPr>
          <w:rFonts w:ascii="Times New Roman" w:hAnsi="Times New Roman" w:cs="Times New Roman"/>
          <w:sz w:val="24"/>
          <w:szCs w:val="24"/>
        </w:rPr>
        <w:t>ffecten op de arbeidsmarkt. Huiseigenaren kunnen minder makkelijk</w:t>
      </w:r>
      <w:r w:rsidRPr="00F14325">
        <w:rPr>
          <w:rFonts w:ascii="Times New Roman" w:hAnsi="Times New Roman" w:cs="Times New Roman"/>
          <w:sz w:val="24"/>
          <w:szCs w:val="24"/>
        </w:rPr>
        <w:t xml:space="preserve"> </w:t>
      </w:r>
      <w:r w:rsidR="00C51CD8" w:rsidRPr="00F14325">
        <w:rPr>
          <w:rFonts w:ascii="Times New Roman" w:hAnsi="Times New Roman" w:cs="Times New Roman"/>
          <w:sz w:val="24"/>
          <w:szCs w:val="24"/>
        </w:rPr>
        <w:t>verhuizen naar regio’s met een goed betaalde baan</w:t>
      </w:r>
      <w:r w:rsidR="00DD209E" w:rsidRPr="00F14325">
        <w:rPr>
          <w:rFonts w:ascii="Times New Roman" w:hAnsi="Times New Roman" w:cs="Times New Roman"/>
          <w:sz w:val="24"/>
          <w:szCs w:val="24"/>
        </w:rPr>
        <w:t xml:space="preserve"> of een grotere vraag naar arbeid</w:t>
      </w:r>
      <w:r w:rsidR="00C51CD8" w:rsidRPr="00F14325">
        <w:rPr>
          <w:rFonts w:ascii="Times New Roman" w:hAnsi="Times New Roman" w:cs="Times New Roman"/>
          <w:sz w:val="24"/>
          <w:szCs w:val="24"/>
        </w:rPr>
        <w:t xml:space="preserve">. </w:t>
      </w:r>
      <w:r w:rsidRPr="00F14325">
        <w:rPr>
          <w:rFonts w:ascii="Times New Roman" w:hAnsi="Times New Roman" w:cs="Times New Roman"/>
          <w:sz w:val="24"/>
          <w:szCs w:val="24"/>
        </w:rPr>
        <w:t>Deze transactiekosten reduceren</w:t>
      </w:r>
      <w:r w:rsidR="00C51CD8" w:rsidRPr="00F14325">
        <w:rPr>
          <w:rFonts w:ascii="Times New Roman" w:hAnsi="Times New Roman" w:cs="Times New Roman"/>
          <w:sz w:val="24"/>
          <w:szCs w:val="24"/>
        </w:rPr>
        <w:t xml:space="preserve"> de flexibiliteit van arbeid op de Nederlandse arbeidsmarkt. Naast deze transactiekosten </w:t>
      </w:r>
      <w:r w:rsidR="00DD209E" w:rsidRPr="00F14325">
        <w:rPr>
          <w:rFonts w:ascii="Times New Roman" w:hAnsi="Times New Roman" w:cs="Times New Roman"/>
          <w:sz w:val="24"/>
          <w:szCs w:val="24"/>
        </w:rPr>
        <w:t xml:space="preserve">zorgt de regelgeving op de huurmarkt ervoor dat </w:t>
      </w:r>
      <w:r w:rsidR="00C51CD8" w:rsidRPr="00F14325">
        <w:rPr>
          <w:rFonts w:ascii="Times New Roman" w:hAnsi="Times New Roman" w:cs="Times New Roman"/>
          <w:sz w:val="24"/>
          <w:szCs w:val="24"/>
        </w:rPr>
        <w:t xml:space="preserve"> </w:t>
      </w:r>
      <w:r w:rsidR="00DD209E" w:rsidRPr="00F14325">
        <w:rPr>
          <w:rFonts w:ascii="Times New Roman" w:hAnsi="Times New Roman" w:cs="Times New Roman"/>
          <w:sz w:val="24"/>
          <w:szCs w:val="24"/>
        </w:rPr>
        <w:t xml:space="preserve">de flexibiliteit op de huurmarkt sterk gereduceerd wordt </w:t>
      </w:r>
      <w:r w:rsidR="00337CA4" w:rsidRPr="00F14325">
        <w:rPr>
          <w:rFonts w:ascii="Times New Roman" w:hAnsi="Times New Roman" w:cs="Times New Roman"/>
          <w:sz w:val="24"/>
          <w:szCs w:val="24"/>
        </w:rPr>
        <w:t xml:space="preserve">(EU, 2012). </w:t>
      </w:r>
      <w:r w:rsidR="00C51CD8" w:rsidRPr="00F14325">
        <w:rPr>
          <w:rFonts w:ascii="Times New Roman" w:hAnsi="Times New Roman" w:cs="Times New Roman"/>
          <w:sz w:val="24"/>
          <w:szCs w:val="24"/>
        </w:rPr>
        <w:t xml:space="preserve">Vooral </w:t>
      </w:r>
      <w:r w:rsidR="00DD209E" w:rsidRPr="00F14325">
        <w:rPr>
          <w:rFonts w:ascii="Times New Roman" w:hAnsi="Times New Roman" w:cs="Times New Roman"/>
          <w:sz w:val="24"/>
          <w:szCs w:val="24"/>
        </w:rPr>
        <w:t xml:space="preserve">het systeem met </w:t>
      </w:r>
      <w:r w:rsidR="00C51CD8" w:rsidRPr="00F14325">
        <w:rPr>
          <w:rFonts w:ascii="Times New Roman" w:hAnsi="Times New Roman" w:cs="Times New Roman"/>
          <w:sz w:val="24"/>
          <w:szCs w:val="24"/>
        </w:rPr>
        <w:t>de regionale wachtlijsten voor sociale huurwoningen ma</w:t>
      </w:r>
      <w:r w:rsidR="00B41D00">
        <w:rPr>
          <w:rFonts w:ascii="Times New Roman" w:hAnsi="Times New Roman" w:cs="Times New Roman"/>
          <w:sz w:val="24"/>
          <w:szCs w:val="24"/>
        </w:rPr>
        <w:t>akt</w:t>
      </w:r>
      <w:r w:rsidR="00C51CD8" w:rsidRPr="00F14325">
        <w:rPr>
          <w:rFonts w:ascii="Times New Roman" w:hAnsi="Times New Roman" w:cs="Times New Roman"/>
          <w:sz w:val="24"/>
          <w:szCs w:val="24"/>
        </w:rPr>
        <w:t xml:space="preserve"> dat wanneer men eenmaal een huurwoning verkregen heeft, of hoog op de wachtlijst staat, men minder snel geneigd is te verhuizen naar andere regio’s voor een beter beta</w:t>
      </w:r>
      <w:r w:rsidR="00DD209E" w:rsidRPr="00F14325">
        <w:rPr>
          <w:rFonts w:ascii="Times New Roman" w:hAnsi="Times New Roman" w:cs="Times New Roman"/>
          <w:sz w:val="24"/>
          <w:szCs w:val="24"/>
        </w:rPr>
        <w:t>alde baan. Deze problematiek wordt verergerd door de</w:t>
      </w:r>
      <w:r w:rsidR="000F49C3" w:rsidRPr="00F14325">
        <w:rPr>
          <w:rFonts w:ascii="Times New Roman" w:hAnsi="Times New Roman" w:cs="Times New Roman"/>
          <w:sz w:val="24"/>
          <w:szCs w:val="24"/>
        </w:rPr>
        <w:t xml:space="preserve"> situatie op de N</w:t>
      </w:r>
      <w:r w:rsidR="00A82EEF" w:rsidRPr="00F14325">
        <w:rPr>
          <w:rFonts w:ascii="Times New Roman" w:hAnsi="Times New Roman" w:cs="Times New Roman"/>
          <w:sz w:val="24"/>
          <w:szCs w:val="24"/>
        </w:rPr>
        <w:t>ederlandse</w:t>
      </w:r>
      <w:r w:rsidR="00DD209E" w:rsidRPr="00F14325">
        <w:rPr>
          <w:rFonts w:ascii="Times New Roman" w:hAnsi="Times New Roman" w:cs="Times New Roman"/>
          <w:sz w:val="24"/>
          <w:szCs w:val="24"/>
        </w:rPr>
        <w:t xml:space="preserve"> huurmarkt waarin het private huursegment bijna volledig is verdrongen door het sociale huursegment.</w:t>
      </w:r>
      <w:r w:rsidR="00C51CD8" w:rsidRPr="00F14325">
        <w:rPr>
          <w:rFonts w:ascii="Times New Roman" w:hAnsi="Times New Roman" w:cs="Times New Roman"/>
          <w:sz w:val="24"/>
          <w:szCs w:val="24"/>
        </w:rPr>
        <w:t xml:space="preserve"> </w:t>
      </w:r>
    </w:p>
    <w:p w:rsidR="00AA0F10" w:rsidRDefault="00AA0F10" w:rsidP="002E4516">
      <w:pPr>
        <w:spacing w:line="360" w:lineRule="auto"/>
        <w:jc w:val="both"/>
        <w:rPr>
          <w:rFonts w:ascii="Times New Roman" w:hAnsi="Times New Roman" w:cs="Times New Roman"/>
          <w:b/>
          <w:sz w:val="24"/>
          <w:szCs w:val="24"/>
          <w:u w:val="single"/>
        </w:rPr>
      </w:pPr>
    </w:p>
    <w:p w:rsidR="00DD209E" w:rsidRPr="00F14325" w:rsidRDefault="00331319" w:rsidP="00680BAD">
      <w:pPr>
        <w:pStyle w:val="Kop2"/>
      </w:pPr>
      <w:bookmarkStart w:id="17" w:name="_Toc365277094"/>
      <w:r>
        <w:lastRenderedPageBreak/>
        <w:t xml:space="preserve">3.5 </w:t>
      </w:r>
      <w:r w:rsidR="00DD209E" w:rsidRPr="00F14325">
        <w:t>Misallocatie van kapitaal</w:t>
      </w:r>
      <w:bookmarkEnd w:id="17"/>
    </w:p>
    <w:p w:rsidR="00ED018F" w:rsidRPr="00F14325" w:rsidRDefault="009A57A1"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Door de gunstige fiscale behandeling van de eigen woning is de private investering in de sociale huurbouw relatief ongunstig. Het tarief van 30% over 4% fictief rendement in box 3 (wat correspondeert met een belasting van 1,2%) is minimaal twee keer zo hoog als de belasting over de eigen woning. Dit </w:t>
      </w:r>
      <w:r w:rsidR="00CC4D9A" w:rsidRPr="00F14325">
        <w:rPr>
          <w:rFonts w:ascii="Times New Roman" w:hAnsi="Times New Roman" w:cs="Times New Roman"/>
          <w:sz w:val="24"/>
          <w:szCs w:val="24"/>
        </w:rPr>
        <w:t>verschillend fiscaal beleid leidt volgens ter Reele en Van Steen (2001) tot een toename van financiële verplichtingen in private huishoudens</w:t>
      </w:r>
      <w:r w:rsidR="000F106B" w:rsidRPr="00F14325">
        <w:rPr>
          <w:rFonts w:ascii="Times New Roman" w:hAnsi="Times New Roman" w:cs="Times New Roman"/>
          <w:sz w:val="24"/>
          <w:szCs w:val="24"/>
        </w:rPr>
        <w:t xml:space="preserve"> die uitsluitend gebaseerd </w:t>
      </w:r>
      <w:r w:rsidR="000C1847" w:rsidRPr="00F14325">
        <w:rPr>
          <w:rFonts w:ascii="Times New Roman" w:hAnsi="Times New Roman" w:cs="Times New Roman"/>
          <w:sz w:val="24"/>
          <w:szCs w:val="24"/>
        </w:rPr>
        <w:t>zijn</w:t>
      </w:r>
      <w:r w:rsidR="000F106B" w:rsidRPr="00F14325">
        <w:rPr>
          <w:rFonts w:ascii="Times New Roman" w:hAnsi="Times New Roman" w:cs="Times New Roman"/>
          <w:sz w:val="24"/>
          <w:szCs w:val="24"/>
        </w:rPr>
        <w:t xml:space="preserve"> op een fiscale prikkel.</w:t>
      </w:r>
      <w:r w:rsidR="00CC4D9A" w:rsidRPr="00F14325">
        <w:rPr>
          <w:rFonts w:ascii="Times New Roman" w:hAnsi="Times New Roman" w:cs="Times New Roman"/>
          <w:sz w:val="24"/>
          <w:szCs w:val="24"/>
        </w:rPr>
        <w:t xml:space="preserve"> Het volume van deze assets</w:t>
      </w:r>
      <w:r w:rsidR="000F106B" w:rsidRPr="00F14325">
        <w:rPr>
          <w:rFonts w:ascii="Times New Roman" w:hAnsi="Times New Roman" w:cs="Times New Roman"/>
          <w:sz w:val="24"/>
          <w:szCs w:val="24"/>
        </w:rPr>
        <w:t xml:space="preserve"> (de eigen woning)</w:t>
      </w:r>
      <w:r w:rsidR="00CC4D9A" w:rsidRPr="00F14325">
        <w:rPr>
          <w:rFonts w:ascii="Times New Roman" w:hAnsi="Times New Roman" w:cs="Times New Roman"/>
          <w:sz w:val="24"/>
          <w:szCs w:val="24"/>
        </w:rPr>
        <w:t xml:space="preserve"> overstijgt de efficiënte omvang, wat gepaard gaat met een zogenoemd dead</w:t>
      </w:r>
      <w:r w:rsidR="000F106B" w:rsidRPr="00F14325">
        <w:rPr>
          <w:rFonts w:ascii="Times New Roman" w:hAnsi="Times New Roman" w:cs="Times New Roman"/>
          <w:sz w:val="24"/>
          <w:szCs w:val="24"/>
        </w:rPr>
        <w:t>weight loss voor de samenleving. Investeren in de eigen woning is aantrekkelijker dan investeren in ander onroerend goed en m</w:t>
      </w:r>
      <w:r w:rsidR="00B41D00">
        <w:rPr>
          <w:rFonts w:ascii="Times New Roman" w:hAnsi="Times New Roman" w:cs="Times New Roman"/>
          <w:sz w:val="24"/>
          <w:szCs w:val="24"/>
        </w:rPr>
        <w:t>e</w:t>
      </w:r>
      <w:r w:rsidR="000F106B" w:rsidRPr="00F14325">
        <w:rPr>
          <w:rFonts w:ascii="Times New Roman" w:hAnsi="Times New Roman" w:cs="Times New Roman"/>
          <w:sz w:val="24"/>
          <w:szCs w:val="24"/>
        </w:rPr>
        <w:t xml:space="preserve">t name in sociale woningbouw. </w:t>
      </w:r>
    </w:p>
    <w:p w:rsidR="00AA0F10" w:rsidRDefault="00AA0F10" w:rsidP="002E4516">
      <w:pPr>
        <w:spacing w:line="360" w:lineRule="auto"/>
        <w:jc w:val="both"/>
        <w:rPr>
          <w:rFonts w:ascii="Times New Roman" w:hAnsi="Times New Roman" w:cs="Times New Roman"/>
          <w:b/>
          <w:sz w:val="24"/>
          <w:szCs w:val="24"/>
          <w:u w:val="single"/>
        </w:rPr>
      </w:pPr>
    </w:p>
    <w:p w:rsidR="00ED018F" w:rsidRPr="00F14325" w:rsidRDefault="00331319" w:rsidP="00680BAD">
      <w:pPr>
        <w:pStyle w:val="Kop2"/>
      </w:pPr>
      <w:bookmarkStart w:id="18" w:name="_Toc365277095"/>
      <w:r>
        <w:t xml:space="preserve">3.6 </w:t>
      </w:r>
      <w:r w:rsidR="00ED018F" w:rsidRPr="00F14325">
        <w:t>Systeemrisico</w:t>
      </w:r>
      <w:bookmarkEnd w:id="18"/>
    </w:p>
    <w:p w:rsidR="00DD209E" w:rsidRPr="00F14325" w:rsidRDefault="000F106B"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Naast deze missallocatie vormt de eenzijdige samenstelling van balansen van Nederlandse </w:t>
      </w:r>
      <w:r w:rsidR="00337CA4" w:rsidRPr="00F14325">
        <w:rPr>
          <w:rFonts w:ascii="Times New Roman" w:hAnsi="Times New Roman" w:cs="Times New Roman"/>
          <w:sz w:val="24"/>
          <w:szCs w:val="24"/>
        </w:rPr>
        <w:t>banken een systeemrisico. Onder andere de OESO, de Europese Unie, het IMF en verschillende ratingbureaus maken zich zorgen over de financiële stabiliteit door deze onevenwichtigheid in de Nederlandse economie.</w:t>
      </w:r>
      <w:r w:rsidR="00680BAD">
        <w:rPr>
          <w:rFonts w:ascii="Times New Roman" w:hAnsi="Times New Roman" w:cs="Times New Roman"/>
          <w:sz w:val="24"/>
          <w:szCs w:val="24"/>
        </w:rPr>
        <w:t xml:space="preserve"> </w:t>
      </w:r>
      <w:r w:rsidR="000B480C" w:rsidRPr="00F14325">
        <w:rPr>
          <w:rFonts w:ascii="Times New Roman" w:hAnsi="Times New Roman" w:cs="Times New Roman"/>
          <w:sz w:val="24"/>
          <w:szCs w:val="24"/>
        </w:rPr>
        <w:t xml:space="preserve"> Historisch</w:t>
      </w:r>
      <w:r w:rsidR="00B41D00">
        <w:rPr>
          <w:rFonts w:ascii="Times New Roman" w:hAnsi="Times New Roman" w:cs="Times New Roman"/>
          <w:sz w:val="24"/>
          <w:szCs w:val="24"/>
        </w:rPr>
        <w:t xml:space="preserve"> gezien</w:t>
      </w:r>
      <w:r w:rsidR="000B480C" w:rsidRPr="00F14325">
        <w:rPr>
          <w:rFonts w:ascii="Times New Roman" w:hAnsi="Times New Roman" w:cs="Times New Roman"/>
          <w:sz w:val="24"/>
          <w:szCs w:val="24"/>
        </w:rPr>
        <w:t xml:space="preserve"> vinden veel crises hun oorsprong in het uiteenspatten van een zeepbel op de huizenmarkt. </w:t>
      </w:r>
      <w:r w:rsidR="00B41D00">
        <w:rPr>
          <w:rFonts w:ascii="Times New Roman" w:hAnsi="Times New Roman" w:cs="Times New Roman"/>
          <w:sz w:val="24"/>
          <w:szCs w:val="24"/>
        </w:rPr>
        <w:t xml:space="preserve">Zo begon </w:t>
      </w:r>
      <w:r w:rsidR="000B480C" w:rsidRPr="00F14325">
        <w:rPr>
          <w:rFonts w:ascii="Times New Roman" w:hAnsi="Times New Roman" w:cs="Times New Roman"/>
          <w:sz w:val="24"/>
          <w:szCs w:val="24"/>
        </w:rPr>
        <w:t xml:space="preserve">de financiële crisis van 2008 </w:t>
      </w:r>
      <w:r w:rsidR="00B41D00">
        <w:rPr>
          <w:rFonts w:ascii="Times New Roman" w:hAnsi="Times New Roman" w:cs="Times New Roman"/>
          <w:sz w:val="24"/>
          <w:szCs w:val="24"/>
        </w:rPr>
        <w:t>met het</w:t>
      </w:r>
      <w:r w:rsidR="000B480C" w:rsidRPr="00F14325">
        <w:rPr>
          <w:rFonts w:ascii="Times New Roman" w:hAnsi="Times New Roman" w:cs="Times New Roman"/>
          <w:sz w:val="24"/>
          <w:szCs w:val="24"/>
        </w:rPr>
        <w:t xml:space="preserve"> uiteensp</w:t>
      </w:r>
      <w:r w:rsidR="00B41D00">
        <w:rPr>
          <w:rFonts w:ascii="Times New Roman" w:hAnsi="Times New Roman" w:cs="Times New Roman"/>
          <w:sz w:val="24"/>
          <w:szCs w:val="24"/>
        </w:rPr>
        <w:t>atten van de huizenmarkt in de Verenigde S</w:t>
      </w:r>
      <w:r w:rsidR="000B480C" w:rsidRPr="00F14325">
        <w:rPr>
          <w:rFonts w:ascii="Times New Roman" w:hAnsi="Times New Roman" w:cs="Times New Roman"/>
          <w:sz w:val="24"/>
          <w:szCs w:val="24"/>
        </w:rPr>
        <w:t>taten.</w:t>
      </w:r>
      <w:r w:rsidR="00B41D00">
        <w:rPr>
          <w:rFonts w:ascii="Times New Roman" w:hAnsi="Times New Roman" w:cs="Times New Roman"/>
          <w:sz w:val="24"/>
          <w:szCs w:val="24"/>
        </w:rPr>
        <w:t xml:space="preserve"> Ook i</w:t>
      </w:r>
      <w:r w:rsidR="000B480C" w:rsidRPr="00F14325">
        <w:rPr>
          <w:rFonts w:ascii="Times New Roman" w:hAnsi="Times New Roman" w:cs="Times New Roman"/>
          <w:sz w:val="24"/>
          <w:szCs w:val="24"/>
        </w:rPr>
        <w:t xml:space="preserve">n Nederland gebeurde hetzelfde in de jaren tachtig toen verschillende grote hypotheekbanken in de problemen kwamen. </w:t>
      </w:r>
    </w:p>
    <w:p w:rsidR="00F64BDA" w:rsidRPr="00F14325" w:rsidRDefault="00D27098" w:rsidP="002E4516">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 xml:space="preserve"> </w:t>
      </w:r>
    </w:p>
    <w:p w:rsidR="003D05E7" w:rsidRDefault="003D05E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31319" w:rsidRPr="003D05E7" w:rsidRDefault="00331319" w:rsidP="003D05E7">
      <w:pPr>
        <w:pStyle w:val="Kop1"/>
        <w:rPr>
          <w:rFonts w:ascii="Times New Roman" w:hAnsi="Times New Roman" w:cs="Times New Roman"/>
          <w:sz w:val="24"/>
          <w:szCs w:val="24"/>
        </w:rPr>
      </w:pPr>
      <w:bookmarkStart w:id="19" w:name="_Toc365277096"/>
      <w:r>
        <w:lastRenderedPageBreak/>
        <w:t>4.</w:t>
      </w:r>
      <w:r w:rsidR="00C46969" w:rsidRPr="00F14325">
        <w:t>Wat zijn de beleidsimplicaties?</w:t>
      </w:r>
      <w:bookmarkEnd w:id="19"/>
    </w:p>
    <w:p w:rsidR="00331319" w:rsidRDefault="00331319" w:rsidP="00331319"/>
    <w:p w:rsidR="00331319" w:rsidRDefault="00331319" w:rsidP="00331319">
      <w:pPr>
        <w:pStyle w:val="Kop2"/>
      </w:pPr>
      <w:bookmarkStart w:id="20" w:name="_Toc365277097"/>
      <w:r>
        <w:t>4.1 Inleiding</w:t>
      </w:r>
      <w:bookmarkEnd w:id="20"/>
    </w:p>
    <w:p w:rsidR="008A5745" w:rsidRPr="00F14325" w:rsidRDefault="00161AC1" w:rsidP="00323933">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In dit hoofdstuk zullen er enkele beleidsimplicaties verkend worden die geopperd worden en die volgen uit de hiervoor geconstateerde problemen.</w:t>
      </w:r>
      <w:r w:rsidR="00ED018F" w:rsidRPr="00F14325">
        <w:rPr>
          <w:rFonts w:ascii="Times New Roman" w:hAnsi="Times New Roman" w:cs="Times New Roman"/>
          <w:sz w:val="24"/>
          <w:szCs w:val="24"/>
        </w:rPr>
        <w:t xml:space="preserve"> De problemen op de Nederlandse huizenmarkt die geconstateerd</w:t>
      </w:r>
      <w:r w:rsidRPr="00F14325">
        <w:rPr>
          <w:rFonts w:ascii="Times New Roman" w:hAnsi="Times New Roman" w:cs="Times New Roman"/>
          <w:sz w:val="24"/>
          <w:szCs w:val="24"/>
        </w:rPr>
        <w:t xml:space="preserve"> </w:t>
      </w:r>
      <w:r w:rsidR="00ED018F" w:rsidRPr="00F14325">
        <w:rPr>
          <w:rFonts w:ascii="Times New Roman" w:hAnsi="Times New Roman" w:cs="Times New Roman"/>
          <w:sz w:val="24"/>
          <w:szCs w:val="24"/>
        </w:rPr>
        <w:t>zijn</w:t>
      </w:r>
      <w:r w:rsidR="00B41D00">
        <w:rPr>
          <w:rFonts w:ascii="Times New Roman" w:hAnsi="Times New Roman" w:cs="Times New Roman"/>
          <w:sz w:val="24"/>
          <w:szCs w:val="24"/>
        </w:rPr>
        <w:t>,</w:t>
      </w:r>
      <w:r w:rsidR="00ED018F" w:rsidRPr="00F14325">
        <w:rPr>
          <w:rFonts w:ascii="Times New Roman" w:hAnsi="Times New Roman" w:cs="Times New Roman"/>
          <w:sz w:val="24"/>
          <w:szCs w:val="24"/>
        </w:rPr>
        <w:t xml:space="preserve"> kunnen geclassificeerd worden onder twee noemers: ten eerste is dat de </w:t>
      </w:r>
      <w:r w:rsidR="00D03F23" w:rsidRPr="00F14325">
        <w:rPr>
          <w:rFonts w:ascii="Times New Roman" w:hAnsi="Times New Roman" w:cs="Times New Roman"/>
          <w:sz w:val="24"/>
          <w:szCs w:val="24"/>
        </w:rPr>
        <w:t xml:space="preserve">bovenmatige </w:t>
      </w:r>
      <w:r w:rsidR="00ED018F" w:rsidRPr="00F14325">
        <w:rPr>
          <w:rFonts w:ascii="Times New Roman" w:hAnsi="Times New Roman" w:cs="Times New Roman"/>
          <w:sz w:val="24"/>
          <w:szCs w:val="24"/>
        </w:rPr>
        <w:t xml:space="preserve">financiering van de eigen woning door middel van vreemd kapitaal en ten tweede is dat </w:t>
      </w:r>
      <w:r w:rsidR="001F0101">
        <w:rPr>
          <w:rFonts w:ascii="Times New Roman" w:hAnsi="Times New Roman" w:cs="Times New Roman"/>
          <w:sz w:val="24"/>
          <w:szCs w:val="24"/>
        </w:rPr>
        <w:t xml:space="preserve">het </w:t>
      </w:r>
      <w:r w:rsidR="00D03F23" w:rsidRPr="00F14325">
        <w:rPr>
          <w:rFonts w:ascii="Times New Roman" w:hAnsi="Times New Roman" w:cs="Times New Roman"/>
          <w:sz w:val="24"/>
          <w:szCs w:val="24"/>
        </w:rPr>
        <w:t>gebrekkige</w:t>
      </w:r>
      <w:r w:rsidR="00ED018F" w:rsidRPr="00F14325">
        <w:rPr>
          <w:rFonts w:ascii="Times New Roman" w:hAnsi="Times New Roman" w:cs="Times New Roman"/>
          <w:sz w:val="24"/>
          <w:szCs w:val="24"/>
        </w:rPr>
        <w:t xml:space="preserve"> </w:t>
      </w:r>
      <w:r w:rsidR="001F0101">
        <w:rPr>
          <w:rFonts w:ascii="Times New Roman" w:hAnsi="Times New Roman" w:cs="Times New Roman"/>
          <w:sz w:val="24"/>
          <w:szCs w:val="24"/>
        </w:rPr>
        <w:t>functioneren</w:t>
      </w:r>
      <w:r w:rsidR="00D03F23" w:rsidRPr="00F14325">
        <w:rPr>
          <w:rFonts w:ascii="Times New Roman" w:hAnsi="Times New Roman" w:cs="Times New Roman"/>
          <w:sz w:val="24"/>
          <w:szCs w:val="24"/>
        </w:rPr>
        <w:t xml:space="preserve"> van de huurmarkt</w:t>
      </w:r>
      <w:r w:rsidR="001F0101">
        <w:rPr>
          <w:rFonts w:ascii="Times New Roman" w:hAnsi="Times New Roman" w:cs="Times New Roman"/>
          <w:sz w:val="24"/>
          <w:szCs w:val="24"/>
        </w:rPr>
        <w:t>.</w:t>
      </w:r>
      <w:r w:rsidR="00D03F23" w:rsidRPr="00F14325">
        <w:rPr>
          <w:rFonts w:ascii="Times New Roman" w:hAnsi="Times New Roman" w:cs="Times New Roman"/>
          <w:sz w:val="24"/>
          <w:szCs w:val="24"/>
        </w:rPr>
        <w:t xml:space="preserve"> </w:t>
      </w:r>
    </w:p>
    <w:p w:rsidR="00A838AE" w:rsidRPr="00F14325" w:rsidRDefault="00A838AE" w:rsidP="002E4516">
      <w:pPr>
        <w:spacing w:line="360" w:lineRule="auto"/>
        <w:rPr>
          <w:rFonts w:ascii="Times New Roman" w:hAnsi="Times New Roman" w:cs="Times New Roman"/>
          <w:b/>
          <w:sz w:val="24"/>
          <w:szCs w:val="24"/>
          <w:u w:val="single"/>
        </w:rPr>
      </w:pPr>
    </w:p>
    <w:p w:rsidR="00AA0F10" w:rsidRDefault="00275965" w:rsidP="00294F56">
      <w:pPr>
        <w:pStyle w:val="Kop2"/>
      </w:pPr>
      <w:bookmarkStart w:id="21" w:name="_Toc365277098"/>
      <w:r>
        <w:t>4.2</w:t>
      </w:r>
      <w:r w:rsidR="00294F56">
        <w:t xml:space="preserve"> Beleidsimplicaties </w:t>
      </w:r>
      <w:r w:rsidR="00CB283E">
        <w:t>huurmarkt</w:t>
      </w:r>
      <w:bookmarkEnd w:id="21"/>
    </w:p>
    <w:p w:rsidR="00966C08" w:rsidRDefault="006B3624" w:rsidP="00763F7D">
      <w:pPr>
        <w:spacing w:line="360" w:lineRule="auto"/>
        <w:jc w:val="both"/>
        <w:rPr>
          <w:rFonts w:ascii="Times New Roman" w:hAnsi="Times New Roman" w:cs="Times New Roman"/>
          <w:sz w:val="24"/>
          <w:szCs w:val="24"/>
        </w:rPr>
      </w:pPr>
      <w:r w:rsidRPr="00F14325">
        <w:rPr>
          <w:rFonts w:ascii="Times New Roman" w:hAnsi="Times New Roman" w:cs="Times New Roman"/>
          <w:sz w:val="24"/>
          <w:szCs w:val="24"/>
        </w:rPr>
        <w:t>Zoals de Duitse woningmarkt leert, is een goed ontwikkelde huurmarkt van groot belang voor een goed functionerende woningmarkt. Volgens het CPB (2010) leidt een sterke stimulering van de aanschaf van koopwoningen</w:t>
      </w:r>
      <w:r>
        <w:rPr>
          <w:rFonts w:ascii="Times New Roman" w:hAnsi="Times New Roman" w:cs="Times New Roman"/>
          <w:sz w:val="24"/>
          <w:szCs w:val="24"/>
        </w:rPr>
        <w:t xml:space="preserve"> in combinatie</w:t>
      </w:r>
      <w:r w:rsidRPr="00F14325">
        <w:rPr>
          <w:rFonts w:ascii="Times New Roman" w:hAnsi="Times New Roman" w:cs="Times New Roman"/>
          <w:sz w:val="24"/>
          <w:szCs w:val="24"/>
        </w:rPr>
        <w:t xml:space="preserve"> met een strikte regulering op de huurmarkt tot grote welvaartsverliezen voor de maatschappij. Hierbij kan alleen</w:t>
      </w:r>
      <w:r>
        <w:rPr>
          <w:rFonts w:ascii="Times New Roman" w:hAnsi="Times New Roman" w:cs="Times New Roman"/>
          <w:sz w:val="24"/>
          <w:szCs w:val="24"/>
        </w:rPr>
        <w:t xml:space="preserve"> al</w:t>
      </w:r>
      <w:r w:rsidRPr="00F14325">
        <w:rPr>
          <w:rFonts w:ascii="Times New Roman" w:hAnsi="Times New Roman" w:cs="Times New Roman"/>
          <w:sz w:val="24"/>
          <w:szCs w:val="24"/>
        </w:rPr>
        <w:t xml:space="preserve"> genoemd worden de problematiek met betrekking tot het ‘scheefwonen’. Het CPB (2010) ziet de hervorming van de huurmarkt als een </w:t>
      </w:r>
      <w:r w:rsidRPr="00F14325">
        <w:rPr>
          <w:rFonts w:ascii="Times New Roman" w:hAnsi="Times New Roman" w:cs="Times New Roman"/>
          <w:i/>
          <w:sz w:val="24"/>
          <w:szCs w:val="24"/>
        </w:rPr>
        <w:t>conditio sine qua non</w:t>
      </w:r>
      <w:r w:rsidRPr="00F14325">
        <w:rPr>
          <w:rFonts w:ascii="Times New Roman" w:hAnsi="Times New Roman" w:cs="Times New Roman"/>
          <w:sz w:val="24"/>
          <w:szCs w:val="24"/>
        </w:rPr>
        <w:t xml:space="preserve"> voor de hervorming van de huizenmarkt. Het beleid moet dus gericht zijn op een geïntegreerde aanpak van zowel de huizenmarkt als de huurmarkt.</w:t>
      </w:r>
      <w:r>
        <w:rPr>
          <w:rFonts w:ascii="Times New Roman" w:hAnsi="Times New Roman" w:cs="Times New Roman"/>
          <w:sz w:val="24"/>
          <w:szCs w:val="24"/>
        </w:rPr>
        <w:t xml:space="preserve"> </w:t>
      </w:r>
      <w:r w:rsidR="00294F56" w:rsidRPr="00294F56">
        <w:rPr>
          <w:rFonts w:ascii="Times New Roman" w:hAnsi="Times New Roman" w:cs="Times New Roman"/>
          <w:sz w:val="24"/>
          <w:szCs w:val="24"/>
        </w:rPr>
        <w:t xml:space="preserve">Voor een </w:t>
      </w:r>
      <w:r w:rsidR="00FF4B97">
        <w:rPr>
          <w:rFonts w:ascii="Times New Roman" w:hAnsi="Times New Roman" w:cs="Times New Roman"/>
          <w:sz w:val="24"/>
          <w:szCs w:val="24"/>
        </w:rPr>
        <w:t>stabiele</w:t>
      </w:r>
      <w:r>
        <w:rPr>
          <w:rFonts w:ascii="Times New Roman" w:hAnsi="Times New Roman" w:cs="Times New Roman"/>
          <w:sz w:val="24"/>
          <w:szCs w:val="24"/>
        </w:rPr>
        <w:t>,</w:t>
      </w:r>
      <w:r w:rsidR="00FF4B97">
        <w:rPr>
          <w:rFonts w:ascii="Times New Roman" w:hAnsi="Times New Roman" w:cs="Times New Roman"/>
          <w:sz w:val="24"/>
          <w:szCs w:val="24"/>
        </w:rPr>
        <w:t xml:space="preserve"> </w:t>
      </w:r>
      <w:r>
        <w:rPr>
          <w:rFonts w:ascii="Times New Roman" w:hAnsi="Times New Roman" w:cs="Times New Roman"/>
          <w:sz w:val="24"/>
          <w:szCs w:val="24"/>
        </w:rPr>
        <w:t>goed ontwikkelde huurmarkt</w:t>
      </w:r>
      <w:r w:rsidR="00FF4B97">
        <w:rPr>
          <w:rFonts w:ascii="Times New Roman" w:hAnsi="Times New Roman" w:cs="Times New Roman"/>
          <w:sz w:val="24"/>
          <w:szCs w:val="24"/>
        </w:rPr>
        <w:t xml:space="preserve"> zijn de beleidsimplicaties </w:t>
      </w:r>
      <w:r w:rsidR="00565B08">
        <w:rPr>
          <w:rFonts w:ascii="Times New Roman" w:hAnsi="Times New Roman" w:cs="Times New Roman"/>
          <w:sz w:val="24"/>
          <w:szCs w:val="24"/>
        </w:rPr>
        <w:t>op het eerste gezicht helder</w:t>
      </w:r>
      <w:r w:rsidR="00FF4B97">
        <w:rPr>
          <w:rFonts w:ascii="Times New Roman" w:hAnsi="Times New Roman" w:cs="Times New Roman"/>
          <w:sz w:val="24"/>
          <w:szCs w:val="24"/>
        </w:rPr>
        <w:t xml:space="preserve">. </w:t>
      </w:r>
      <w:r w:rsidR="003052CF">
        <w:rPr>
          <w:rFonts w:ascii="Times New Roman" w:hAnsi="Times New Roman" w:cs="Times New Roman"/>
          <w:sz w:val="24"/>
          <w:szCs w:val="24"/>
        </w:rPr>
        <w:t xml:space="preserve">De kloof tussen het huursegment en het koopsegment is te groot waardoor </w:t>
      </w:r>
      <w:r w:rsidR="00CE702C">
        <w:rPr>
          <w:rFonts w:ascii="Times New Roman" w:hAnsi="Times New Roman" w:cs="Times New Roman"/>
          <w:sz w:val="24"/>
          <w:szCs w:val="24"/>
        </w:rPr>
        <w:t>er geen prikkel bestaat om</w:t>
      </w:r>
      <w:r w:rsidR="00CE002C">
        <w:rPr>
          <w:rFonts w:ascii="Times New Roman" w:hAnsi="Times New Roman" w:cs="Times New Roman"/>
          <w:sz w:val="24"/>
          <w:szCs w:val="24"/>
        </w:rPr>
        <w:t xml:space="preserve"> vanuit een huurwoning </w:t>
      </w:r>
      <w:r w:rsidR="00FF4B97">
        <w:rPr>
          <w:rFonts w:ascii="Times New Roman" w:hAnsi="Times New Roman" w:cs="Times New Roman"/>
          <w:sz w:val="24"/>
          <w:szCs w:val="24"/>
        </w:rPr>
        <w:t>op te stromen naar een koopwoning.</w:t>
      </w:r>
      <w:r w:rsidR="00CE002C">
        <w:rPr>
          <w:rFonts w:ascii="Times New Roman" w:hAnsi="Times New Roman" w:cs="Times New Roman"/>
          <w:sz w:val="24"/>
          <w:szCs w:val="24"/>
        </w:rPr>
        <w:t xml:space="preserve"> </w:t>
      </w:r>
      <w:r>
        <w:rPr>
          <w:rFonts w:ascii="Times New Roman" w:hAnsi="Times New Roman" w:cs="Times New Roman"/>
          <w:sz w:val="24"/>
          <w:szCs w:val="24"/>
        </w:rPr>
        <w:t xml:space="preserve">Deze kloof moet overbrugd worden. </w:t>
      </w:r>
      <w:r w:rsidR="00CE002C">
        <w:rPr>
          <w:rFonts w:ascii="Times New Roman" w:hAnsi="Times New Roman" w:cs="Times New Roman"/>
          <w:sz w:val="24"/>
          <w:szCs w:val="24"/>
        </w:rPr>
        <w:t xml:space="preserve">Er zijn </w:t>
      </w:r>
      <w:r w:rsidR="00FF4B97">
        <w:rPr>
          <w:rFonts w:ascii="Times New Roman" w:hAnsi="Times New Roman" w:cs="Times New Roman"/>
          <w:sz w:val="24"/>
          <w:szCs w:val="24"/>
        </w:rPr>
        <w:t xml:space="preserve">twee stappen nodig om deze kloof te overbruggen. De eerste stap betreft de deregulering van de huurmarkt. Het puntensysteem, en de maximale </w:t>
      </w:r>
      <w:r w:rsidR="00614975">
        <w:rPr>
          <w:rFonts w:ascii="Times New Roman" w:hAnsi="Times New Roman" w:cs="Times New Roman"/>
          <w:sz w:val="24"/>
          <w:szCs w:val="24"/>
        </w:rPr>
        <w:t xml:space="preserve">toegestane </w:t>
      </w:r>
      <w:r w:rsidR="00FF4B97">
        <w:rPr>
          <w:rFonts w:ascii="Times New Roman" w:hAnsi="Times New Roman" w:cs="Times New Roman"/>
          <w:sz w:val="24"/>
          <w:szCs w:val="24"/>
        </w:rPr>
        <w:t>huurverhoging moet</w:t>
      </w:r>
      <w:r w:rsidR="00614975">
        <w:rPr>
          <w:rFonts w:ascii="Times New Roman" w:hAnsi="Times New Roman" w:cs="Times New Roman"/>
          <w:sz w:val="24"/>
          <w:szCs w:val="24"/>
        </w:rPr>
        <w:t>en</w:t>
      </w:r>
      <w:r w:rsidR="00FF4B97">
        <w:rPr>
          <w:rFonts w:ascii="Times New Roman" w:hAnsi="Times New Roman" w:cs="Times New Roman"/>
          <w:sz w:val="24"/>
          <w:szCs w:val="24"/>
        </w:rPr>
        <w:t xml:space="preserve"> </w:t>
      </w:r>
      <w:r w:rsidR="003969D4">
        <w:rPr>
          <w:rFonts w:ascii="Times New Roman" w:hAnsi="Times New Roman" w:cs="Times New Roman"/>
          <w:sz w:val="24"/>
          <w:szCs w:val="24"/>
        </w:rPr>
        <w:t xml:space="preserve">afgeschaft worden. Zo wordt het </w:t>
      </w:r>
      <w:r w:rsidR="00614975">
        <w:rPr>
          <w:rFonts w:ascii="Times New Roman" w:hAnsi="Times New Roman" w:cs="Times New Roman"/>
          <w:sz w:val="24"/>
          <w:szCs w:val="24"/>
        </w:rPr>
        <w:t xml:space="preserve">ook </w:t>
      </w:r>
      <w:r w:rsidR="003969D4">
        <w:rPr>
          <w:rFonts w:ascii="Times New Roman" w:hAnsi="Times New Roman" w:cs="Times New Roman"/>
          <w:sz w:val="24"/>
          <w:szCs w:val="24"/>
        </w:rPr>
        <w:t>aantrekkelijk voor private partijen om tot deze markt toe te treden</w:t>
      </w:r>
      <w:r w:rsidR="00411FF1">
        <w:rPr>
          <w:rFonts w:ascii="Times New Roman" w:hAnsi="Times New Roman" w:cs="Times New Roman"/>
          <w:sz w:val="24"/>
          <w:szCs w:val="24"/>
        </w:rPr>
        <w:t xml:space="preserve"> waardoor er een normale huurmarkt tot stand kan worden gebracht.</w:t>
      </w:r>
      <w:r w:rsidR="003969D4">
        <w:rPr>
          <w:rFonts w:ascii="Times New Roman" w:hAnsi="Times New Roman" w:cs="Times New Roman"/>
          <w:sz w:val="24"/>
          <w:szCs w:val="24"/>
        </w:rPr>
        <w:t xml:space="preserve"> De vraag rest hoe de lage inkomensklassen gecompenseerd </w:t>
      </w:r>
      <w:r w:rsidR="00614975">
        <w:rPr>
          <w:rFonts w:ascii="Times New Roman" w:hAnsi="Times New Roman" w:cs="Times New Roman"/>
          <w:sz w:val="24"/>
          <w:szCs w:val="24"/>
        </w:rPr>
        <w:t>worden voor deze deregulering</w:t>
      </w:r>
      <w:r w:rsidR="00712E83">
        <w:rPr>
          <w:rFonts w:ascii="Times New Roman" w:hAnsi="Times New Roman" w:cs="Times New Roman"/>
          <w:sz w:val="24"/>
          <w:szCs w:val="24"/>
        </w:rPr>
        <w:t xml:space="preserve">. Het </w:t>
      </w:r>
      <w:r w:rsidR="00614975">
        <w:rPr>
          <w:rFonts w:ascii="Times New Roman" w:hAnsi="Times New Roman" w:cs="Times New Roman"/>
          <w:sz w:val="24"/>
          <w:szCs w:val="24"/>
        </w:rPr>
        <w:t>CPB</w:t>
      </w:r>
      <w:r w:rsidR="00712E83">
        <w:rPr>
          <w:rFonts w:ascii="Times New Roman" w:hAnsi="Times New Roman" w:cs="Times New Roman"/>
          <w:sz w:val="24"/>
          <w:szCs w:val="24"/>
        </w:rPr>
        <w:t xml:space="preserve"> (2010) opperde een gerichte woontoeslag voor lage inkomens in plaats van de </w:t>
      </w:r>
      <w:r w:rsidR="00411FF1">
        <w:rPr>
          <w:rFonts w:ascii="Times New Roman" w:hAnsi="Times New Roman" w:cs="Times New Roman"/>
          <w:sz w:val="24"/>
          <w:szCs w:val="24"/>
        </w:rPr>
        <w:t xml:space="preserve">huidige </w:t>
      </w:r>
      <w:r w:rsidR="00712E83">
        <w:rPr>
          <w:rFonts w:ascii="Times New Roman" w:hAnsi="Times New Roman" w:cs="Times New Roman"/>
          <w:sz w:val="24"/>
          <w:szCs w:val="24"/>
        </w:rPr>
        <w:t>huurtoeslag.</w:t>
      </w:r>
      <w:r w:rsidR="00411FF1">
        <w:rPr>
          <w:rFonts w:ascii="Times New Roman" w:hAnsi="Times New Roman" w:cs="Times New Roman"/>
          <w:sz w:val="24"/>
          <w:szCs w:val="24"/>
        </w:rPr>
        <w:t xml:space="preserve"> Op deze manier worden de lage inkomens gecompenseerd voor deze deregulering terwijl anderzijds deze maatregel er niet toe leidt dat de twee vormen van wonen fiscaal verschillend behandeld worden. Dit beleidsvoorstel verdient implementatie</w:t>
      </w:r>
      <w:r>
        <w:rPr>
          <w:rFonts w:ascii="Times New Roman" w:hAnsi="Times New Roman" w:cs="Times New Roman"/>
          <w:sz w:val="24"/>
          <w:szCs w:val="24"/>
        </w:rPr>
        <w:t xml:space="preserve"> om de te grote kloof tussen de huurmarkt en de koopmarkt te overbruggen</w:t>
      </w:r>
      <w:r w:rsidR="00411FF1">
        <w:rPr>
          <w:rFonts w:ascii="Times New Roman" w:hAnsi="Times New Roman" w:cs="Times New Roman"/>
          <w:sz w:val="24"/>
          <w:szCs w:val="24"/>
        </w:rPr>
        <w:t xml:space="preserve">. De tweede stap betreft een herziening van de rol die de semipublieke instellingen </w:t>
      </w:r>
      <w:r w:rsidR="00763F7D">
        <w:rPr>
          <w:rFonts w:ascii="Times New Roman" w:hAnsi="Times New Roman" w:cs="Times New Roman"/>
          <w:sz w:val="24"/>
          <w:szCs w:val="24"/>
        </w:rPr>
        <w:t>speelt</w:t>
      </w:r>
      <w:r>
        <w:rPr>
          <w:rFonts w:ascii="Times New Roman" w:hAnsi="Times New Roman" w:cs="Times New Roman"/>
          <w:sz w:val="24"/>
          <w:szCs w:val="24"/>
        </w:rPr>
        <w:t xml:space="preserve">. </w:t>
      </w:r>
      <w:r w:rsidRPr="00F14325">
        <w:rPr>
          <w:rFonts w:ascii="Times New Roman" w:hAnsi="Times New Roman" w:cs="Times New Roman"/>
          <w:sz w:val="24"/>
          <w:szCs w:val="24"/>
        </w:rPr>
        <w:t xml:space="preserve">Zoals al is aangegeven in het eerste hoofdstuk wordt de Nederlandse huurmarkt voor het grootste gedeelte beheerst door de sociale </w:t>
      </w:r>
      <w:r w:rsidRPr="00F14325">
        <w:rPr>
          <w:rFonts w:ascii="Times New Roman" w:hAnsi="Times New Roman" w:cs="Times New Roman"/>
          <w:sz w:val="24"/>
          <w:szCs w:val="24"/>
        </w:rPr>
        <w:lastRenderedPageBreak/>
        <w:t>woningcorporaties. Zij zijn niet alleen de grootste aanbieders van betaalbare huisvesting voor lage inkomens, maar zijn ook de grootste aanbieders van huurwoningen in het kleine geliberaliseerde gedeelte van de markt. Voor beleid dat de huurmarkt betreft</w:t>
      </w:r>
      <w:r w:rsidR="003A4A86">
        <w:rPr>
          <w:rFonts w:ascii="Times New Roman" w:hAnsi="Times New Roman" w:cs="Times New Roman"/>
          <w:sz w:val="24"/>
          <w:szCs w:val="24"/>
        </w:rPr>
        <w:t>,</w:t>
      </w:r>
      <w:r w:rsidRPr="00F14325">
        <w:rPr>
          <w:rFonts w:ascii="Times New Roman" w:hAnsi="Times New Roman" w:cs="Times New Roman"/>
          <w:sz w:val="24"/>
          <w:szCs w:val="24"/>
        </w:rPr>
        <w:t xml:space="preserve"> is het van belang de</w:t>
      </w:r>
      <w:r>
        <w:rPr>
          <w:rFonts w:ascii="Times New Roman" w:hAnsi="Times New Roman" w:cs="Times New Roman"/>
          <w:sz w:val="24"/>
          <w:szCs w:val="24"/>
        </w:rPr>
        <w:t>ze</w:t>
      </w:r>
      <w:r w:rsidRPr="00F14325">
        <w:rPr>
          <w:rFonts w:ascii="Times New Roman" w:hAnsi="Times New Roman" w:cs="Times New Roman"/>
          <w:sz w:val="24"/>
          <w:szCs w:val="24"/>
        </w:rPr>
        <w:t xml:space="preserve"> sociale woningcorporaties erbij te betrekken. </w:t>
      </w:r>
      <w:r w:rsidR="003A4A86">
        <w:rPr>
          <w:rFonts w:ascii="Times New Roman" w:hAnsi="Times New Roman" w:cs="Times New Roman"/>
          <w:sz w:val="24"/>
          <w:szCs w:val="24"/>
        </w:rPr>
        <w:t>Buijink (2013</w:t>
      </w:r>
      <w:r w:rsidRPr="00F14325">
        <w:rPr>
          <w:rFonts w:ascii="Times New Roman" w:hAnsi="Times New Roman" w:cs="Times New Roman"/>
          <w:sz w:val="24"/>
          <w:szCs w:val="24"/>
        </w:rPr>
        <w:t xml:space="preserve">) stelt dat gezonde semipublieke instellingen onontbeerlijk zijn voor het groeipotentieel van de Nederlandse economie. Semipublieke instellingen leggen echter een steeds groter beslag op de publieke middelen en op de arbeidsmarkt. Daarbij komt nog dat de oplopende kosten, beperkte kwaliteitsverbeteringen en financiële missers </w:t>
      </w:r>
      <w:r>
        <w:rPr>
          <w:rFonts w:ascii="Times New Roman" w:hAnsi="Times New Roman" w:cs="Times New Roman"/>
          <w:sz w:val="24"/>
          <w:szCs w:val="24"/>
        </w:rPr>
        <w:t>de ruimte bieden</w:t>
      </w:r>
      <w:r w:rsidRPr="00F14325">
        <w:rPr>
          <w:rFonts w:ascii="Times New Roman" w:hAnsi="Times New Roman" w:cs="Times New Roman"/>
          <w:sz w:val="24"/>
          <w:szCs w:val="24"/>
        </w:rPr>
        <w:t xml:space="preserve"> voor een doelmatigheidsslag. Buijink</w:t>
      </w:r>
      <w:r>
        <w:rPr>
          <w:rFonts w:ascii="Times New Roman" w:hAnsi="Times New Roman" w:cs="Times New Roman"/>
          <w:sz w:val="24"/>
          <w:szCs w:val="24"/>
        </w:rPr>
        <w:t xml:space="preserve"> (2013)</w:t>
      </w:r>
      <w:r w:rsidRPr="00F14325">
        <w:rPr>
          <w:rFonts w:ascii="Times New Roman" w:hAnsi="Times New Roman" w:cs="Times New Roman"/>
          <w:sz w:val="24"/>
          <w:szCs w:val="24"/>
        </w:rPr>
        <w:t xml:space="preserve"> signaleert dat corporaties zowel vermogensbeheerders, vastgoedondernemers en maats</w:t>
      </w:r>
      <w:r w:rsidR="00763F7D">
        <w:rPr>
          <w:rFonts w:ascii="Times New Roman" w:hAnsi="Times New Roman" w:cs="Times New Roman"/>
          <w:sz w:val="24"/>
          <w:szCs w:val="24"/>
        </w:rPr>
        <w:t>chappelijk dienstverleners</w:t>
      </w:r>
      <w:r w:rsidRPr="00F14325">
        <w:rPr>
          <w:rFonts w:ascii="Times New Roman" w:hAnsi="Times New Roman" w:cs="Times New Roman"/>
          <w:sz w:val="24"/>
          <w:szCs w:val="24"/>
        </w:rPr>
        <w:t xml:space="preserve"> zijn. Dit beperkt </w:t>
      </w:r>
      <w:r>
        <w:rPr>
          <w:rFonts w:ascii="Times New Roman" w:hAnsi="Times New Roman" w:cs="Times New Roman"/>
          <w:sz w:val="24"/>
          <w:szCs w:val="24"/>
        </w:rPr>
        <w:t>het</w:t>
      </w:r>
      <w:r w:rsidRPr="00F14325">
        <w:rPr>
          <w:rFonts w:ascii="Times New Roman" w:hAnsi="Times New Roman" w:cs="Times New Roman"/>
          <w:sz w:val="24"/>
          <w:szCs w:val="24"/>
        </w:rPr>
        <w:t xml:space="preserve"> inzicht in de prestaties en de prikkels om efficiënt te werken. De oplossing van dit probleem vereist een</w:t>
      </w:r>
      <w:r w:rsidR="003A4A86">
        <w:rPr>
          <w:rFonts w:ascii="Times New Roman" w:hAnsi="Times New Roman" w:cs="Times New Roman"/>
          <w:sz w:val="24"/>
          <w:szCs w:val="24"/>
        </w:rPr>
        <w:t xml:space="preserve"> strikte</w:t>
      </w:r>
      <w:r w:rsidRPr="00F14325">
        <w:rPr>
          <w:rFonts w:ascii="Times New Roman" w:hAnsi="Times New Roman" w:cs="Times New Roman"/>
          <w:sz w:val="24"/>
          <w:szCs w:val="24"/>
        </w:rPr>
        <w:t xml:space="preserve"> opsplitsing van de woningcorporaties in een sociale poot en een commerciële poot. </w:t>
      </w:r>
      <w:r w:rsidR="003A4A86">
        <w:rPr>
          <w:rFonts w:ascii="Times New Roman" w:hAnsi="Times New Roman" w:cs="Times New Roman"/>
          <w:sz w:val="24"/>
          <w:szCs w:val="24"/>
        </w:rPr>
        <w:t>De sociale poot zou zich toe moeten leggen op de verschaffing van goedkope huurwoningen. De commerciële poot moet zich concentreren op activiteiten in het geliberaliseerde gedeelte van de markt. Deze strikte opsplitsing voorkomt dat de activiteiten onoverzichtelijk worden en dat de</w:t>
      </w:r>
      <w:r w:rsidR="00966C08">
        <w:rPr>
          <w:rFonts w:ascii="Times New Roman" w:hAnsi="Times New Roman" w:cs="Times New Roman"/>
          <w:sz w:val="24"/>
          <w:szCs w:val="24"/>
        </w:rPr>
        <w:t xml:space="preserve"> commerciële activiteiten verward worden met sociale activiteiten.</w:t>
      </w:r>
      <w:r w:rsidR="00C948F0">
        <w:rPr>
          <w:rFonts w:ascii="Times New Roman" w:hAnsi="Times New Roman" w:cs="Times New Roman"/>
          <w:sz w:val="24"/>
          <w:szCs w:val="24"/>
        </w:rPr>
        <w:t xml:space="preserve"> Naast deze twee stappen is er een derde mogelijkheid om de kloof tussen de huurmarkt en de huizenmarkt te overbruggen. </w:t>
      </w:r>
      <w:r w:rsidR="004A40B3">
        <w:rPr>
          <w:rFonts w:ascii="Times New Roman" w:hAnsi="Times New Roman" w:cs="Times New Roman"/>
          <w:sz w:val="24"/>
          <w:szCs w:val="24"/>
        </w:rPr>
        <w:t xml:space="preserve">De introductie van </w:t>
      </w:r>
      <w:r w:rsidR="007B078E">
        <w:rPr>
          <w:rFonts w:ascii="Times New Roman" w:hAnsi="Times New Roman" w:cs="Times New Roman"/>
          <w:sz w:val="24"/>
          <w:szCs w:val="24"/>
        </w:rPr>
        <w:t>een fiscaal voordelige manier van sparen kan de doorstroming van  het huursegment naar het koopsegment bevorderen.</w:t>
      </w:r>
      <w:r w:rsidR="0095105E">
        <w:rPr>
          <w:rFonts w:ascii="Times New Roman" w:hAnsi="Times New Roman" w:cs="Times New Roman"/>
          <w:sz w:val="24"/>
          <w:szCs w:val="24"/>
        </w:rPr>
        <w:t xml:space="preserve"> Gedurende de periode dat een woning gehuurd wordt</w:t>
      </w:r>
      <w:r w:rsidR="00221227">
        <w:rPr>
          <w:rFonts w:ascii="Times New Roman" w:hAnsi="Times New Roman" w:cs="Times New Roman"/>
          <w:sz w:val="24"/>
          <w:szCs w:val="24"/>
        </w:rPr>
        <w:t>,</w:t>
      </w:r>
      <w:r w:rsidR="0095105E">
        <w:rPr>
          <w:rFonts w:ascii="Times New Roman" w:hAnsi="Times New Roman" w:cs="Times New Roman"/>
          <w:sz w:val="24"/>
          <w:szCs w:val="24"/>
        </w:rPr>
        <w:t xml:space="preserve"> moet het mogelijk zijn een gedeelte van het inkomen opzij te leggen </w:t>
      </w:r>
      <w:r w:rsidR="00221227">
        <w:rPr>
          <w:rFonts w:ascii="Times New Roman" w:hAnsi="Times New Roman" w:cs="Times New Roman"/>
          <w:sz w:val="24"/>
          <w:szCs w:val="24"/>
        </w:rPr>
        <w:t>buiten box 3. Onder de voorwaarde dat dit vermogen aangewend wordt voor de koop van de eerste woning. Het</w:t>
      </w:r>
      <w:r w:rsidR="0009253A">
        <w:rPr>
          <w:rFonts w:ascii="Times New Roman" w:hAnsi="Times New Roman" w:cs="Times New Roman"/>
          <w:sz w:val="24"/>
          <w:szCs w:val="24"/>
        </w:rPr>
        <w:t xml:space="preserve"> Duitse ‘Bausparen’ leert dat dit principe in Duitsland algemeen gebruikt wordt als een opstap naa</w:t>
      </w:r>
      <w:r w:rsidR="00EC4D08">
        <w:rPr>
          <w:rFonts w:ascii="Times New Roman" w:hAnsi="Times New Roman" w:cs="Times New Roman"/>
          <w:sz w:val="24"/>
          <w:szCs w:val="24"/>
        </w:rPr>
        <w:t xml:space="preserve">r de koop van een </w:t>
      </w:r>
      <w:r w:rsidR="0009253A">
        <w:rPr>
          <w:rFonts w:ascii="Times New Roman" w:hAnsi="Times New Roman" w:cs="Times New Roman"/>
          <w:sz w:val="24"/>
          <w:szCs w:val="24"/>
        </w:rPr>
        <w:t>woning</w:t>
      </w:r>
      <w:r w:rsidR="00BD5835">
        <w:rPr>
          <w:rFonts w:ascii="Times New Roman" w:hAnsi="Times New Roman" w:cs="Times New Roman"/>
          <w:sz w:val="24"/>
          <w:szCs w:val="24"/>
        </w:rPr>
        <w:t>.</w:t>
      </w:r>
      <w:r w:rsidR="008F052C">
        <w:rPr>
          <w:rFonts w:ascii="Times New Roman" w:hAnsi="Times New Roman" w:cs="Times New Roman"/>
          <w:sz w:val="24"/>
          <w:szCs w:val="24"/>
        </w:rPr>
        <w:t xml:space="preserve"> </w:t>
      </w:r>
    </w:p>
    <w:p w:rsidR="006B3624" w:rsidRPr="00F14325" w:rsidRDefault="003A4A86" w:rsidP="006B36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95677" w:rsidRDefault="00275965" w:rsidP="00895677">
      <w:pPr>
        <w:pStyle w:val="Kop2"/>
      </w:pPr>
      <w:bookmarkStart w:id="22" w:name="_Toc365277099"/>
      <w:r>
        <w:t>4.3</w:t>
      </w:r>
      <w:r w:rsidR="00895677">
        <w:t xml:space="preserve"> Beleidsimplicaties huizenmarkt</w:t>
      </w:r>
      <w:bookmarkEnd w:id="22"/>
    </w:p>
    <w:p w:rsidR="00683223" w:rsidRDefault="00895677" w:rsidP="00CB2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beleidsimplicaties die moeten leiden tot een gezonde huizenmarkt in de toekomst </w:t>
      </w:r>
      <w:r w:rsidR="004E5429">
        <w:rPr>
          <w:rFonts w:ascii="Times New Roman" w:hAnsi="Times New Roman" w:cs="Times New Roman"/>
          <w:sz w:val="24"/>
          <w:szCs w:val="24"/>
        </w:rPr>
        <w:t>hebben voornamelijk betrekking op het terugbrengen van de financiering door middel van vreemd kapitaal.</w:t>
      </w:r>
      <w:r w:rsidR="00EC4D08">
        <w:rPr>
          <w:rFonts w:ascii="Times New Roman" w:hAnsi="Times New Roman" w:cs="Times New Roman"/>
          <w:sz w:val="24"/>
          <w:szCs w:val="24"/>
        </w:rPr>
        <w:t xml:space="preserve"> </w:t>
      </w:r>
      <w:r w:rsidR="004E5429" w:rsidRPr="00F14325">
        <w:rPr>
          <w:rFonts w:ascii="Times New Roman" w:hAnsi="Times New Roman" w:cs="Times New Roman"/>
          <w:sz w:val="24"/>
          <w:szCs w:val="24"/>
        </w:rPr>
        <w:t>Vooral na de vele rapporten van internationale organisaties als het IMF, OESO, OECD en de Europese Commissie die hameren op beleid dat gericht is op de aanpak van de hoge schulden op</w:t>
      </w:r>
      <w:r w:rsidR="004E5429">
        <w:rPr>
          <w:rFonts w:ascii="Times New Roman" w:hAnsi="Times New Roman" w:cs="Times New Roman"/>
          <w:sz w:val="24"/>
          <w:szCs w:val="24"/>
        </w:rPr>
        <w:t xml:space="preserve"> de</w:t>
      </w:r>
      <w:r w:rsidR="004E5429" w:rsidRPr="00F14325">
        <w:rPr>
          <w:rFonts w:ascii="Times New Roman" w:hAnsi="Times New Roman" w:cs="Times New Roman"/>
          <w:sz w:val="24"/>
          <w:szCs w:val="24"/>
        </w:rPr>
        <w:t xml:space="preserve"> woningmarkt</w:t>
      </w:r>
      <w:r w:rsidR="004E5429">
        <w:rPr>
          <w:rFonts w:ascii="Times New Roman" w:hAnsi="Times New Roman" w:cs="Times New Roman"/>
          <w:sz w:val="24"/>
          <w:szCs w:val="24"/>
        </w:rPr>
        <w:t>,</w:t>
      </w:r>
      <w:r w:rsidR="004E5429" w:rsidRPr="00F14325">
        <w:rPr>
          <w:rFonts w:ascii="Times New Roman" w:hAnsi="Times New Roman" w:cs="Times New Roman"/>
          <w:sz w:val="24"/>
          <w:szCs w:val="24"/>
        </w:rPr>
        <w:t xml:space="preserve"> groeit het politieke besef dat deze hoge schuld aangepakt moet worden. </w:t>
      </w:r>
      <w:r w:rsidRPr="00895677">
        <w:rPr>
          <w:rFonts w:ascii="Times New Roman" w:hAnsi="Times New Roman" w:cs="Times New Roman"/>
          <w:sz w:val="24"/>
          <w:szCs w:val="24"/>
        </w:rPr>
        <w:t>Het kabinet Rutte stelt zich ten doel om de loan-to-value ratio te verlagen naar maximaal 100% in 2018</w:t>
      </w:r>
      <w:r w:rsidRPr="00F14325">
        <w:rPr>
          <w:rFonts w:ascii="Times New Roman" w:hAnsi="Times New Roman" w:cs="Times New Roman"/>
          <w:sz w:val="24"/>
          <w:szCs w:val="24"/>
        </w:rPr>
        <w:t xml:space="preserve">. Onlangs benadrukte minister Dijsselbloem nog dat de Nederlandse loan-to-value ratio internationaal ongehoord hoog is en dat het kabinet haast gaat maken met </w:t>
      </w:r>
      <w:r w:rsidRPr="00F14325">
        <w:rPr>
          <w:rFonts w:ascii="Times New Roman" w:hAnsi="Times New Roman" w:cs="Times New Roman"/>
          <w:sz w:val="24"/>
          <w:szCs w:val="24"/>
        </w:rPr>
        <w:lastRenderedPageBreak/>
        <w:t xml:space="preserve">het naar beneden brengen van deze ratio. </w:t>
      </w:r>
      <w:r w:rsidR="000B400C">
        <w:rPr>
          <w:rFonts w:ascii="Times New Roman" w:hAnsi="Times New Roman" w:cs="Times New Roman"/>
          <w:sz w:val="24"/>
          <w:szCs w:val="24"/>
        </w:rPr>
        <w:t xml:space="preserve">Deze </w:t>
      </w:r>
      <w:r w:rsidR="00086186">
        <w:rPr>
          <w:rFonts w:ascii="Times New Roman" w:hAnsi="Times New Roman" w:cs="Times New Roman"/>
          <w:sz w:val="24"/>
          <w:szCs w:val="24"/>
        </w:rPr>
        <w:t xml:space="preserve">loan-to-value ratio </w:t>
      </w:r>
      <w:r w:rsidR="000B400C">
        <w:rPr>
          <w:rFonts w:ascii="Times New Roman" w:hAnsi="Times New Roman" w:cs="Times New Roman"/>
          <w:sz w:val="24"/>
          <w:szCs w:val="24"/>
        </w:rPr>
        <w:t xml:space="preserve">kan </w:t>
      </w:r>
      <w:r w:rsidR="00086186">
        <w:rPr>
          <w:rFonts w:ascii="Times New Roman" w:hAnsi="Times New Roman" w:cs="Times New Roman"/>
          <w:sz w:val="24"/>
          <w:szCs w:val="24"/>
        </w:rPr>
        <w:t>verder naar beneden</w:t>
      </w:r>
      <w:r w:rsidR="000B400C">
        <w:rPr>
          <w:rFonts w:ascii="Times New Roman" w:hAnsi="Times New Roman" w:cs="Times New Roman"/>
          <w:sz w:val="24"/>
          <w:szCs w:val="24"/>
        </w:rPr>
        <w:t xml:space="preserve"> gebracht worden door huizenkopers toe te staan maximaal</w:t>
      </w:r>
      <w:r w:rsidR="00086186" w:rsidRPr="00F14325">
        <w:rPr>
          <w:rFonts w:ascii="Times New Roman" w:hAnsi="Times New Roman" w:cs="Times New Roman"/>
          <w:sz w:val="24"/>
          <w:szCs w:val="24"/>
        </w:rPr>
        <w:t xml:space="preserve"> </w:t>
      </w:r>
      <w:r w:rsidR="00086186">
        <w:rPr>
          <w:rFonts w:ascii="Times New Roman" w:hAnsi="Times New Roman" w:cs="Times New Roman"/>
          <w:sz w:val="24"/>
          <w:szCs w:val="24"/>
        </w:rPr>
        <w:t>70-80%</w:t>
      </w:r>
      <w:r w:rsidR="00086186" w:rsidRPr="00F14325">
        <w:rPr>
          <w:rFonts w:ascii="Times New Roman" w:hAnsi="Times New Roman" w:cs="Times New Roman"/>
          <w:sz w:val="24"/>
          <w:szCs w:val="24"/>
        </w:rPr>
        <w:t xml:space="preserve"> van de woningwaarde </w:t>
      </w:r>
      <w:r w:rsidR="000B400C">
        <w:rPr>
          <w:rFonts w:ascii="Times New Roman" w:hAnsi="Times New Roman" w:cs="Times New Roman"/>
          <w:sz w:val="24"/>
          <w:szCs w:val="24"/>
        </w:rPr>
        <w:t>te</w:t>
      </w:r>
      <w:r w:rsidR="00086186" w:rsidRPr="00F14325">
        <w:rPr>
          <w:rFonts w:ascii="Times New Roman" w:hAnsi="Times New Roman" w:cs="Times New Roman"/>
          <w:sz w:val="24"/>
          <w:szCs w:val="24"/>
        </w:rPr>
        <w:t xml:space="preserve"> lenen.</w:t>
      </w:r>
      <w:r w:rsidR="00086186">
        <w:rPr>
          <w:rFonts w:ascii="Times New Roman" w:hAnsi="Times New Roman" w:cs="Times New Roman"/>
          <w:sz w:val="24"/>
          <w:szCs w:val="24"/>
        </w:rPr>
        <w:t xml:space="preserve"> </w:t>
      </w:r>
    </w:p>
    <w:p w:rsidR="00895677" w:rsidRDefault="004E5429" w:rsidP="00CB283E">
      <w:pPr>
        <w:spacing w:line="360" w:lineRule="auto"/>
        <w:jc w:val="both"/>
        <w:rPr>
          <w:rFonts w:ascii="Times New Roman" w:hAnsi="Times New Roman" w:cs="Times New Roman"/>
          <w:sz w:val="24"/>
          <w:szCs w:val="24"/>
        </w:rPr>
      </w:pPr>
      <w:r>
        <w:rPr>
          <w:rFonts w:ascii="Times New Roman" w:hAnsi="Times New Roman" w:cs="Times New Roman"/>
          <w:sz w:val="24"/>
          <w:szCs w:val="24"/>
        </w:rPr>
        <w:t>De voornaamste maatregel</w:t>
      </w:r>
      <w:r w:rsidR="00086186">
        <w:rPr>
          <w:rFonts w:ascii="Times New Roman" w:hAnsi="Times New Roman" w:cs="Times New Roman"/>
          <w:sz w:val="24"/>
          <w:szCs w:val="24"/>
        </w:rPr>
        <w:t xml:space="preserve"> om de financiering door middel van vreemd geld te ontmoedigen</w:t>
      </w:r>
      <w:r>
        <w:rPr>
          <w:rFonts w:ascii="Times New Roman" w:hAnsi="Times New Roman" w:cs="Times New Roman"/>
          <w:sz w:val="24"/>
          <w:szCs w:val="24"/>
        </w:rPr>
        <w:t xml:space="preserve"> betreft </w:t>
      </w:r>
      <w:r w:rsidR="00895677" w:rsidRPr="00F14325">
        <w:rPr>
          <w:rFonts w:ascii="Times New Roman" w:hAnsi="Times New Roman" w:cs="Times New Roman"/>
          <w:sz w:val="24"/>
          <w:szCs w:val="24"/>
        </w:rPr>
        <w:t>de afschaffing of verlaging van de hypotheekrenteaftrek. Alhoewel het kabinet Rutte-Asscher de maximale hypotheekrenteaftrek geleidelijk wil gaan beperken tot het tarief in de derde schijf, blijft de hypotheekrenteaftrek wel bestaan.</w:t>
      </w:r>
      <w:r w:rsidR="00895677" w:rsidRPr="00F14325">
        <w:rPr>
          <w:rStyle w:val="Voetnootmarkering"/>
          <w:rFonts w:ascii="Times New Roman" w:hAnsi="Times New Roman" w:cs="Times New Roman"/>
          <w:sz w:val="24"/>
          <w:szCs w:val="24"/>
        </w:rPr>
        <w:footnoteReference w:id="9"/>
      </w:r>
      <w:r w:rsidR="00895677" w:rsidRPr="00F14325">
        <w:rPr>
          <w:rFonts w:ascii="Times New Roman" w:hAnsi="Times New Roman" w:cs="Times New Roman"/>
          <w:sz w:val="24"/>
          <w:szCs w:val="24"/>
        </w:rPr>
        <w:t xml:space="preserve"> </w:t>
      </w:r>
      <w:r w:rsidR="00895677">
        <w:rPr>
          <w:rFonts w:ascii="Times New Roman" w:hAnsi="Times New Roman" w:cs="Times New Roman"/>
          <w:sz w:val="24"/>
          <w:szCs w:val="24"/>
        </w:rPr>
        <w:t>Voor</w:t>
      </w:r>
      <w:r w:rsidR="00895677" w:rsidRPr="00F14325">
        <w:rPr>
          <w:rFonts w:ascii="Times New Roman" w:hAnsi="Times New Roman" w:cs="Times New Roman"/>
          <w:sz w:val="24"/>
          <w:szCs w:val="24"/>
        </w:rPr>
        <w:t xml:space="preserve"> nieuwe gevallen is de hypotheekrenteaftrek echter alleen toegestaan als het een lening betreft die gedurende de looptijd tenminste annuïtair wordt afgelost. Een aflossingsvrije hypotheek wordt dus verboden. De hypotheekrenteaftrek voor bestaande gevallen blijft echter gehandhaafd.</w:t>
      </w:r>
      <w:r w:rsidR="00895677" w:rsidRPr="00F14325">
        <w:rPr>
          <w:rStyle w:val="Voetnootmarkering"/>
          <w:rFonts w:ascii="Times New Roman" w:hAnsi="Times New Roman" w:cs="Times New Roman"/>
          <w:sz w:val="24"/>
          <w:szCs w:val="24"/>
        </w:rPr>
        <w:t xml:space="preserve"> </w:t>
      </w:r>
      <w:r w:rsidR="00895677" w:rsidRPr="00F14325">
        <w:rPr>
          <w:rStyle w:val="Voetnootmarkering"/>
          <w:rFonts w:ascii="Times New Roman" w:hAnsi="Times New Roman" w:cs="Times New Roman"/>
          <w:sz w:val="24"/>
          <w:szCs w:val="24"/>
        </w:rPr>
        <w:footnoteReference w:id="10"/>
      </w:r>
      <w:r w:rsidR="00895677" w:rsidRPr="00F14325">
        <w:rPr>
          <w:rFonts w:ascii="Times New Roman" w:hAnsi="Times New Roman" w:cs="Times New Roman"/>
          <w:sz w:val="24"/>
          <w:szCs w:val="24"/>
        </w:rPr>
        <w:t xml:space="preserve"> In het artikel </w:t>
      </w:r>
      <w:r w:rsidR="00895677" w:rsidRPr="00F14325">
        <w:rPr>
          <w:rFonts w:ascii="Times New Roman" w:hAnsi="Times New Roman" w:cs="Times New Roman"/>
          <w:i/>
          <w:sz w:val="24"/>
          <w:szCs w:val="24"/>
        </w:rPr>
        <w:t xml:space="preserve">Naar een duurzame woningmarkt; een zesstappenplan </w:t>
      </w:r>
      <w:r w:rsidR="00895677" w:rsidRPr="00F14325">
        <w:rPr>
          <w:rFonts w:ascii="Times New Roman" w:hAnsi="Times New Roman" w:cs="Times New Roman"/>
          <w:sz w:val="24"/>
          <w:szCs w:val="24"/>
        </w:rPr>
        <w:t>pleiten meerdere hoogleraren voor een snellere afbouw van de hypotheekrenteaftrek met zo’n 2% per jaar tot het tarief in de derde schijf. Zowel het</w:t>
      </w:r>
      <w:r w:rsidR="00895677">
        <w:rPr>
          <w:rFonts w:ascii="Times New Roman" w:hAnsi="Times New Roman" w:cs="Times New Roman"/>
          <w:sz w:val="24"/>
          <w:szCs w:val="24"/>
        </w:rPr>
        <w:t xml:space="preserve"> </w:t>
      </w:r>
      <w:r w:rsidR="00895677" w:rsidRPr="00F14325">
        <w:rPr>
          <w:rFonts w:ascii="Times New Roman" w:hAnsi="Times New Roman" w:cs="Times New Roman"/>
          <w:sz w:val="24"/>
          <w:szCs w:val="24"/>
        </w:rPr>
        <w:t>IMF</w:t>
      </w:r>
      <w:r w:rsidR="00895677" w:rsidRPr="00F14325">
        <w:rPr>
          <w:rStyle w:val="Voetnootmarkering"/>
          <w:rFonts w:ascii="Times New Roman" w:hAnsi="Times New Roman" w:cs="Times New Roman"/>
          <w:sz w:val="24"/>
          <w:szCs w:val="24"/>
        </w:rPr>
        <w:footnoteReference w:id="11"/>
      </w:r>
      <w:r w:rsidR="00895677" w:rsidRPr="00F14325">
        <w:rPr>
          <w:rFonts w:ascii="Times New Roman" w:hAnsi="Times New Roman" w:cs="Times New Roman"/>
          <w:sz w:val="24"/>
          <w:szCs w:val="24"/>
        </w:rPr>
        <w:t xml:space="preserve"> als de Europese Commissie (2012) stellen dat een afschaffing of een afbouw van de hypotheekrenteaftrek noodzakelijk is voor een gezonde huizenmarkt. </w:t>
      </w:r>
      <w:r w:rsidR="00CC24D9">
        <w:rPr>
          <w:rFonts w:ascii="Times New Roman" w:hAnsi="Times New Roman" w:cs="Times New Roman"/>
          <w:sz w:val="24"/>
          <w:szCs w:val="24"/>
        </w:rPr>
        <w:t>Het gevaar van e</w:t>
      </w:r>
      <w:r w:rsidR="002206AC">
        <w:rPr>
          <w:rFonts w:ascii="Times New Roman" w:hAnsi="Times New Roman" w:cs="Times New Roman"/>
          <w:sz w:val="24"/>
          <w:szCs w:val="24"/>
        </w:rPr>
        <w:t>en snelle afbouw van de hypotheekrenteaftrek</w:t>
      </w:r>
      <w:r w:rsidR="00CC24D9">
        <w:rPr>
          <w:rFonts w:ascii="Times New Roman" w:hAnsi="Times New Roman" w:cs="Times New Roman"/>
          <w:sz w:val="24"/>
          <w:szCs w:val="24"/>
        </w:rPr>
        <w:t xml:space="preserve"> is </w:t>
      </w:r>
      <w:r w:rsidR="00CB283E">
        <w:rPr>
          <w:rFonts w:ascii="Times New Roman" w:hAnsi="Times New Roman" w:cs="Times New Roman"/>
          <w:sz w:val="24"/>
          <w:szCs w:val="24"/>
        </w:rPr>
        <w:t xml:space="preserve">echter </w:t>
      </w:r>
      <w:r w:rsidR="00CC24D9">
        <w:rPr>
          <w:rFonts w:ascii="Times New Roman" w:hAnsi="Times New Roman" w:cs="Times New Roman"/>
          <w:sz w:val="24"/>
          <w:szCs w:val="24"/>
        </w:rPr>
        <w:t xml:space="preserve">dat het de huizenmarkt in het slot gooit. Huizenbezitters zien hun bezit minder waard worden, </w:t>
      </w:r>
      <w:r w:rsidR="00F9712D">
        <w:rPr>
          <w:rFonts w:ascii="Times New Roman" w:hAnsi="Times New Roman" w:cs="Times New Roman"/>
          <w:sz w:val="24"/>
          <w:szCs w:val="24"/>
        </w:rPr>
        <w:t>met alle negatieve effecten van dien.</w:t>
      </w:r>
      <w:r w:rsidR="00CB283E">
        <w:rPr>
          <w:rFonts w:ascii="Times New Roman" w:hAnsi="Times New Roman" w:cs="Times New Roman"/>
          <w:sz w:val="24"/>
          <w:szCs w:val="24"/>
        </w:rPr>
        <w:t xml:space="preserve"> Waaronder de onwil om te verhuizen en de negatieve effecten van de dalende huizenprijzen op de consumptie. Het is</w:t>
      </w:r>
      <w:r w:rsidR="00013A2C">
        <w:rPr>
          <w:rFonts w:ascii="Times New Roman" w:hAnsi="Times New Roman" w:cs="Times New Roman"/>
          <w:sz w:val="24"/>
          <w:szCs w:val="24"/>
        </w:rPr>
        <w:t xml:space="preserve"> dus</w:t>
      </w:r>
      <w:r w:rsidR="00CB283E">
        <w:rPr>
          <w:rFonts w:ascii="Times New Roman" w:hAnsi="Times New Roman" w:cs="Times New Roman"/>
          <w:sz w:val="24"/>
          <w:szCs w:val="24"/>
        </w:rPr>
        <w:t xml:space="preserve"> van essentieel belang dat de afbouw van de hypotheekrenteaftrek </w:t>
      </w:r>
      <w:r w:rsidR="00C948F0">
        <w:rPr>
          <w:rFonts w:ascii="Times New Roman" w:hAnsi="Times New Roman" w:cs="Times New Roman"/>
          <w:sz w:val="24"/>
          <w:szCs w:val="24"/>
        </w:rPr>
        <w:t xml:space="preserve">zeer </w:t>
      </w:r>
      <w:r w:rsidR="001279C0">
        <w:rPr>
          <w:rFonts w:ascii="Times New Roman" w:hAnsi="Times New Roman" w:cs="Times New Roman"/>
          <w:sz w:val="24"/>
          <w:szCs w:val="24"/>
        </w:rPr>
        <w:t>geleidelijk gebeurt</w:t>
      </w:r>
      <w:r w:rsidR="00CB283E">
        <w:rPr>
          <w:rFonts w:ascii="Times New Roman" w:hAnsi="Times New Roman" w:cs="Times New Roman"/>
          <w:sz w:val="24"/>
          <w:szCs w:val="24"/>
        </w:rPr>
        <w:t xml:space="preserve">. </w:t>
      </w:r>
      <w:r w:rsidR="00BD5835">
        <w:rPr>
          <w:rFonts w:ascii="Times New Roman" w:hAnsi="Times New Roman" w:cs="Times New Roman"/>
          <w:sz w:val="24"/>
          <w:szCs w:val="24"/>
        </w:rPr>
        <w:t xml:space="preserve">De noodzaak van de afbouw van de hypotheekrenteaftrek staat </w:t>
      </w:r>
      <w:r w:rsidR="00FB55D6">
        <w:rPr>
          <w:rFonts w:ascii="Times New Roman" w:hAnsi="Times New Roman" w:cs="Times New Roman"/>
          <w:sz w:val="24"/>
          <w:szCs w:val="24"/>
        </w:rPr>
        <w:t xml:space="preserve">echter </w:t>
      </w:r>
      <w:r w:rsidR="00BD5835">
        <w:rPr>
          <w:rFonts w:ascii="Times New Roman" w:hAnsi="Times New Roman" w:cs="Times New Roman"/>
          <w:sz w:val="24"/>
          <w:szCs w:val="24"/>
        </w:rPr>
        <w:t>vast.</w:t>
      </w:r>
    </w:p>
    <w:p w:rsidR="005B6730" w:rsidRDefault="00275965" w:rsidP="005B6730">
      <w:pPr>
        <w:pStyle w:val="Kop2"/>
      </w:pPr>
      <w:bookmarkStart w:id="23" w:name="_Toc365277100"/>
      <w:r>
        <w:t>4.4</w:t>
      </w:r>
      <w:r w:rsidR="005B6730">
        <w:t xml:space="preserve"> </w:t>
      </w:r>
      <w:r w:rsidR="00E264C8">
        <w:t>oplossing huidige problem</w:t>
      </w:r>
      <w:r w:rsidR="009C4FE4">
        <w:t>atiek</w:t>
      </w:r>
      <w:bookmarkEnd w:id="23"/>
    </w:p>
    <w:p w:rsidR="000E526A" w:rsidRDefault="00970BBD" w:rsidP="0025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voorgaande beleidsaanbevelingen hebben betrekking op een gezonde huizenmarkt in de toekomst. De grootste zorg is echter </w:t>
      </w:r>
      <w:r w:rsidR="000E526A">
        <w:rPr>
          <w:rFonts w:ascii="Times New Roman" w:hAnsi="Times New Roman" w:cs="Times New Roman"/>
          <w:sz w:val="24"/>
          <w:szCs w:val="24"/>
        </w:rPr>
        <w:t xml:space="preserve">momenteel </w:t>
      </w:r>
      <w:r>
        <w:rPr>
          <w:rFonts w:ascii="Times New Roman" w:hAnsi="Times New Roman" w:cs="Times New Roman"/>
          <w:sz w:val="24"/>
          <w:szCs w:val="24"/>
        </w:rPr>
        <w:t>het grote aantal huizenbezitter dat kampt met een grote restschuld. Het grootste pijnpunt zit bij de jonge huizenbezitter, die op het hoogtepunt een huis hebben gekocht</w:t>
      </w:r>
      <w:r w:rsidR="000E526A">
        <w:rPr>
          <w:rFonts w:ascii="Times New Roman" w:hAnsi="Times New Roman" w:cs="Times New Roman"/>
          <w:sz w:val="24"/>
          <w:szCs w:val="24"/>
        </w:rPr>
        <w:t xml:space="preserve"> en geconfronteerd werden met een forse daling van woningwaarde</w:t>
      </w:r>
      <w:r>
        <w:rPr>
          <w:rFonts w:ascii="Times New Roman" w:hAnsi="Times New Roman" w:cs="Times New Roman"/>
          <w:sz w:val="24"/>
          <w:szCs w:val="24"/>
        </w:rPr>
        <w:t xml:space="preserve">. Hier zit </w:t>
      </w:r>
      <w:r w:rsidR="000E526A">
        <w:rPr>
          <w:rFonts w:ascii="Times New Roman" w:hAnsi="Times New Roman" w:cs="Times New Roman"/>
          <w:sz w:val="24"/>
          <w:szCs w:val="24"/>
        </w:rPr>
        <w:t>wellicht het</w:t>
      </w:r>
      <w:r>
        <w:rPr>
          <w:rFonts w:ascii="Times New Roman" w:hAnsi="Times New Roman" w:cs="Times New Roman"/>
          <w:sz w:val="24"/>
          <w:szCs w:val="24"/>
        </w:rPr>
        <w:t xml:space="preserve"> grootste pijnpunt</w:t>
      </w:r>
      <w:r w:rsidR="000E526A">
        <w:rPr>
          <w:rFonts w:ascii="Times New Roman" w:hAnsi="Times New Roman" w:cs="Times New Roman"/>
          <w:sz w:val="24"/>
          <w:szCs w:val="24"/>
        </w:rPr>
        <w:t xml:space="preserve"> </w:t>
      </w:r>
      <w:r w:rsidR="009C4FE4">
        <w:rPr>
          <w:rFonts w:ascii="Times New Roman" w:hAnsi="Times New Roman" w:cs="Times New Roman"/>
          <w:sz w:val="24"/>
          <w:szCs w:val="24"/>
        </w:rPr>
        <w:t>op</w:t>
      </w:r>
      <w:r w:rsidR="000E526A">
        <w:rPr>
          <w:rFonts w:ascii="Times New Roman" w:hAnsi="Times New Roman" w:cs="Times New Roman"/>
          <w:sz w:val="24"/>
          <w:szCs w:val="24"/>
        </w:rPr>
        <w:t xml:space="preserve"> de woningmarkt</w:t>
      </w:r>
      <w:r>
        <w:rPr>
          <w:rFonts w:ascii="Times New Roman" w:hAnsi="Times New Roman" w:cs="Times New Roman"/>
          <w:sz w:val="24"/>
          <w:szCs w:val="24"/>
        </w:rPr>
        <w:t xml:space="preserve">. De oplossing </w:t>
      </w:r>
      <w:r w:rsidR="00E264C8">
        <w:rPr>
          <w:rFonts w:ascii="Times New Roman" w:hAnsi="Times New Roman" w:cs="Times New Roman"/>
          <w:sz w:val="24"/>
          <w:szCs w:val="24"/>
        </w:rPr>
        <w:t xml:space="preserve">voor dit probleem is niet eenvoudig. Het Rijk heeft geprobeerd tegemoet te komen aan deze </w:t>
      </w:r>
      <w:r w:rsidR="000E526A">
        <w:rPr>
          <w:rFonts w:ascii="Times New Roman" w:hAnsi="Times New Roman" w:cs="Times New Roman"/>
          <w:sz w:val="24"/>
          <w:szCs w:val="24"/>
        </w:rPr>
        <w:t>woningbezitters</w:t>
      </w:r>
      <w:r w:rsidR="00E264C8">
        <w:rPr>
          <w:rFonts w:ascii="Times New Roman" w:hAnsi="Times New Roman" w:cs="Times New Roman"/>
          <w:sz w:val="24"/>
          <w:szCs w:val="24"/>
        </w:rPr>
        <w:t xml:space="preserve"> door de overdrachtsbelasting te verlagen van 6% naar 2%, dit betrof voor</w:t>
      </w:r>
      <w:r w:rsidR="000E526A">
        <w:rPr>
          <w:rFonts w:ascii="Times New Roman" w:hAnsi="Times New Roman" w:cs="Times New Roman"/>
          <w:sz w:val="24"/>
          <w:szCs w:val="24"/>
        </w:rPr>
        <w:t>alsnog een tijdelijke maatregel. S</w:t>
      </w:r>
      <w:r w:rsidR="00E264C8">
        <w:rPr>
          <w:rFonts w:ascii="Times New Roman" w:hAnsi="Times New Roman" w:cs="Times New Roman"/>
          <w:sz w:val="24"/>
          <w:szCs w:val="24"/>
        </w:rPr>
        <w:t>inds vorig jaar is deze maatregel definitief.</w:t>
      </w:r>
      <w:r w:rsidR="00A31400">
        <w:rPr>
          <w:rFonts w:ascii="Times New Roman" w:hAnsi="Times New Roman" w:cs="Times New Roman"/>
          <w:sz w:val="24"/>
          <w:szCs w:val="24"/>
        </w:rPr>
        <w:t xml:space="preserve"> Het doel was om de markt te stimuleren, maar h</w:t>
      </w:r>
      <w:r w:rsidR="00E264C8">
        <w:rPr>
          <w:rFonts w:ascii="Times New Roman" w:hAnsi="Times New Roman" w:cs="Times New Roman"/>
          <w:sz w:val="24"/>
          <w:szCs w:val="24"/>
        </w:rPr>
        <w:t xml:space="preserve">et aantal transacties is </w:t>
      </w:r>
      <w:r w:rsidR="00A31400">
        <w:rPr>
          <w:rFonts w:ascii="Times New Roman" w:hAnsi="Times New Roman" w:cs="Times New Roman"/>
          <w:sz w:val="24"/>
          <w:szCs w:val="24"/>
        </w:rPr>
        <w:t>sindsdien</w:t>
      </w:r>
      <w:r w:rsidR="00E264C8">
        <w:rPr>
          <w:rFonts w:ascii="Times New Roman" w:hAnsi="Times New Roman" w:cs="Times New Roman"/>
          <w:sz w:val="24"/>
          <w:szCs w:val="24"/>
        </w:rPr>
        <w:t xml:space="preserve"> echter</w:t>
      </w:r>
      <w:r w:rsidR="00A31400">
        <w:rPr>
          <w:rFonts w:ascii="Times New Roman" w:hAnsi="Times New Roman" w:cs="Times New Roman"/>
          <w:sz w:val="24"/>
          <w:szCs w:val="24"/>
        </w:rPr>
        <w:t xml:space="preserve"> fors gedaald zodat </w:t>
      </w:r>
      <w:r w:rsidR="00A31400">
        <w:rPr>
          <w:rFonts w:ascii="Times New Roman" w:hAnsi="Times New Roman" w:cs="Times New Roman"/>
          <w:sz w:val="24"/>
          <w:szCs w:val="24"/>
        </w:rPr>
        <w:lastRenderedPageBreak/>
        <w:t xml:space="preserve">we kunnen concluderen dat deze maatregel niet veel effect heeft gesorteerd. Een mogelijkheid om starters tegemoet te komen is de ‘starterslening’. Starters op de huizenmarkt </w:t>
      </w:r>
      <w:r w:rsidR="007677E2">
        <w:rPr>
          <w:rFonts w:ascii="Times New Roman" w:hAnsi="Times New Roman" w:cs="Times New Roman"/>
          <w:sz w:val="24"/>
          <w:szCs w:val="24"/>
        </w:rPr>
        <w:t>krijgen een lening van de overheid die een gedeelte van de rente voor zijn rekening neemt. Minister Blok stelde</w:t>
      </w:r>
      <w:r w:rsidR="009C4FE4">
        <w:rPr>
          <w:rFonts w:ascii="Times New Roman" w:hAnsi="Times New Roman" w:cs="Times New Roman"/>
          <w:sz w:val="24"/>
          <w:szCs w:val="24"/>
        </w:rPr>
        <w:t>,</w:t>
      </w:r>
      <w:r w:rsidR="007677E2">
        <w:rPr>
          <w:rFonts w:ascii="Times New Roman" w:hAnsi="Times New Roman" w:cs="Times New Roman"/>
          <w:sz w:val="24"/>
          <w:szCs w:val="24"/>
        </w:rPr>
        <w:t xml:space="preserve"> evenals de gemeenten</w:t>
      </w:r>
      <w:r w:rsidR="009C4FE4">
        <w:rPr>
          <w:rFonts w:ascii="Times New Roman" w:hAnsi="Times New Roman" w:cs="Times New Roman"/>
          <w:sz w:val="24"/>
          <w:szCs w:val="24"/>
        </w:rPr>
        <w:t>,</w:t>
      </w:r>
      <w:r w:rsidR="007677E2">
        <w:rPr>
          <w:rFonts w:ascii="Times New Roman" w:hAnsi="Times New Roman" w:cs="Times New Roman"/>
          <w:sz w:val="24"/>
          <w:szCs w:val="24"/>
        </w:rPr>
        <w:t xml:space="preserve"> 50 miljoen euro beschikbaar om starters tegemoet te komen. Een uitbreiding van deze subsidiemaatregel is</w:t>
      </w:r>
      <w:r w:rsidR="000E526A">
        <w:rPr>
          <w:rFonts w:ascii="Times New Roman" w:hAnsi="Times New Roman" w:cs="Times New Roman"/>
          <w:sz w:val="24"/>
          <w:szCs w:val="24"/>
        </w:rPr>
        <w:t xml:space="preserve"> e</w:t>
      </w:r>
      <w:r w:rsidR="00CE6731">
        <w:rPr>
          <w:rFonts w:ascii="Times New Roman" w:hAnsi="Times New Roman" w:cs="Times New Roman"/>
          <w:sz w:val="24"/>
          <w:szCs w:val="24"/>
        </w:rPr>
        <w:t>chter</w:t>
      </w:r>
      <w:r w:rsidR="007677E2">
        <w:rPr>
          <w:rFonts w:ascii="Times New Roman" w:hAnsi="Times New Roman" w:cs="Times New Roman"/>
          <w:sz w:val="24"/>
          <w:szCs w:val="24"/>
        </w:rPr>
        <w:t xml:space="preserve"> niet wenselijk.</w:t>
      </w:r>
      <w:r w:rsidR="000E526A">
        <w:rPr>
          <w:rFonts w:ascii="Times New Roman" w:hAnsi="Times New Roman" w:cs="Times New Roman"/>
          <w:sz w:val="24"/>
          <w:szCs w:val="24"/>
        </w:rPr>
        <w:t xml:space="preserve"> Het effect van deze maatregel is moeilijk te meten en de nadelen zijn evident. Elke subsidie kost de Staat geld.</w:t>
      </w:r>
      <w:r w:rsidR="00CE6731">
        <w:rPr>
          <w:rFonts w:ascii="Times New Roman" w:hAnsi="Times New Roman" w:cs="Times New Roman"/>
          <w:sz w:val="24"/>
          <w:szCs w:val="24"/>
        </w:rPr>
        <w:t xml:space="preserve"> In de huidige economische omstandigheden zal</w:t>
      </w:r>
      <w:r w:rsidR="000E526A">
        <w:rPr>
          <w:rFonts w:ascii="Times New Roman" w:hAnsi="Times New Roman" w:cs="Times New Roman"/>
          <w:sz w:val="24"/>
          <w:szCs w:val="24"/>
        </w:rPr>
        <w:t xml:space="preserve"> het</w:t>
      </w:r>
      <w:r w:rsidR="00CE6731">
        <w:rPr>
          <w:rFonts w:ascii="Times New Roman" w:hAnsi="Times New Roman" w:cs="Times New Roman"/>
          <w:sz w:val="24"/>
          <w:szCs w:val="24"/>
        </w:rPr>
        <w:t xml:space="preserve"> middel we</w:t>
      </w:r>
      <w:r w:rsidR="001C5F8F">
        <w:rPr>
          <w:rFonts w:ascii="Times New Roman" w:hAnsi="Times New Roman" w:cs="Times New Roman"/>
          <w:sz w:val="24"/>
          <w:szCs w:val="24"/>
        </w:rPr>
        <w:t>llicht erger zijn dan de kwaal. Dit is zeker zo a</w:t>
      </w:r>
      <w:r w:rsidR="00CE6731">
        <w:rPr>
          <w:rFonts w:ascii="Times New Roman" w:hAnsi="Times New Roman" w:cs="Times New Roman"/>
          <w:sz w:val="24"/>
          <w:szCs w:val="24"/>
        </w:rPr>
        <w:t>ls de regering zich ten doel stelt het begrotingstekort onder de Europese norm van 3% te</w:t>
      </w:r>
      <w:r w:rsidR="009C4FE4">
        <w:rPr>
          <w:rFonts w:ascii="Times New Roman" w:hAnsi="Times New Roman" w:cs="Times New Roman"/>
          <w:sz w:val="24"/>
          <w:szCs w:val="24"/>
        </w:rPr>
        <w:t xml:space="preserve"> zullen</w:t>
      </w:r>
      <w:r w:rsidR="00CE6731">
        <w:rPr>
          <w:rFonts w:ascii="Times New Roman" w:hAnsi="Times New Roman" w:cs="Times New Roman"/>
          <w:sz w:val="24"/>
          <w:szCs w:val="24"/>
        </w:rPr>
        <w:t xml:space="preserve"> houden</w:t>
      </w:r>
      <w:r w:rsidR="001C5F8F">
        <w:rPr>
          <w:rFonts w:ascii="Times New Roman" w:hAnsi="Times New Roman" w:cs="Times New Roman"/>
          <w:sz w:val="24"/>
          <w:szCs w:val="24"/>
        </w:rPr>
        <w:t>. D</w:t>
      </w:r>
      <w:r w:rsidR="00CE6731">
        <w:rPr>
          <w:rFonts w:ascii="Times New Roman" w:hAnsi="Times New Roman" w:cs="Times New Roman"/>
          <w:sz w:val="24"/>
          <w:szCs w:val="24"/>
        </w:rPr>
        <w:t xml:space="preserve">eze maatregelen </w:t>
      </w:r>
      <w:r w:rsidR="001C5F8F">
        <w:rPr>
          <w:rFonts w:ascii="Times New Roman" w:hAnsi="Times New Roman" w:cs="Times New Roman"/>
          <w:sz w:val="24"/>
          <w:szCs w:val="24"/>
        </w:rPr>
        <w:t xml:space="preserve">zullen </w:t>
      </w:r>
      <w:r w:rsidR="00CE6731">
        <w:rPr>
          <w:rFonts w:ascii="Times New Roman" w:hAnsi="Times New Roman" w:cs="Times New Roman"/>
          <w:sz w:val="24"/>
          <w:szCs w:val="24"/>
        </w:rPr>
        <w:t>elder</w:t>
      </w:r>
      <w:r w:rsidR="000E526A">
        <w:rPr>
          <w:rFonts w:ascii="Times New Roman" w:hAnsi="Times New Roman" w:cs="Times New Roman"/>
          <w:sz w:val="24"/>
          <w:szCs w:val="24"/>
        </w:rPr>
        <w:t xml:space="preserve">s leiden tot lastenverzwaringen en tot bezuinigingen met de negatieve effecten van dien. </w:t>
      </w:r>
      <w:r w:rsidR="007677E2">
        <w:rPr>
          <w:rFonts w:ascii="Times New Roman" w:hAnsi="Times New Roman" w:cs="Times New Roman"/>
          <w:sz w:val="24"/>
          <w:szCs w:val="24"/>
        </w:rPr>
        <w:t xml:space="preserve"> </w:t>
      </w:r>
    </w:p>
    <w:p w:rsidR="005B6730" w:rsidRDefault="00221227" w:rsidP="00253F14">
      <w:pPr>
        <w:spacing w:line="360" w:lineRule="auto"/>
        <w:jc w:val="both"/>
        <w:rPr>
          <w:rFonts w:ascii="Times New Roman" w:hAnsi="Times New Roman" w:cs="Times New Roman"/>
          <w:sz w:val="24"/>
          <w:szCs w:val="24"/>
        </w:rPr>
      </w:pPr>
      <w:r>
        <w:rPr>
          <w:rFonts w:ascii="Times New Roman" w:hAnsi="Times New Roman" w:cs="Times New Roman"/>
          <w:sz w:val="24"/>
          <w:szCs w:val="24"/>
        </w:rPr>
        <w:t>Naast de grote hypotheekschuld</w:t>
      </w:r>
      <w:r w:rsidR="007B2ED1">
        <w:rPr>
          <w:rFonts w:ascii="Times New Roman" w:hAnsi="Times New Roman" w:cs="Times New Roman"/>
          <w:sz w:val="24"/>
          <w:szCs w:val="24"/>
        </w:rPr>
        <w:t xml:space="preserve"> wordt de Nederlandse economie gekenmerkt door het grote vermogen in de pensioenfondsen en in de levensverzekeringen. </w:t>
      </w:r>
      <w:r w:rsidR="00700572">
        <w:rPr>
          <w:rFonts w:ascii="Times New Roman" w:hAnsi="Times New Roman" w:cs="Times New Roman"/>
          <w:sz w:val="24"/>
          <w:szCs w:val="24"/>
        </w:rPr>
        <w:t xml:space="preserve">In aanloop naar Prinsjesdag beraamt het kabinet plannen om deze vermogens aan te wenden om de hoge hypotheekschuld naar beneden te brengen. Vooral woningbezitters met een grote restschuld willen eerst de restschuld aflossen voordat de huizenmarkt betreden om een woning te kopen. Veel huizenbezitters hebben een groot vermogen waar ze echter niet bij kunnen. De doorstroming op de huizenmarkt zou bevorderd kunnen worden door deze vermogens aan te spreken om de schulden naar beneden te brengen. Het probleem met dit voorstel is echter dat de woningbezitters met de grootste </w:t>
      </w:r>
      <w:r w:rsidR="006E1626">
        <w:rPr>
          <w:rFonts w:ascii="Times New Roman" w:hAnsi="Times New Roman" w:cs="Times New Roman"/>
          <w:sz w:val="24"/>
          <w:szCs w:val="24"/>
        </w:rPr>
        <w:t>(rest)schuld zich vooral onder de starters bevinden die nog niet veel pensioen opgebouwd hebben. De groep met de grootste pensioenreserves is vooral de oudere woningbezitter die al een groot gedeelte van zijn hypotheekschuld afgelost heeft en veelal te maken heeft met een overwaarde op de woni</w:t>
      </w:r>
      <w:r w:rsidR="001C5F8F">
        <w:rPr>
          <w:rFonts w:ascii="Times New Roman" w:hAnsi="Times New Roman" w:cs="Times New Roman"/>
          <w:sz w:val="24"/>
          <w:szCs w:val="24"/>
        </w:rPr>
        <w:t xml:space="preserve">ng. </w:t>
      </w:r>
      <w:r w:rsidR="00A25D7E">
        <w:rPr>
          <w:rFonts w:ascii="Times New Roman" w:hAnsi="Times New Roman" w:cs="Times New Roman"/>
          <w:sz w:val="24"/>
          <w:szCs w:val="24"/>
        </w:rPr>
        <w:t xml:space="preserve">Het vermogen bevind zich dus hoofdzakelijk bij de verdeerde groep huizenbezitters. </w:t>
      </w:r>
      <w:r w:rsidR="001C5F8F">
        <w:rPr>
          <w:rFonts w:ascii="Times New Roman" w:hAnsi="Times New Roman" w:cs="Times New Roman"/>
          <w:sz w:val="24"/>
          <w:szCs w:val="24"/>
        </w:rPr>
        <w:t xml:space="preserve">Daarbij komt nog het risico </w:t>
      </w:r>
      <w:r w:rsidR="006E1626">
        <w:rPr>
          <w:rFonts w:ascii="Times New Roman" w:hAnsi="Times New Roman" w:cs="Times New Roman"/>
          <w:sz w:val="24"/>
          <w:szCs w:val="24"/>
        </w:rPr>
        <w:t xml:space="preserve">dat </w:t>
      </w:r>
      <w:r w:rsidR="005F098A">
        <w:rPr>
          <w:rFonts w:ascii="Times New Roman" w:hAnsi="Times New Roman" w:cs="Times New Roman"/>
          <w:sz w:val="24"/>
          <w:szCs w:val="24"/>
        </w:rPr>
        <w:t>woningbezitters</w:t>
      </w:r>
      <w:r w:rsidR="001C5F8F">
        <w:rPr>
          <w:rFonts w:ascii="Times New Roman" w:hAnsi="Times New Roman" w:cs="Times New Roman"/>
          <w:sz w:val="24"/>
          <w:szCs w:val="24"/>
        </w:rPr>
        <w:t xml:space="preserve"> </w:t>
      </w:r>
      <w:r w:rsidR="005F098A">
        <w:rPr>
          <w:rFonts w:ascii="Times New Roman" w:hAnsi="Times New Roman" w:cs="Times New Roman"/>
          <w:sz w:val="24"/>
          <w:szCs w:val="24"/>
        </w:rPr>
        <w:t>na het aanspreken van het pensioengeld voor de hypotheekschuld minder reserves hebben opgebouwd voor oude dag. Een andere manier om de pensioenvermogens aan te wenden is onder andere te zien in de plannen van de commissie Wijffels</w:t>
      </w:r>
      <w:r w:rsidR="005F098A">
        <w:rPr>
          <w:rStyle w:val="Voetnootmarkering"/>
          <w:rFonts w:ascii="Times New Roman" w:hAnsi="Times New Roman" w:cs="Times New Roman"/>
          <w:sz w:val="24"/>
          <w:szCs w:val="24"/>
        </w:rPr>
        <w:footnoteReference w:id="12"/>
      </w:r>
      <w:r w:rsidR="005F098A">
        <w:rPr>
          <w:rFonts w:ascii="Times New Roman" w:hAnsi="Times New Roman" w:cs="Times New Roman"/>
          <w:sz w:val="24"/>
          <w:szCs w:val="24"/>
        </w:rPr>
        <w:t xml:space="preserve"> en ‘de twaalf economen’</w:t>
      </w:r>
      <w:r w:rsidR="006D1438">
        <w:rPr>
          <w:rFonts w:ascii="Times New Roman" w:hAnsi="Times New Roman" w:cs="Times New Roman"/>
          <w:sz w:val="24"/>
          <w:szCs w:val="24"/>
        </w:rPr>
        <w:t xml:space="preserve"> die pleitten voor de doorverkoop van hypotheken aan </w:t>
      </w:r>
      <w:r w:rsidR="005F098A">
        <w:rPr>
          <w:rFonts w:ascii="Times New Roman" w:hAnsi="Times New Roman" w:cs="Times New Roman"/>
          <w:sz w:val="24"/>
          <w:szCs w:val="24"/>
        </w:rPr>
        <w:t xml:space="preserve">de pensioenfondsen waardoor de banken de ruimte krijgen om nieuwe kredieten te verstrekken. </w:t>
      </w:r>
      <w:r w:rsidR="006D1438">
        <w:rPr>
          <w:rFonts w:ascii="Times New Roman" w:hAnsi="Times New Roman" w:cs="Times New Roman"/>
          <w:sz w:val="24"/>
          <w:szCs w:val="24"/>
        </w:rPr>
        <w:t>De beleggingsinstellingen zullen echter niet zomaar bereidt zijn de slechte hypotheken over te nemen van de banken tenzij de overheid daarvoor garanties geeft.</w:t>
      </w:r>
      <w:r w:rsidR="005F098A">
        <w:rPr>
          <w:rFonts w:ascii="Times New Roman" w:hAnsi="Times New Roman" w:cs="Times New Roman"/>
          <w:sz w:val="24"/>
          <w:szCs w:val="24"/>
        </w:rPr>
        <w:t xml:space="preserve"> </w:t>
      </w:r>
      <w:r w:rsidR="006D1438">
        <w:rPr>
          <w:rFonts w:ascii="Times New Roman" w:hAnsi="Times New Roman" w:cs="Times New Roman"/>
          <w:sz w:val="24"/>
          <w:szCs w:val="24"/>
        </w:rPr>
        <w:t>Het nadeel daarvan is dat het risico dat de Staat loopt</w:t>
      </w:r>
      <w:r w:rsidR="00A25D7E">
        <w:rPr>
          <w:rFonts w:ascii="Times New Roman" w:hAnsi="Times New Roman" w:cs="Times New Roman"/>
          <w:sz w:val="24"/>
          <w:szCs w:val="24"/>
        </w:rPr>
        <w:t>,</w:t>
      </w:r>
      <w:r w:rsidR="006D1438">
        <w:rPr>
          <w:rFonts w:ascii="Times New Roman" w:hAnsi="Times New Roman" w:cs="Times New Roman"/>
          <w:sz w:val="24"/>
          <w:szCs w:val="24"/>
        </w:rPr>
        <w:t xml:space="preserve"> toeneemt.  </w:t>
      </w:r>
    </w:p>
    <w:p w:rsidR="005B6730" w:rsidRDefault="005B6730" w:rsidP="005B6730">
      <w:pPr>
        <w:pStyle w:val="Kop2"/>
      </w:pPr>
      <w:bookmarkStart w:id="24" w:name="_Toc365277101"/>
      <w:r>
        <w:lastRenderedPageBreak/>
        <w:t>4.</w:t>
      </w:r>
      <w:r w:rsidR="00275965">
        <w:t>5 Is d</w:t>
      </w:r>
      <w:r w:rsidR="003D1622">
        <w:t>e bodem in zicht?</w:t>
      </w:r>
      <w:bookmarkEnd w:id="24"/>
      <w:r>
        <w:t xml:space="preserve"> </w:t>
      </w:r>
    </w:p>
    <w:p w:rsidR="00B22D23" w:rsidRPr="00F14325" w:rsidRDefault="004559BE" w:rsidP="0025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beleidsimplicaties voor een stabiele huizenmarkt </w:t>
      </w:r>
      <w:r w:rsidR="00013A2C">
        <w:rPr>
          <w:rFonts w:ascii="Times New Roman" w:hAnsi="Times New Roman" w:cs="Times New Roman"/>
          <w:sz w:val="24"/>
          <w:szCs w:val="24"/>
        </w:rPr>
        <w:t xml:space="preserve">in de toekomst liggen voor de hand. </w:t>
      </w:r>
      <w:r>
        <w:rPr>
          <w:rFonts w:ascii="Times New Roman" w:hAnsi="Times New Roman" w:cs="Times New Roman"/>
          <w:sz w:val="24"/>
          <w:szCs w:val="24"/>
        </w:rPr>
        <w:t>De huidige problemen zijn</w:t>
      </w:r>
      <w:r w:rsidR="00013A2C">
        <w:rPr>
          <w:rFonts w:ascii="Times New Roman" w:hAnsi="Times New Roman" w:cs="Times New Roman"/>
          <w:sz w:val="24"/>
          <w:szCs w:val="24"/>
        </w:rPr>
        <w:t xml:space="preserve"> </w:t>
      </w:r>
      <w:r w:rsidR="00B513A1">
        <w:rPr>
          <w:rFonts w:ascii="Times New Roman" w:hAnsi="Times New Roman" w:cs="Times New Roman"/>
          <w:sz w:val="24"/>
          <w:szCs w:val="24"/>
        </w:rPr>
        <w:t xml:space="preserve">echter </w:t>
      </w:r>
      <w:r w:rsidR="00013A2C">
        <w:rPr>
          <w:rFonts w:ascii="Times New Roman" w:hAnsi="Times New Roman" w:cs="Times New Roman"/>
          <w:sz w:val="24"/>
          <w:szCs w:val="24"/>
        </w:rPr>
        <w:t xml:space="preserve">niet eenvoudige op te lossen. </w:t>
      </w:r>
      <w:r w:rsidR="001C5F8F">
        <w:rPr>
          <w:rFonts w:ascii="Times New Roman" w:hAnsi="Times New Roman" w:cs="Times New Roman"/>
          <w:sz w:val="24"/>
          <w:szCs w:val="24"/>
        </w:rPr>
        <w:t xml:space="preserve">De Nederlandse vereniging van makelaars (nvm) is in een persbericht van juli 2013 ‘voorzichtig’ optimistisch en voorziet </w:t>
      </w:r>
      <w:r w:rsidR="009C4FE4">
        <w:rPr>
          <w:rFonts w:ascii="Times New Roman" w:hAnsi="Times New Roman" w:cs="Times New Roman"/>
          <w:sz w:val="24"/>
          <w:szCs w:val="24"/>
        </w:rPr>
        <w:t>dat de bodem van dan prijsdaling in zicht is. De</w:t>
      </w:r>
      <w:r w:rsidR="001C5F8F">
        <w:rPr>
          <w:rFonts w:ascii="Times New Roman" w:hAnsi="Times New Roman" w:cs="Times New Roman"/>
          <w:sz w:val="24"/>
          <w:szCs w:val="24"/>
        </w:rPr>
        <w:t xml:space="preserve"> Rabobank</w:t>
      </w:r>
      <w:r w:rsidR="009C4FE4">
        <w:rPr>
          <w:rFonts w:ascii="Times New Roman" w:hAnsi="Times New Roman" w:cs="Times New Roman"/>
          <w:sz w:val="24"/>
          <w:szCs w:val="24"/>
        </w:rPr>
        <w:t xml:space="preserve"> voorspelt dat tegen het einde van dit jaar de woningmarkt stabiliseert.</w:t>
      </w:r>
      <w:r w:rsidR="001C5F8F">
        <w:rPr>
          <w:rFonts w:ascii="Times New Roman" w:hAnsi="Times New Roman" w:cs="Times New Roman"/>
          <w:sz w:val="24"/>
          <w:szCs w:val="24"/>
        </w:rPr>
        <w:t xml:space="preserve"> De vraag dringt zich op of beleidsmaatregelen die nu nog geïmplementeerd moeten worden </w:t>
      </w:r>
      <w:r w:rsidR="00A25D7E">
        <w:rPr>
          <w:rFonts w:ascii="Times New Roman" w:hAnsi="Times New Roman" w:cs="Times New Roman"/>
          <w:sz w:val="24"/>
          <w:szCs w:val="24"/>
        </w:rPr>
        <w:t xml:space="preserve">nog enig effect sorteren. </w:t>
      </w:r>
      <w:r w:rsidR="009C4FE4">
        <w:rPr>
          <w:rFonts w:ascii="Times New Roman" w:hAnsi="Times New Roman" w:cs="Times New Roman"/>
          <w:sz w:val="24"/>
          <w:szCs w:val="24"/>
        </w:rPr>
        <w:t>Veel zal afhangen van macro-economische ontwikkelingen, zoals de ontwikkeling van de hypotheekrente en de werkloosheid, waar de beleidsmakers weinig invloed op hebben.</w:t>
      </w:r>
      <w:r w:rsidR="00A25D7E">
        <w:rPr>
          <w:rFonts w:ascii="Times New Roman" w:hAnsi="Times New Roman" w:cs="Times New Roman"/>
          <w:sz w:val="24"/>
          <w:szCs w:val="24"/>
        </w:rPr>
        <w:t xml:space="preserve"> Daarnaast zijn de beleidsimplicaties complex, of kosten </w:t>
      </w:r>
      <w:r w:rsidR="00CF30BB">
        <w:rPr>
          <w:rFonts w:ascii="Times New Roman" w:hAnsi="Times New Roman" w:cs="Times New Roman"/>
          <w:sz w:val="24"/>
          <w:szCs w:val="24"/>
        </w:rPr>
        <w:t xml:space="preserve">de Staat </w:t>
      </w:r>
      <w:r w:rsidR="00A25D7E">
        <w:rPr>
          <w:rFonts w:ascii="Times New Roman" w:hAnsi="Times New Roman" w:cs="Times New Roman"/>
          <w:sz w:val="24"/>
          <w:szCs w:val="24"/>
        </w:rPr>
        <w:t>veel geld.</w:t>
      </w:r>
      <w:r w:rsidR="009C4FE4">
        <w:rPr>
          <w:rFonts w:ascii="Times New Roman" w:hAnsi="Times New Roman" w:cs="Times New Roman"/>
          <w:sz w:val="24"/>
          <w:szCs w:val="24"/>
        </w:rPr>
        <w:t xml:space="preserve"> </w:t>
      </w:r>
      <w:r w:rsidR="00F336F9">
        <w:rPr>
          <w:rFonts w:ascii="Times New Roman" w:hAnsi="Times New Roman" w:cs="Times New Roman"/>
          <w:sz w:val="24"/>
          <w:szCs w:val="24"/>
        </w:rPr>
        <w:t>Voor d</w:t>
      </w:r>
      <w:r w:rsidR="00B513A1">
        <w:rPr>
          <w:rFonts w:ascii="Times New Roman" w:hAnsi="Times New Roman" w:cs="Times New Roman"/>
          <w:sz w:val="24"/>
          <w:szCs w:val="24"/>
        </w:rPr>
        <w:t>e 1,2 miljoen huiseigenaren waarvan</w:t>
      </w:r>
      <w:r w:rsidR="00013A2C">
        <w:rPr>
          <w:rFonts w:ascii="Times New Roman" w:hAnsi="Times New Roman" w:cs="Times New Roman"/>
          <w:sz w:val="24"/>
          <w:szCs w:val="24"/>
        </w:rPr>
        <w:t xml:space="preserve"> </w:t>
      </w:r>
      <w:r>
        <w:rPr>
          <w:rFonts w:ascii="Times New Roman" w:hAnsi="Times New Roman" w:cs="Times New Roman"/>
          <w:sz w:val="24"/>
          <w:szCs w:val="24"/>
        </w:rPr>
        <w:t xml:space="preserve"> </w:t>
      </w:r>
      <w:r w:rsidR="00B513A1">
        <w:rPr>
          <w:rFonts w:ascii="Times New Roman" w:hAnsi="Times New Roman" w:cs="Times New Roman"/>
          <w:sz w:val="24"/>
          <w:szCs w:val="24"/>
        </w:rPr>
        <w:t>de waarde van het huis minder is dan de waarde van de hypotheeksom</w:t>
      </w:r>
      <w:r w:rsidR="00F336F9">
        <w:rPr>
          <w:rFonts w:ascii="Times New Roman" w:hAnsi="Times New Roman" w:cs="Times New Roman"/>
          <w:sz w:val="24"/>
          <w:szCs w:val="24"/>
        </w:rPr>
        <w:t xml:space="preserve"> is het wachten tot de huizenmarkt stabiliseert</w:t>
      </w:r>
      <w:r w:rsidR="00CF30BB">
        <w:rPr>
          <w:rFonts w:ascii="Times New Roman" w:hAnsi="Times New Roman" w:cs="Times New Roman"/>
          <w:sz w:val="24"/>
          <w:szCs w:val="24"/>
        </w:rPr>
        <w:t>. De daling van de huizenprijzen zal in de regel voortduren totdat het voor toetreders aantrekkelijk is geworden om een huis te kopen.</w:t>
      </w:r>
      <w:r w:rsidR="005B6730">
        <w:rPr>
          <w:rFonts w:ascii="Times New Roman" w:hAnsi="Times New Roman" w:cs="Times New Roman"/>
          <w:sz w:val="24"/>
          <w:szCs w:val="24"/>
        </w:rPr>
        <w:t xml:space="preserve"> </w:t>
      </w:r>
      <w:r w:rsidR="00E26C7C">
        <w:rPr>
          <w:rFonts w:ascii="Times New Roman" w:hAnsi="Times New Roman" w:cs="Times New Roman"/>
          <w:sz w:val="24"/>
          <w:szCs w:val="24"/>
        </w:rPr>
        <w:t>Tegelijkertijd met een economie die naar verwachting aantrekt</w:t>
      </w:r>
      <w:r w:rsidR="00062720">
        <w:rPr>
          <w:rFonts w:ascii="Times New Roman" w:hAnsi="Times New Roman" w:cs="Times New Roman"/>
          <w:sz w:val="24"/>
          <w:szCs w:val="24"/>
        </w:rPr>
        <w:t>,</w:t>
      </w:r>
      <w:r w:rsidR="00E26C7C">
        <w:rPr>
          <w:rFonts w:ascii="Times New Roman" w:hAnsi="Times New Roman" w:cs="Times New Roman"/>
          <w:sz w:val="24"/>
          <w:szCs w:val="24"/>
        </w:rPr>
        <w:t xml:space="preserve"> zal dit de huizenmarkt uit het slop trekken. Veel huiseigenaren zullen</w:t>
      </w:r>
      <w:r w:rsidR="00253F14">
        <w:rPr>
          <w:rFonts w:ascii="Times New Roman" w:hAnsi="Times New Roman" w:cs="Times New Roman"/>
          <w:sz w:val="24"/>
          <w:szCs w:val="24"/>
        </w:rPr>
        <w:t xml:space="preserve"> echter</w:t>
      </w:r>
      <w:r w:rsidR="00E26C7C">
        <w:rPr>
          <w:rFonts w:ascii="Times New Roman" w:hAnsi="Times New Roman" w:cs="Times New Roman"/>
          <w:sz w:val="24"/>
          <w:szCs w:val="24"/>
        </w:rPr>
        <w:t xml:space="preserve"> </w:t>
      </w:r>
      <w:r w:rsidR="00253F14">
        <w:rPr>
          <w:rFonts w:ascii="Times New Roman" w:hAnsi="Times New Roman" w:cs="Times New Roman"/>
          <w:sz w:val="24"/>
          <w:szCs w:val="24"/>
        </w:rPr>
        <w:t>gedurende de implementatietermijn van de noodzakelijke maatregelen do</w:t>
      </w:r>
      <w:r w:rsidR="00E26C7C">
        <w:rPr>
          <w:rFonts w:ascii="Times New Roman" w:hAnsi="Times New Roman" w:cs="Times New Roman"/>
          <w:sz w:val="24"/>
          <w:szCs w:val="24"/>
        </w:rPr>
        <w:t>or de zure appel heen moet</w:t>
      </w:r>
      <w:r w:rsidR="003D1622">
        <w:rPr>
          <w:rFonts w:ascii="Times New Roman" w:hAnsi="Times New Roman" w:cs="Times New Roman"/>
          <w:sz w:val="24"/>
          <w:szCs w:val="24"/>
        </w:rPr>
        <w:t>en bijten.</w:t>
      </w:r>
      <w:r w:rsidR="005B6730">
        <w:rPr>
          <w:rFonts w:ascii="Times New Roman" w:hAnsi="Times New Roman" w:cs="Times New Roman"/>
          <w:sz w:val="24"/>
          <w:szCs w:val="24"/>
        </w:rPr>
        <w:t xml:space="preserve"> </w:t>
      </w:r>
    </w:p>
    <w:p w:rsidR="00294F56" w:rsidRPr="00294F56" w:rsidRDefault="00294F56" w:rsidP="00CE702C">
      <w:pPr>
        <w:spacing w:line="360" w:lineRule="auto"/>
        <w:jc w:val="both"/>
        <w:rPr>
          <w:rFonts w:ascii="Times New Roman" w:hAnsi="Times New Roman" w:cs="Times New Roman"/>
          <w:sz w:val="24"/>
          <w:szCs w:val="24"/>
        </w:rPr>
      </w:pPr>
    </w:p>
    <w:p w:rsidR="00BF7025" w:rsidRPr="00BF7025" w:rsidRDefault="00BF7025" w:rsidP="00A838AE">
      <w:pPr>
        <w:spacing w:line="360" w:lineRule="auto"/>
        <w:jc w:val="both"/>
        <w:rPr>
          <w:rFonts w:ascii="Times New Roman" w:hAnsi="Times New Roman" w:cs="Times New Roman"/>
          <w:sz w:val="24"/>
          <w:szCs w:val="24"/>
        </w:rPr>
      </w:pPr>
    </w:p>
    <w:p w:rsidR="00376593" w:rsidRPr="00F14325" w:rsidRDefault="00376593" w:rsidP="00A838AE">
      <w:pPr>
        <w:spacing w:line="360" w:lineRule="auto"/>
        <w:jc w:val="both"/>
        <w:rPr>
          <w:rFonts w:ascii="Times New Roman" w:hAnsi="Times New Roman" w:cs="Times New Roman"/>
          <w:b/>
          <w:sz w:val="24"/>
          <w:szCs w:val="24"/>
          <w:u w:val="single"/>
        </w:rPr>
      </w:pPr>
    </w:p>
    <w:p w:rsidR="00376593" w:rsidRPr="00F14325" w:rsidRDefault="00376593" w:rsidP="00A838AE">
      <w:pPr>
        <w:spacing w:line="360" w:lineRule="auto"/>
        <w:jc w:val="both"/>
        <w:rPr>
          <w:rFonts w:ascii="Times New Roman" w:hAnsi="Times New Roman" w:cs="Times New Roman"/>
          <w:b/>
          <w:sz w:val="24"/>
          <w:szCs w:val="24"/>
          <w:u w:val="single"/>
        </w:rPr>
      </w:pPr>
    </w:p>
    <w:p w:rsidR="005A0F2D" w:rsidRPr="00F14325" w:rsidRDefault="005A0F2D" w:rsidP="00A838AE">
      <w:pPr>
        <w:spacing w:line="360" w:lineRule="auto"/>
        <w:jc w:val="both"/>
        <w:rPr>
          <w:rFonts w:ascii="Times New Roman" w:hAnsi="Times New Roman" w:cs="Times New Roman"/>
          <w:b/>
          <w:sz w:val="24"/>
          <w:szCs w:val="24"/>
          <w:u w:val="single"/>
        </w:rPr>
      </w:pPr>
    </w:p>
    <w:p w:rsidR="005A0F2D" w:rsidRPr="00F14325" w:rsidRDefault="005A0F2D" w:rsidP="00A838AE">
      <w:pPr>
        <w:spacing w:line="360" w:lineRule="auto"/>
        <w:jc w:val="both"/>
        <w:rPr>
          <w:rFonts w:ascii="Times New Roman" w:hAnsi="Times New Roman" w:cs="Times New Roman"/>
          <w:b/>
          <w:sz w:val="24"/>
          <w:szCs w:val="24"/>
          <w:u w:val="single"/>
        </w:rPr>
      </w:pPr>
    </w:p>
    <w:p w:rsidR="00674926" w:rsidRDefault="0067492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76593" w:rsidRDefault="00331319" w:rsidP="00331319">
      <w:pPr>
        <w:pStyle w:val="Kop1"/>
      </w:pPr>
      <w:bookmarkStart w:id="25" w:name="_Toc365277102"/>
      <w:r>
        <w:lastRenderedPageBreak/>
        <w:t>5</w:t>
      </w:r>
      <w:r w:rsidR="00AA0F10">
        <w:t xml:space="preserve">. </w:t>
      </w:r>
      <w:r w:rsidR="005A0F2D" w:rsidRPr="00F14325">
        <w:t>Samenvatting en c</w:t>
      </w:r>
      <w:r w:rsidR="00376593" w:rsidRPr="00F14325">
        <w:t>onclusie</w:t>
      </w:r>
      <w:bookmarkEnd w:id="25"/>
    </w:p>
    <w:p w:rsidR="004E549D" w:rsidRPr="004E549D" w:rsidRDefault="004E549D" w:rsidP="004E549D"/>
    <w:p w:rsidR="00376593" w:rsidRPr="00F14325" w:rsidRDefault="00F14325" w:rsidP="00376593">
      <w:pPr>
        <w:spacing w:line="360" w:lineRule="auto"/>
        <w:jc w:val="both"/>
        <w:rPr>
          <w:rFonts w:ascii="Times New Roman" w:hAnsi="Times New Roman" w:cs="Times New Roman"/>
          <w:b/>
          <w:sz w:val="24"/>
          <w:szCs w:val="24"/>
        </w:rPr>
      </w:pPr>
      <w:r w:rsidRPr="00F14325">
        <w:rPr>
          <w:rFonts w:ascii="Times New Roman" w:hAnsi="Times New Roman" w:cs="Times New Roman"/>
          <w:sz w:val="24"/>
          <w:szCs w:val="24"/>
        </w:rPr>
        <w:t xml:space="preserve">Uit </w:t>
      </w:r>
      <w:r w:rsidR="0036209D">
        <w:rPr>
          <w:rFonts w:ascii="Times New Roman" w:hAnsi="Times New Roman" w:cs="Times New Roman"/>
          <w:sz w:val="24"/>
          <w:szCs w:val="24"/>
        </w:rPr>
        <w:t>e</w:t>
      </w:r>
      <w:r w:rsidR="008362F9">
        <w:rPr>
          <w:rFonts w:ascii="Times New Roman" w:hAnsi="Times New Roman" w:cs="Times New Roman"/>
          <w:sz w:val="24"/>
          <w:szCs w:val="24"/>
        </w:rPr>
        <w:t xml:space="preserve">en vergelijking tussen </w:t>
      </w:r>
      <w:r w:rsidRPr="00F14325">
        <w:rPr>
          <w:rFonts w:ascii="Times New Roman" w:hAnsi="Times New Roman" w:cs="Times New Roman"/>
          <w:sz w:val="24"/>
          <w:szCs w:val="24"/>
        </w:rPr>
        <w:t xml:space="preserve">de huizenmarkt in Duitsland en Nederland blijkt dat </w:t>
      </w:r>
      <w:r w:rsidR="0036209D">
        <w:rPr>
          <w:rFonts w:ascii="Times New Roman" w:hAnsi="Times New Roman" w:cs="Times New Roman"/>
          <w:sz w:val="24"/>
          <w:szCs w:val="24"/>
        </w:rPr>
        <w:t>Nederland een</w:t>
      </w:r>
      <w:r w:rsidR="00376593" w:rsidRPr="00F14325">
        <w:rPr>
          <w:rFonts w:ascii="Times New Roman" w:hAnsi="Times New Roman" w:cs="Times New Roman"/>
          <w:sz w:val="24"/>
          <w:szCs w:val="24"/>
        </w:rPr>
        <w:t xml:space="preserve"> sterke</w:t>
      </w:r>
      <w:r w:rsidR="0036209D">
        <w:rPr>
          <w:rFonts w:ascii="Times New Roman" w:hAnsi="Times New Roman" w:cs="Times New Roman"/>
          <w:sz w:val="24"/>
          <w:szCs w:val="24"/>
        </w:rPr>
        <w:t>re</w:t>
      </w:r>
      <w:r w:rsidR="00376593" w:rsidRPr="00F14325">
        <w:rPr>
          <w:rFonts w:ascii="Times New Roman" w:hAnsi="Times New Roman" w:cs="Times New Roman"/>
          <w:sz w:val="24"/>
          <w:szCs w:val="24"/>
        </w:rPr>
        <w:t xml:space="preserve"> stimulering van het eigen woningbezit</w:t>
      </w:r>
      <w:r w:rsidR="0036209D">
        <w:rPr>
          <w:rFonts w:ascii="Times New Roman" w:hAnsi="Times New Roman" w:cs="Times New Roman"/>
          <w:sz w:val="24"/>
          <w:szCs w:val="24"/>
        </w:rPr>
        <w:t xml:space="preserve"> </w:t>
      </w:r>
      <w:r w:rsidR="00376593" w:rsidRPr="00F14325">
        <w:rPr>
          <w:rFonts w:ascii="Times New Roman" w:hAnsi="Times New Roman" w:cs="Times New Roman"/>
          <w:sz w:val="24"/>
          <w:szCs w:val="24"/>
        </w:rPr>
        <w:t xml:space="preserve">en </w:t>
      </w:r>
      <w:r w:rsidR="0036209D">
        <w:rPr>
          <w:rFonts w:ascii="Times New Roman" w:hAnsi="Times New Roman" w:cs="Times New Roman"/>
          <w:sz w:val="24"/>
          <w:szCs w:val="24"/>
        </w:rPr>
        <w:t>een</w:t>
      </w:r>
      <w:r w:rsidR="00376593" w:rsidRPr="00F14325">
        <w:rPr>
          <w:rFonts w:ascii="Times New Roman" w:hAnsi="Times New Roman" w:cs="Times New Roman"/>
          <w:sz w:val="24"/>
          <w:szCs w:val="24"/>
        </w:rPr>
        <w:t xml:space="preserve"> sterke</w:t>
      </w:r>
      <w:r w:rsidR="0036209D">
        <w:rPr>
          <w:rFonts w:ascii="Times New Roman" w:hAnsi="Times New Roman" w:cs="Times New Roman"/>
          <w:sz w:val="24"/>
          <w:szCs w:val="24"/>
        </w:rPr>
        <w:t>re</w:t>
      </w:r>
      <w:r w:rsidR="00376593" w:rsidRPr="00F14325">
        <w:rPr>
          <w:rFonts w:ascii="Times New Roman" w:hAnsi="Times New Roman" w:cs="Times New Roman"/>
          <w:sz w:val="24"/>
          <w:szCs w:val="24"/>
        </w:rPr>
        <w:t xml:space="preserve"> regulering </w:t>
      </w:r>
      <w:r w:rsidR="0036209D">
        <w:rPr>
          <w:rFonts w:ascii="Times New Roman" w:hAnsi="Times New Roman" w:cs="Times New Roman"/>
          <w:sz w:val="24"/>
          <w:szCs w:val="24"/>
        </w:rPr>
        <w:t>van</w:t>
      </w:r>
      <w:r w:rsidR="00376593" w:rsidRPr="00F14325">
        <w:rPr>
          <w:rFonts w:ascii="Times New Roman" w:hAnsi="Times New Roman" w:cs="Times New Roman"/>
          <w:sz w:val="24"/>
          <w:szCs w:val="24"/>
        </w:rPr>
        <w:t xml:space="preserve"> de huurmarkt</w:t>
      </w:r>
      <w:r w:rsidR="0036209D">
        <w:rPr>
          <w:rFonts w:ascii="Times New Roman" w:hAnsi="Times New Roman" w:cs="Times New Roman"/>
          <w:sz w:val="24"/>
          <w:szCs w:val="24"/>
        </w:rPr>
        <w:t xml:space="preserve"> </w:t>
      </w:r>
      <w:r w:rsidR="001F08C2">
        <w:rPr>
          <w:rFonts w:ascii="Times New Roman" w:hAnsi="Times New Roman" w:cs="Times New Roman"/>
          <w:sz w:val="24"/>
          <w:szCs w:val="24"/>
        </w:rPr>
        <w:t>heeft dan Duitsland.  D</w:t>
      </w:r>
      <w:r w:rsidR="00376593" w:rsidRPr="00F14325">
        <w:rPr>
          <w:rFonts w:ascii="Times New Roman" w:hAnsi="Times New Roman" w:cs="Times New Roman"/>
          <w:sz w:val="24"/>
          <w:szCs w:val="24"/>
        </w:rPr>
        <w:t xml:space="preserve">e hypotheekrenteaftrek is een </w:t>
      </w:r>
      <w:r w:rsidR="001F08C2">
        <w:rPr>
          <w:rFonts w:ascii="Times New Roman" w:hAnsi="Times New Roman" w:cs="Times New Roman"/>
          <w:sz w:val="24"/>
          <w:szCs w:val="24"/>
        </w:rPr>
        <w:t>belangrijke</w:t>
      </w:r>
      <w:r w:rsidR="00376593" w:rsidRPr="00F14325">
        <w:rPr>
          <w:rFonts w:ascii="Times New Roman" w:hAnsi="Times New Roman" w:cs="Times New Roman"/>
          <w:sz w:val="24"/>
          <w:szCs w:val="24"/>
        </w:rPr>
        <w:t xml:space="preserve"> factor geweest die de financiering van de eigen woning met vreemd vermogen sterk heeft gestimuleerd.</w:t>
      </w:r>
      <w:r w:rsidR="001F08C2">
        <w:rPr>
          <w:rFonts w:ascii="Times New Roman" w:hAnsi="Times New Roman" w:cs="Times New Roman"/>
          <w:sz w:val="24"/>
          <w:szCs w:val="24"/>
        </w:rPr>
        <w:t xml:space="preserve"> Daarnaast is de ruimhartige verstrekking van hypotheken</w:t>
      </w:r>
      <w:r w:rsidR="00062720">
        <w:rPr>
          <w:rFonts w:ascii="Times New Roman" w:hAnsi="Times New Roman" w:cs="Times New Roman"/>
          <w:sz w:val="24"/>
          <w:szCs w:val="24"/>
        </w:rPr>
        <w:t xml:space="preserve"> een oorzaak dat de loan-to-value ratio van Nederlandse huizenbezitters de 100% ver overschreed.</w:t>
      </w:r>
      <w:r w:rsidR="00376593" w:rsidRPr="00F14325">
        <w:rPr>
          <w:rFonts w:ascii="Times New Roman" w:hAnsi="Times New Roman" w:cs="Times New Roman"/>
          <w:sz w:val="24"/>
          <w:szCs w:val="24"/>
        </w:rPr>
        <w:t xml:space="preserve"> In Duitsland daarentegen is de financiering door vreemd vermogen van het particulie</w:t>
      </w:r>
      <w:r w:rsidR="008362F9">
        <w:rPr>
          <w:rFonts w:ascii="Times New Roman" w:hAnsi="Times New Roman" w:cs="Times New Roman"/>
          <w:sz w:val="24"/>
          <w:szCs w:val="24"/>
        </w:rPr>
        <w:t>re huizenbezit beperkt gebleven. D</w:t>
      </w:r>
      <w:r w:rsidR="00376593" w:rsidRPr="00F14325">
        <w:rPr>
          <w:rFonts w:ascii="Times New Roman" w:hAnsi="Times New Roman" w:cs="Times New Roman"/>
          <w:sz w:val="24"/>
          <w:szCs w:val="24"/>
        </w:rPr>
        <w:t>it komt mede door het ter</w:t>
      </w:r>
      <w:r w:rsidR="008362F9">
        <w:rPr>
          <w:rFonts w:ascii="Times New Roman" w:hAnsi="Times New Roman" w:cs="Times New Roman"/>
          <w:sz w:val="24"/>
          <w:szCs w:val="24"/>
        </w:rPr>
        <w:t>ughoudend beleid bij de banken.</w:t>
      </w:r>
      <w:r w:rsidR="00376593" w:rsidRPr="00F14325">
        <w:rPr>
          <w:rFonts w:ascii="Times New Roman" w:hAnsi="Times New Roman" w:cs="Times New Roman"/>
          <w:sz w:val="24"/>
          <w:szCs w:val="24"/>
        </w:rPr>
        <w:t xml:space="preserve"> Daarnaast is de huurmarkt in Duitsland beter ontwikkeld</w:t>
      </w:r>
      <w:r w:rsidR="008362F9">
        <w:rPr>
          <w:rFonts w:ascii="Times New Roman" w:hAnsi="Times New Roman" w:cs="Times New Roman"/>
          <w:sz w:val="24"/>
          <w:szCs w:val="24"/>
        </w:rPr>
        <w:t>. Duitsland heeft namelijk</w:t>
      </w:r>
      <w:r w:rsidR="00376593" w:rsidRPr="00F14325">
        <w:rPr>
          <w:rFonts w:ascii="Times New Roman" w:hAnsi="Times New Roman" w:cs="Times New Roman"/>
          <w:sz w:val="24"/>
          <w:szCs w:val="24"/>
        </w:rPr>
        <w:t xml:space="preserve"> een goed ontwikkeld segment huurwoningen voor middenklasseninkomens met huren die marktconform zijn.  De goede marktwerking in deze sector staat in contrast met de strikte regulering op de Nederlandse huurmarkt, die gedomineerd wordt door semipublieke instellingen. De verschillende ontwikkelingen van de huizenprijzen zijn volgens het IMF </w:t>
      </w:r>
      <w:r w:rsidRPr="00F14325">
        <w:rPr>
          <w:rFonts w:ascii="Times New Roman" w:hAnsi="Times New Roman" w:cs="Times New Roman"/>
          <w:sz w:val="24"/>
          <w:szCs w:val="24"/>
        </w:rPr>
        <w:t xml:space="preserve">(2008) </w:t>
      </w:r>
      <w:r w:rsidR="00376593" w:rsidRPr="00F14325">
        <w:rPr>
          <w:rFonts w:ascii="Times New Roman" w:hAnsi="Times New Roman" w:cs="Times New Roman"/>
          <w:sz w:val="24"/>
          <w:szCs w:val="24"/>
        </w:rPr>
        <w:t xml:space="preserve">te verklaren vanuit verschillende primaire determinanten. Het besteedbare inkomen in Nederland steeg sneller dan in Duitsland evenals het aantal huishoudens. </w:t>
      </w:r>
      <w:r w:rsidR="00062720">
        <w:rPr>
          <w:rFonts w:ascii="Times New Roman" w:hAnsi="Times New Roman" w:cs="Times New Roman"/>
          <w:sz w:val="24"/>
          <w:szCs w:val="24"/>
        </w:rPr>
        <w:t xml:space="preserve">Dat stimuleerde de vraag naar woningen. </w:t>
      </w:r>
      <w:r w:rsidR="00376593" w:rsidRPr="00F14325">
        <w:rPr>
          <w:rFonts w:ascii="Times New Roman" w:hAnsi="Times New Roman" w:cs="Times New Roman"/>
          <w:sz w:val="24"/>
          <w:szCs w:val="24"/>
        </w:rPr>
        <w:t>Aan de aanbodzijde bl</w:t>
      </w:r>
      <w:r w:rsidR="001F08C2">
        <w:rPr>
          <w:rFonts w:ascii="Times New Roman" w:hAnsi="Times New Roman" w:cs="Times New Roman"/>
          <w:sz w:val="24"/>
          <w:szCs w:val="24"/>
        </w:rPr>
        <w:t>e</w:t>
      </w:r>
      <w:r w:rsidR="00376593" w:rsidRPr="00F14325">
        <w:rPr>
          <w:rFonts w:ascii="Times New Roman" w:hAnsi="Times New Roman" w:cs="Times New Roman"/>
          <w:sz w:val="24"/>
          <w:szCs w:val="24"/>
        </w:rPr>
        <w:t xml:space="preserve">ek vooral </w:t>
      </w:r>
      <w:r w:rsidR="001F08C2">
        <w:rPr>
          <w:rFonts w:ascii="Times New Roman" w:hAnsi="Times New Roman" w:cs="Times New Roman"/>
          <w:sz w:val="24"/>
          <w:szCs w:val="24"/>
        </w:rPr>
        <w:t xml:space="preserve">dat </w:t>
      </w:r>
      <w:r w:rsidR="00376593" w:rsidRPr="00F14325">
        <w:rPr>
          <w:rFonts w:ascii="Times New Roman" w:hAnsi="Times New Roman" w:cs="Times New Roman"/>
          <w:sz w:val="24"/>
          <w:szCs w:val="24"/>
        </w:rPr>
        <w:t>de sterke groei van de woningvoorraad in Duitsland</w:t>
      </w:r>
      <w:r w:rsidR="001F08C2">
        <w:rPr>
          <w:rFonts w:ascii="Times New Roman" w:hAnsi="Times New Roman" w:cs="Times New Roman"/>
          <w:sz w:val="24"/>
          <w:szCs w:val="24"/>
        </w:rPr>
        <w:t xml:space="preserve"> een belangrijke factor is</w:t>
      </w:r>
      <w:r w:rsidR="00376593" w:rsidRPr="00F14325">
        <w:rPr>
          <w:rFonts w:ascii="Times New Roman" w:hAnsi="Times New Roman" w:cs="Times New Roman"/>
          <w:sz w:val="24"/>
          <w:szCs w:val="24"/>
        </w:rPr>
        <w:t xml:space="preserve"> waardoor de verschillende huizenprijzen </w:t>
      </w:r>
      <w:r w:rsidR="00275965">
        <w:rPr>
          <w:rFonts w:ascii="Times New Roman" w:hAnsi="Times New Roman" w:cs="Times New Roman"/>
          <w:sz w:val="24"/>
          <w:szCs w:val="24"/>
        </w:rPr>
        <w:t xml:space="preserve">wellicht </w:t>
      </w:r>
      <w:r w:rsidR="00376593" w:rsidRPr="00F14325">
        <w:rPr>
          <w:rFonts w:ascii="Times New Roman" w:hAnsi="Times New Roman" w:cs="Times New Roman"/>
          <w:sz w:val="24"/>
          <w:szCs w:val="24"/>
        </w:rPr>
        <w:t xml:space="preserve">te verklaren zijn. Voor de hoogte van de hypotheekschuld blijkt dit echter geen afdoende verklaring te zijn. De fiscale verschillen en met name de royale hypotheekrenteaftrek die in Nederland ten volle benut is, blijkt een </w:t>
      </w:r>
      <w:r w:rsidR="00275965">
        <w:rPr>
          <w:rFonts w:ascii="Times New Roman" w:hAnsi="Times New Roman" w:cs="Times New Roman"/>
          <w:sz w:val="24"/>
          <w:szCs w:val="24"/>
        </w:rPr>
        <w:t>factor van groot belang om</w:t>
      </w:r>
      <w:r w:rsidR="00376593" w:rsidRPr="00F14325">
        <w:rPr>
          <w:rFonts w:ascii="Times New Roman" w:hAnsi="Times New Roman" w:cs="Times New Roman"/>
          <w:sz w:val="24"/>
          <w:szCs w:val="24"/>
        </w:rPr>
        <w:t xml:space="preserve"> de hoogte van de hypotheekschulden</w:t>
      </w:r>
      <w:r w:rsidR="00275965">
        <w:rPr>
          <w:rFonts w:ascii="Times New Roman" w:hAnsi="Times New Roman" w:cs="Times New Roman"/>
          <w:sz w:val="24"/>
          <w:szCs w:val="24"/>
        </w:rPr>
        <w:t xml:space="preserve"> te verklaren.</w:t>
      </w:r>
    </w:p>
    <w:p w:rsidR="00376593" w:rsidRPr="00F14325" w:rsidRDefault="00376593" w:rsidP="00F14325">
      <w:pPr>
        <w:spacing w:line="360" w:lineRule="auto"/>
        <w:jc w:val="both"/>
        <w:rPr>
          <w:rFonts w:ascii="Times New Roman" w:hAnsi="Times New Roman" w:cs="Times New Roman"/>
          <w:b/>
          <w:sz w:val="24"/>
          <w:szCs w:val="24"/>
        </w:rPr>
      </w:pPr>
      <w:r w:rsidRPr="00F14325">
        <w:rPr>
          <w:rFonts w:ascii="Times New Roman" w:hAnsi="Times New Roman" w:cs="Times New Roman"/>
          <w:sz w:val="24"/>
          <w:szCs w:val="24"/>
        </w:rPr>
        <w:t xml:space="preserve">De invloed van de institutionele vormgeving van de huizenmarkt op de economische prestaties komt voornamelijk aan het licht bij een inzakkende huizenmarkt in combinatie met een tegenvallende conjunctuur. De kleine effecten van de relatief hogere rentes zijn volgens het CPB </w:t>
      </w:r>
      <w:r w:rsidR="00F14325" w:rsidRPr="00F14325">
        <w:rPr>
          <w:rFonts w:ascii="Times New Roman" w:hAnsi="Times New Roman" w:cs="Times New Roman"/>
          <w:sz w:val="24"/>
          <w:szCs w:val="24"/>
        </w:rPr>
        <w:t>(2013)</w:t>
      </w:r>
      <w:r w:rsidR="00B96F0C">
        <w:rPr>
          <w:rFonts w:ascii="Times New Roman" w:hAnsi="Times New Roman" w:cs="Times New Roman"/>
          <w:sz w:val="24"/>
          <w:szCs w:val="24"/>
        </w:rPr>
        <w:t xml:space="preserve"> </w:t>
      </w:r>
      <w:r w:rsidRPr="00F14325">
        <w:rPr>
          <w:rFonts w:ascii="Times New Roman" w:hAnsi="Times New Roman" w:cs="Times New Roman"/>
          <w:sz w:val="24"/>
          <w:szCs w:val="24"/>
        </w:rPr>
        <w:t>vooral te wijten aan de verlaging van de hefbomen van banken, de geringe concurrentie op de hypotheekmarkt en de toegenomen risico’s op de huizenmarkt. In vergelijking met Duitsland zien we dat</w:t>
      </w:r>
      <w:r w:rsidR="00473A65">
        <w:rPr>
          <w:rFonts w:ascii="Times New Roman" w:hAnsi="Times New Roman" w:cs="Times New Roman"/>
          <w:sz w:val="24"/>
          <w:szCs w:val="24"/>
        </w:rPr>
        <w:t xml:space="preserve"> met betrekking tot deze aspecten vooral</w:t>
      </w:r>
      <w:r w:rsidRPr="00F14325">
        <w:rPr>
          <w:rFonts w:ascii="Times New Roman" w:hAnsi="Times New Roman" w:cs="Times New Roman"/>
          <w:sz w:val="24"/>
          <w:szCs w:val="24"/>
        </w:rPr>
        <w:t xml:space="preserve"> de hypotheekmarkt</w:t>
      </w:r>
      <w:r w:rsidR="00473A65">
        <w:rPr>
          <w:rFonts w:ascii="Times New Roman" w:hAnsi="Times New Roman" w:cs="Times New Roman"/>
          <w:sz w:val="24"/>
          <w:szCs w:val="24"/>
        </w:rPr>
        <w:t xml:space="preserve"> een onderscheidende factor vormt. Die is in Duitsland beter ontwikkeld,</w:t>
      </w:r>
      <w:r w:rsidRPr="00F14325">
        <w:rPr>
          <w:rFonts w:ascii="Times New Roman" w:hAnsi="Times New Roman" w:cs="Times New Roman"/>
          <w:sz w:val="24"/>
          <w:szCs w:val="24"/>
        </w:rPr>
        <w:t xml:space="preserve"> met een geringer marktaandeel voor de vijf grootste banken. Hierdoor is een deel van de afwijkende rentes te verklaren. Naast het geringe effect van de renteverschillen zien we dat de waardedaling van de Nederlandse huizen volgens het CPB sterk van invloed is op de </w:t>
      </w:r>
      <w:r w:rsidRPr="00F14325">
        <w:rPr>
          <w:rFonts w:ascii="Times New Roman" w:hAnsi="Times New Roman" w:cs="Times New Roman"/>
          <w:sz w:val="24"/>
          <w:szCs w:val="24"/>
        </w:rPr>
        <w:lastRenderedPageBreak/>
        <w:t xml:space="preserve">binnenlandse consumptie. Iets minder dan de helft van de daling van de consumptie in de periode 2008-2012 was te wijten aan de daling van de huizenprijzen (CPB, 2013). Naast deze effecten zien we dat de begunstiging van de eigen woning door middel van het fiscaal beleid een missallocatie van kapitaal heeft teweeggebracht. Private investeerders zijn verdrongen van de huurmarkt waardoor het grootste gedeelte van de huurmarkt beheerst wordt door het sociale huursegment met de daarbij behorende regelgeving. Deze regelgeving heeft volgens de Europese Commissie (EU, 2012) een negatief effect op de mobiliteit op de arbeidsmarkt. De instabiliteit van de Nederlandse huizenmarkt staat in contrast met stabiliteit van de Duitse huizenmarkt. Met name het absorptievermogen van macro-economische schokken van de Duitse huizenmarkt steekt af bij </w:t>
      </w:r>
      <w:r w:rsidR="008362F9">
        <w:rPr>
          <w:rFonts w:ascii="Times New Roman" w:hAnsi="Times New Roman" w:cs="Times New Roman"/>
          <w:sz w:val="24"/>
          <w:szCs w:val="24"/>
        </w:rPr>
        <w:t>het absorptievermogen van de</w:t>
      </w:r>
      <w:r w:rsidRPr="00F14325">
        <w:rPr>
          <w:rFonts w:ascii="Times New Roman" w:hAnsi="Times New Roman" w:cs="Times New Roman"/>
          <w:sz w:val="24"/>
          <w:szCs w:val="24"/>
        </w:rPr>
        <w:t xml:space="preserve"> Nederlandse huizenmarkt. Volgens Voigtlander (2012) is deze stabiliteit te danken aan de restrictieve financiering door vreemd vermogen van eigen woningbezit en het bestaan van een goed ontwikkelde huurmarkt. Deze twee factoren staan in schril contrast met de Nederlandse situatie waarin een extensieve financiering van de eigen woning naast een slecht ontwikkelde </w:t>
      </w:r>
      <w:r w:rsidR="003E7903">
        <w:rPr>
          <w:rFonts w:ascii="Times New Roman" w:hAnsi="Times New Roman" w:cs="Times New Roman"/>
          <w:sz w:val="24"/>
          <w:szCs w:val="24"/>
        </w:rPr>
        <w:t>huurmarkt</w:t>
      </w:r>
      <w:r w:rsidRPr="00F14325">
        <w:rPr>
          <w:rFonts w:ascii="Times New Roman" w:hAnsi="Times New Roman" w:cs="Times New Roman"/>
          <w:sz w:val="24"/>
          <w:szCs w:val="24"/>
        </w:rPr>
        <w:t xml:space="preserve"> bestaat.   </w:t>
      </w:r>
    </w:p>
    <w:p w:rsidR="00062720" w:rsidRDefault="005B6BF2" w:rsidP="00AB7B5D">
      <w:pPr>
        <w:spacing w:line="360" w:lineRule="auto"/>
        <w:jc w:val="both"/>
        <w:rPr>
          <w:rFonts w:ascii="Times New Roman" w:hAnsi="Times New Roman" w:cs="Times New Roman"/>
          <w:sz w:val="24"/>
          <w:szCs w:val="24"/>
        </w:rPr>
      </w:pPr>
      <w:r>
        <w:rPr>
          <w:rFonts w:ascii="Times New Roman" w:hAnsi="Times New Roman" w:cs="Times New Roman"/>
          <w:sz w:val="24"/>
          <w:szCs w:val="24"/>
        </w:rPr>
        <w:t>Voor een stabiele woningmarkt in de toekomst zijn</w:t>
      </w:r>
      <w:r w:rsidR="00052CE0">
        <w:rPr>
          <w:rFonts w:ascii="Times New Roman" w:hAnsi="Times New Roman" w:cs="Times New Roman"/>
          <w:sz w:val="24"/>
          <w:szCs w:val="24"/>
        </w:rPr>
        <w:t xml:space="preserve"> beleidsimplicaties duidelijk; namelijk het naar beneden brengen van de loan-to-value ratio</w:t>
      </w:r>
      <w:r w:rsidR="003E7903">
        <w:rPr>
          <w:rFonts w:ascii="Times New Roman" w:hAnsi="Times New Roman" w:cs="Times New Roman"/>
          <w:sz w:val="24"/>
          <w:szCs w:val="24"/>
        </w:rPr>
        <w:t>’s</w:t>
      </w:r>
      <w:r w:rsidR="00052CE0">
        <w:rPr>
          <w:rFonts w:ascii="Times New Roman" w:hAnsi="Times New Roman" w:cs="Times New Roman"/>
          <w:sz w:val="24"/>
          <w:szCs w:val="24"/>
        </w:rPr>
        <w:t xml:space="preserve"> en het overbruggen van de kloof tussen het huursegment en het koopsegment. De beperking van de hypotheekrenteaftrek is een belangrijke voorwaarde</w:t>
      </w:r>
      <w:r>
        <w:rPr>
          <w:rFonts w:ascii="Times New Roman" w:hAnsi="Times New Roman" w:cs="Times New Roman"/>
          <w:sz w:val="24"/>
          <w:szCs w:val="24"/>
        </w:rPr>
        <w:t xml:space="preserve"> </w:t>
      </w:r>
      <w:r w:rsidR="00052CE0">
        <w:rPr>
          <w:rFonts w:ascii="Times New Roman" w:hAnsi="Times New Roman" w:cs="Times New Roman"/>
          <w:sz w:val="24"/>
          <w:szCs w:val="24"/>
        </w:rPr>
        <w:t xml:space="preserve">om een lagere loan-to-value ratio te bereiken. </w:t>
      </w:r>
      <w:r w:rsidR="003E7903">
        <w:rPr>
          <w:rFonts w:ascii="Times New Roman" w:hAnsi="Times New Roman" w:cs="Times New Roman"/>
          <w:sz w:val="24"/>
          <w:szCs w:val="24"/>
        </w:rPr>
        <w:t xml:space="preserve">De afbouw dient echter wel zeer geleidelijk te gebeuren om de woningmarkt niet verder in het slop te duwen. </w:t>
      </w:r>
      <w:r w:rsidR="00052CE0">
        <w:rPr>
          <w:rFonts w:ascii="Times New Roman" w:hAnsi="Times New Roman" w:cs="Times New Roman"/>
          <w:sz w:val="24"/>
          <w:szCs w:val="24"/>
        </w:rPr>
        <w:t>Een hervorming van de huizenmarkt moet noodzakelijkerwijs gepaard gaan met een hervorming van de huurmarkt. Een belangrijke beleidsimplicatie betreft de deregulering van de huurmarkt, zodat zich een volwaardig huursegment voor middenklasse inkomens kan ontwikkelen. Bijzondere aandacht verdient de rol die de woningcorporaties vervullen waarbij  een strikte scheiding tussen een sociaal huurwoningsegment en een commercieel huurwoningsegment gewenst</w:t>
      </w:r>
      <w:r w:rsidR="00052CE0" w:rsidRPr="003D05E7">
        <w:rPr>
          <w:rFonts w:ascii="Times New Roman" w:hAnsi="Times New Roman" w:cs="Times New Roman"/>
          <w:sz w:val="24"/>
          <w:szCs w:val="24"/>
        </w:rPr>
        <w:t xml:space="preserve"> </w:t>
      </w:r>
      <w:r w:rsidR="00052CE0">
        <w:rPr>
          <w:rFonts w:ascii="Times New Roman" w:hAnsi="Times New Roman" w:cs="Times New Roman"/>
          <w:sz w:val="24"/>
          <w:szCs w:val="24"/>
        </w:rPr>
        <w:t xml:space="preserve">is. </w:t>
      </w:r>
      <w:r w:rsidR="00B10225">
        <w:rPr>
          <w:rFonts w:ascii="Times New Roman" w:hAnsi="Times New Roman" w:cs="Times New Roman"/>
          <w:sz w:val="24"/>
          <w:szCs w:val="24"/>
        </w:rPr>
        <w:t xml:space="preserve">De vraag hoe een stabiele woningmarkt te realiseren is, is gemakkelijker te beantwoorden dan de vraag hoe daar te komen. De hervormingen op de </w:t>
      </w:r>
      <w:r w:rsidR="00145A26">
        <w:rPr>
          <w:rFonts w:ascii="Times New Roman" w:hAnsi="Times New Roman" w:cs="Times New Roman"/>
          <w:sz w:val="24"/>
          <w:szCs w:val="24"/>
        </w:rPr>
        <w:t>huizenmarkt dragen het grote gevaar in zich dat ze de markt verder in het slop duwen. Daarom is het van essentieel belang dat de hervorminge</w:t>
      </w:r>
      <w:r w:rsidR="00CF30BB">
        <w:rPr>
          <w:rFonts w:ascii="Times New Roman" w:hAnsi="Times New Roman" w:cs="Times New Roman"/>
          <w:sz w:val="24"/>
          <w:szCs w:val="24"/>
        </w:rPr>
        <w:t xml:space="preserve">n geleidelijk ingevoerd worden. </w:t>
      </w:r>
      <w:r w:rsidR="00AB7B5D">
        <w:rPr>
          <w:rFonts w:ascii="Times New Roman" w:hAnsi="Times New Roman" w:cs="Times New Roman"/>
          <w:sz w:val="24"/>
          <w:szCs w:val="24"/>
        </w:rPr>
        <w:t>Voor de huidige problematiek is h</w:t>
      </w:r>
      <w:r w:rsidR="00CF30BB">
        <w:rPr>
          <w:rFonts w:ascii="Times New Roman" w:hAnsi="Times New Roman" w:cs="Times New Roman"/>
          <w:sz w:val="24"/>
          <w:szCs w:val="24"/>
        </w:rPr>
        <w:t>et aanwenden van de pensioenvermogens op papier een goed voorstel. Echter, de vermogens blijken vooral bij de verkeerde groep huizenbezitters te zitten</w:t>
      </w:r>
      <w:r w:rsidR="00AB7B5D">
        <w:rPr>
          <w:rFonts w:ascii="Times New Roman" w:hAnsi="Times New Roman" w:cs="Times New Roman"/>
          <w:sz w:val="24"/>
          <w:szCs w:val="24"/>
        </w:rPr>
        <w:t xml:space="preserve">, waardoor de werkelijke pijn (die vooral bij de jonge huizenbezitters zit) niet verlicht wordt. </w:t>
      </w:r>
      <w:r w:rsidR="00CF30BB">
        <w:rPr>
          <w:rFonts w:ascii="Times New Roman" w:hAnsi="Times New Roman" w:cs="Times New Roman"/>
          <w:sz w:val="24"/>
          <w:szCs w:val="24"/>
        </w:rPr>
        <w:t xml:space="preserve">Ook voorstellen waarbij de overheid een rol speelt </w:t>
      </w:r>
      <w:r w:rsidR="00AB7B5D">
        <w:rPr>
          <w:rFonts w:ascii="Times New Roman" w:hAnsi="Times New Roman" w:cs="Times New Roman"/>
          <w:sz w:val="24"/>
          <w:szCs w:val="24"/>
        </w:rPr>
        <w:t xml:space="preserve">in de vorm van subsidieverstrekker is in de huidige omstandigheden niet aan te bevelen omdat dit hoogstwaarschijnlijk leidt tot </w:t>
      </w:r>
      <w:r w:rsidR="00AB7B5D">
        <w:rPr>
          <w:rFonts w:ascii="Times New Roman" w:hAnsi="Times New Roman" w:cs="Times New Roman"/>
          <w:sz w:val="24"/>
          <w:szCs w:val="24"/>
        </w:rPr>
        <w:lastRenderedPageBreak/>
        <w:t>lastenverzwaringen en bezuinigingen elders.</w:t>
      </w:r>
      <w:r w:rsidR="00CF30BB">
        <w:rPr>
          <w:rFonts w:ascii="Times New Roman" w:hAnsi="Times New Roman" w:cs="Times New Roman"/>
          <w:sz w:val="24"/>
          <w:szCs w:val="24"/>
        </w:rPr>
        <w:t xml:space="preserve"> </w:t>
      </w:r>
      <w:r w:rsidR="00062720">
        <w:rPr>
          <w:rFonts w:ascii="Times New Roman" w:hAnsi="Times New Roman" w:cs="Times New Roman"/>
          <w:sz w:val="24"/>
          <w:szCs w:val="24"/>
        </w:rPr>
        <w:t>D</w:t>
      </w:r>
      <w:r w:rsidR="00AB7B5D">
        <w:rPr>
          <w:rFonts w:ascii="Times New Roman" w:hAnsi="Times New Roman" w:cs="Times New Roman"/>
          <w:sz w:val="24"/>
          <w:szCs w:val="24"/>
        </w:rPr>
        <w:t>e oplossingen voor de  huidige problematiek</w:t>
      </w:r>
      <w:r w:rsidR="00062720">
        <w:rPr>
          <w:rFonts w:ascii="Times New Roman" w:hAnsi="Times New Roman" w:cs="Times New Roman"/>
          <w:sz w:val="24"/>
          <w:szCs w:val="24"/>
        </w:rPr>
        <w:t xml:space="preserve"> zijn veelal te duur of te complex</w:t>
      </w:r>
      <w:r w:rsidR="00AB7B5D">
        <w:rPr>
          <w:rFonts w:ascii="Times New Roman" w:hAnsi="Times New Roman" w:cs="Times New Roman"/>
          <w:sz w:val="24"/>
          <w:szCs w:val="24"/>
        </w:rPr>
        <w:t xml:space="preserve"> om te implementeren. Daarnaast is het de vraag of de beleidsmaatregelen </w:t>
      </w:r>
      <w:r w:rsidR="001F08C2">
        <w:rPr>
          <w:rFonts w:ascii="Times New Roman" w:hAnsi="Times New Roman" w:cs="Times New Roman"/>
          <w:sz w:val="24"/>
          <w:szCs w:val="24"/>
        </w:rPr>
        <w:t>niet te laat worden geïmplementeerd</w:t>
      </w:r>
      <w:r w:rsidR="00AB7B5D">
        <w:rPr>
          <w:rFonts w:ascii="Times New Roman" w:hAnsi="Times New Roman" w:cs="Times New Roman"/>
          <w:sz w:val="24"/>
          <w:szCs w:val="24"/>
        </w:rPr>
        <w:t>, aangezien de huizenmarkt zich aan het stabiliseren is.</w:t>
      </w:r>
      <w:r w:rsidR="001F08C2">
        <w:rPr>
          <w:rFonts w:ascii="Times New Roman" w:hAnsi="Times New Roman" w:cs="Times New Roman"/>
          <w:sz w:val="24"/>
          <w:szCs w:val="24"/>
        </w:rPr>
        <w:t xml:space="preserve"> </w:t>
      </w:r>
      <w:r w:rsidR="00AB7B5D">
        <w:rPr>
          <w:rFonts w:ascii="Times New Roman" w:hAnsi="Times New Roman" w:cs="Times New Roman"/>
          <w:sz w:val="24"/>
          <w:szCs w:val="24"/>
        </w:rPr>
        <w:t xml:space="preserve">Voor de 1,2 miljoen huizenbezitters die ‘onder water staan’ is het afwachten totdat de economie aantrekt en de woningmarkt stabiliseert. </w:t>
      </w:r>
    </w:p>
    <w:p w:rsidR="00062720" w:rsidRDefault="00062720">
      <w:pPr>
        <w:rPr>
          <w:rFonts w:ascii="Times New Roman" w:hAnsi="Times New Roman" w:cs="Times New Roman"/>
          <w:sz w:val="24"/>
          <w:szCs w:val="24"/>
        </w:rPr>
      </w:pPr>
      <w:r>
        <w:rPr>
          <w:rFonts w:ascii="Times New Roman" w:hAnsi="Times New Roman" w:cs="Times New Roman"/>
          <w:sz w:val="24"/>
          <w:szCs w:val="24"/>
        </w:rPr>
        <w:br w:type="page"/>
      </w:r>
    </w:p>
    <w:p w:rsidR="000105AB" w:rsidRDefault="00275965" w:rsidP="000105AB">
      <w:pPr>
        <w:pStyle w:val="Kop1"/>
      </w:pPr>
      <w:bookmarkStart w:id="26" w:name="_Toc365277103"/>
      <w:r>
        <w:lastRenderedPageBreak/>
        <w:t>6</w:t>
      </w:r>
      <w:r w:rsidR="000105AB">
        <w:t>. Bibliografie</w:t>
      </w:r>
      <w:bookmarkEnd w:id="26"/>
    </w:p>
    <w:p w:rsidR="000105AB" w:rsidRPr="000105AB" w:rsidRDefault="000105AB" w:rsidP="000105AB"/>
    <w:p w:rsidR="00D07917" w:rsidRPr="0097304C" w:rsidRDefault="00D07917" w:rsidP="00973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Bartelsman, E., Beetsma, R., Benink, H., Boelhouwer, P., Boot, A., Bovenberg, L., Brounen, </w:t>
      </w:r>
      <w:r w:rsidR="0097304C">
        <w:rPr>
          <w:rFonts w:ascii="Times New Roman" w:hAnsi="Times New Roman" w:cs="Times New Roman"/>
          <w:sz w:val="24"/>
          <w:szCs w:val="24"/>
        </w:rPr>
        <w:t xml:space="preserve">   </w:t>
      </w:r>
      <w:r>
        <w:rPr>
          <w:rFonts w:ascii="Times New Roman" w:hAnsi="Times New Roman" w:cs="Times New Roman"/>
          <w:sz w:val="24"/>
          <w:szCs w:val="24"/>
        </w:rPr>
        <w:t>D., Conijn, J., Eichholtz, P., Frijns, J., Garretsen, H., Goudswaar, K., Jacobs, B., Koedijk, K.</w:t>
      </w:r>
      <w:r w:rsidRPr="00512F66">
        <w:rPr>
          <w:rFonts w:ascii="Times New Roman" w:hAnsi="Times New Roman" w:cs="Times New Roman"/>
          <w:sz w:val="24"/>
          <w:szCs w:val="24"/>
        </w:rPr>
        <w:t>,</w:t>
      </w:r>
      <w:r>
        <w:rPr>
          <w:rFonts w:ascii="Times New Roman" w:hAnsi="Times New Roman" w:cs="Times New Roman"/>
          <w:sz w:val="24"/>
          <w:szCs w:val="24"/>
        </w:rPr>
        <w:t xml:space="preserve"> van der Ploeg, R., Priemus, H., Schoenmaker, D., Sterken, E., Stevens, L., de Vries, C., Wijffels, H., van Wijnbergen, S. (2013).</w:t>
      </w:r>
      <w:r w:rsidRPr="00512F66">
        <w:rPr>
          <w:rFonts w:ascii="Times New Roman" w:hAnsi="Times New Roman" w:cs="Times New Roman"/>
          <w:i/>
          <w:sz w:val="24"/>
          <w:szCs w:val="24"/>
        </w:rPr>
        <w:t xml:space="preserve"> </w:t>
      </w:r>
      <w:r w:rsidRPr="00EB59B1">
        <w:rPr>
          <w:rFonts w:ascii="Times New Roman" w:hAnsi="Times New Roman" w:cs="Times New Roman"/>
          <w:i/>
          <w:sz w:val="24"/>
          <w:szCs w:val="24"/>
        </w:rPr>
        <w:t>Naar een duurzame financiering van de woningmarkt</w:t>
      </w:r>
      <w:r w:rsidR="0097304C">
        <w:rPr>
          <w:rFonts w:ascii="Times New Roman" w:hAnsi="Times New Roman" w:cs="Times New Roman"/>
          <w:sz w:val="24"/>
          <w:szCs w:val="24"/>
        </w:rPr>
        <w:t xml:space="preserve">, </w:t>
      </w:r>
      <w:r w:rsidR="00EB59B1">
        <w:rPr>
          <w:rFonts w:ascii="Times New Roman" w:hAnsi="Times New Roman" w:cs="Times New Roman"/>
          <w:sz w:val="24"/>
          <w:szCs w:val="24"/>
        </w:rPr>
        <w:t xml:space="preserve">Amsterdam , Duisenberg School of Finance, </w:t>
      </w:r>
      <w:r w:rsidR="00CA47B8">
        <w:rPr>
          <w:rFonts w:ascii="Times New Roman" w:hAnsi="Times New Roman" w:cs="Times New Roman"/>
          <w:sz w:val="24"/>
          <w:szCs w:val="24"/>
        </w:rPr>
        <w:t>www.dsf.nl</w:t>
      </w:r>
      <w:r w:rsidRPr="0097304C">
        <w:rPr>
          <w:rFonts w:ascii="Times New Roman" w:hAnsi="Times New Roman" w:cs="Times New Roman"/>
          <w:sz w:val="24"/>
          <w:szCs w:val="24"/>
        </w:rPr>
        <w:t xml:space="preserve"> </w:t>
      </w:r>
    </w:p>
    <w:p w:rsidR="00F75006" w:rsidRPr="00512F66" w:rsidRDefault="00F75006" w:rsidP="00F75006">
      <w:pPr>
        <w:spacing w:after="0" w:line="360" w:lineRule="auto"/>
        <w:jc w:val="both"/>
        <w:rPr>
          <w:rFonts w:ascii="Times New Roman" w:hAnsi="Times New Roman" w:cs="Times New Roman"/>
          <w:b/>
          <w:sz w:val="24"/>
          <w:szCs w:val="24"/>
          <w:u w:val="single"/>
        </w:rPr>
      </w:pPr>
    </w:p>
    <w:p w:rsidR="00D07917" w:rsidRDefault="00D07917" w:rsidP="00F75006">
      <w:pPr>
        <w:spacing w:after="0" w:line="360" w:lineRule="auto"/>
        <w:rPr>
          <w:rFonts w:ascii="Times New Roman" w:hAnsi="Times New Roman" w:cs="Times New Roman"/>
          <w:sz w:val="24"/>
          <w:szCs w:val="24"/>
        </w:rPr>
      </w:pPr>
      <w:r w:rsidRPr="00512F66">
        <w:rPr>
          <w:rFonts w:ascii="Times New Roman" w:hAnsi="Times New Roman" w:cs="Times New Roman"/>
          <w:sz w:val="24"/>
          <w:szCs w:val="24"/>
        </w:rPr>
        <w:t>Buijink</w:t>
      </w:r>
      <w:r>
        <w:rPr>
          <w:rFonts w:ascii="Times New Roman" w:hAnsi="Times New Roman" w:cs="Times New Roman"/>
          <w:sz w:val="24"/>
          <w:szCs w:val="24"/>
        </w:rPr>
        <w:t>,</w:t>
      </w:r>
      <w:r w:rsidRPr="00512F66">
        <w:rPr>
          <w:rFonts w:ascii="Times New Roman" w:hAnsi="Times New Roman" w:cs="Times New Roman"/>
          <w:sz w:val="24"/>
          <w:szCs w:val="24"/>
        </w:rPr>
        <w:t xml:space="preserve"> C</w:t>
      </w:r>
      <w:r>
        <w:rPr>
          <w:rFonts w:ascii="Times New Roman" w:hAnsi="Times New Roman" w:cs="Times New Roman"/>
          <w:sz w:val="24"/>
          <w:szCs w:val="24"/>
        </w:rPr>
        <w:t>.</w:t>
      </w:r>
      <w:r w:rsidR="003D05E7">
        <w:rPr>
          <w:rFonts w:ascii="Times New Roman" w:hAnsi="Times New Roman" w:cs="Times New Roman"/>
          <w:sz w:val="24"/>
          <w:szCs w:val="24"/>
        </w:rPr>
        <w:t xml:space="preserve"> </w:t>
      </w:r>
      <w:r w:rsidRPr="00512F66">
        <w:rPr>
          <w:rFonts w:ascii="Times New Roman" w:hAnsi="Times New Roman" w:cs="Times New Roman"/>
          <w:sz w:val="24"/>
          <w:szCs w:val="24"/>
        </w:rPr>
        <w:t>(2013)</w:t>
      </w:r>
      <w:r>
        <w:rPr>
          <w:rFonts w:ascii="Times New Roman" w:hAnsi="Times New Roman" w:cs="Times New Roman"/>
          <w:sz w:val="24"/>
          <w:szCs w:val="24"/>
        </w:rPr>
        <w:t>.</w:t>
      </w:r>
      <w:r w:rsidRPr="00512F66">
        <w:rPr>
          <w:rFonts w:ascii="Times New Roman" w:hAnsi="Times New Roman" w:cs="Times New Roman"/>
          <w:sz w:val="24"/>
          <w:szCs w:val="24"/>
        </w:rPr>
        <w:t xml:space="preserve"> </w:t>
      </w:r>
      <w:r w:rsidRPr="00512F66">
        <w:rPr>
          <w:rFonts w:ascii="Times New Roman" w:hAnsi="Times New Roman" w:cs="Times New Roman"/>
          <w:i/>
          <w:sz w:val="24"/>
          <w:szCs w:val="24"/>
        </w:rPr>
        <w:t xml:space="preserve">Naar sterke instituties, </w:t>
      </w:r>
      <w:r w:rsidR="0097304C">
        <w:rPr>
          <w:rFonts w:ascii="Times New Roman" w:hAnsi="Times New Roman" w:cs="Times New Roman"/>
          <w:sz w:val="24"/>
          <w:szCs w:val="24"/>
        </w:rPr>
        <w:t>Economische Statistische B</w:t>
      </w:r>
      <w:r w:rsidRPr="00512F66">
        <w:rPr>
          <w:rFonts w:ascii="Times New Roman" w:hAnsi="Times New Roman" w:cs="Times New Roman"/>
          <w:sz w:val="24"/>
          <w:szCs w:val="24"/>
        </w:rPr>
        <w:t>erichten</w:t>
      </w:r>
      <w:r w:rsidR="00CA47B8">
        <w:rPr>
          <w:rFonts w:ascii="Times New Roman" w:hAnsi="Times New Roman" w:cs="Times New Roman"/>
          <w:sz w:val="24"/>
          <w:szCs w:val="24"/>
        </w:rPr>
        <w:t xml:space="preserve">, jaargang  98 (4651) 11 januari 2013 </w:t>
      </w:r>
    </w:p>
    <w:p w:rsidR="00F75006" w:rsidRPr="00512F66" w:rsidRDefault="00F75006" w:rsidP="00F75006">
      <w:pPr>
        <w:spacing w:after="0" w:line="360" w:lineRule="auto"/>
        <w:rPr>
          <w:rFonts w:ascii="Times New Roman" w:hAnsi="Times New Roman" w:cs="Times New Roman"/>
          <w:b/>
          <w:sz w:val="24"/>
          <w:szCs w:val="24"/>
          <w:u w:val="single"/>
        </w:rPr>
      </w:pPr>
    </w:p>
    <w:p w:rsidR="00EC3ED5" w:rsidRPr="00AB792C" w:rsidRDefault="00EC3ED5" w:rsidP="00EC3ED5">
      <w:pPr>
        <w:spacing w:line="360" w:lineRule="auto"/>
        <w:rPr>
          <w:rFonts w:ascii="Times New Roman" w:hAnsi="Times New Roman" w:cs="Times New Roman"/>
          <w:sz w:val="24"/>
          <w:szCs w:val="24"/>
        </w:rPr>
      </w:pPr>
      <w:r w:rsidRPr="00EC3ED5">
        <w:rPr>
          <w:rFonts w:ascii="Times New Roman" w:hAnsi="Times New Roman" w:cs="Times New Roman"/>
          <w:sz w:val="24"/>
          <w:szCs w:val="24"/>
          <w:shd w:val="clear" w:color="auto" w:fill="FFFFFF"/>
        </w:rPr>
        <w:t>Bovenberg</w:t>
      </w:r>
      <w:r>
        <w:rPr>
          <w:rFonts w:ascii="Times New Roman" w:hAnsi="Times New Roman" w:cs="Times New Roman"/>
          <w:sz w:val="24"/>
          <w:szCs w:val="24"/>
          <w:shd w:val="clear" w:color="auto" w:fill="FFFFFF"/>
        </w:rPr>
        <w:t>, L.</w:t>
      </w:r>
      <w:r w:rsidRPr="00EC3ED5">
        <w:rPr>
          <w:rFonts w:ascii="Times New Roman" w:hAnsi="Times New Roman" w:cs="Times New Roman"/>
          <w:sz w:val="24"/>
          <w:szCs w:val="24"/>
          <w:shd w:val="clear" w:color="auto" w:fill="FFFFFF"/>
        </w:rPr>
        <w:t>, Polman</w:t>
      </w:r>
      <w:r>
        <w:rPr>
          <w:rFonts w:ascii="Times New Roman" w:hAnsi="Times New Roman" w:cs="Times New Roman"/>
          <w:sz w:val="24"/>
          <w:szCs w:val="24"/>
          <w:shd w:val="clear" w:color="auto" w:fill="FFFFFF"/>
        </w:rPr>
        <w:t xml:space="preserve"> R. (2011)</w:t>
      </w:r>
      <w:r w:rsidRPr="00EC3ED5">
        <w:rPr>
          <w:rFonts w:ascii="Times New Roman" w:hAnsi="Times New Roman" w:cs="Times New Roman"/>
          <w:sz w:val="24"/>
          <w:szCs w:val="24"/>
          <w:shd w:val="clear" w:color="auto" w:fill="FFFFFF"/>
        </w:rPr>
        <w:t xml:space="preserve"> </w:t>
      </w:r>
      <w:r w:rsidRPr="00EC3ED5">
        <w:rPr>
          <w:rFonts w:ascii="Times New Roman" w:hAnsi="Times New Roman" w:cs="Times New Roman"/>
          <w:i/>
          <w:sz w:val="24"/>
          <w:szCs w:val="24"/>
          <w:shd w:val="clear" w:color="auto" w:fill="FFFFFF"/>
        </w:rPr>
        <w:t>Benut pensioengelden voor robuustere woningmarkt en financieel stelsel</w:t>
      </w:r>
      <w:r w:rsidRPr="00EC3ED5">
        <w:rPr>
          <w:rFonts w:ascii="Times New Roman" w:hAnsi="Times New Roman" w:cs="Times New Roman"/>
          <w:sz w:val="24"/>
          <w:szCs w:val="24"/>
          <w:shd w:val="clear" w:color="auto" w:fill="FFFFFF"/>
        </w:rPr>
        <w:t>,</w:t>
      </w:r>
      <w:r w:rsidRPr="00EC3ED5">
        <w:rPr>
          <w:rStyle w:val="apple-converted-space"/>
          <w:rFonts w:ascii="Times New Roman" w:hAnsi="Times New Roman" w:cs="Times New Roman"/>
          <w:sz w:val="24"/>
          <w:szCs w:val="24"/>
          <w:shd w:val="clear" w:color="auto" w:fill="FFFFFF"/>
        </w:rPr>
        <w:t> </w:t>
      </w:r>
      <w:r w:rsidRPr="00EC3ED5">
        <w:rPr>
          <w:rFonts w:ascii="Times New Roman" w:hAnsi="Times New Roman" w:cs="Times New Roman"/>
          <w:iCs/>
          <w:sz w:val="24"/>
          <w:szCs w:val="24"/>
          <w:bdr w:val="none" w:sz="0" w:space="0" w:color="auto" w:frame="1"/>
          <w:shd w:val="clear" w:color="auto" w:fill="FFFFFF"/>
        </w:rPr>
        <w:t>Me Judice</w:t>
      </w:r>
      <w:r w:rsidR="0097304C">
        <w:rPr>
          <w:rFonts w:ascii="Times New Roman" w:hAnsi="Times New Roman" w:cs="Times New Roman"/>
          <w:iCs/>
          <w:sz w:val="24"/>
          <w:szCs w:val="24"/>
          <w:bdr w:val="none" w:sz="0" w:space="0" w:color="auto" w:frame="1"/>
          <w:shd w:val="clear" w:color="auto" w:fill="FFFFFF"/>
        </w:rPr>
        <w:t>, 8 december 2011</w:t>
      </w:r>
    </w:p>
    <w:p w:rsidR="00EC3ED5" w:rsidRPr="00EC3ED5" w:rsidRDefault="00EC3ED5" w:rsidP="00F75006">
      <w:pPr>
        <w:autoSpaceDE w:val="0"/>
        <w:autoSpaceDN w:val="0"/>
        <w:adjustRightInd w:val="0"/>
        <w:spacing w:after="0" w:line="360" w:lineRule="auto"/>
        <w:rPr>
          <w:rFonts w:ascii="Times New Roman" w:hAnsi="Times New Roman" w:cs="Times New Roman"/>
          <w:sz w:val="24"/>
          <w:szCs w:val="24"/>
        </w:rPr>
      </w:pPr>
    </w:p>
    <w:p w:rsidR="00D07917" w:rsidRPr="00B10813" w:rsidRDefault="003D05E7" w:rsidP="00F75006">
      <w:pPr>
        <w:autoSpaceDE w:val="0"/>
        <w:autoSpaceDN w:val="0"/>
        <w:adjustRightInd w:val="0"/>
        <w:spacing w:after="0" w:line="360" w:lineRule="auto"/>
        <w:rPr>
          <w:rFonts w:ascii="Times New Roman" w:hAnsi="Times New Roman" w:cs="Times New Roman"/>
          <w:sz w:val="24"/>
          <w:szCs w:val="24"/>
          <w:lang w:val="en-US"/>
        </w:rPr>
      </w:pPr>
      <w:r w:rsidRPr="00B10813">
        <w:rPr>
          <w:rFonts w:ascii="Times New Roman" w:hAnsi="Times New Roman" w:cs="Times New Roman"/>
          <w:sz w:val="24"/>
          <w:szCs w:val="24"/>
          <w:lang w:val="en-US"/>
        </w:rPr>
        <w:t xml:space="preserve">Campbell and Cocco </w:t>
      </w:r>
      <w:r w:rsidR="00D07917" w:rsidRPr="00B10813">
        <w:rPr>
          <w:rFonts w:ascii="Times New Roman" w:hAnsi="Times New Roman" w:cs="Times New Roman"/>
          <w:sz w:val="24"/>
          <w:szCs w:val="24"/>
          <w:lang w:val="en-US"/>
        </w:rPr>
        <w:t xml:space="preserve">(2007). </w:t>
      </w:r>
      <w:r w:rsidR="00D07917" w:rsidRPr="005F1382">
        <w:rPr>
          <w:rFonts w:ascii="Times New Roman" w:hAnsi="Times New Roman" w:cs="Times New Roman"/>
          <w:i/>
          <w:sz w:val="24"/>
          <w:szCs w:val="24"/>
          <w:lang w:val="en-US"/>
        </w:rPr>
        <w:t>How do house prices affect consumption? Evidence from micro data</w:t>
      </w:r>
      <w:r w:rsidR="00D07917" w:rsidRPr="00B10813">
        <w:rPr>
          <w:rFonts w:ascii="Times New Roman" w:hAnsi="Times New Roman" w:cs="Times New Roman"/>
          <w:sz w:val="24"/>
          <w:szCs w:val="24"/>
          <w:lang w:val="en-US"/>
        </w:rPr>
        <w:t xml:space="preserve">, </w:t>
      </w:r>
      <w:r w:rsidR="00D07917" w:rsidRPr="005F1382">
        <w:rPr>
          <w:rFonts w:ascii="Times New Roman" w:hAnsi="Times New Roman" w:cs="Times New Roman"/>
          <w:iCs/>
          <w:sz w:val="24"/>
          <w:szCs w:val="24"/>
          <w:lang w:val="en-US"/>
        </w:rPr>
        <w:t>Journal of Monetary Economics 54</w:t>
      </w:r>
      <w:r w:rsidR="00D07917" w:rsidRPr="00B10813">
        <w:rPr>
          <w:rFonts w:ascii="Times New Roman" w:hAnsi="Times New Roman" w:cs="Times New Roman"/>
          <w:i/>
          <w:iCs/>
          <w:sz w:val="24"/>
          <w:szCs w:val="24"/>
          <w:lang w:val="en-US"/>
        </w:rPr>
        <w:t xml:space="preserve"> </w:t>
      </w:r>
      <w:r w:rsidR="00D07917" w:rsidRPr="00B10813">
        <w:rPr>
          <w:rFonts w:ascii="Times New Roman" w:hAnsi="Times New Roman" w:cs="Times New Roman"/>
          <w:sz w:val="24"/>
          <w:szCs w:val="24"/>
          <w:lang w:val="en-US"/>
        </w:rPr>
        <w:t xml:space="preserve">(3), </w:t>
      </w:r>
      <w:r w:rsidR="004B7EBD">
        <w:rPr>
          <w:rFonts w:ascii="Times New Roman" w:hAnsi="Times New Roman" w:cs="Times New Roman"/>
          <w:sz w:val="24"/>
          <w:szCs w:val="24"/>
          <w:lang w:val="en-US"/>
        </w:rPr>
        <w:t xml:space="preserve">pg. </w:t>
      </w:r>
      <w:r w:rsidR="00D07917" w:rsidRPr="00B10813">
        <w:rPr>
          <w:rFonts w:ascii="Times New Roman" w:hAnsi="Times New Roman" w:cs="Times New Roman"/>
          <w:sz w:val="24"/>
          <w:szCs w:val="24"/>
          <w:lang w:val="en-US"/>
        </w:rPr>
        <w:t>591-621</w:t>
      </w:r>
    </w:p>
    <w:p w:rsidR="003D05E7" w:rsidRPr="00B10813" w:rsidRDefault="003D05E7" w:rsidP="00F75006">
      <w:pPr>
        <w:autoSpaceDE w:val="0"/>
        <w:autoSpaceDN w:val="0"/>
        <w:adjustRightInd w:val="0"/>
        <w:spacing w:after="0" w:line="360" w:lineRule="auto"/>
        <w:rPr>
          <w:rFonts w:ascii="Times New Roman" w:hAnsi="Times New Roman" w:cs="Times New Roman"/>
          <w:sz w:val="24"/>
          <w:szCs w:val="24"/>
          <w:lang w:val="en-US"/>
        </w:rPr>
      </w:pPr>
    </w:p>
    <w:p w:rsidR="00D07917" w:rsidRPr="00B10813" w:rsidRDefault="00D07917" w:rsidP="00F75006">
      <w:pPr>
        <w:autoSpaceDE w:val="0"/>
        <w:autoSpaceDN w:val="0"/>
        <w:adjustRightInd w:val="0"/>
        <w:spacing w:after="0" w:line="360" w:lineRule="auto"/>
        <w:rPr>
          <w:rFonts w:ascii="Times New Roman" w:hAnsi="Times New Roman" w:cs="Times New Roman"/>
          <w:sz w:val="24"/>
          <w:szCs w:val="24"/>
          <w:lang w:val="en-US"/>
        </w:rPr>
      </w:pPr>
      <w:r w:rsidRPr="00B10813">
        <w:rPr>
          <w:rFonts w:ascii="Times New Roman" w:hAnsi="Times New Roman" w:cs="Times New Roman"/>
          <w:sz w:val="24"/>
          <w:szCs w:val="24"/>
          <w:lang w:val="en-US"/>
        </w:rPr>
        <w:t>Caro</w:t>
      </w:r>
      <w:r w:rsidR="003D05E7" w:rsidRPr="00B10813">
        <w:rPr>
          <w:rFonts w:ascii="Times New Roman" w:hAnsi="Times New Roman" w:cs="Times New Roman"/>
          <w:sz w:val="24"/>
          <w:szCs w:val="24"/>
          <w:lang w:val="en-US"/>
        </w:rPr>
        <w:t xml:space="preserve">ll, Otsuka and Slacalec </w:t>
      </w:r>
      <w:r w:rsidRPr="00B10813">
        <w:rPr>
          <w:rFonts w:ascii="Times New Roman" w:hAnsi="Times New Roman" w:cs="Times New Roman"/>
          <w:sz w:val="24"/>
          <w:szCs w:val="24"/>
          <w:lang w:val="en-US"/>
        </w:rPr>
        <w:t xml:space="preserve">(2011). </w:t>
      </w:r>
      <w:r w:rsidRPr="005F1382">
        <w:rPr>
          <w:rFonts w:ascii="Times New Roman" w:hAnsi="Times New Roman" w:cs="Times New Roman"/>
          <w:i/>
          <w:sz w:val="24"/>
          <w:szCs w:val="24"/>
          <w:lang w:val="en-US"/>
        </w:rPr>
        <w:t>How Large Is the Housing Wealth Effect? A New Approach</w:t>
      </w:r>
      <w:r w:rsidRPr="00B10813">
        <w:rPr>
          <w:rFonts w:ascii="Times New Roman" w:hAnsi="Times New Roman" w:cs="Times New Roman"/>
          <w:sz w:val="24"/>
          <w:szCs w:val="24"/>
          <w:lang w:val="en-US"/>
        </w:rPr>
        <w:t xml:space="preserve">, </w:t>
      </w:r>
      <w:r w:rsidRPr="005F1382">
        <w:rPr>
          <w:rFonts w:ascii="Times New Roman" w:hAnsi="Times New Roman" w:cs="Times New Roman"/>
          <w:iCs/>
          <w:sz w:val="24"/>
          <w:szCs w:val="24"/>
          <w:lang w:val="en-US"/>
        </w:rPr>
        <w:t>Journal of Money, Credit and Banking</w:t>
      </w:r>
      <w:r w:rsidRPr="00B10813">
        <w:rPr>
          <w:rFonts w:ascii="Times New Roman" w:hAnsi="Times New Roman" w:cs="Times New Roman"/>
          <w:sz w:val="24"/>
          <w:szCs w:val="24"/>
          <w:lang w:val="en-US"/>
        </w:rPr>
        <w:t xml:space="preserve">, </w:t>
      </w:r>
      <w:r w:rsidR="00CA47B8">
        <w:rPr>
          <w:rFonts w:ascii="Times New Roman" w:hAnsi="Times New Roman" w:cs="Times New Roman"/>
          <w:sz w:val="24"/>
          <w:szCs w:val="24"/>
          <w:lang w:val="en-US"/>
        </w:rPr>
        <w:t xml:space="preserve">volume 43, </w:t>
      </w:r>
      <w:r w:rsidR="004B7EBD">
        <w:rPr>
          <w:rFonts w:ascii="Times New Roman" w:hAnsi="Times New Roman" w:cs="Times New Roman"/>
          <w:sz w:val="24"/>
          <w:szCs w:val="24"/>
          <w:lang w:val="en-US"/>
        </w:rPr>
        <w:t xml:space="preserve">pg. </w:t>
      </w:r>
      <w:r w:rsidRPr="00B10813">
        <w:rPr>
          <w:rFonts w:ascii="Times New Roman" w:hAnsi="Times New Roman" w:cs="Times New Roman"/>
          <w:sz w:val="24"/>
          <w:szCs w:val="24"/>
          <w:lang w:val="en-US"/>
        </w:rPr>
        <w:t>55–79.</w:t>
      </w:r>
    </w:p>
    <w:p w:rsidR="003D05E7" w:rsidRPr="00B10813" w:rsidRDefault="003D05E7" w:rsidP="00F75006">
      <w:pPr>
        <w:spacing w:after="0" w:line="360" w:lineRule="auto"/>
        <w:rPr>
          <w:rFonts w:ascii="Times New Roman" w:hAnsi="Times New Roman" w:cs="Times New Roman"/>
          <w:sz w:val="24"/>
          <w:szCs w:val="24"/>
          <w:lang w:val="en-US"/>
        </w:rPr>
      </w:pPr>
    </w:p>
    <w:p w:rsidR="00D07917" w:rsidRPr="004B7EBD" w:rsidRDefault="00D07917" w:rsidP="00F75006">
      <w:pPr>
        <w:spacing w:after="0" w:line="360" w:lineRule="auto"/>
        <w:rPr>
          <w:rFonts w:ascii="Times New Roman" w:hAnsi="Times New Roman" w:cs="Times New Roman"/>
          <w:sz w:val="24"/>
          <w:szCs w:val="24"/>
        </w:rPr>
      </w:pPr>
      <w:r w:rsidRPr="004E549D">
        <w:rPr>
          <w:rFonts w:ascii="Times New Roman" w:hAnsi="Times New Roman" w:cs="Times New Roman"/>
          <w:sz w:val="24"/>
          <w:szCs w:val="24"/>
        </w:rPr>
        <w:t xml:space="preserve">CBS (2011). </w:t>
      </w:r>
      <w:r w:rsidRPr="004E549D">
        <w:rPr>
          <w:rFonts w:ascii="Times New Roman" w:hAnsi="Times New Roman" w:cs="Times New Roman"/>
          <w:i/>
          <w:sz w:val="24"/>
          <w:szCs w:val="24"/>
        </w:rPr>
        <w:t>De Nederlandse economie 2011</w:t>
      </w:r>
      <w:r w:rsidR="004B7EBD">
        <w:rPr>
          <w:rFonts w:ascii="Times New Roman" w:hAnsi="Times New Roman" w:cs="Times New Roman"/>
          <w:i/>
          <w:sz w:val="24"/>
          <w:szCs w:val="24"/>
        </w:rPr>
        <w:t xml:space="preserve">, </w:t>
      </w:r>
      <w:r w:rsidR="004B7EBD">
        <w:rPr>
          <w:rFonts w:ascii="Times New Roman" w:hAnsi="Times New Roman" w:cs="Times New Roman"/>
          <w:sz w:val="24"/>
          <w:szCs w:val="24"/>
        </w:rPr>
        <w:t>Den Haag</w:t>
      </w:r>
    </w:p>
    <w:p w:rsidR="00F75006" w:rsidRPr="004E549D" w:rsidRDefault="00F75006" w:rsidP="00F75006">
      <w:pPr>
        <w:spacing w:after="0" w:line="360" w:lineRule="auto"/>
        <w:rPr>
          <w:rFonts w:ascii="Times New Roman" w:hAnsi="Times New Roman" w:cs="Times New Roman"/>
          <w:b/>
          <w:sz w:val="24"/>
          <w:szCs w:val="24"/>
        </w:rPr>
      </w:pPr>
    </w:p>
    <w:p w:rsidR="004E549D" w:rsidRDefault="004E549D" w:rsidP="00F75006">
      <w:pPr>
        <w:spacing w:after="0" w:line="360" w:lineRule="auto"/>
        <w:rPr>
          <w:rFonts w:ascii="Times New Roman" w:hAnsi="Times New Roman" w:cs="Times New Roman"/>
          <w:i/>
          <w:sz w:val="24"/>
          <w:szCs w:val="24"/>
        </w:rPr>
      </w:pPr>
      <w:r>
        <w:rPr>
          <w:rFonts w:ascii="Times New Roman" w:hAnsi="Times New Roman" w:cs="Times New Roman"/>
          <w:sz w:val="24"/>
          <w:szCs w:val="24"/>
        </w:rPr>
        <w:t>Commissie Structuur Nederlandse Banken (2013).</w:t>
      </w:r>
      <w:r w:rsidR="003D05E7">
        <w:rPr>
          <w:rFonts w:ascii="Times New Roman" w:hAnsi="Times New Roman" w:cs="Times New Roman"/>
          <w:sz w:val="24"/>
          <w:szCs w:val="24"/>
        </w:rPr>
        <w:t xml:space="preserve"> </w:t>
      </w:r>
      <w:r>
        <w:rPr>
          <w:rFonts w:ascii="Times New Roman" w:hAnsi="Times New Roman" w:cs="Times New Roman"/>
          <w:i/>
          <w:sz w:val="24"/>
          <w:szCs w:val="24"/>
        </w:rPr>
        <w:t>Naar een stabiel en dienstbaar bankwezen</w:t>
      </w:r>
      <w:r w:rsidR="004B7EBD">
        <w:rPr>
          <w:rFonts w:ascii="Times New Roman" w:hAnsi="Times New Roman" w:cs="Times New Roman"/>
          <w:i/>
          <w:sz w:val="24"/>
          <w:szCs w:val="24"/>
        </w:rPr>
        <w:t xml:space="preserve">, </w:t>
      </w:r>
      <w:r w:rsidR="004B7EBD" w:rsidRPr="004B7EBD">
        <w:rPr>
          <w:rFonts w:ascii="Times New Roman" w:hAnsi="Times New Roman" w:cs="Times New Roman"/>
          <w:sz w:val="24"/>
          <w:szCs w:val="24"/>
        </w:rPr>
        <w:t>verkrijgbaar:</w:t>
      </w:r>
      <w:r w:rsidR="004B7EBD">
        <w:rPr>
          <w:rFonts w:ascii="Times New Roman" w:hAnsi="Times New Roman" w:cs="Times New Roman"/>
          <w:sz w:val="24"/>
          <w:szCs w:val="24"/>
        </w:rPr>
        <w:t xml:space="preserve"> www.rijksoverheid.nl</w:t>
      </w:r>
    </w:p>
    <w:p w:rsidR="00F75006" w:rsidRPr="00512F66" w:rsidRDefault="00F75006" w:rsidP="00F75006">
      <w:pPr>
        <w:spacing w:after="0" w:line="360" w:lineRule="auto"/>
        <w:rPr>
          <w:rFonts w:ascii="Times New Roman" w:hAnsi="Times New Roman" w:cs="Times New Roman"/>
          <w:b/>
          <w:sz w:val="24"/>
          <w:szCs w:val="24"/>
          <w:u w:val="single"/>
        </w:rPr>
      </w:pPr>
    </w:p>
    <w:p w:rsidR="00D07917" w:rsidRDefault="00D07917" w:rsidP="00F75006">
      <w:pPr>
        <w:spacing w:after="0" w:line="360" w:lineRule="auto"/>
        <w:rPr>
          <w:rFonts w:ascii="Times New Roman" w:hAnsi="Times New Roman" w:cs="Times New Roman"/>
          <w:sz w:val="24"/>
          <w:szCs w:val="24"/>
        </w:rPr>
      </w:pPr>
      <w:r w:rsidRPr="00512F66">
        <w:rPr>
          <w:rFonts w:ascii="Times New Roman" w:hAnsi="Times New Roman" w:cs="Times New Roman"/>
          <w:sz w:val="24"/>
          <w:szCs w:val="24"/>
        </w:rPr>
        <w:t>CPB (2013)</w:t>
      </w:r>
      <w:r>
        <w:rPr>
          <w:rFonts w:ascii="Times New Roman" w:hAnsi="Times New Roman" w:cs="Times New Roman"/>
          <w:sz w:val="24"/>
          <w:szCs w:val="24"/>
        </w:rPr>
        <w:t>.</w:t>
      </w:r>
      <w:r w:rsidRPr="00512F66">
        <w:rPr>
          <w:rFonts w:ascii="Times New Roman" w:hAnsi="Times New Roman" w:cs="Times New Roman"/>
          <w:sz w:val="24"/>
          <w:szCs w:val="24"/>
        </w:rPr>
        <w:t xml:space="preserve"> </w:t>
      </w:r>
      <w:r w:rsidRPr="00512F66">
        <w:rPr>
          <w:rFonts w:ascii="Times New Roman" w:hAnsi="Times New Roman" w:cs="Times New Roman"/>
          <w:i/>
          <w:sz w:val="24"/>
          <w:szCs w:val="24"/>
        </w:rPr>
        <w:t>De Nederlandse woningmarkt –hypotheekrente, huizenprijzen en consumptie</w:t>
      </w:r>
      <w:r w:rsidR="00EB59B1">
        <w:rPr>
          <w:rFonts w:ascii="Times New Roman" w:hAnsi="Times New Roman" w:cs="Times New Roman"/>
          <w:sz w:val="24"/>
          <w:szCs w:val="24"/>
        </w:rPr>
        <w:t>,</w:t>
      </w:r>
      <w:r w:rsidRPr="00512F66">
        <w:rPr>
          <w:rFonts w:ascii="Times New Roman" w:hAnsi="Times New Roman" w:cs="Times New Roman"/>
          <w:i/>
          <w:sz w:val="24"/>
          <w:szCs w:val="24"/>
        </w:rPr>
        <w:t xml:space="preserve"> </w:t>
      </w:r>
      <w:r w:rsidR="005F1382">
        <w:rPr>
          <w:rFonts w:ascii="Times New Roman" w:hAnsi="Times New Roman" w:cs="Times New Roman"/>
          <w:sz w:val="24"/>
          <w:szCs w:val="24"/>
        </w:rPr>
        <w:t>Den Haag</w:t>
      </w:r>
      <w:r w:rsidR="005F1382" w:rsidRPr="00512F66">
        <w:rPr>
          <w:rFonts w:ascii="Times New Roman" w:hAnsi="Times New Roman" w:cs="Times New Roman"/>
          <w:sz w:val="24"/>
          <w:szCs w:val="24"/>
        </w:rPr>
        <w:t xml:space="preserve"> </w:t>
      </w:r>
      <w:r w:rsidR="005F1382">
        <w:rPr>
          <w:rFonts w:ascii="Times New Roman" w:hAnsi="Times New Roman" w:cs="Times New Roman"/>
          <w:sz w:val="24"/>
          <w:szCs w:val="24"/>
        </w:rPr>
        <w:t xml:space="preserve">, </w:t>
      </w:r>
      <w:r w:rsidRPr="00512F66">
        <w:rPr>
          <w:rFonts w:ascii="Times New Roman" w:hAnsi="Times New Roman" w:cs="Times New Roman"/>
          <w:sz w:val="24"/>
          <w:szCs w:val="24"/>
        </w:rPr>
        <w:t>CPB notitie</w:t>
      </w:r>
      <w:r w:rsidR="004B7EBD">
        <w:rPr>
          <w:rFonts w:ascii="Times New Roman" w:hAnsi="Times New Roman" w:cs="Times New Roman"/>
          <w:sz w:val="24"/>
          <w:szCs w:val="24"/>
        </w:rPr>
        <w:t xml:space="preserve"> 14 februari 2013</w:t>
      </w:r>
      <w:r w:rsidR="005F1382">
        <w:rPr>
          <w:rFonts w:ascii="Times New Roman" w:hAnsi="Times New Roman" w:cs="Times New Roman"/>
          <w:sz w:val="24"/>
          <w:szCs w:val="24"/>
        </w:rPr>
        <w:t>,</w:t>
      </w:r>
    </w:p>
    <w:p w:rsidR="00F75006" w:rsidRPr="00512F66" w:rsidRDefault="00F75006" w:rsidP="00F75006">
      <w:pPr>
        <w:spacing w:after="0" w:line="360" w:lineRule="auto"/>
        <w:rPr>
          <w:rFonts w:ascii="Times New Roman" w:hAnsi="Times New Roman" w:cs="Times New Roman"/>
          <w:sz w:val="24"/>
          <w:szCs w:val="24"/>
        </w:rPr>
      </w:pPr>
    </w:p>
    <w:p w:rsidR="00D07917" w:rsidRDefault="004E549D" w:rsidP="00F75006">
      <w:pPr>
        <w:spacing w:after="0" w:line="360" w:lineRule="auto"/>
        <w:rPr>
          <w:rFonts w:ascii="Times New Roman" w:hAnsi="Times New Roman" w:cs="Times New Roman"/>
          <w:sz w:val="24"/>
          <w:szCs w:val="24"/>
        </w:rPr>
      </w:pPr>
      <w:r>
        <w:rPr>
          <w:rFonts w:ascii="Times New Roman" w:hAnsi="Times New Roman" w:cs="Times New Roman"/>
          <w:sz w:val="24"/>
          <w:szCs w:val="24"/>
        </w:rPr>
        <w:t>CPB (2010).</w:t>
      </w:r>
      <w:r w:rsidR="00D07917" w:rsidRPr="00512F66">
        <w:rPr>
          <w:rFonts w:ascii="Times New Roman" w:hAnsi="Times New Roman" w:cs="Times New Roman"/>
          <w:sz w:val="24"/>
          <w:szCs w:val="24"/>
        </w:rPr>
        <w:t xml:space="preserve"> </w:t>
      </w:r>
      <w:r w:rsidR="00D07917">
        <w:rPr>
          <w:rFonts w:ascii="Times New Roman" w:hAnsi="Times New Roman" w:cs="Times New Roman"/>
          <w:i/>
          <w:sz w:val="24"/>
          <w:szCs w:val="24"/>
        </w:rPr>
        <w:t>H</w:t>
      </w:r>
      <w:r w:rsidR="00D07917" w:rsidRPr="00512F66">
        <w:rPr>
          <w:rFonts w:ascii="Times New Roman" w:hAnsi="Times New Roman" w:cs="Times New Roman"/>
          <w:i/>
          <w:sz w:val="24"/>
          <w:szCs w:val="24"/>
        </w:rPr>
        <w:t xml:space="preserve">ervorming van het Nederlandse woonbeleid, , </w:t>
      </w:r>
      <w:r w:rsidR="005F1382" w:rsidRPr="00512F66">
        <w:rPr>
          <w:rFonts w:ascii="Times New Roman" w:hAnsi="Times New Roman" w:cs="Times New Roman"/>
          <w:sz w:val="24"/>
          <w:szCs w:val="24"/>
        </w:rPr>
        <w:t>Den Haag</w:t>
      </w:r>
      <w:r w:rsidR="005F1382">
        <w:rPr>
          <w:rFonts w:ascii="Times New Roman" w:hAnsi="Times New Roman" w:cs="Times New Roman"/>
          <w:sz w:val="24"/>
          <w:szCs w:val="24"/>
        </w:rPr>
        <w:t>,</w:t>
      </w:r>
      <w:r w:rsidR="005F1382" w:rsidRPr="00D07917">
        <w:rPr>
          <w:rFonts w:ascii="Times New Roman" w:hAnsi="Times New Roman" w:cs="Times New Roman"/>
          <w:sz w:val="24"/>
          <w:szCs w:val="24"/>
        </w:rPr>
        <w:t xml:space="preserve"> </w:t>
      </w:r>
      <w:r w:rsidR="00D07917" w:rsidRPr="00D07917">
        <w:rPr>
          <w:rFonts w:ascii="Times New Roman" w:hAnsi="Times New Roman" w:cs="Times New Roman"/>
          <w:sz w:val="24"/>
          <w:szCs w:val="24"/>
        </w:rPr>
        <w:t>CPB document</w:t>
      </w:r>
      <w:r w:rsidR="00EB59B1">
        <w:rPr>
          <w:rFonts w:ascii="Times New Roman" w:hAnsi="Times New Roman" w:cs="Times New Roman"/>
          <w:sz w:val="24"/>
          <w:szCs w:val="24"/>
        </w:rPr>
        <w:t>, No. 84</w:t>
      </w:r>
      <w:r w:rsidR="005F1382">
        <w:rPr>
          <w:rFonts w:ascii="Times New Roman" w:hAnsi="Times New Roman" w:cs="Times New Roman"/>
          <w:sz w:val="24"/>
          <w:szCs w:val="24"/>
        </w:rPr>
        <w:t>,</w:t>
      </w:r>
      <w:r w:rsidR="005F1382" w:rsidRPr="005F1382">
        <w:rPr>
          <w:rFonts w:ascii="Times New Roman" w:hAnsi="Times New Roman" w:cs="Times New Roman"/>
          <w:sz w:val="24"/>
          <w:szCs w:val="24"/>
        </w:rPr>
        <w:t xml:space="preserve"> </w:t>
      </w:r>
    </w:p>
    <w:p w:rsidR="00F75006" w:rsidRPr="00512F66" w:rsidRDefault="00F75006" w:rsidP="00F75006">
      <w:pPr>
        <w:spacing w:after="0" w:line="360" w:lineRule="auto"/>
        <w:rPr>
          <w:rFonts w:ascii="Times New Roman" w:hAnsi="Times New Roman" w:cs="Times New Roman"/>
          <w:sz w:val="24"/>
          <w:szCs w:val="24"/>
        </w:rPr>
      </w:pPr>
    </w:p>
    <w:p w:rsidR="006F2503" w:rsidRPr="00B10813" w:rsidRDefault="001E0736" w:rsidP="00F75006">
      <w:pPr>
        <w:spacing w:after="0" w:line="360" w:lineRule="auto"/>
        <w:rPr>
          <w:rFonts w:ascii="Times New Roman" w:hAnsi="Times New Roman" w:cs="Times New Roman"/>
          <w:sz w:val="24"/>
          <w:szCs w:val="24"/>
          <w:lang w:val="en-US"/>
        </w:rPr>
      </w:pPr>
      <w:r w:rsidRPr="00B10813">
        <w:rPr>
          <w:rFonts w:ascii="Times New Roman" w:hAnsi="Times New Roman" w:cs="Times New Roman"/>
          <w:sz w:val="24"/>
          <w:szCs w:val="24"/>
          <w:lang w:val="en-US"/>
        </w:rPr>
        <w:t>European Commission (2012).</w:t>
      </w:r>
      <w:r w:rsidR="006F2503" w:rsidRPr="00B10813">
        <w:rPr>
          <w:rFonts w:ascii="Times New Roman" w:hAnsi="Times New Roman" w:cs="Times New Roman"/>
          <w:sz w:val="24"/>
          <w:szCs w:val="24"/>
          <w:lang w:val="en-US"/>
        </w:rPr>
        <w:t xml:space="preserve"> </w:t>
      </w:r>
      <w:r w:rsidR="006F2503" w:rsidRPr="00B10813">
        <w:rPr>
          <w:rFonts w:ascii="Times New Roman" w:hAnsi="Times New Roman" w:cs="Times New Roman"/>
          <w:i/>
          <w:sz w:val="24"/>
          <w:szCs w:val="24"/>
          <w:lang w:val="en-US"/>
        </w:rPr>
        <w:t>European economy</w:t>
      </w:r>
      <w:r w:rsidR="006F2503" w:rsidRPr="00B10813">
        <w:rPr>
          <w:rFonts w:ascii="Times New Roman" w:hAnsi="Times New Roman" w:cs="Times New Roman"/>
          <w:sz w:val="24"/>
          <w:szCs w:val="24"/>
          <w:lang w:val="en-US"/>
        </w:rPr>
        <w:t xml:space="preserve">: </w:t>
      </w:r>
      <w:r w:rsidR="006F2503" w:rsidRPr="00B10813">
        <w:rPr>
          <w:rFonts w:ascii="Times New Roman" w:hAnsi="Times New Roman" w:cs="Times New Roman"/>
          <w:i/>
          <w:sz w:val="24"/>
          <w:szCs w:val="24"/>
          <w:lang w:val="en-US"/>
        </w:rPr>
        <w:t>the housing market in the Netherlands,</w:t>
      </w:r>
      <w:r w:rsidR="006F2503" w:rsidRPr="00B10813">
        <w:rPr>
          <w:rFonts w:ascii="Times New Roman" w:hAnsi="Times New Roman" w:cs="Times New Roman"/>
          <w:sz w:val="24"/>
          <w:szCs w:val="24"/>
          <w:lang w:val="en-US"/>
        </w:rPr>
        <w:t xml:space="preserve"> Economic papers 457</w:t>
      </w:r>
    </w:p>
    <w:p w:rsidR="00F75006" w:rsidRPr="00B10813" w:rsidRDefault="00F75006" w:rsidP="00F75006">
      <w:pPr>
        <w:spacing w:after="0" w:line="360" w:lineRule="auto"/>
        <w:rPr>
          <w:rFonts w:ascii="Times New Roman" w:hAnsi="Times New Roman" w:cs="Times New Roman"/>
          <w:b/>
          <w:sz w:val="24"/>
          <w:szCs w:val="24"/>
          <w:lang w:val="en-US"/>
        </w:rPr>
      </w:pPr>
    </w:p>
    <w:p w:rsidR="00576F54" w:rsidRPr="00B10813" w:rsidRDefault="00B209A0" w:rsidP="00F75006">
      <w:pPr>
        <w:spacing w:after="0" w:line="360" w:lineRule="auto"/>
        <w:rPr>
          <w:rFonts w:ascii="Times New Roman" w:hAnsi="Times New Roman" w:cs="Times New Roman"/>
          <w:sz w:val="24"/>
          <w:szCs w:val="24"/>
          <w:lang w:val="en-US"/>
        </w:rPr>
      </w:pPr>
      <w:r w:rsidRPr="00B10813">
        <w:rPr>
          <w:rFonts w:ascii="Times New Roman" w:hAnsi="Times New Roman" w:cs="Times New Roman"/>
          <w:sz w:val="24"/>
          <w:szCs w:val="24"/>
          <w:lang w:val="en-US"/>
        </w:rPr>
        <w:t xml:space="preserve">IMF (2008). </w:t>
      </w:r>
      <w:r w:rsidRPr="005F1382">
        <w:rPr>
          <w:rFonts w:ascii="Times New Roman" w:hAnsi="Times New Roman" w:cs="Times New Roman"/>
          <w:i/>
          <w:sz w:val="24"/>
          <w:szCs w:val="24"/>
          <w:lang w:val="en-US"/>
        </w:rPr>
        <w:t>World Economic outlook</w:t>
      </w:r>
      <w:r w:rsidRPr="00B10813">
        <w:rPr>
          <w:rFonts w:ascii="Times New Roman" w:hAnsi="Times New Roman" w:cs="Times New Roman"/>
          <w:sz w:val="24"/>
          <w:szCs w:val="24"/>
          <w:lang w:val="en-US"/>
        </w:rPr>
        <w:t>, april 2008</w:t>
      </w:r>
      <w:r w:rsidR="004B7EBD">
        <w:rPr>
          <w:rFonts w:ascii="Times New Roman" w:hAnsi="Times New Roman" w:cs="Times New Roman"/>
          <w:sz w:val="24"/>
          <w:szCs w:val="24"/>
          <w:lang w:val="en-US"/>
        </w:rPr>
        <w:t>,</w:t>
      </w:r>
      <w:r w:rsidRPr="00B10813">
        <w:rPr>
          <w:rFonts w:ascii="Times New Roman" w:hAnsi="Times New Roman" w:cs="Times New Roman"/>
          <w:sz w:val="24"/>
          <w:szCs w:val="24"/>
          <w:lang w:val="en-US"/>
        </w:rPr>
        <w:t xml:space="preserve"> Washington</w:t>
      </w:r>
    </w:p>
    <w:p w:rsidR="00F75006" w:rsidRPr="00B10813" w:rsidRDefault="00F75006" w:rsidP="00F75006">
      <w:pPr>
        <w:spacing w:after="0" w:line="360" w:lineRule="auto"/>
        <w:rPr>
          <w:rFonts w:ascii="Times New Roman" w:hAnsi="Times New Roman" w:cs="Times New Roman"/>
          <w:sz w:val="24"/>
          <w:szCs w:val="24"/>
          <w:lang w:val="en-US"/>
        </w:rPr>
      </w:pPr>
    </w:p>
    <w:p w:rsidR="00576F54" w:rsidRPr="00B10813" w:rsidRDefault="00576F54" w:rsidP="00F75006">
      <w:pPr>
        <w:spacing w:after="0" w:line="360" w:lineRule="auto"/>
        <w:rPr>
          <w:rFonts w:ascii="Times New Roman" w:hAnsi="Times New Roman" w:cs="Times New Roman"/>
          <w:sz w:val="24"/>
          <w:szCs w:val="24"/>
          <w:lang w:val="en-US"/>
        </w:rPr>
      </w:pPr>
      <w:r w:rsidRPr="00B10813">
        <w:rPr>
          <w:rFonts w:ascii="Times New Roman" w:hAnsi="Times New Roman" w:cs="Times New Roman"/>
          <w:sz w:val="24"/>
          <w:szCs w:val="24"/>
          <w:lang w:val="en-US"/>
        </w:rPr>
        <w:t xml:space="preserve">IMF (2008). </w:t>
      </w:r>
      <w:r w:rsidRPr="00B10813">
        <w:rPr>
          <w:rFonts w:ascii="Times New Roman" w:hAnsi="Times New Roman" w:cs="Times New Roman"/>
          <w:i/>
          <w:sz w:val="24"/>
          <w:szCs w:val="24"/>
          <w:lang w:val="en-US"/>
        </w:rPr>
        <w:t xml:space="preserve">House price developments in Europe: a comparision, </w:t>
      </w:r>
      <w:r w:rsidRPr="00B10813">
        <w:rPr>
          <w:rFonts w:ascii="Times New Roman" w:hAnsi="Times New Roman" w:cs="Times New Roman"/>
          <w:sz w:val="24"/>
          <w:szCs w:val="24"/>
          <w:lang w:val="en-US"/>
        </w:rPr>
        <w:t>Working paper wp/08/211</w:t>
      </w:r>
    </w:p>
    <w:p w:rsidR="00F75006" w:rsidRPr="00B10813" w:rsidRDefault="00F75006" w:rsidP="00F75006">
      <w:pPr>
        <w:spacing w:after="0" w:line="360" w:lineRule="auto"/>
        <w:rPr>
          <w:rFonts w:ascii="Times New Roman" w:hAnsi="Times New Roman" w:cs="Times New Roman"/>
          <w:b/>
          <w:sz w:val="24"/>
          <w:szCs w:val="24"/>
          <w:lang w:val="en-US"/>
        </w:rPr>
      </w:pPr>
    </w:p>
    <w:p w:rsidR="00576F54" w:rsidRPr="003D05E7" w:rsidRDefault="00576F54" w:rsidP="00F75006">
      <w:pPr>
        <w:autoSpaceDE w:val="0"/>
        <w:autoSpaceDN w:val="0"/>
        <w:adjustRightInd w:val="0"/>
        <w:spacing w:after="0" w:line="360" w:lineRule="auto"/>
        <w:rPr>
          <w:rFonts w:ascii="Times New Roman" w:hAnsi="Times New Roman" w:cs="Times New Roman"/>
          <w:sz w:val="24"/>
          <w:szCs w:val="24"/>
          <w:lang w:val="en-CA"/>
        </w:rPr>
      </w:pPr>
      <w:r w:rsidRPr="003D05E7">
        <w:rPr>
          <w:rFonts w:ascii="Times New Roman" w:hAnsi="Times New Roman" w:cs="Times New Roman"/>
          <w:sz w:val="24"/>
          <w:szCs w:val="24"/>
          <w:lang w:val="en-CA"/>
        </w:rPr>
        <w:t xml:space="preserve">IMF (2012). </w:t>
      </w:r>
      <w:r w:rsidRPr="003D05E7">
        <w:rPr>
          <w:rFonts w:ascii="Times New Roman" w:hAnsi="Times New Roman" w:cs="Times New Roman"/>
          <w:i/>
          <w:sz w:val="24"/>
          <w:szCs w:val="24"/>
          <w:lang w:val="en-CA"/>
        </w:rPr>
        <w:t xml:space="preserve">world economic outlook: dealing with household debt, </w:t>
      </w:r>
      <w:r w:rsidRPr="003D05E7">
        <w:rPr>
          <w:rFonts w:ascii="Times New Roman" w:hAnsi="Times New Roman" w:cs="Times New Roman"/>
          <w:sz w:val="24"/>
          <w:szCs w:val="24"/>
          <w:lang w:val="en-CA"/>
        </w:rPr>
        <w:t>World economic Outlook 2012</w:t>
      </w:r>
      <w:r w:rsidR="005F1382">
        <w:rPr>
          <w:rFonts w:ascii="Times New Roman" w:hAnsi="Times New Roman" w:cs="Times New Roman"/>
          <w:sz w:val="24"/>
          <w:szCs w:val="24"/>
          <w:lang w:val="en-CA"/>
        </w:rPr>
        <w:t>, Washington</w:t>
      </w:r>
    </w:p>
    <w:p w:rsidR="00EB59B1" w:rsidRDefault="00EB59B1" w:rsidP="00F75006">
      <w:pPr>
        <w:spacing w:after="0" w:line="360" w:lineRule="auto"/>
        <w:rPr>
          <w:rFonts w:ascii="Times New Roman" w:hAnsi="Times New Roman" w:cs="Times New Roman"/>
          <w:sz w:val="24"/>
          <w:szCs w:val="24"/>
          <w:lang w:val="en-CA"/>
        </w:rPr>
      </w:pPr>
    </w:p>
    <w:p w:rsidR="00DD66B8" w:rsidRPr="00B10813" w:rsidRDefault="00DD66B8" w:rsidP="00F75006">
      <w:pPr>
        <w:spacing w:after="0" w:line="360" w:lineRule="auto"/>
        <w:rPr>
          <w:rFonts w:ascii="Times New Roman" w:hAnsi="Times New Roman" w:cs="Times New Roman"/>
          <w:sz w:val="24"/>
          <w:szCs w:val="24"/>
          <w:lang w:val="en-US"/>
        </w:rPr>
      </w:pPr>
      <w:r w:rsidRPr="004E549D">
        <w:rPr>
          <w:rFonts w:ascii="Times New Roman" w:hAnsi="Times New Roman" w:cs="Times New Roman"/>
          <w:sz w:val="24"/>
          <w:szCs w:val="24"/>
          <w:lang w:val="en-CA"/>
        </w:rPr>
        <w:t xml:space="preserve">Kranendonk, H., Verbruggen, J. (2008). </w:t>
      </w:r>
      <w:r w:rsidRPr="00B10813">
        <w:rPr>
          <w:rFonts w:ascii="Times New Roman" w:hAnsi="Times New Roman" w:cs="Times New Roman"/>
          <w:i/>
          <w:sz w:val="24"/>
          <w:szCs w:val="24"/>
          <w:lang w:val="en-US"/>
        </w:rPr>
        <w:t xml:space="preserve">Are houses overvalued in the Netherlands?, </w:t>
      </w:r>
      <w:r w:rsidRPr="00B10813">
        <w:rPr>
          <w:rFonts w:ascii="Times New Roman" w:hAnsi="Times New Roman" w:cs="Times New Roman"/>
          <w:sz w:val="24"/>
          <w:szCs w:val="24"/>
          <w:lang w:val="en-US"/>
        </w:rPr>
        <w:t>Den Haag, CPB memorandum, no. 200</w:t>
      </w:r>
    </w:p>
    <w:p w:rsidR="00F75006" w:rsidRPr="00B10813" w:rsidRDefault="00F75006" w:rsidP="00F75006">
      <w:pPr>
        <w:spacing w:after="0" w:line="360" w:lineRule="auto"/>
        <w:rPr>
          <w:rFonts w:ascii="Times New Roman" w:hAnsi="Times New Roman" w:cs="Times New Roman"/>
          <w:sz w:val="24"/>
          <w:szCs w:val="24"/>
          <w:lang w:val="en-US"/>
        </w:rPr>
      </w:pPr>
    </w:p>
    <w:p w:rsidR="00576F54" w:rsidRPr="00B10813" w:rsidRDefault="00576F54" w:rsidP="00F75006">
      <w:pPr>
        <w:spacing w:after="0" w:line="360" w:lineRule="auto"/>
        <w:rPr>
          <w:rFonts w:ascii="Times New Roman" w:hAnsi="Times New Roman" w:cs="Times New Roman"/>
          <w:b/>
          <w:sz w:val="24"/>
          <w:szCs w:val="24"/>
          <w:lang w:val="en-US"/>
        </w:rPr>
      </w:pPr>
      <w:r w:rsidRPr="004E549D">
        <w:rPr>
          <w:rFonts w:ascii="Times New Roman" w:hAnsi="Times New Roman" w:cs="Times New Roman"/>
          <w:sz w:val="24"/>
          <w:szCs w:val="24"/>
          <w:lang w:val="en-CA"/>
        </w:rPr>
        <w:t xml:space="preserve">RICS (2012). </w:t>
      </w:r>
      <w:r w:rsidRPr="00B10813">
        <w:rPr>
          <w:rFonts w:ascii="Times New Roman" w:hAnsi="Times New Roman" w:cs="Times New Roman"/>
          <w:i/>
          <w:sz w:val="24"/>
          <w:szCs w:val="24"/>
          <w:lang w:val="en-US"/>
        </w:rPr>
        <w:t>European housing review</w:t>
      </w:r>
    </w:p>
    <w:p w:rsidR="00576F54" w:rsidRPr="004E549D" w:rsidRDefault="00576F54" w:rsidP="00F75006">
      <w:pPr>
        <w:spacing w:after="0" w:line="360" w:lineRule="auto"/>
        <w:rPr>
          <w:rFonts w:ascii="Times New Roman" w:hAnsi="Times New Roman" w:cs="Times New Roman"/>
          <w:sz w:val="24"/>
          <w:szCs w:val="24"/>
          <w:lang w:val="en-CA"/>
        </w:rPr>
      </w:pPr>
    </w:p>
    <w:p w:rsidR="00576F54" w:rsidRPr="00B10813" w:rsidRDefault="003D05E7" w:rsidP="00F75006">
      <w:pPr>
        <w:spacing w:after="0" w:line="360" w:lineRule="auto"/>
        <w:rPr>
          <w:rFonts w:ascii="Times New Roman" w:hAnsi="Times New Roman" w:cs="Times New Roman"/>
          <w:i/>
          <w:sz w:val="24"/>
          <w:szCs w:val="24"/>
          <w:lang w:val="en-US"/>
        </w:rPr>
      </w:pPr>
      <w:r w:rsidRPr="00B10813">
        <w:rPr>
          <w:rFonts w:ascii="Times New Roman" w:hAnsi="Times New Roman" w:cs="Times New Roman"/>
          <w:sz w:val="24"/>
          <w:szCs w:val="24"/>
          <w:lang w:val="en-US"/>
        </w:rPr>
        <w:t>Ter Rele, H.,</w:t>
      </w:r>
      <w:r w:rsidR="00576F54" w:rsidRPr="00B10813">
        <w:rPr>
          <w:rFonts w:ascii="Times New Roman" w:hAnsi="Times New Roman" w:cs="Times New Roman"/>
          <w:sz w:val="24"/>
          <w:szCs w:val="24"/>
          <w:lang w:val="en-US"/>
        </w:rPr>
        <w:t xml:space="preserve"> Van Steen G. (2001). </w:t>
      </w:r>
      <w:r w:rsidR="00576F54" w:rsidRPr="00B10813">
        <w:rPr>
          <w:rFonts w:ascii="Times New Roman" w:hAnsi="Times New Roman" w:cs="Times New Roman"/>
          <w:i/>
          <w:sz w:val="24"/>
          <w:szCs w:val="24"/>
          <w:lang w:val="en-US"/>
        </w:rPr>
        <w:t xml:space="preserve">Housing subsidisation in the netherlands; </w:t>
      </w:r>
      <w:r w:rsidR="005F1382">
        <w:rPr>
          <w:rFonts w:ascii="Times New Roman" w:hAnsi="Times New Roman" w:cs="Times New Roman"/>
          <w:i/>
          <w:sz w:val="24"/>
          <w:szCs w:val="24"/>
          <w:lang w:val="en-US"/>
        </w:rPr>
        <w:t xml:space="preserve">measuring </w:t>
      </w:r>
      <w:r w:rsidR="00576F54" w:rsidRPr="00B10813">
        <w:rPr>
          <w:rFonts w:ascii="Times New Roman" w:hAnsi="Times New Roman" w:cs="Times New Roman"/>
          <w:i/>
          <w:sz w:val="24"/>
          <w:szCs w:val="24"/>
          <w:lang w:val="en-US"/>
        </w:rPr>
        <w:t xml:space="preserve">its distortionary and distribuitional effects, </w:t>
      </w:r>
      <w:r w:rsidR="00576F54" w:rsidRPr="00B10813">
        <w:rPr>
          <w:rFonts w:ascii="Times New Roman" w:hAnsi="Times New Roman" w:cs="Times New Roman"/>
          <w:sz w:val="24"/>
          <w:szCs w:val="24"/>
          <w:lang w:val="en-US"/>
        </w:rPr>
        <w:t>Den Haag, CPB Discussion paper, No. 2</w:t>
      </w:r>
      <w:r w:rsidR="00576F54" w:rsidRPr="00B10813">
        <w:rPr>
          <w:rFonts w:ascii="Times New Roman" w:hAnsi="Times New Roman" w:cs="Times New Roman"/>
          <w:i/>
          <w:sz w:val="24"/>
          <w:szCs w:val="24"/>
          <w:lang w:val="en-US"/>
        </w:rPr>
        <w:t xml:space="preserve"> </w:t>
      </w:r>
    </w:p>
    <w:p w:rsidR="00E20361" w:rsidRPr="00B10813" w:rsidRDefault="00E20361" w:rsidP="00F75006">
      <w:pPr>
        <w:spacing w:after="0" w:line="360" w:lineRule="auto"/>
        <w:rPr>
          <w:rFonts w:ascii="Times New Roman" w:hAnsi="Times New Roman" w:cs="Times New Roman"/>
          <w:sz w:val="24"/>
          <w:szCs w:val="24"/>
          <w:lang w:val="en-US"/>
        </w:rPr>
      </w:pPr>
    </w:p>
    <w:p w:rsidR="004523DF" w:rsidRPr="004E549D" w:rsidRDefault="003D05E7" w:rsidP="00F75006">
      <w:p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Voigtlander M.</w:t>
      </w:r>
      <w:r w:rsidR="00983EDD" w:rsidRPr="004E549D">
        <w:rPr>
          <w:rFonts w:ascii="Times New Roman" w:hAnsi="Times New Roman" w:cs="Times New Roman"/>
          <w:sz w:val="24"/>
          <w:szCs w:val="24"/>
          <w:lang w:val="de-DE"/>
        </w:rPr>
        <w:t xml:space="preserve"> (2012)</w:t>
      </w:r>
      <w:r>
        <w:rPr>
          <w:rFonts w:ascii="Times New Roman" w:hAnsi="Times New Roman" w:cs="Times New Roman"/>
          <w:sz w:val="24"/>
          <w:szCs w:val="24"/>
          <w:lang w:val="de-DE"/>
        </w:rPr>
        <w:t>.</w:t>
      </w:r>
      <w:r w:rsidR="00983EDD" w:rsidRPr="004E549D">
        <w:rPr>
          <w:rFonts w:ascii="Times New Roman" w:hAnsi="Times New Roman" w:cs="Times New Roman"/>
          <w:sz w:val="24"/>
          <w:szCs w:val="24"/>
          <w:lang w:val="de-DE"/>
        </w:rPr>
        <w:t xml:space="preserve"> </w:t>
      </w:r>
      <w:r w:rsidR="00983EDD" w:rsidRPr="004E549D">
        <w:rPr>
          <w:rFonts w:ascii="Times New Roman" w:hAnsi="Times New Roman" w:cs="Times New Roman"/>
          <w:i/>
          <w:sz w:val="24"/>
          <w:szCs w:val="24"/>
          <w:lang w:val="de-DE"/>
        </w:rPr>
        <w:t xml:space="preserve">The stability of the German housing market, </w:t>
      </w:r>
      <w:r w:rsidR="005F1382" w:rsidRPr="004E549D">
        <w:rPr>
          <w:rFonts w:ascii="Times New Roman" w:hAnsi="Times New Roman" w:cs="Times New Roman"/>
          <w:sz w:val="24"/>
          <w:szCs w:val="24"/>
          <w:lang w:val="de-DE"/>
        </w:rPr>
        <w:t>Koln</w:t>
      </w:r>
      <w:r w:rsidR="005F1382">
        <w:rPr>
          <w:rFonts w:ascii="Times New Roman" w:hAnsi="Times New Roman" w:cs="Times New Roman"/>
          <w:sz w:val="24"/>
          <w:szCs w:val="24"/>
          <w:lang w:val="de-DE"/>
        </w:rPr>
        <w:t xml:space="preserve">, </w:t>
      </w:r>
      <w:r w:rsidR="004B7EBD">
        <w:rPr>
          <w:rFonts w:ascii="Times New Roman" w:hAnsi="Times New Roman" w:cs="Times New Roman"/>
          <w:sz w:val="24"/>
          <w:szCs w:val="24"/>
          <w:lang w:val="de-DE"/>
        </w:rPr>
        <w:t>Institut der D</w:t>
      </w:r>
      <w:r w:rsidR="005F1382">
        <w:rPr>
          <w:rFonts w:ascii="Times New Roman" w:hAnsi="Times New Roman" w:cs="Times New Roman"/>
          <w:sz w:val="24"/>
          <w:szCs w:val="24"/>
          <w:lang w:val="de-DE"/>
        </w:rPr>
        <w:t>eutsche Wirtschaft</w:t>
      </w:r>
      <w:r w:rsidR="00983EDD" w:rsidRPr="004E549D">
        <w:rPr>
          <w:rFonts w:ascii="Times New Roman" w:hAnsi="Times New Roman" w:cs="Times New Roman"/>
          <w:sz w:val="24"/>
          <w:szCs w:val="24"/>
          <w:lang w:val="de-DE"/>
        </w:rPr>
        <w:t xml:space="preserve"> </w:t>
      </w:r>
    </w:p>
    <w:p w:rsidR="001E0736" w:rsidRPr="004E549D" w:rsidRDefault="001E0736" w:rsidP="00F75006">
      <w:pPr>
        <w:autoSpaceDE w:val="0"/>
        <w:autoSpaceDN w:val="0"/>
        <w:adjustRightInd w:val="0"/>
        <w:spacing w:after="0" w:line="360" w:lineRule="auto"/>
        <w:rPr>
          <w:rFonts w:ascii="Times New Roman" w:hAnsi="Times New Roman" w:cs="Times New Roman"/>
          <w:sz w:val="24"/>
          <w:szCs w:val="24"/>
          <w:lang w:val="de-DE"/>
        </w:rPr>
      </w:pPr>
    </w:p>
    <w:p w:rsidR="002109CA" w:rsidRPr="00EC3ED5" w:rsidRDefault="002109CA" w:rsidP="00F75006">
      <w:pPr>
        <w:pStyle w:val="Lijstalinea"/>
        <w:spacing w:line="360" w:lineRule="auto"/>
        <w:rPr>
          <w:rFonts w:ascii="Times New Roman" w:hAnsi="Times New Roman" w:cs="Times New Roman"/>
          <w:b/>
          <w:sz w:val="24"/>
          <w:szCs w:val="24"/>
          <w:u w:val="single"/>
          <w:lang w:val="de-DE"/>
        </w:rPr>
      </w:pPr>
    </w:p>
    <w:p w:rsidR="00EC3ED5" w:rsidRPr="00EC3ED5" w:rsidRDefault="00EC3ED5">
      <w:pPr>
        <w:spacing w:line="360" w:lineRule="auto"/>
        <w:rPr>
          <w:rFonts w:ascii="Times New Roman" w:hAnsi="Times New Roman" w:cs="Times New Roman"/>
          <w:sz w:val="24"/>
          <w:szCs w:val="24"/>
          <w:lang w:val="de-DE"/>
        </w:rPr>
      </w:pPr>
    </w:p>
    <w:sectPr w:rsidR="00EC3ED5" w:rsidRPr="00EC3ED5" w:rsidSect="00BC5E1E">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081" w:rsidRDefault="00E65081" w:rsidP="00F9448A">
      <w:pPr>
        <w:spacing w:after="0" w:line="240" w:lineRule="auto"/>
      </w:pPr>
      <w:r>
        <w:separator/>
      </w:r>
    </w:p>
  </w:endnote>
  <w:endnote w:type="continuationSeparator" w:id="0">
    <w:p w:rsidR="00E65081" w:rsidRDefault="00E65081" w:rsidP="00F94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2515"/>
      <w:docPartObj>
        <w:docPartGallery w:val="Page Numbers (Bottom of Page)"/>
        <w:docPartUnique/>
      </w:docPartObj>
    </w:sdtPr>
    <w:sdtContent>
      <w:p w:rsidR="005F1382" w:rsidRDefault="00A9506B">
        <w:pPr>
          <w:pStyle w:val="Voettekst"/>
          <w:jc w:val="right"/>
        </w:pPr>
        <w:fldSimple w:instr=" PAGE   \* MERGEFORMAT ">
          <w:r w:rsidR="004707DA">
            <w:rPr>
              <w:noProof/>
            </w:rPr>
            <w:t>28</w:t>
          </w:r>
        </w:fldSimple>
      </w:p>
    </w:sdtContent>
  </w:sdt>
  <w:p w:rsidR="005F1382" w:rsidRDefault="005F138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081" w:rsidRDefault="00E65081" w:rsidP="00F9448A">
      <w:pPr>
        <w:spacing w:after="0" w:line="240" w:lineRule="auto"/>
      </w:pPr>
      <w:r>
        <w:separator/>
      </w:r>
    </w:p>
  </w:footnote>
  <w:footnote w:type="continuationSeparator" w:id="0">
    <w:p w:rsidR="00E65081" w:rsidRDefault="00E65081" w:rsidP="00F9448A">
      <w:pPr>
        <w:spacing w:after="0" w:line="240" w:lineRule="auto"/>
      </w:pPr>
      <w:r>
        <w:continuationSeparator/>
      </w:r>
    </w:p>
  </w:footnote>
  <w:footnote w:id="1">
    <w:p w:rsidR="005F1382" w:rsidRPr="00AB792C" w:rsidRDefault="005F1382" w:rsidP="00F9448A">
      <w:pPr>
        <w:pStyle w:val="Voetnoottekst"/>
        <w:rPr>
          <w:lang w:val="sv-SE"/>
        </w:rPr>
      </w:pPr>
      <w:r>
        <w:rPr>
          <w:rStyle w:val="Voetnootmarkering"/>
        </w:rPr>
        <w:footnoteRef/>
      </w:r>
      <w:r w:rsidRPr="00AB792C">
        <w:rPr>
          <w:lang w:val="sv-SE"/>
        </w:rPr>
        <w:t xml:space="preserve"> Bas Jacobs </w:t>
      </w:r>
      <w:r w:rsidRPr="00AB792C">
        <w:rPr>
          <w:i/>
          <w:lang w:val="sv-SE"/>
        </w:rPr>
        <w:t>NRC Handelsblad</w:t>
      </w:r>
      <w:r w:rsidRPr="00AB792C">
        <w:rPr>
          <w:lang w:val="sv-SE"/>
        </w:rPr>
        <w:t xml:space="preserve"> 20 april 2013</w:t>
      </w:r>
    </w:p>
  </w:footnote>
  <w:footnote w:id="2">
    <w:p w:rsidR="005F1382" w:rsidRPr="00AB792C" w:rsidRDefault="005F1382" w:rsidP="00F9448A">
      <w:pPr>
        <w:pStyle w:val="Voetnoottekst"/>
        <w:rPr>
          <w:lang w:val="sv-SE"/>
        </w:rPr>
      </w:pPr>
      <w:r>
        <w:rPr>
          <w:rStyle w:val="Voetnootmarkering"/>
        </w:rPr>
        <w:footnoteRef/>
      </w:r>
      <w:r w:rsidRPr="00AB792C">
        <w:rPr>
          <w:lang w:val="sv-SE"/>
        </w:rPr>
        <w:t xml:space="preserve"> Pauw en Witteman, 7 februari 2013</w:t>
      </w:r>
    </w:p>
  </w:footnote>
  <w:footnote w:id="3">
    <w:p w:rsidR="005F1382" w:rsidRPr="00AB792C" w:rsidRDefault="005F1382" w:rsidP="00F9448A">
      <w:pPr>
        <w:pStyle w:val="Voetnoottekst"/>
        <w:rPr>
          <w:lang w:val="sv-SE"/>
        </w:rPr>
      </w:pPr>
      <w:r>
        <w:rPr>
          <w:rStyle w:val="Voetnootmarkering"/>
        </w:rPr>
        <w:footnoteRef/>
      </w:r>
      <w:r w:rsidRPr="00AB792C">
        <w:rPr>
          <w:lang w:val="sv-SE"/>
        </w:rPr>
        <w:t xml:space="preserve"> IMF </w:t>
      </w:r>
      <w:hyperlink r:id="rId1" w:history="1">
        <w:r w:rsidRPr="00AB792C">
          <w:rPr>
            <w:rStyle w:val="Hyperlink"/>
            <w:lang w:val="sv-SE"/>
          </w:rPr>
          <w:t>http://www.imf.org/external/np/sec/pn/2013/pn1348.htm</w:t>
        </w:r>
      </w:hyperlink>
      <w:r w:rsidRPr="00AB792C">
        <w:rPr>
          <w:lang w:val="sv-SE"/>
        </w:rPr>
        <w:t xml:space="preserve"> 10 mei 2013</w:t>
      </w:r>
    </w:p>
  </w:footnote>
  <w:footnote w:id="4">
    <w:p w:rsidR="005F1382" w:rsidRPr="00AB792C" w:rsidRDefault="005F1382">
      <w:pPr>
        <w:pStyle w:val="Voetnoottekst"/>
        <w:rPr>
          <w:lang w:val="sv-SE"/>
        </w:rPr>
      </w:pPr>
      <w:r>
        <w:rPr>
          <w:rStyle w:val="Voetnootmarkering"/>
        </w:rPr>
        <w:footnoteRef/>
      </w:r>
      <w:r w:rsidRPr="00AB792C">
        <w:rPr>
          <w:lang w:val="sv-SE"/>
        </w:rPr>
        <w:t xml:space="preserve"> IMF</w:t>
      </w:r>
      <w:hyperlink r:id="rId2" w:history="1">
        <w:r w:rsidRPr="00AB792C">
          <w:rPr>
            <w:rStyle w:val="Hyperlink"/>
            <w:lang w:val="sv-SE"/>
          </w:rPr>
          <w:t>http://www.imf.org/external/np/sec/pn/2013/pn1348.htm</w:t>
        </w:r>
      </w:hyperlink>
      <w:r w:rsidRPr="00AB792C">
        <w:rPr>
          <w:lang w:val="sv-SE"/>
        </w:rPr>
        <w:t xml:space="preserve"> 10 mei 2013</w:t>
      </w:r>
    </w:p>
  </w:footnote>
  <w:footnote w:id="5">
    <w:p w:rsidR="005F1382" w:rsidRPr="00AB792C" w:rsidRDefault="005F1382">
      <w:pPr>
        <w:pStyle w:val="Voetnoottekst"/>
      </w:pPr>
      <w:r>
        <w:rPr>
          <w:rStyle w:val="Voetnootmarkering"/>
        </w:rPr>
        <w:footnoteRef/>
      </w:r>
      <w:r w:rsidRPr="00AB792C">
        <w:t>Bron: bundesamt</w:t>
      </w:r>
    </w:p>
  </w:footnote>
  <w:footnote w:id="6">
    <w:p w:rsidR="005F1382" w:rsidRPr="001B7B2B" w:rsidRDefault="005F1382">
      <w:pPr>
        <w:pStyle w:val="Voetnoottekst"/>
      </w:pPr>
      <w:r>
        <w:rPr>
          <w:rStyle w:val="Voetnootmarkering"/>
        </w:rPr>
        <w:footnoteRef/>
      </w:r>
      <w:r w:rsidRPr="001B7B2B">
        <w:t xml:space="preserve"> </w:t>
      </w:r>
      <w:r>
        <w:t xml:space="preserve">Gebaseerd op een puntensysteem waarbij eigenschappen van de woning (zoals oppervlakte, faciliteiten enz.) gewaardeerd worden. </w:t>
      </w:r>
    </w:p>
  </w:footnote>
  <w:footnote w:id="7">
    <w:p w:rsidR="005F1382" w:rsidRPr="00BA6B42" w:rsidRDefault="005F1382">
      <w:pPr>
        <w:pStyle w:val="Voetnoottekst"/>
      </w:pPr>
      <w:r>
        <w:rPr>
          <w:rStyle w:val="Voetnootmarkering"/>
        </w:rPr>
        <w:footnoteRef/>
      </w:r>
      <w:r w:rsidRPr="00B96F0C">
        <w:t xml:space="preserve"> </w:t>
      </w:r>
      <w:r>
        <w:t>Bron:ECB</w:t>
      </w:r>
    </w:p>
  </w:footnote>
  <w:footnote w:id="8">
    <w:p w:rsidR="005F1382" w:rsidRPr="004C60AC" w:rsidRDefault="005F1382" w:rsidP="002E4516">
      <w:pPr>
        <w:autoSpaceDE w:val="0"/>
        <w:autoSpaceDN w:val="0"/>
        <w:adjustRightInd w:val="0"/>
        <w:spacing w:after="0" w:line="240" w:lineRule="auto"/>
        <w:rPr>
          <w:i/>
        </w:rPr>
      </w:pPr>
      <w:r>
        <w:rPr>
          <w:rStyle w:val="Voetnootmarkering"/>
        </w:rPr>
        <w:footnoteRef/>
      </w:r>
      <w:r w:rsidRPr="005B4589">
        <w:t xml:space="preserve"> </w:t>
      </w:r>
      <w:r w:rsidRPr="002E4516">
        <w:rPr>
          <w:sz w:val="18"/>
          <w:szCs w:val="18"/>
        </w:rPr>
        <w:t xml:space="preserve">CBS </w:t>
      </w:r>
      <w:r w:rsidRPr="002E4516">
        <w:rPr>
          <w:rFonts w:cs="Helvetica"/>
          <w:bCs/>
          <w:i/>
          <w:color w:val="231F20"/>
          <w:sz w:val="18"/>
          <w:szCs w:val="18"/>
        </w:rPr>
        <w:t>Overwaarde en koerswinsten waren jarenlang bron voor extra consumptiedoor huishoudens</w:t>
      </w:r>
      <w:r>
        <w:rPr>
          <w:rFonts w:cs="Helvetica"/>
          <w:bCs/>
          <w:i/>
          <w:color w:val="231F20"/>
          <w:sz w:val="18"/>
          <w:szCs w:val="18"/>
        </w:rPr>
        <w:t xml:space="preserve"> </w:t>
      </w:r>
      <w:hyperlink r:id="rId3" w:history="1">
        <w:r w:rsidRPr="002E4516">
          <w:rPr>
            <w:rStyle w:val="Hyperlink"/>
            <w:sz w:val="18"/>
            <w:szCs w:val="18"/>
          </w:rPr>
          <w:t>http://www.cbs.nl/NR/rdonlyres/200D3AD3-AF66-4CD8-BC86-BB9908CBB1D7/0/SET_20094_Pag3743.pdf</w:t>
        </w:r>
      </w:hyperlink>
    </w:p>
  </w:footnote>
  <w:footnote w:id="9">
    <w:p w:rsidR="005F1382" w:rsidRPr="000F0DDE" w:rsidRDefault="005F1382" w:rsidP="00895677">
      <w:pPr>
        <w:pStyle w:val="Voetnoottekst"/>
      </w:pPr>
      <w:r>
        <w:rPr>
          <w:rStyle w:val="Voetnootmarkering"/>
        </w:rPr>
        <w:footnoteRef/>
      </w:r>
      <w:r w:rsidRPr="000F0DDE">
        <w:t xml:space="preserve"> </w:t>
      </w:r>
      <w:r>
        <w:t>Dat moet geleidelijk gebeuren namelijk in stappen van 0,5% per jaar.</w:t>
      </w:r>
    </w:p>
  </w:footnote>
  <w:footnote w:id="10">
    <w:p w:rsidR="005F1382" w:rsidRPr="00440073" w:rsidRDefault="005F1382" w:rsidP="00895677">
      <w:pPr>
        <w:pStyle w:val="Voetnoottekst"/>
      </w:pPr>
      <w:r>
        <w:rPr>
          <w:rStyle w:val="Voetnootmarkering"/>
        </w:rPr>
        <w:footnoteRef/>
      </w:r>
      <w:r w:rsidRPr="00F05C19">
        <w:t xml:space="preserve"> Bron: </w:t>
      </w:r>
      <w:r>
        <w:t>rijksbegroting voor 2013</w:t>
      </w:r>
    </w:p>
  </w:footnote>
  <w:footnote w:id="11">
    <w:p w:rsidR="005F1382" w:rsidRPr="00627E92" w:rsidRDefault="005F1382" w:rsidP="00895677">
      <w:pPr>
        <w:pStyle w:val="Voetnoottekst"/>
      </w:pPr>
      <w:r>
        <w:rPr>
          <w:rStyle w:val="Voetnootmarkering"/>
        </w:rPr>
        <w:footnoteRef/>
      </w:r>
      <w:r w:rsidRPr="00627E92">
        <w:t xml:space="preserve"> </w:t>
      </w:r>
      <w:r>
        <w:t xml:space="preserve">IMF </w:t>
      </w:r>
      <w:hyperlink r:id="rId4" w:history="1">
        <w:r w:rsidRPr="00954964">
          <w:rPr>
            <w:rStyle w:val="Hyperlink"/>
          </w:rPr>
          <w:t>http://www.imf.org/external/np/sec/pn/2013/pn1348.htm</w:t>
        </w:r>
      </w:hyperlink>
      <w:r w:rsidRPr="00954964">
        <w:t xml:space="preserve"> 10 mei 2013</w:t>
      </w:r>
    </w:p>
  </w:footnote>
  <w:footnote w:id="12">
    <w:p w:rsidR="005F1382" w:rsidRDefault="005F1382" w:rsidP="005F098A">
      <w:pPr>
        <w:pStyle w:val="Voetnoottekst"/>
      </w:pPr>
      <w:r>
        <w:rPr>
          <w:rStyle w:val="Voetnootmarkering"/>
        </w:rPr>
        <w:footnoteRef/>
      </w:r>
      <w:r>
        <w:t xml:space="preserve"> CSNB, </w:t>
      </w:r>
      <w:r w:rsidRPr="007F51E9">
        <w:rPr>
          <w:i/>
        </w:rPr>
        <w:t>naar een stabiel en dienstbaar bankwezen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7398"/>
    <w:multiLevelType w:val="hybridMultilevel"/>
    <w:tmpl w:val="F8A2F372"/>
    <w:lvl w:ilvl="0" w:tplc="400A2C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D5D3C18"/>
    <w:multiLevelType w:val="hybridMultilevel"/>
    <w:tmpl w:val="EC24A620"/>
    <w:lvl w:ilvl="0" w:tplc="BE2420C0">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15B537B"/>
    <w:multiLevelType w:val="hybridMultilevel"/>
    <w:tmpl w:val="C03C5908"/>
    <w:lvl w:ilvl="0" w:tplc="3F9CCFF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19E7784"/>
    <w:multiLevelType w:val="hybridMultilevel"/>
    <w:tmpl w:val="8CA88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7A007DA"/>
    <w:multiLevelType w:val="multilevel"/>
    <w:tmpl w:val="F1A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useFELayout/>
  </w:compat>
  <w:rsids>
    <w:rsidRoot w:val="00F9448A"/>
    <w:rsid w:val="00001BC6"/>
    <w:rsid w:val="00004722"/>
    <w:rsid w:val="000069BA"/>
    <w:rsid w:val="00007E6E"/>
    <w:rsid w:val="000105AB"/>
    <w:rsid w:val="00013A2C"/>
    <w:rsid w:val="00017E92"/>
    <w:rsid w:val="00023DBF"/>
    <w:rsid w:val="0004119D"/>
    <w:rsid w:val="00050962"/>
    <w:rsid w:val="00052CE0"/>
    <w:rsid w:val="00055441"/>
    <w:rsid w:val="000613DF"/>
    <w:rsid w:val="000614BD"/>
    <w:rsid w:val="00062720"/>
    <w:rsid w:val="00086186"/>
    <w:rsid w:val="0009253A"/>
    <w:rsid w:val="000A14CD"/>
    <w:rsid w:val="000B400C"/>
    <w:rsid w:val="000B480C"/>
    <w:rsid w:val="000B66C4"/>
    <w:rsid w:val="000C1200"/>
    <w:rsid w:val="000C1847"/>
    <w:rsid w:val="000C5047"/>
    <w:rsid w:val="000D4392"/>
    <w:rsid w:val="000E4F58"/>
    <w:rsid w:val="000E526A"/>
    <w:rsid w:val="000F0DDE"/>
    <w:rsid w:val="000F106B"/>
    <w:rsid w:val="000F43F8"/>
    <w:rsid w:val="000F49C3"/>
    <w:rsid w:val="000F7BFC"/>
    <w:rsid w:val="00100437"/>
    <w:rsid w:val="001031C0"/>
    <w:rsid w:val="0011193D"/>
    <w:rsid w:val="00112CE2"/>
    <w:rsid w:val="001144B1"/>
    <w:rsid w:val="001146AE"/>
    <w:rsid w:val="0012488D"/>
    <w:rsid w:val="001279C0"/>
    <w:rsid w:val="00127B0F"/>
    <w:rsid w:val="00140DD8"/>
    <w:rsid w:val="00145A26"/>
    <w:rsid w:val="00161AC1"/>
    <w:rsid w:val="00162A4E"/>
    <w:rsid w:val="001656A4"/>
    <w:rsid w:val="00185D89"/>
    <w:rsid w:val="00193A12"/>
    <w:rsid w:val="00193A6A"/>
    <w:rsid w:val="001A2D70"/>
    <w:rsid w:val="001A7445"/>
    <w:rsid w:val="001B079D"/>
    <w:rsid w:val="001B4DEE"/>
    <w:rsid w:val="001B7B2B"/>
    <w:rsid w:val="001C0FC3"/>
    <w:rsid w:val="001C1C85"/>
    <w:rsid w:val="001C5306"/>
    <w:rsid w:val="001C5F8F"/>
    <w:rsid w:val="001C6226"/>
    <w:rsid w:val="001C649C"/>
    <w:rsid w:val="001D2DFD"/>
    <w:rsid w:val="001D74C6"/>
    <w:rsid w:val="001E01C0"/>
    <w:rsid w:val="001E0736"/>
    <w:rsid w:val="001E14AC"/>
    <w:rsid w:val="001E4F38"/>
    <w:rsid w:val="001F0101"/>
    <w:rsid w:val="001F03A4"/>
    <w:rsid w:val="001F08C2"/>
    <w:rsid w:val="001F3F87"/>
    <w:rsid w:val="002069E6"/>
    <w:rsid w:val="002109CA"/>
    <w:rsid w:val="002206AC"/>
    <w:rsid w:val="00221227"/>
    <w:rsid w:val="00246CC5"/>
    <w:rsid w:val="00252D62"/>
    <w:rsid w:val="00253F14"/>
    <w:rsid w:val="00273A43"/>
    <w:rsid w:val="00275965"/>
    <w:rsid w:val="00283961"/>
    <w:rsid w:val="00291B5B"/>
    <w:rsid w:val="0029369A"/>
    <w:rsid w:val="002946E2"/>
    <w:rsid w:val="00294F56"/>
    <w:rsid w:val="002950A3"/>
    <w:rsid w:val="002A7D56"/>
    <w:rsid w:val="002B5EDA"/>
    <w:rsid w:val="002D0E18"/>
    <w:rsid w:val="002E10E2"/>
    <w:rsid w:val="002E4516"/>
    <w:rsid w:val="002F140A"/>
    <w:rsid w:val="002F3412"/>
    <w:rsid w:val="002F669B"/>
    <w:rsid w:val="002F7BF3"/>
    <w:rsid w:val="003052CF"/>
    <w:rsid w:val="00323933"/>
    <w:rsid w:val="00331319"/>
    <w:rsid w:val="0033369F"/>
    <w:rsid w:val="00337CA4"/>
    <w:rsid w:val="003526E5"/>
    <w:rsid w:val="0036209D"/>
    <w:rsid w:val="00362F81"/>
    <w:rsid w:val="003669F9"/>
    <w:rsid w:val="00376593"/>
    <w:rsid w:val="00392D46"/>
    <w:rsid w:val="00392E5B"/>
    <w:rsid w:val="003969D4"/>
    <w:rsid w:val="003A4A86"/>
    <w:rsid w:val="003A6130"/>
    <w:rsid w:val="003B0CAD"/>
    <w:rsid w:val="003B79A3"/>
    <w:rsid w:val="003C72DE"/>
    <w:rsid w:val="003D05E7"/>
    <w:rsid w:val="003D1622"/>
    <w:rsid w:val="003D5AC8"/>
    <w:rsid w:val="003E2B50"/>
    <w:rsid w:val="003E7903"/>
    <w:rsid w:val="003F278A"/>
    <w:rsid w:val="00405008"/>
    <w:rsid w:val="00411FF1"/>
    <w:rsid w:val="00414C79"/>
    <w:rsid w:val="004155EA"/>
    <w:rsid w:val="00420129"/>
    <w:rsid w:val="00433CC8"/>
    <w:rsid w:val="00440073"/>
    <w:rsid w:val="004523DF"/>
    <w:rsid w:val="004559BE"/>
    <w:rsid w:val="004573CA"/>
    <w:rsid w:val="0046319A"/>
    <w:rsid w:val="0046329F"/>
    <w:rsid w:val="004707DA"/>
    <w:rsid w:val="004734EC"/>
    <w:rsid w:val="00473A65"/>
    <w:rsid w:val="00484FB5"/>
    <w:rsid w:val="00485B6E"/>
    <w:rsid w:val="004A40B3"/>
    <w:rsid w:val="004B7EBD"/>
    <w:rsid w:val="004C60AC"/>
    <w:rsid w:val="004D6BE5"/>
    <w:rsid w:val="004E0139"/>
    <w:rsid w:val="004E5429"/>
    <w:rsid w:val="004E549D"/>
    <w:rsid w:val="004F3142"/>
    <w:rsid w:val="00503B9C"/>
    <w:rsid w:val="0051136E"/>
    <w:rsid w:val="00512F66"/>
    <w:rsid w:val="00537D31"/>
    <w:rsid w:val="00552058"/>
    <w:rsid w:val="00561030"/>
    <w:rsid w:val="005622CF"/>
    <w:rsid w:val="00564AC3"/>
    <w:rsid w:val="00565B08"/>
    <w:rsid w:val="0056645D"/>
    <w:rsid w:val="00576F54"/>
    <w:rsid w:val="00592373"/>
    <w:rsid w:val="005A0F2D"/>
    <w:rsid w:val="005B0FD1"/>
    <w:rsid w:val="005B4589"/>
    <w:rsid w:val="005B6730"/>
    <w:rsid w:val="005B6BF2"/>
    <w:rsid w:val="005C01A3"/>
    <w:rsid w:val="005C7020"/>
    <w:rsid w:val="005D1887"/>
    <w:rsid w:val="005E62A8"/>
    <w:rsid w:val="005F098A"/>
    <w:rsid w:val="005F1382"/>
    <w:rsid w:val="00613478"/>
    <w:rsid w:val="00614975"/>
    <w:rsid w:val="0062400D"/>
    <w:rsid w:val="00627E92"/>
    <w:rsid w:val="00637FF1"/>
    <w:rsid w:val="006533EF"/>
    <w:rsid w:val="006534BE"/>
    <w:rsid w:val="0065737F"/>
    <w:rsid w:val="00662CC8"/>
    <w:rsid w:val="00667673"/>
    <w:rsid w:val="00672DF1"/>
    <w:rsid w:val="00674926"/>
    <w:rsid w:val="006757FA"/>
    <w:rsid w:val="00680BAD"/>
    <w:rsid w:val="00683223"/>
    <w:rsid w:val="00693FB2"/>
    <w:rsid w:val="006A2B61"/>
    <w:rsid w:val="006A578C"/>
    <w:rsid w:val="006B2700"/>
    <w:rsid w:val="006B3624"/>
    <w:rsid w:val="006B5FF6"/>
    <w:rsid w:val="006D1438"/>
    <w:rsid w:val="006D7472"/>
    <w:rsid w:val="006D7E46"/>
    <w:rsid w:val="006E1626"/>
    <w:rsid w:val="006E1B94"/>
    <w:rsid w:val="006F0795"/>
    <w:rsid w:val="006F2503"/>
    <w:rsid w:val="006F510E"/>
    <w:rsid w:val="00700572"/>
    <w:rsid w:val="00704DC3"/>
    <w:rsid w:val="00712E83"/>
    <w:rsid w:val="0071593B"/>
    <w:rsid w:val="007257B5"/>
    <w:rsid w:val="00725E69"/>
    <w:rsid w:val="00732D33"/>
    <w:rsid w:val="00741E46"/>
    <w:rsid w:val="00747094"/>
    <w:rsid w:val="0074788D"/>
    <w:rsid w:val="00763266"/>
    <w:rsid w:val="00763F7D"/>
    <w:rsid w:val="007677E2"/>
    <w:rsid w:val="007700C1"/>
    <w:rsid w:val="00774EEE"/>
    <w:rsid w:val="007A3721"/>
    <w:rsid w:val="007B078E"/>
    <w:rsid w:val="007B2ED1"/>
    <w:rsid w:val="007C1506"/>
    <w:rsid w:val="007C7E2D"/>
    <w:rsid w:val="007E1F5C"/>
    <w:rsid w:val="007E61C7"/>
    <w:rsid w:val="007F51E9"/>
    <w:rsid w:val="008277AF"/>
    <w:rsid w:val="008362F9"/>
    <w:rsid w:val="00841E39"/>
    <w:rsid w:val="0084212A"/>
    <w:rsid w:val="0084633B"/>
    <w:rsid w:val="00854C03"/>
    <w:rsid w:val="008563A7"/>
    <w:rsid w:val="00877376"/>
    <w:rsid w:val="00890F98"/>
    <w:rsid w:val="00895677"/>
    <w:rsid w:val="008A5745"/>
    <w:rsid w:val="008B6A64"/>
    <w:rsid w:val="008B7D30"/>
    <w:rsid w:val="008C28DE"/>
    <w:rsid w:val="008D003D"/>
    <w:rsid w:val="008F052C"/>
    <w:rsid w:val="008F3D5B"/>
    <w:rsid w:val="008F3EF3"/>
    <w:rsid w:val="00907C5F"/>
    <w:rsid w:val="00917DF4"/>
    <w:rsid w:val="00932473"/>
    <w:rsid w:val="009371BF"/>
    <w:rsid w:val="00937C8B"/>
    <w:rsid w:val="00943FFF"/>
    <w:rsid w:val="00945C09"/>
    <w:rsid w:val="0095105E"/>
    <w:rsid w:val="00952A28"/>
    <w:rsid w:val="00953104"/>
    <w:rsid w:val="00966C08"/>
    <w:rsid w:val="00970BBD"/>
    <w:rsid w:val="0097304C"/>
    <w:rsid w:val="009806DD"/>
    <w:rsid w:val="00980927"/>
    <w:rsid w:val="00983EDD"/>
    <w:rsid w:val="00986215"/>
    <w:rsid w:val="009936B8"/>
    <w:rsid w:val="00994A94"/>
    <w:rsid w:val="00996A5E"/>
    <w:rsid w:val="009A57A1"/>
    <w:rsid w:val="009C4FE4"/>
    <w:rsid w:val="009D6628"/>
    <w:rsid w:val="009E59E3"/>
    <w:rsid w:val="00A03A16"/>
    <w:rsid w:val="00A22914"/>
    <w:rsid w:val="00A25D7E"/>
    <w:rsid w:val="00A31400"/>
    <w:rsid w:val="00A53740"/>
    <w:rsid w:val="00A54093"/>
    <w:rsid w:val="00A61DF8"/>
    <w:rsid w:val="00A6721C"/>
    <w:rsid w:val="00A81102"/>
    <w:rsid w:val="00A82EEF"/>
    <w:rsid w:val="00A838AE"/>
    <w:rsid w:val="00A94BE7"/>
    <w:rsid w:val="00A9506B"/>
    <w:rsid w:val="00AA0F10"/>
    <w:rsid w:val="00AB3739"/>
    <w:rsid w:val="00AB792C"/>
    <w:rsid w:val="00AB79D3"/>
    <w:rsid w:val="00AB7B5D"/>
    <w:rsid w:val="00AE3111"/>
    <w:rsid w:val="00B10225"/>
    <w:rsid w:val="00B10813"/>
    <w:rsid w:val="00B1736A"/>
    <w:rsid w:val="00B209A0"/>
    <w:rsid w:val="00B22D23"/>
    <w:rsid w:val="00B263FC"/>
    <w:rsid w:val="00B41D00"/>
    <w:rsid w:val="00B5127C"/>
    <w:rsid w:val="00B513A1"/>
    <w:rsid w:val="00B54A37"/>
    <w:rsid w:val="00B72746"/>
    <w:rsid w:val="00B8486C"/>
    <w:rsid w:val="00B86AC6"/>
    <w:rsid w:val="00B96F0C"/>
    <w:rsid w:val="00BA0044"/>
    <w:rsid w:val="00BA3333"/>
    <w:rsid w:val="00BA6B42"/>
    <w:rsid w:val="00BB3C07"/>
    <w:rsid w:val="00BC5E1E"/>
    <w:rsid w:val="00BD36DE"/>
    <w:rsid w:val="00BD4401"/>
    <w:rsid w:val="00BD5835"/>
    <w:rsid w:val="00BD7F16"/>
    <w:rsid w:val="00BE2B2F"/>
    <w:rsid w:val="00BF7025"/>
    <w:rsid w:val="00C116E9"/>
    <w:rsid w:val="00C14618"/>
    <w:rsid w:val="00C24D08"/>
    <w:rsid w:val="00C3499A"/>
    <w:rsid w:val="00C34D25"/>
    <w:rsid w:val="00C40AAB"/>
    <w:rsid w:val="00C423D0"/>
    <w:rsid w:val="00C46969"/>
    <w:rsid w:val="00C51CD8"/>
    <w:rsid w:val="00C543DE"/>
    <w:rsid w:val="00C65149"/>
    <w:rsid w:val="00C75441"/>
    <w:rsid w:val="00C7782D"/>
    <w:rsid w:val="00C83618"/>
    <w:rsid w:val="00C85C52"/>
    <w:rsid w:val="00C90032"/>
    <w:rsid w:val="00C939F2"/>
    <w:rsid w:val="00C93EB3"/>
    <w:rsid w:val="00C948F0"/>
    <w:rsid w:val="00C94C15"/>
    <w:rsid w:val="00CA47B8"/>
    <w:rsid w:val="00CB283E"/>
    <w:rsid w:val="00CB3392"/>
    <w:rsid w:val="00CB3E39"/>
    <w:rsid w:val="00CC24D9"/>
    <w:rsid w:val="00CC4D9A"/>
    <w:rsid w:val="00CD05F8"/>
    <w:rsid w:val="00CD1C29"/>
    <w:rsid w:val="00CE002C"/>
    <w:rsid w:val="00CE13B5"/>
    <w:rsid w:val="00CE2EC1"/>
    <w:rsid w:val="00CE6731"/>
    <w:rsid w:val="00CE702C"/>
    <w:rsid w:val="00CF30BB"/>
    <w:rsid w:val="00CF6C63"/>
    <w:rsid w:val="00D03F23"/>
    <w:rsid w:val="00D07917"/>
    <w:rsid w:val="00D23862"/>
    <w:rsid w:val="00D26E3B"/>
    <w:rsid w:val="00D27098"/>
    <w:rsid w:val="00D36E1D"/>
    <w:rsid w:val="00D37C04"/>
    <w:rsid w:val="00D518F7"/>
    <w:rsid w:val="00D7426E"/>
    <w:rsid w:val="00D76340"/>
    <w:rsid w:val="00D8306A"/>
    <w:rsid w:val="00D85AAB"/>
    <w:rsid w:val="00DA0EE6"/>
    <w:rsid w:val="00DB086F"/>
    <w:rsid w:val="00DD209E"/>
    <w:rsid w:val="00DD66B8"/>
    <w:rsid w:val="00E05BEF"/>
    <w:rsid w:val="00E1304B"/>
    <w:rsid w:val="00E138F9"/>
    <w:rsid w:val="00E20361"/>
    <w:rsid w:val="00E264C8"/>
    <w:rsid w:val="00E26C7C"/>
    <w:rsid w:val="00E34658"/>
    <w:rsid w:val="00E37B46"/>
    <w:rsid w:val="00E4720E"/>
    <w:rsid w:val="00E47787"/>
    <w:rsid w:val="00E477A4"/>
    <w:rsid w:val="00E542F4"/>
    <w:rsid w:val="00E65081"/>
    <w:rsid w:val="00E97202"/>
    <w:rsid w:val="00EB59B1"/>
    <w:rsid w:val="00EB6757"/>
    <w:rsid w:val="00EB68EC"/>
    <w:rsid w:val="00EC3ED5"/>
    <w:rsid w:val="00EC4D08"/>
    <w:rsid w:val="00EC7D34"/>
    <w:rsid w:val="00ED018F"/>
    <w:rsid w:val="00ED410B"/>
    <w:rsid w:val="00EE0545"/>
    <w:rsid w:val="00EE4ABC"/>
    <w:rsid w:val="00EE6769"/>
    <w:rsid w:val="00F02B75"/>
    <w:rsid w:val="00F05C19"/>
    <w:rsid w:val="00F0760A"/>
    <w:rsid w:val="00F14325"/>
    <w:rsid w:val="00F245C4"/>
    <w:rsid w:val="00F336F9"/>
    <w:rsid w:val="00F3564E"/>
    <w:rsid w:val="00F35962"/>
    <w:rsid w:val="00F5652F"/>
    <w:rsid w:val="00F64BDA"/>
    <w:rsid w:val="00F67D2B"/>
    <w:rsid w:val="00F733D3"/>
    <w:rsid w:val="00F75006"/>
    <w:rsid w:val="00F815C2"/>
    <w:rsid w:val="00F82A0D"/>
    <w:rsid w:val="00F9448A"/>
    <w:rsid w:val="00F95969"/>
    <w:rsid w:val="00F9712D"/>
    <w:rsid w:val="00FA0104"/>
    <w:rsid w:val="00FA451E"/>
    <w:rsid w:val="00FA5313"/>
    <w:rsid w:val="00FB1AB7"/>
    <w:rsid w:val="00FB55D6"/>
    <w:rsid w:val="00FC79EF"/>
    <w:rsid w:val="00FF4B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319A"/>
  </w:style>
  <w:style w:type="paragraph" w:styleId="Kop1">
    <w:name w:val="heading 1"/>
    <w:basedOn w:val="Standaard"/>
    <w:next w:val="Standaard"/>
    <w:link w:val="Kop1Char"/>
    <w:uiPriority w:val="9"/>
    <w:qFormat/>
    <w:rsid w:val="00680BAD"/>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680BAD"/>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944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448A"/>
    <w:rPr>
      <w:sz w:val="20"/>
      <w:szCs w:val="20"/>
    </w:rPr>
  </w:style>
  <w:style w:type="character" w:styleId="Voetnootmarkering">
    <w:name w:val="footnote reference"/>
    <w:basedOn w:val="Standaardalinea-lettertype"/>
    <w:uiPriority w:val="99"/>
    <w:semiHidden/>
    <w:unhideWhenUsed/>
    <w:rsid w:val="00F9448A"/>
    <w:rPr>
      <w:vertAlign w:val="superscript"/>
    </w:rPr>
  </w:style>
  <w:style w:type="character" w:styleId="Hyperlink">
    <w:name w:val="Hyperlink"/>
    <w:basedOn w:val="Standaardalinea-lettertype"/>
    <w:uiPriority w:val="99"/>
    <w:unhideWhenUsed/>
    <w:rsid w:val="00F9448A"/>
    <w:rPr>
      <w:color w:val="0000FF"/>
      <w:u w:val="single"/>
    </w:rPr>
  </w:style>
  <w:style w:type="character" w:styleId="GevolgdeHyperlink">
    <w:name w:val="FollowedHyperlink"/>
    <w:basedOn w:val="Standaardalinea-lettertype"/>
    <w:uiPriority w:val="99"/>
    <w:semiHidden/>
    <w:unhideWhenUsed/>
    <w:rsid w:val="00D85AAB"/>
    <w:rPr>
      <w:color w:val="85DFD0" w:themeColor="followedHyperlink"/>
      <w:u w:val="single"/>
    </w:rPr>
  </w:style>
  <w:style w:type="paragraph" w:styleId="Lijstalinea">
    <w:name w:val="List Paragraph"/>
    <w:basedOn w:val="Standaard"/>
    <w:uiPriority w:val="34"/>
    <w:qFormat/>
    <w:rsid w:val="00D85AAB"/>
    <w:pPr>
      <w:ind w:left="720"/>
      <w:contextualSpacing/>
    </w:pPr>
  </w:style>
  <w:style w:type="paragraph" w:styleId="Ballontekst">
    <w:name w:val="Balloon Text"/>
    <w:basedOn w:val="Standaard"/>
    <w:link w:val="BallontekstChar"/>
    <w:uiPriority w:val="99"/>
    <w:semiHidden/>
    <w:unhideWhenUsed/>
    <w:rsid w:val="006534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34BE"/>
    <w:rPr>
      <w:rFonts w:ascii="Tahoma" w:hAnsi="Tahoma" w:cs="Tahoma"/>
      <w:sz w:val="16"/>
      <w:szCs w:val="16"/>
    </w:rPr>
  </w:style>
  <w:style w:type="paragraph" w:styleId="Bijschrift">
    <w:name w:val="caption"/>
    <w:basedOn w:val="Standaard"/>
    <w:next w:val="Standaard"/>
    <w:uiPriority w:val="35"/>
    <w:unhideWhenUsed/>
    <w:qFormat/>
    <w:rsid w:val="00007E6E"/>
    <w:pPr>
      <w:spacing w:line="240" w:lineRule="auto"/>
    </w:pPr>
    <w:rPr>
      <w:b/>
      <w:bCs/>
      <w:color w:val="0F6FC6" w:themeColor="accent1"/>
      <w:sz w:val="18"/>
      <w:szCs w:val="18"/>
    </w:rPr>
  </w:style>
  <w:style w:type="table" w:styleId="Tabelraster">
    <w:name w:val="Table Grid"/>
    <w:basedOn w:val="Standaardtabel"/>
    <w:uiPriority w:val="59"/>
    <w:rsid w:val="00055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680BAD"/>
    <w:rPr>
      <w:rFonts w:asciiTheme="majorHAnsi" w:eastAsiaTheme="majorEastAsia" w:hAnsiTheme="majorHAnsi" w:cstheme="majorBidi"/>
      <w:b/>
      <w:bCs/>
      <w:color w:val="0B5294" w:themeColor="accent1" w:themeShade="BF"/>
      <w:sz w:val="28"/>
      <w:szCs w:val="28"/>
    </w:rPr>
  </w:style>
  <w:style w:type="character" w:customStyle="1" w:styleId="Kop2Char">
    <w:name w:val="Kop 2 Char"/>
    <w:basedOn w:val="Standaardalinea-lettertype"/>
    <w:link w:val="Kop2"/>
    <w:uiPriority w:val="9"/>
    <w:rsid w:val="00680BAD"/>
    <w:rPr>
      <w:rFonts w:asciiTheme="majorHAnsi" w:eastAsiaTheme="majorEastAsia" w:hAnsiTheme="majorHAnsi" w:cstheme="majorBidi"/>
      <w:b/>
      <w:bCs/>
      <w:color w:val="0F6FC6" w:themeColor="accent1"/>
      <w:sz w:val="26"/>
      <w:szCs w:val="26"/>
    </w:rPr>
  </w:style>
  <w:style w:type="paragraph" w:styleId="Geenafstand">
    <w:name w:val="No Spacing"/>
    <w:uiPriority w:val="1"/>
    <w:qFormat/>
    <w:rsid w:val="00680BAD"/>
    <w:pPr>
      <w:spacing w:after="0" w:line="240" w:lineRule="auto"/>
    </w:pPr>
  </w:style>
  <w:style w:type="paragraph" w:styleId="Koptekst">
    <w:name w:val="header"/>
    <w:basedOn w:val="Standaard"/>
    <w:link w:val="KoptekstChar"/>
    <w:uiPriority w:val="99"/>
    <w:semiHidden/>
    <w:unhideWhenUsed/>
    <w:rsid w:val="003313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31319"/>
  </w:style>
  <w:style w:type="paragraph" w:styleId="Voettekst">
    <w:name w:val="footer"/>
    <w:basedOn w:val="Standaard"/>
    <w:link w:val="VoettekstChar"/>
    <w:uiPriority w:val="99"/>
    <w:unhideWhenUsed/>
    <w:rsid w:val="003313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319"/>
  </w:style>
  <w:style w:type="paragraph" w:styleId="Kopvaninhoudsopgave">
    <w:name w:val="TOC Heading"/>
    <w:basedOn w:val="Kop1"/>
    <w:next w:val="Standaard"/>
    <w:uiPriority w:val="39"/>
    <w:unhideWhenUsed/>
    <w:qFormat/>
    <w:rsid w:val="00331319"/>
    <w:pPr>
      <w:outlineLvl w:val="9"/>
    </w:pPr>
  </w:style>
  <w:style w:type="paragraph" w:styleId="Inhopg1">
    <w:name w:val="toc 1"/>
    <w:basedOn w:val="Standaard"/>
    <w:next w:val="Standaard"/>
    <w:autoRedefine/>
    <w:uiPriority w:val="39"/>
    <w:unhideWhenUsed/>
    <w:rsid w:val="00331319"/>
    <w:pPr>
      <w:spacing w:after="100"/>
    </w:pPr>
  </w:style>
  <w:style w:type="paragraph" w:styleId="Inhopg2">
    <w:name w:val="toc 2"/>
    <w:basedOn w:val="Standaard"/>
    <w:next w:val="Standaard"/>
    <w:autoRedefine/>
    <w:uiPriority w:val="39"/>
    <w:unhideWhenUsed/>
    <w:rsid w:val="00331319"/>
    <w:pPr>
      <w:spacing w:after="100"/>
      <w:ind w:left="220"/>
    </w:pPr>
  </w:style>
  <w:style w:type="character" w:customStyle="1" w:styleId="apple-converted-space">
    <w:name w:val="apple-converted-space"/>
    <w:basedOn w:val="Standaardalinea-lettertype"/>
    <w:rsid w:val="00EC3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80BAD"/>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680BAD"/>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944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448A"/>
    <w:rPr>
      <w:sz w:val="20"/>
      <w:szCs w:val="20"/>
    </w:rPr>
  </w:style>
  <w:style w:type="character" w:styleId="Voetnootmarkering">
    <w:name w:val="footnote reference"/>
    <w:basedOn w:val="Standaardalinea-lettertype"/>
    <w:uiPriority w:val="99"/>
    <w:semiHidden/>
    <w:unhideWhenUsed/>
    <w:rsid w:val="00F9448A"/>
    <w:rPr>
      <w:vertAlign w:val="superscript"/>
    </w:rPr>
  </w:style>
  <w:style w:type="character" w:styleId="Hyperlink">
    <w:name w:val="Hyperlink"/>
    <w:basedOn w:val="Standaardalinea-lettertype"/>
    <w:uiPriority w:val="99"/>
    <w:unhideWhenUsed/>
    <w:rsid w:val="00F9448A"/>
    <w:rPr>
      <w:color w:val="0000FF"/>
      <w:u w:val="single"/>
    </w:rPr>
  </w:style>
  <w:style w:type="character" w:styleId="GevolgdeHyperlink">
    <w:name w:val="FollowedHyperlink"/>
    <w:basedOn w:val="Standaardalinea-lettertype"/>
    <w:uiPriority w:val="99"/>
    <w:semiHidden/>
    <w:unhideWhenUsed/>
    <w:rsid w:val="00D85AAB"/>
    <w:rPr>
      <w:color w:val="85DFD0" w:themeColor="followedHyperlink"/>
      <w:u w:val="single"/>
    </w:rPr>
  </w:style>
  <w:style w:type="paragraph" w:styleId="Lijstalinea">
    <w:name w:val="List Paragraph"/>
    <w:basedOn w:val="Standaard"/>
    <w:uiPriority w:val="34"/>
    <w:qFormat/>
    <w:rsid w:val="00D85AAB"/>
    <w:pPr>
      <w:ind w:left="720"/>
      <w:contextualSpacing/>
    </w:pPr>
  </w:style>
  <w:style w:type="paragraph" w:styleId="Ballontekst">
    <w:name w:val="Balloon Text"/>
    <w:basedOn w:val="Standaard"/>
    <w:link w:val="BallontekstChar"/>
    <w:uiPriority w:val="99"/>
    <w:semiHidden/>
    <w:unhideWhenUsed/>
    <w:rsid w:val="006534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34BE"/>
    <w:rPr>
      <w:rFonts w:ascii="Tahoma" w:hAnsi="Tahoma" w:cs="Tahoma"/>
      <w:sz w:val="16"/>
      <w:szCs w:val="16"/>
    </w:rPr>
  </w:style>
  <w:style w:type="paragraph" w:styleId="Bijschrift">
    <w:name w:val="caption"/>
    <w:basedOn w:val="Standaard"/>
    <w:next w:val="Standaard"/>
    <w:uiPriority w:val="35"/>
    <w:unhideWhenUsed/>
    <w:qFormat/>
    <w:rsid w:val="00007E6E"/>
    <w:pPr>
      <w:spacing w:line="240" w:lineRule="auto"/>
    </w:pPr>
    <w:rPr>
      <w:b/>
      <w:bCs/>
      <w:color w:val="0F6FC6" w:themeColor="accent1"/>
      <w:sz w:val="18"/>
      <w:szCs w:val="18"/>
    </w:rPr>
  </w:style>
  <w:style w:type="table" w:styleId="Tabelraster">
    <w:name w:val="Table Grid"/>
    <w:basedOn w:val="Standaardtabel"/>
    <w:uiPriority w:val="59"/>
    <w:rsid w:val="00055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680BAD"/>
    <w:rPr>
      <w:rFonts w:asciiTheme="majorHAnsi" w:eastAsiaTheme="majorEastAsia" w:hAnsiTheme="majorHAnsi" w:cstheme="majorBidi"/>
      <w:b/>
      <w:bCs/>
      <w:color w:val="0B5294" w:themeColor="accent1" w:themeShade="BF"/>
      <w:sz w:val="28"/>
      <w:szCs w:val="28"/>
    </w:rPr>
  </w:style>
  <w:style w:type="character" w:customStyle="1" w:styleId="Kop2Char">
    <w:name w:val="Kop 2 Char"/>
    <w:basedOn w:val="Standaardalinea-lettertype"/>
    <w:link w:val="Kop2"/>
    <w:uiPriority w:val="9"/>
    <w:rsid w:val="00680BAD"/>
    <w:rPr>
      <w:rFonts w:asciiTheme="majorHAnsi" w:eastAsiaTheme="majorEastAsia" w:hAnsiTheme="majorHAnsi" w:cstheme="majorBidi"/>
      <w:b/>
      <w:bCs/>
      <w:color w:val="0F6FC6" w:themeColor="accent1"/>
      <w:sz w:val="26"/>
      <w:szCs w:val="26"/>
    </w:rPr>
  </w:style>
  <w:style w:type="paragraph" w:styleId="Geenafstand">
    <w:name w:val="No Spacing"/>
    <w:uiPriority w:val="1"/>
    <w:qFormat/>
    <w:rsid w:val="00680BAD"/>
    <w:pPr>
      <w:spacing w:after="0" w:line="240" w:lineRule="auto"/>
    </w:pPr>
  </w:style>
  <w:style w:type="paragraph" w:styleId="Koptekst">
    <w:name w:val="header"/>
    <w:basedOn w:val="Standaard"/>
    <w:link w:val="KoptekstChar"/>
    <w:uiPriority w:val="99"/>
    <w:semiHidden/>
    <w:unhideWhenUsed/>
    <w:rsid w:val="003313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31319"/>
  </w:style>
  <w:style w:type="paragraph" w:styleId="Voettekst">
    <w:name w:val="footer"/>
    <w:basedOn w:val="Standaard"/>
    <w:link w:val="VoettekstChar"/>
    <w:uiPriority w:val="99"/>
    <w:unhideWhenUsed/>
    <w:rsid w:val="003313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319"/>
  </w:style>
  <w:style w:type="paragraph" w:styleId="Kopvaninhoudsopgave">
    <w:name w:val="TOC Heading"/>
    <w:basedOn w:val="Kop1"/>
    <w:next w:val="Standaard"/>
    <w:uiPriority w:val="39"/>
    <w:unhideWhenUsed/>
    <w:qFormat/>
    <w:rsid w:val="00331319"/>
    <w:pPr>
      <w:outlineLvl w:val="9"/>
    </w:pPr>
  </w:style>
  <w:style w:type="paragraph" w:styleId="Inhopg1">
    <w:name w:val="toc 1"/>
    <w:basedOn w:val="Standaard"/>
    <w:next w:val="Standaard"/>
    <w:autoRedefine/>
    <w:uiPriority w:val="39"/>
    <w:unhideWhenUsed/>
    <w:rsid w:val="00331319"/>
    <w:pPr>
      <w:spacing w:after="100"/>
    </w:pPr>
  </w:style>
  <w:style w:type="paragraph" w:styleId="Inhopg2">
    <w:name w:val="toc 2"/>
    <w:basedOn w:val="Standaard"/>
    <w:next w:val="Standaard"/>
    <w:autoRedefine/>
    <w:uiPriority w:val="39"/>
    <w:unhideWhenUsed/>
    <w:rsid w:val="00331319"/>
    <w:pPr>
      <w:spacing w:after="100"/>
      <w:ind w:left="220"/>
    </w:pPr>
  </w:style>
</w:styles>
</file>

<file path=word/webSettings.xml><?xml version="1.0" encoding="utf-8"?>
<w:webSettings xmlns:r="http://schemas.openxmlformats.org/officeDocument/2006/relationships" xmlns:w="http://schemas.openxmlformats.org/wordprocessingml/2006/main">
  <w:divs>
    <w:div w:id="8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http://www.cbs.nl/NR/rdonlyres/200D3AD3-AF66-4CD8-BC86-BB9908CBB1D7/0/SET_20094_Pag3743.pdf" TargetMode="External"/><Relationship Id="rId2" Type="http://schemas.openxmlformats.org/officeDocument/2006/relationships/hyperlink" Target="http://www.imf.org/external/np/sec/pn/2013/pn1348.htm" TargetMode="External"/><Relationship Id="rId1" Type="http://schemas.openxmlformats.org/officeDocument/2006/relationships/hyperlink" Target="http://www.imf.org/external/np/sec/pn/2013/pn1348.htm" TargetMode="External"/><Relationship Id="rId4" Type="http://schemas.openxmlformats.org/officeDocument/2006/relationships/hyperlink" Target="http://www.imf.org/external/np/sec/pn/2013/pn1348.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eus\Documents\frans\bachelorscriptie\cijfers%20huizenprijen%20duitsland%20nederland%20duitslan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eus\Documents\frans\bachelorscriptie\cijfer%20bevolkingsaant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eus\Documents\frans\bachelorscriptie\cijfer%20bevolkingsaant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eus\Downloads\data.csv"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eus\Documents\frans\bachelorscriptie\cijfers%20huizenprijen%20duitsland%20nederland%20duitslan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plotArea>
      <c:layout/>
      <c:lineChart>
        <c:grouping val="standard"/>
        <c:ser>
          <c:idx val="0"/>
          <c:order val="0"/>
          <c:tx>
            <c:v>Nederland</c:v>
          </c:tx>
          <c:spPr>
            <a:ln w="38100">
              <a:solidFill>
                <a:srgbClr val="F79646">
                  <a:alpha val="91000"/>
                </a:srgbClr>
              </a:solidFill>
            </a:ln>
          </c:spPr>
          <c:marker>
            <c:symbol val="none"/>
          </c:marker>
          <c:cat>
            <c:numRef>
              <c:f>Blad1!$C$5:$C$21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Blad1!$D$5:$D$21</c:f>
              <c:numCache>
                <c:formatCode>General</c:formatCode>
                <c:ptCount val="17"/>
                <c:pt idx="0">
                  <c:v>56</c:v>
                </c:pt>
                <c:pt idx="1">
                  <c:v>60.5</c:v>
                </c:pt>
                <c:pt idx="2">
                  <c:v>68</c:v>
                </c:pt>
                <c:pt idx="3">
                  <c:v>72</c:v>
                </c:pt>
                <c:pt idx="4">
                  <c:v>80</c:v>
                </c:pt>
                <c:pt idx="5">
                  <c:v>85</c:v>
                </c:pt>
                <c:pt idx="6">
                  <c:v>89</c:v>
                </c:pt>
                <c:pt idx="7">
                  <c:v>92</c:v>
                </c:pt>
                <c:pt idx="8">
                  <c:v>100</c:v>
                </c:pt>
                <c:pt idx="9">
                  <c:v>105</c:v>
                </c:pt>
                <c:pt idx="10">
                  <c:v>110</c:v>
                </c:pt>
                <c:pt idx="11">
                  <c:v>114</c:v>
                </c:pt>
                <c:pt idx="12">
                  <c:v>114</c:v>
                </c:pt>
                <c:pt idx="13">
                  <c:v>115</c:v>
                </c:pt>
                <c:pt idx="14">
                  <c:v>123</c:v>
                </c:pt>
                <c:pt idx="15">
                  <c:v>125</c:v>
                </c:pt>
                <c:pt idx="16">
                  <c:v>124.3</c:v>
                </c:pt>
              </c:numCache>
            </c:numRef>
          </c:val>
        </c:ser>
        <c:ser>
          <c:idx val="1"/>
          <c:order val="1"/>
          <c:tx>
            <c:v>Duitsland</c:v>
          </c:tx>
          <c:spPr>
            <a:ln w="38100">
              <a:solidFill>
                <a:srgbClr val="BA4120"/>
              </a:solidFill>
            </a:ln>
          </c:spPr>
          <c:marker>
            <c:symbol val="none"/>
          </c:marker>
          <c:cat>
            <c:numRef>
              <c:f>Blad1!$C$5:$C$21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Blad1!$E$5:$E$21</c:f>
              <c:numCache>
                <c:formatCode>General</c:formatCode>
                <c:ptCount val="17"/>
                <c:pt idx="0">
                  <c:v>56</c:v>
                </c:pt>
                <c:pt idx="1">
                  <c:v>59.5</c:v>
                </c:pt>
                <c:pt idx="2">
                  <c:v>61</c:v>
                </c:pt>
                <c:pt idx="3">
                  <c:v>63</c:v>
                </c:pt>
                <c:pt idx="4">
                  <c:v>67</c:v>
                </c:pt>
                <c:pt idx="5">
                  <c:v>68</c:v>
                </c:pt>
                <c:pt idx="6">
                  <c:v>69</c:v>
                </c:pt>
                <c:pt idx="7">
                  <c:v>69</c:v>
                </c:pt>
                <c:pt idx="8">
                  <c:v>69</c:v>
                </c:pt>
                <c:pt idx="9">
                  <c:v>68</c:v>
                </c:pt>
                <c:pt idx="10">
                  <c:v>67</c:v>
                </c:pt>
                <c:pt idx="11">
                  <c:v>65</c:v>
                </c:pt>
                <c:pt idx="12">
                  <c:v>60</c:v>
                </c:pt>
                <c:pt idx="13">
                  <c:v>58</c:v>
                </c:pt>
                <c:pt idx="14">
                  <c:v>61</c:v>
                </c:pt>
                <c:pt idx="15">
                  <c:v>60</c:v>
                </c:pt>
                <c:pt idx="16">
                  <c:v>62.5</c:v>
                </c:pt>
              </c:numCache>
            </c:numRef>
          </c:val>
        </c:ser>
        <c:marker val="1"/>
        <c:axId val="36463744"/>
        <c:axId val="36465280"/>
      </c:lineChart>
      <c:catAx>
        <c:axId val="36463744"/>
        <c:scaling>
          <c:orientation val="minMax"/>
        </c:scaling>
        <c:axPos val="b"/>
        <c:numFmt formatCode="General" sourceLinked="1"/>
        <c:tickLblPos val="nextTo"/>
        <c:txPr>
          <a:bodyPr rot="-2280000"/>
          <a:lstStyle/>
          <a:p>
            <a:pPr>
              <a:defRPr/>
            </a:pPr>
            <a:endParaRPr lang="nl-NL"/>
          </a:p>
        </c:txPr>
        <c:crossAx val="36465280"/>
        <c:crosses val="autoZero"/>
        <c:auto val="1"/>
        <c:lblAlgn val="ctr"/>
        <c:lblOffset val="100"/>
      </c:catAx>
      <c:valAx>
        <c:axId val="36465280"/>
        <c:scaling>
          <c:orientation val="minMax"/>
        </c:scaling>
        <c:axPos val="l"/>
        <c:majorGridlines/>
        <c:numFmt formatCode="General" sourceLinked="1"/>
        <c:tickLblPos val="nextTo"/>
        <c:crossAx val="36463744"/>
        <c:crosses val="autoZero"/>
        <c:crossBetween val="between"/>
      </c:valAx>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7.5812912766435522E-2"/>
          <c:y val="4.2295313085864268E-2"/>
          <c:w val="0.89905750156383413"/>
          <c:h val="0.66812368909697362"/>
        </c:manualLayout>
      </c:layout>
      <c:lineChart>
        <c:grouping val="standard"/>
        <c:ser>
          <c:idx val="0"/>
          <c:order val="0"/>
          <c:tx>
            <c:v>Nederland</c:v>
          </c:tx>
          <c:spPr>
            <a:ln w="38100">
              <a:solidFill>
                <a:srgbClr val="D89B02"/>
              </a:solidFill>
            </a:ln>
          </c:spPr>
          <c:marker>
            <c:symbol val="none"/>
          </c:marker>
          <c:cat>
            <c:numRef>
              <c:f>Blad1!$G$3:$G$20</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Blad1!$H$3:$H$20</c:f>
              <c:numCache>
                <c:formatCode>0.0</c:formatCode>
                <c:ptCount val="18"/>
                <c:pt idx="0">
                  <c:v>37.525000000000013</c:v>
                </c:pt>
                <c:pt idx="1">
                  <c:v>41.575000000000003</c:v>
                </c:pt>
                <c:pt idx="2">
                  <c:v>46.525000000000013</c:v>
                </c:pt>
                <c:pt idx="3">
                  <c:v>51.6</c:v>
                </c:pt>
                <c:pt idx="4">
                  <c:v>53.25</c:v>
                </c:pt>
                <c:pt idx="5">
                  <c:v>70.95</c:v>
                </c:pt>
                <c:pt idx="6">
                  <c:v>78.825000000000003</c:v>
                </c:pt>
                <c:pt idx="7">
                  <c:v>83.874999999999986</c:v>
                </c:pt>
                <c:pt idx="8">
                  <c:v>86.899999999999991</c:v>
                </c:pt>
                <c:pt idx="9">
                  <c:v>90.674999999999983</c:v>
                </c:pt>
                <c:pt idx="10">
                  <c:v>94.149999999999991</c:v>
                </c:pt>
                <c:pt idx="11">
                  <c:v>98.5</c:v>
                </c:pt>
                <c:pt idx="12">
                  <c:v>102.64999999999999</c:v>
                </c:pt>
                <c:pt idx="13">
                  <c:v>105.55000000000001</c:v>
                </c:pt>
                <c:pt idx="14">
                  <c:v>102.02500000000001</c:v>
                </c:pt>
                <c:pt idx="15">
                  <c:v>100.02499999999999</c:v>
                </c:pt>
                <c:pt idx="16">
                  <c:v>97.649999999999991</c:v>
                </c:pt>
                <c:pt idx="17">
                  <c:v>91.475000000000009</c:v>
                </c:pt>
              </c:numCache>
            </c:numRef>
          </c:val>
        </c:ser>
        <c:ser>
          <c:idx val="1"/>
          <c:order val="1"/>
          <c:tx>
            <c:v>Duitsland</c:v>
          </c:tx>
          <c:spPr>
            <a:ln w="38100">
              <a:solidFill>
                <a:srgbClr val="BA4120"/>
              </a:solidFill>
            </a:ln>
          </c:spPr>
          <c:marker>
            <c:symbol val="none"/>
          </c:marker>
          <c:cat>
            <c:numRef>
              <c:f>Blad1!$G$3:$G$20</c:f>
              <c:numCache>
                <c:formatCode>General</c:formatCod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numCache>
            </c:numRef>
          </c:cat>
          <c:val>
            <c:numRef>
              <c:f>Blad1!$I$3:$I$20</c:f>
              <c:numCache>
                <c:formatCode>0</c:formatCode>
                <c:ptCount val="18"/>
                <c:pt idx="0">
                  <c:v>108</c:v>
                </c:pt>
                <c:pt idx="1">
                  <c:v>107</c:v>
                </c:pt>
                <c:pt idx="2">
                  <c:v>105</c:v>
                </c:pt>
                <c:pt idx="3">
                  <c:v>104</c:v>
                </c:pt>
                <c:pt idx="4">
                  <c:v>105</c:v>
                </c:pt>
                <c:pt idx="5">
                  <c:v>105</c:v>
                </c:pt>
                <c:pt idx="6">
                  <c:v>104</c:v>
                </c:pt>
                <c:pt idx="7">
                  <c:v>102</c:v>
                </c:pt>
                <c:pt idx="8">
                  <c:v>100</c:v>
                </c:pt>
                <c:pt idx="9">
                  <c:v>99</c:v>
                </c:pt>
                <c:pt idx="10">
                  <c:v>97</c:v>
                </c:pt>
                <c:pt idx="11">
                  <c:v>96</c:v>
                </c:pt>
                <c:pt idx="12">
                  <c:v>97</c:v>
                </c:pt>
                <c:pt idx="13">
                  <c:v>98</c:v>
                </c:pt>
                <c:pt idx="14">
                  <c:v>98</c:v>
                </c:pt>
                <c:pt idx="15">
                  <c:v>100</c:v>
                </c:pt>
                <c:pt idx="16">
                  <c:v>105</c:v>
                </c:pt>
                <c:pt idx="17">
                  <c:v>111</c:v>
                </c:pt>
              </c:numCache>
            </c:numRef>
          </c:val>
        </c:ser>
        <c:marker val="1"/>
        <c:axId val="36502144"/>
        <c:axId val="60268928"/>
      </c:lineChart>
      <c:catAx>
        <c:axId val="36502144"/>
        <c:scaling>
          <c:orientation val="minMax"/>
        </c:scaling>
        <c:axPos val="b"/>
        <c:numFmt formatCode="General" sourceLinked="1"/>
        <c:tickLblPos val="nextTo"/>
        <c:txPr>
          <a:bodyPr rot="-2400000"/>
          <a:lstStyle/>
          <a:p>
            <a:pPr>
              <a:defRPr/>
            </a:pPr>
            <a:endParaRPr lang="nl-NL"/>
          </a:p>
        </c:txPr>
        <c:crossAx val="60268928"/>
        <c:crosses val="autoZero"/>
        <c:auto val="1"/>
        <c:lblAlgn val="ctr"/>
        <c:lblOffset val="100"/>
      </c:catAx>
      <c:valAx>
        <c:axId val="60268928"/>
        <c:scaling>
          <c:orientation val="minMax"/>
        </c:scaling>
        <c:axPos val="l"/>
        <c:majorGridlines/>
        <c:numFmt formatCode="0.0" sourceLinked="1"/>
        <c:tickLblPos val="nextTo"/>
        <c:crossAx val="36502144"/>
        <c:crosses val="autoZero"/>
        <c:crossBetween val="between"/>
      </c:valAx>
    </c:plotArea>
    <c:legend>
      <c:legendPos val="r"/>
      <c:layout>
        <c:manualLayout>
          <c:xMode val="edge"/>
          <c:yMode val="edge"/>
          <c:x val="0.35357291422001602"/>
          <c:y val="0.77924790789093279"/>
          <c:w val="0.33923303834808261"/>
          <c:h val="0.21918856873136094"/>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5.7639124223396183E-2"/>
          <c:y val="3.6371890860080011E-2"/>
          <c:w val="0.91001627961061826"/>
          <c:h val="0.80134141768864908"/>
        </c:manualLayout>
      </c:layout>
      <c:lineChart>
        <c:grouping val="standard"/>
        <c:ser>
          <c:idx val="0"/>
          <c:order val="0"/>
          <c:tx>
            <c:v>Nederland</c:v>
          </c:tx>
          <c:spPr>
            <a:ln w="38100">
              <a:solidFill>
                <a:srgbClr val="D89B02"/>
              </a:solidFill>
            </a:ln>
          </c:spPr>
          <c:marker>
            <c:symbol val="none"/>
          </c:marker>
          <c:cat>
            <c:numRef>
              <c:f>Blad1!$Z$56:$Z$80</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numCache>
            </c:numRef>
          </c:cat>
          <c:val>
            <c:numRef>
              <c:f>Blad1!$AA$56:$AA$77</c:f>
              <c:numCache>
                <c:formatCode>General</c:formatCode>
                <c:ptCount val="22"/>
                <c:pt idx="0">
                  <c:v>1.9907302391807848</c:v>
                </c:pt>
                <c:pt idx="1">
                  <c:v>2.0662186824110194</c:v>
                </c:pt>
                <c:pt idx="2">
                  <c:v>0.54487323084863704</c:v>
                </c:pt>
                <c:pt idx="3">
                  <c:v>1.272867658866133</c:v>
                </c:pt>
                <c:pt idx="4">
                  <c:v>3.0244621844838409</c:v>
                </c:pt>
                <c:pt idx="5">
                  <c:v>3.4269727950299247</c:v>
                </c:pt>
                <c:pt idx="6">
                  <c:v>2.3334315968830182</c:v>
                </c:pt>
                <c:pt idx="7">
                  <c:v>4.1980324923216434</c:v>
                </c:pt>
                <c:pt idx="8">
                  <c:v>0.8802890294493867</c:v>
                </c:pt>
                <c:pt idx="9">
                  <c:v>6.2059462627913149</c:v>
                </c:pt>
                <c:pt idx="10">
                  <c:v>4.2877256321840234</c:v>
                </c:pt>
                <c:pt idx="11">
                  <c:v>-0.21611508455065231</c:v>
                </c:pt>
                <c:pt idx="12">
                  <c:v>-0.40011841664795794</c:v>
                </c:pt>
                <c:pt idx="13">
                  <c:v>8.2131087660527499E-2</c:v>
                </c:pt>
                <c:pt idx="14">
                  <c:v>3.4190355160177717</c:v>
                </c:pt>
                <c:pt idx="15">
                  <c:v>-0.35365395604701177</c:v>
                </c:pt>
                <c:pt idx="16">
                  <c:v>5.4891114705495738</c:v>
                </c:pt>
                <c:pt idx="17">
                  <c:v>2.6565782943473266</c:v>
                </c:pt>
                <c:pt idx="18">
                  <c:v>-2.3591944830774025</c:v>
                </c:pt>
                <c:pt idx="19">
                  <c:v>-4.434701287281996</c:v>
                </c:pt>
                <c:pt idx="20">
                  <c:v>1.9526527935769533</c:v>
                </c:pt>
                <c:pt idx="21">
                  <c:v>3.0217590316686627</c:v>
                </c:pt>
              </c:numCache>
            </c:numRef>
          </c:val>
        </c:ser>
        <c:ser>
          <c:idx val="1"/>
          <c:order val="1"/>
          <c:tx>
            <c:v>Duitsland</c:v>
          </c:tx>
          <c:spPr>
            <a:ln w="38100">
              <a:solidFill>
                <a:srgbClr val="BA4120"/>
              </a:solidFill>
            </a:ln>
          </c:spPr>
          <c:marker>
            <c:symbol val="none"/>
          </c:marker>
          <c:cat>
            <c:numRef>
              <c:f>Blad1!$Z$56:$Z$80</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numCache>
            </c:numRef>
          </c:cat>
          <c:val>
            <c:numRef>
              <c:f>Blad1!$AB$56:$AB$77</c:f>
              <c:numCache>
                <c:formatCode>General</c:formatCode>
                <c:ptCount val="22"/>
                <c:pt idx="0">
                  <c:v>4.3466900928290588</c:v>
                </c:pt>
                <c:pt idx="1">
                  <c:v>3.6103694416417653</c:v>
                </c:pt>
                <c:pt idx="2">
                  <c:v>0.99465799679767031</c:v>
                </c:pt>
                <c:pt idx="3">
                  <c:v>-1.8430440852169738</c:v>
                </c:pt>
                <c:pt idx="4">
                  <c:v>1.3948796673646418</c:v>
                </c:pt>
                <c:pt idx="5">
                  <c:v>1.1010866202253169</c:v>
                </c:pt>
                <c:pt idx="6">
                  <c:v>0.72456579889761052</c:v>
                </c:pt>
                <c:pt idx="7">
                  <c:v>1.4087802368319302</c:v>
                </c:pt>
                <c:pt idx="8">
                  <c:v>1.5293432103118358</c:v>
                </c:pt>
                <c:pt idx="9">
                  <c:v>1.7193061077777116</c:v>
                </c:pt>
                <c:pt idx="10">
                  <c:v>3.0859099868852269</c:v>
                </c:pt>
                <c:pt idx="11">
                  <c:v>1.2674154834771798</c:v>
                </c:pt>
                <c:pt idx="12">
                  <c:v>-0.38395645303872256</c:v>
                </c:pt>
                <c:pt idx="13">
                  <c:v>7.3833869868039428E-2</c:v>
                </c:pt>
                <c:pt idx="14">
                  <c:v>2.931088436929683</c:v>
                </c:pt>
                <c:pt idx="15">
                  <c:v>1.0115637152747232</c:v>
                </c:pt>
                <c:pt idx="16">
                  <c:v>4.7343165410432055</c:v>
                </c:pt>
                <c:pt idx="17">
                  <c:v>3.0926521765767703</c:v>
                </c:pt>
                <c:pt idx="18">
                  <c:v>0.71556787561975455</c:v>
                </c:pt>
                <c:pt idx="19">
                  <c:v>-3.6678038405772933</c:v>
                </c:pt>
                <c:pt idx="20">
                  <c:v>3.8716411107080164</c:v>
                </c:pt>
                <c:pt idx="21">
                  <c:v>2.8257579285434247</c:v>
                </c:pt>
              </c:numCache>
            </c:numRef>
          </c:val>
        </c:ser>
        <c:marker val="1"/>
        <c:axId val="60284288"/>
        <c:axId val="66110592"/>
      </c:lineChart>
      <c:catAx>
        <c:axId val="60284288"/>
        <c:scaling>
          <c:orientation val="minMax"/>
        </c:scaling>
        <c:axPos val="b"/>
        <c:numFmt formatCode="General" sourceLinked="1"/>
        <c:tickLblPos val="nextTo"/>
        <c:crossAx val="66110592"/>
        <c:crosses val="autoZero"/>
        <c:auto val="1"/>
        <c:lblAlgn val="ctr"/>
        <c:lblOffset val="100"/>
      </c:catAx>
      <c:valAx>
        <c:axId val="66110592"/>
        <c:scaling>
          <c:orientation val="minMax"/>
        </c:scaling>
        <c:axPos val="l"/>
        <c:majorGridlines/>
        <c:numFmt formatCode="General" sourceLinked="1"/>
        <c:tickLblPos val="nextTo"/>
        <c:crossAx val="60284288"/>
        <c:crosses val="autoZero"/>
        <c:crossBetween val="between"/>
      </c:valAx>
    </c:plotArea>
    <c:legend>
      <c:legendPos val="b"/>
      <c:layout>
        <c:manualLayout>
          <c:xMode val="edge"/>
          <c:yMode val="edge"/>
          <c:x val="0.33633542642612713"/>
          <c:y val="0.87417926417734371"/>
          <c:w val="0.32732914714774991"/>
          <c:h val="8.4008889132760847E-2"/>
        </c:manualLayout>
      </c:layou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7.3530183727034126E-2"/>
          <c:y val="2.8252405949256338E-2"/>
          <c:w val="0.89396875793751551"/>
          <c:h val="0.85693036692561053"/>
        </c:manualLayout>
      </c:layout>
      <c:lineChart>
        <c:grouping val="standard"/>
        <c:ser>
          <c:idx val="1"/>
          <c:order val="0"/>
          <c:tx>
            <c:v>Nederland</c:v>
          </c:tx>
          <c:spPr>
            <a:ln w="38100">
              <a:solidFill>
                <a:srgbClr val="D89B02"/>
              </a:solidFill>
            </a:ln>
          </c:spPr>
          <c:marker>
            <c:symbol val="none"/>
          </c:marker>
          <c:cat>
            <c:numRef>
              <c:f>Blad1!$A$3:$A$53</c:f>
              <c:numCache>
                <c:formatCode>General</c:formatCod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numCache>
            </c:numRef>
          </c:cat>
          <c:val>
            <c:numRef>
              <c:f>Blad1!$C$3:$C$53</c:f>
              <c:numCache>
                <c:formatCode>General</c:formatCode>
                <c:ptCount val="51"/>
                <c:pt idx="0">
                  <c:v>1.9521790645000126</c:v>
                </c:pt>
                <c:pt idx="1">
                  <c:v>1.3152945881999873</c:v>
                </c:pt>
                <c:pt idx="2">
                  <c:v>1.4244750674</c:v>
                </c:pt>
                <c:pt idx="3">
                  <c:v>1.3377813320999894</c:v>
                </c:pt>
                <c:pt idx="4">
                  <c:v>1.3726611050999926</c:v>
                </c:pt>
                <c:pt idx="5">
                  <c:v>1.3051707308</c:v>
                </c:pt>
                <c:pt idx="6">
                  <c:v>1.1331440725999926</c:v>
                </c:pt>
                <c:pt idx="7">
                  <c:v>1.0385469611000082</c:v>
                </c:pt>
                <c:pt idx="8">
                  <c:v>1.1579691088999926</c:v>
                </c:pt>
                <c:pt idx="9">
                  <c:v>1.2389326613</c:v>
                </c:pt>
                <c:pt idx="10">
                  <c:v>1.1891335429000001</c:v>
                </c:pt>
                <c:pt idx="11">
                  <c:v>1.0111728502999924</c:v>
                </c:pt>
                <c:pt idx="12">
                  <c:v>0.82733101621000482</c:v>
                </c:pt>
                <c:pt idx="13">
                  <c:v>0.78367225015000064</c:v>
                </c:pt>
                <c:pt idx="14">
                  <c:v>0.89138995535999999</c:v>
                </c:pt>
                <c:pt idx="15">
                  <c:v>0.78499338902999949</c:v>
                </c:pt>
                <c:pt idx="16">
                  <c:v>0.5946260008299995</c:v>
                </c:pt>
                <c:pt idx="17">
                  <c:v>0.61526457689000003</c:v>
                </c:pt>
                <c:pt idx="18">
                  <c:v>0.69028225159000001</c:v>
                </c:pt>
                <c:pt idx="19">
                  <c:v>0.79133180814000004</c:v>
                </c:pt>
                <c:pt idx="20">
                  <c:v>0.68604679796000001</c:v>
                </c:pt>
                <c:pt idx="21">
                  <c:v>0.45855986422000183</c:v>
                </c:pt>
                <c:pt idx="22">
                  <c:v>0.37922259579000406</c:v>
                </c:pt>
                <c:pt idx="23">
                  <c:v>0.39693318977000286</c:v>
                </c:pt>
                <c:pt idx="24">
                  <c:v>0.46632651988000412</c:v>
                </c:pt>
                <c:pt idx="25">
                  <c:v>0.55495772575999958</c:v>
                </c:pt>
                <c:pt idx="26">
                  <c:v>0.63452687925999995</c:v>
                </c:pt>
                <c:pt idx="27">
                  <c:v>0.64609622755000551</c:v>
                </c:pt>
                <c:pt idx="28">
                  <c:v>0.59990721306000061</c:v>
                </c:pt>
                <c:pt idx="29">
                  <c:v>0.68860382344000481</c:v>
                </c:pt>
                <c:pt idx="30">
                  <c:v>0.78803103538000063</c:v>
                </c:pt>
                <c:pt idx="31">
                  <c:v>0.75605659340000064</c:v>
                </c:pt>
                <c:pt idx="32">
                  <c:v>0.6969913301300048</c:v>
                </c:pt>
                <c:pt idx="33">
                  <c:v>0.60293847427000469</c:v>
                </c:pt>
                <c:pt idx="34">
                  <c:v>0.4939273725100024</c:v>
                </c:pt>
                <c:pt idx="35">
                  <c:v>0.46139574761000002</c:v>
                </c:pt>
                <c:pt idx="36">
                  <c:v>0.51476700212000004</c:v>
                </c:pt>
                <c:pt idx="37">
                  <c:v>0.61664053068000824</c:v>
                </c:pt>
                <c:pt idx="38">
                  <c:v>0.66549318707000005</c:v>
                </c:pt>
                <c:pt idx="39">
                  <c:v>0.71477036277999995</c:v>
                </c:pt>
                <c:pt idx="40">
                  <c:v>0.75484005773000551</c:v>
                </c:pt>
                <c:pt idx="41">
                  <c:v>0.63829166627000755</c:v>
                </c:pt>
                <c:pt idx="42">
                  <c:v>0.47181439879000275</c:v>
                </c:pt>
                <c:pt idx="43">
                  <c:v>0.34747541205000032</c:v>
                </c:pt>
                <c:pt idx="44">
                  <c:v>0.23366314794000001</c:v>
                </c:pt>
                <c:pt idx="45">
                  <c:v>0.16061366886</c:v>
                </c:pt>
                <c:pt idx="46">
                  <c:v>0.21752160119000041</c:v>
                </c:pt>
                <c:pt idx="47">
                  <c:v>0.38929246150000241</c:v>
                </c:pt>
                <c:pt idx="48">
                  <c:v>0.51428454482999586</c:v>
                </c:pt>
                <c:pt idx="49">
                  <c:v>0.51292310055000001</c:v>
                </c:pt>
                <c:pt idx="50">
                  <c:v>0.46642878220000367</c:v>
                </c:pt>
              </c:numCache>
            </c:numRef>
          </c:val>
        </c:ser>
        <c:ser>
          <c:idx val="0"/>
          <c:order val="1"/>
          <c:tx>
            <c:v>Duitsland</c:v>
          </c:tx>
          <c:spPr>
            <a:ln w="38100">
              <a:solidFill>
                <a:srgbClr val="BA4120"/>
              </a:solidFill>
            </a:ln>
          </c:spPr>
          <c:marker>
            <c:symbol val="none"/>
          </c:marker>
          <c:cat>
            <c:numRef>
              <c:f>Blad1!$A$3:$A$53</c:f>
              <c:numCache>
                <c:formatCode>General</c:formatCod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numCache>
            </c:numRef>
          </c:cat>
          <c:val>
            <c:numRef>
              <c:f>Blad1!$B$3:$B$53</c:f>
              <c:numCache>
                <c:formatCode>General</c:formatCode>
                <c:ptCount val="51"/>
                <c:pt idx="0">
                  <c:v>0.78266866398000001</c:v>
                </c:pt>
                <c:pt idx="1">
                  <c:v>0.76985434428000366</c:v>
                </c:pt>
                <c:pt idx="2">
                  <c:v>0.879431691510004</c:v>
                </c:pt>
                <c:pt idx="3">
                  <c:v>0.80514088333000389</c:v>
                </c:pt>
                <c:pt idx="4">
                  <c:v>0.8531904368000055</c:v>
                </c:pt>
                <c:pt idx="5">
                  <c:v>0.83456080063000004</c:v>
                </c:pt>
                <c:pt idx="6">
                  <c:v>0.45720852670000001</c:v>
                </c:pt>
                <c:pt idx="7">
                  <c:v>0.44471732624999999</c:v>
                </c:pt>
                <c:pt idx="8">
                  <c:v>0.79298373818000001</c:v>
                </c:pt>
                <c:pt idx="9">
                  <c:v>0.33266139281000207</c:v>
                </c:pt>
                <c:pt idx="10">
                  <c:v>0.18347531357000149</c:v>
                </c:pt>
                <c:pt idx="11">
                  <c:v>0.47848104566000038</c:v>
                </c:pt>
                <c:pt idx="12">
                  <c:v>0.31494245120000275</c:v>
                </c:pt>
                <c:pt idx="13">
                  <c:v>3.8969223198000003E-2</c:v>
                </c:pt>
                <c:pt idx="14">
                  <c:v>-0.37284635936000327</c:v>
                </c:pt>
                <c:pt idx="15">
                  <c:v>-0.42876687496000326</c:v>
                </c:pt>
                <c:pt idx="16">
                  <c:v>-0.22637666251999997</c:v>
                </c:pt>
                <c:pt idx="17">
                  <c:v>-8.7031415354000025E-2</c:v>
                </c:pt>
                <c:pt idx="18">
                  <c:v>4.4207406299000003E-2</c:v>
                </c:pt>
                <c:pt idx="19">
                  <c:v>0.20743040619000186</c:v>
                </c:pt>
                <c:pt idx="20">
                  <c:v>0.15230848936000152</c:v>
                </c:pt>
                <c:pt idx="21">
                  <c:v>-9.5113436548000002E-2</c:v>
                </c:pt>
                <c:pt idx="22">
                  <c:v>-0.26215257231000183</c:v>
                </c:pt>
                <c:pt idx="23">
                  <c:v>-0.34566640230000206</c:v>
                </c:pt>
                <c:pt idx="24">
                  <c:v>-0.22348990158000129</c:v>
                </c:pt>
                <c:pt idx="25">
                  <c:v>4.5768063974000024E-2</c:v>
                </c:pt>
                <c:pt idx="26">
                  <c:v>0.15361757529</c:v>
                </c:pt>
                <c:pt idx="27">
                  <c:v>0.39067896024000526</c:v>
                </c:pt>
                <c:pt idx="28">
                  <c:v>0.77333699061000005</c:v>
                </c:pt>
                <c:pt idx="29">
                  <c:v>0.86196944876000003</c:v>
                </c:pt>
                <c:pt idx="30">
                  <c:v>0.72860554656000664</c:v>
                </c:pt>
                <c:pt idx="31">
                  <c:v>0.76034694672000003</c:v>
                </c:pt>
                <c:pt idx="32">
                  <c:v>0.65739121809000811</c:v>
                </c:pt>
                <c:pt idx="33">
                  <c:v>0.34685664863000032</c:v>
                </c:pt>
                <c:pt idx="34">
                  <c:v>0.29390444372000241</c:v>
                </c:pt>
                <c:pt idx="35">
                  <c:v>0.28947489946000327</c:v>
                </c:pt>
                <c:pt idx="36">
                  <c:v>0.14631328156000206</c:v>
                </c:pt>
                <c:pt idx="37">
                  <c:v>1.5143650854999999E-2</c:v>
                </c:pt>
                <c:pt idx="38">
                  <c:v>6.4634577905000434E-2</c:v>
                </c:pt>
                <c:pt idx="39">
                  <c:v>0.13543160038999999</c:v>
                </c:pt>
                <c:pt idx="40">
                  <c:v>0.16822536133999999</c:v>
                </c:pt>
                <c:pt idx="41">
                  <c:v>0.16812831941</c:v>
                </c:pt>
                <c:pt idx="42">
                  <c:v>5.5363303587000014E-2</c:v>
                </c:pt>
                <c:pt idx="43">
                  <c:v>-2.1709727650000052E-2</c:v>
                </c:pt>
                <c:pt idx="44">
                  <c:v>-5.677826183500042E-2</c:v>
                </c:pt>
                <c:pt idx="45">
                  <c:v>-0.11279749763999998</c:v>
                </c:pt>
                <c:pt idx="46">
                  <c:v>-0.1337185726</c:v>
                </c:pt>
                <c:pt idx="47">
                  <c:v>-0.19014284470000001</c:v>
                </c:pt>
                <c:pt idx="48">
                  <c:v>-0.25338341016000032</c:v>
                </c:pt>
                <c:pt idx="49">
                  <c:v>-0.15319844694000129</c:v>
                </c:pt>
                <c:pt idx="50">
                  <c:v>2.5362128020999998E-2</c:v>
                </c:pt>
              </c:numCache>
            </c:numRef>
          </c:val>
        </c:ser>
        <c:marker val="1"/>
        <c:axId val="56047104"/>
        <c:axId val="56048640"/>
      </c:lineChart>
      <c:catAx>
        <c:axId val="56047104"/>
        <c:scaling>
          <c:orientation val="minMax"/>
        </c:scaling>
        <c:axPos val="b"/>
        <c:numFmt formatCode="General" sourceLinked="1"/>
        <c:tickLblPos val="nextTo"/>
        <c:txPr>
          <a:bodyPr rot="-2400000"/>
          <a:lstStyle/>
          <a:p>
            <a:pPr>
              <a:defRPr/>
            </a:pPr>
            <a:endParaRPr lang="nl-NL"/>
          </a:p>
        </c:txPr>
        <c:crossAx val="56048640"/>
        <c:crosses val="autoZero"/>
        <c:auto val="1"/>
        <c:lblAlgn val="ctr"/>
        <c:lblOffset val="100"/>
      </c:catAx>
      <c:valAx>
        <c:axId val="56048640"/>
        <c:scaling>
          <c:orientation val="minMax"/>
        </c:scaling>
        <c:axPos val="l"/>
        <c:majorGridlines/>
        <c:numFmt formatCode="General" sourceLinked="1"/>
        <c:tickLblPos val="nextTo"/>
        <c:crossAx val="56047104"/>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lineChart>
        <c:grouping val="standard"/>
        <c:ser>
          <c:idx val="0"/>
          <c:order val="0"/>
          <c:tx>
            <c:v>Nederland</c:v>
          </c:tx>
          <c:spPr>
            <a:ln w="38100">
              <a:solidFill>
                <a:srgbClr val="D89B02"/>
              </a:solidFill>
            </a:ln>
          </c:spPr>
          <c:marker>
            <c:symbol val="none"/>
          </c:marker>
          <c:cat>
            <c:strRef>
              <c:f>data!$I$91:$I$112</c:f>
              <c:strCache>
                <c:ptCount val="22"/>
                <c:pt idx="0">
                  <c:v>2003Jan</c:v>
                </c:pt>
                <c:pt idx="1">
                  <c:v>2003Jul</c:v>
                </c:pt>
                <c:pt idx="2">
                  <c:v>2004Jan</c:v>
                </c:pt>
                <c:pt idx="3">
                  <c:v>2004Jul</c:v>
                </c:pt>
                <c:pt idx="4">
                  <c:v>2005Jan</c:v>
                </c:pt>
                <c:pt idx="5">
                  <c:v>2005Jul</c:v>
                </c:pt>
                <c:pt idx="6">
                  <c:v>2006Jan</c:v>
                </c:pt>
                <c:pt idx="7">
                  <c:v>2006Jul</c:v>
                </c:pt>
                <c:pt idx="8">
                  <c:v>2007Jan</c:v>
                </c:pt>
                <c:pt idx="9">
                  <c:v>2007Jul</c:v>
                </c:pt>
                <c:pt idx="10">
                  <c:v>2008Jan</c:v>
                </c:pt>
                <c:pt idx="11">
                  <c:v>2008Jul</c:v>
                </c:pt>
                <c:pt idx="12">
                  <c:v>2009Jan</c:v>
                </c:pt>
                <c:pt idx="13">
                  <c:v>2009Jul</c:v>
                </c:pt>
                <c:pt idx="14">
                  <c:v>2010Jan</c:v>
                </c:pt>
                <c:pt idx="15">
                  <c:v>2010Jul</c:v>
                </c:pt>
                <c:pt idx="16">
                  <c:v>2011Jan</c:v>
                </c:pt>
                <c:pt idx="17">
                  <c:v>2011Jul</c:v>
                </c:pt>
                <c:pt idx="18">
                  <c:v>2012Jan</c:v>
                </c:pt>
                <c:pt idx="19">
                  <c:v>2012Jul</c:v>
                </c:pt>
                <c:pt idx="20">
                  <c:v>2013Jan</c:v>
                </c:pt>
                <c:pt idx="21">
                  <c:v>2013May</c:v>
                </c:pt>
              </c:strCache>
            </c:strRef>
          </c:cat>
          <c:val>
            <c:numRef>
              <c:f>data!$J$91:$J$112</c:f>
              <c:numCache>
                <c:formatCode>General</c:formatCode>
                <c:ptCount val="22"/>
                <c:pt idx="0">
                  <c:v>5</c:v>
                </c:pt>
                <c:pt idx="1">
                  <c:v>4.42</c:v>
                </c:pt>
                <c:pt idx="2">
                  <c:v>4.5599999999999996</c:v>
                </c:pt>
                <c:pt idx="3">
                  <c:v>4.3</c:v>
                </c:pt>
                <c:pt idx="4">
                  <c:v>3.8099999999999987</c:v>
                </c:pt>
                <c:pt idx="5">
                  <c:v>3.75</c:v>
                </c:pt>
                <c:pt idx="6">
                  <c:v>4.01</c:v>
                </c:pt>
                <c:pt idx="7">
                  <c:v>4.55</c:v>
                </c:pt>
                <c:pt idx="8">
                  <c:v>4.72</c:v>
                </c:pt>
                <c:pt idx="9">
                  <c:v>5.08</c:v>
                </c:pt>
                <c:pt idx="10">
                  <c:v>5.29</c:v>
                </c:pt>
                <c:pt idx="11">
                  <c:v>5.41</c:v>
                </c:pt>
                <c:pt idx="12">
                  <c:v>5.37</c:v>
                </c:pt>
                <c:pt idx="13">
                  <c:v>4.88</c:v>
                </c:pt>
                <c:pt idx="14">
                  <c:v>4.8499999999999996</c:v>
                </c:pt>
                <c:pt idx="15">
                  <c:v>4.5199999999999996</c:v>
                </c:pt>
                <c:pt idx="16">
                  <c:v>4.41</c:v>
                </c:pt>
                <c:pt idx="17">
                  <c:v>4.72</c:v>
                </c:pt>
                <c:pt idx="18">
                  <c:v>4.53</c:v>
                </c:pt>
                <c:pt idx="19">
                  <c:v>4.22</c:v>
                </c:pt>
                <c:pt idx="20">
                  <c:v>4.04</c:v>
                </c:pt>
                <c:pt idx="21">
                  <c:v>3.7800000000000002</c:v>
                </c:pt>
              </c:numCache>
            </c:numRef>
          </c:val>
        </c:ser>
        <c:ser>
          <c:idx val="1"/>
          <c:order val="1"/>
          <c:tx>
            <c:v>Duitsland</c:v>
          </c:tx>
          <c:spPr>
            <a:ln w="38100">
              <a:solidFill>
                <a:srgbClr val="BA4120"/>
              </a:solidFill>
            </a:ln>
          </c:spPr>
          <c:marker>
            <c:symbol val="none"/>
          </c:marker>
          <c:cat>
            <c:strRef>
              <c:f>data!$I$91:$I$112</c:f>
              <c:strCache>
                <c:ptCount val="22"/>
                <c:pt idx="0">
                  <c:v>2003Jan</c:v>
                </c:pt>
                <c:pt idx="1">
                  <c:v>2003Jul</c:v>
                </c:pt>
                <c:pt idx="2">
                  <c:v>2004Jan</c:v>
                </c:pt>
                <c:pt idx="3">
                  <c:v>2004Jul</c:v>
                </c:pt>
                <c:pt idx="4">
                  <c:v>2005Jan</c:v>
                </c:pt>
                <c:pt idx="5">
                  <c:v>2005Jul</c:v>
                </c:pt>
                <c:pt idx="6">
                  <c:v>2006Jan</c:v>
                </c:pt>
                <c:pt idx="7">
                  <c:v>2006Jul</c:v>
                </c:pt>
                <c:pt idx="8">
                  <c:v>2007Jan</c:v>
                </c:pt>
                <c:pt idx="9">
                  <c:v>2007Jul</c:v>
                </c:pt>
                <c:pt idx="10">
                  <c:v>2008Jan</c:v>
                </c:pt>
                <c:pt idx="11">
                  <c:v>2008Jul</c:v>
                </c:pt>
                <c:pt idx="12">
                  <c:v>2009Jan</c:v>
                </c:pt>
                <c:pt idx="13">
                  <c:v>2009Jul</c:v>
                </c:pt>
                <c:pt idx="14">
                  <c:v>2010Jan</c:v>
                </c:pt>
                <c:pt idx="15">
                  <c:v>2010Jul</c:v>
                </c:pt>
                <c:pt idx="16">
                  <c:v>2011Jan</c:v>
                </c:pt>
                <c:pt idx="17">
                  <c:v>2011Jul</c:v>
                </c:pt>
                <c:pt idx="18">
                  <c:v>2012Jan</c:v>
                </c:pt>
                <c:pt idx="19">
                  <c:v>2012Jul</c:v>
                </c:pt>
                <c:pt idx="20">
                  <c:v>2013Jan</c:v>
                </c:pt>
                <c:pt idx="21">
                  <c:v>2013May</c:v>
                </c:pt>
              </c:strCache>
            </c:strRef>
          </c:cat>
          <c:val>
            <c:numRef>
              <c:f>data!$K$91:$K$112</c:f>
              <c:numCache>
                <c:formatCode>General</c:formatCode>
                <c:ptCount val="22"/>
                <c:pt idx="0">
                  <c:v>5.39</c:v>
                </c:pt>
                <c:pt idx="1">
                  <c:v>4.6899999999999995</c:v>
                </c:pt>
                <c:pt idx="2">
                  <c:v>5.0199999999999996</c:v>
                </c:pt>
                <c:pt idx="3">
                  <c:v>4.84</c:v>
                </c:pt>
                <c:pt idx="4">
                  <c:v>4.55</c:v>
                </c:pt>
                <c:pt idx="5">
                  <c:v>4.22</c:v>
                </c:pt>
                <c:pt idx="6">
                  <c:v>4.41</c:v>
                </c:pt>
                <c:pt idx="7">
                  <c:v>4.83</c:v>
                </c:pt>
                <c:pt idx="8">
                  <c:v>4.8499999999999996</c:v>
                </c:pt>
                <c:pt idx="9">
                  <c:v>5.33</c:v>
                </c:pt>
                <c:pt idx="10">
                  <c:v>5.28</c:v>
                </c:pt>
                <c:pt idx="11">
                  <c:v>5.4700000000000024</c:v>
                </c:pt>
                <c:pt idx="12">
                  <c:v>4.83</c:v>
                </c:pt>
                <c:pt idx="13">
                  <c:v>4.3099999999999996</c:v>
                </c:pt>
                <c:pt idx="14">
                  <c:v>4.08</c:v>
                </c:pt>
                <c:pt idx="15">
                  <c:v>3.68</c:v>
                </c:pt>
                <c:pt idx="16">
                  <c:v>3.82</c:v>
                </c:pt>
                <c:pt idx="17">
                  <c:v>4.1199999999999966</c:v>
                </c:pt>
                <c:pt idx="18">
                  <c:v>3.59</c:v>
                </c:pt>
                <c:pt idx="19">
                  <c:v>3.1</c:v>
                </c:pt>
                <c:pt idx="20">
                  <c:v>2.86</c:v>
                </c:pt>
                <c:pt idx="21">
                  <c:v>2.79</c:v>
                </c:pt>
              </c:numCache>
            </c:numRef>
          </c:val>
        </c:ser>
        <c:marker val="1"/>
        <c:axId val="56068736"/>
        <c:axId val="56078720"/>
      </c:lineChart>
      <c:catAx>
        <c:axId val="56068736"/>
        <c:scaling>
          <c:orientation val="minMax"/>
        </c:scaling>
        <c:axPos val="b"/>
        <c:tickLblPos val="nextTo"/>
        <c:crossAx val="56078720"/>
        <c:crosses val="autoZero"/>
        <c:auto val="1"/>
        <c:lblAlgn val="ctr"/>
        <c:lblOffset val="100"/>
      </c:catAx>
      <c:valAx>
        <c:axId val="56078720"/>
        <c:scaling>
          <c:orientation val="minMax"/>
        </c:scaling>
        <c:axPos val="l"/>
        <c:majorGridlines/>
        <c:numFmt formatCode="General" sourceLinked="1"/>
        <c:tickLblPos val="nextTo"/>
        <c:crossAx val="56068736"/>
        <c:crosses val="autoZero"/>
        <c:crossBetween val="between"/>
      </c:valAx>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nl-NL"/>
  <c:chart>
    <c:plotArea>
      <c:layout>
        <c:manualLayout>
          <c:layoutTarget val="inner"/>
          <c:xMode val="edge"/>
          <c:yMode val="edge"/>
          <c:x val="0.12263513651980776"/>
          <c:y val="6.45300653208907E-2"/>
          <c:w val="0.87736472008675159"/>
          <c:h val="0.69106490285052635"/>
        </c:manualLayout>
      </c:layout>
      <c:barChart>
        <c:barDir val="col"/>
        <c:grouping val="clustered"/>
        <c:ser>
          <c:idx val="0"/>
          <c:order val="0"/>
          <c:dPt>
            <c:idx val="0"/>
            <c:spPr>
              <a:solidFill>
                <a:srgbClr val="D89B02"/>
              </a:solidFill>
            </c:spPr>
          </c:dPt>
          <c:dPt>
            <c:idx val="1"/>
            <c:spPr>
              <a:solidFill>
                <a:srgbClr val="BA4120"/>
              </a:solidFill>
            </c:spPr>
          </c:dPt>
          <c:cat>
            <c:strRef>
              <c:f>Blad1!$L$32:$L$34</c:f>
              <c:strCache>
                <c:ptCount val="3"/>
                <c:pt idx="0">
                  <c:v>Nederland </c:v>
                </c:pt>
                <c:pt idx="1">
                  <c:v>duitsland</c:v>
                </c:pt>
                <c:pt idx="2">
                  <c:v>eu 27</c:v>
                </c:pt>
              </c:strCache>
            </c:strRef>
          </c:cat>
          <c:val>
            <c:numRef>
              <c:f>Blad1!$M$32:$M$34</c:f>
              <c:numCache>
                <c:formatCode>General</c:formatCode>
                <c:ptCount val="3"/>
                <c:pt idx="0">
                  <c:v>23.5</c:v>
                </c:pt>
                <c:pt idx="1">
                  <c:v>26.3</c:v>
                </c:pt>
                <c:pt idx="2">
                  <c:v>20</c:v>
                </c:pt>
              </c:numCache>
            </c:numRef>
          </c:val>
        </c:ser>
        <c:gapWidth val="42"/>
        <c:overlap val="-5"/>
        <c:axId val="56094080"/>
        <c:axId val="55977088"/>
      </c:barChart>
      <c:catAx>
        <c:axId val="56094080"/>
        <c:scaling>
          <c:orientation val="minMax"/>
        </c:scaling>
        <c:axPos val="b"/>
        <c:tickLblPos val="nextTo"/>
        <c:crossAx val="55977088"/>
        <c:crosses val="autoZero"/>
        <c:auto val="1"/>
        <c:lblAlgn val="ctr"/>
        <c:lblOffset val="100"/>
      </c:catAx>
      <c:valAx>
        <c:axId val="55977088"/>
        <c:scaling>
          <c:orientation val="minMax"/>
        </c:scaling>
        <c:axPos val="l"/>
        <c:majorGridlines/>
        <c:numFmt formatCode="General" sourceLinked="1"/>
        <c:tickLblPos val="nextTo"/>
        <c:crossAx val="56094080"/>
        <c:crosses val="autoZero"/>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manualLayout>
          <c:layoutTarget val="inner"/>
          <c:xMode val="edge"/>
          <c:yMode val="edge"/>
          <c:x val="0.10703221682781892"/>
          <c:y val="6.3262220427574803E-2"/>
          <c:w val="0.84814736240871913"/>
          <c:h val="0.58941210451590798"/>
        </c:manualLayout>
      </c:layout>
      <c:lineChart>
        <c:grouping val="standard"/>
        <c:ser>
          <c:idx val="0"/>
          <c:order val="0"/>
          <c:tx>
            <c:v>Nederland</c:v>
          </c:tx>
          <c:spPr>
            <a:ln w="38100">
              <a:solidFill>
                <a:srgbClr val="D89B02"/>
              </a:solidFill>
            </a:ln>
          </c:spPr>
          <c:marker>
            <c:symbol val="none"/>
          </c:marker>
          <c:cat>
            <c:strRef>
              <c:f>Blad1!$C$1:$C$21</c:f>
              <c:strCache>
                <c:ptCount val="21"/>
                <c:pt idx="0">
                  <c:v>2000Jan</c:v>
                </c:pt>
                <c:pt idx="1">
                  <c:v>2000jul</c:v>
                </c:pt>
                <c:pt idx="2">
                  <c:v>2001Jan</c:v>
                </c:pt>
                <c:pt idx="3">
                  <c:v>2001Jul</c:v>
                </c:pt>
                <c:pt idx="4">
                  <c:v>2002Jan</c:v>
                </c:pt>
                <c:pt idx="5">
                  <c:v>2002Jul</c:v>
                </c:pt>
                <c:pt idx="6">
                  <c:v>2003Jan</c:v>
                </c:pt>
                <c:pt idx="7">
                  <c:v>2003Jul</c:v>
                </c:pt>
                <c:pt idx="8">
                  <c:v>2004Jan</c:v>
                </c:pt>
                <c:pt idx="9">
                  <c:v>2004Jul</c:v>
                </c:pt>
                <c:pt idx="10">
                  <c:v>2005Jan</c:v>
                </c:pt>
                <c:pt idx="11">
                  <c:v>2005Jul</c:v>
                </c:pt>
                <c:pt idx="12">
                  <c:v>2006Jan</c:v>
                </c:pt>
                <c:pt idx="13">
                  <c:v>2006Jul</c:v>
                </c:pt>
                <c:pt idx="14">
                  <c:v>2007Jan</c:v>
                </c:pt>
                <c:pt idx="15">
                  <c:v>2007Jul</c:v>
                </c:pt>
                <c:pt idx="16">
                  <c:v>2008Jan</c:v>
                </c:pt>
                <c:pt idx="17">
                  <c:v>2008Jul</c:v>
                </c:pt>
                <c:pt idx="18">
                  <c:v>2009Jan</c:v>
                </c:pt>
                <c:pt idx="19">
                  <c:v>2009Jul</c:v>
                </c:pt>
                <c:pt idx="20">
                  <c:v>2010Jan</c:v>
                </c:pt>
              </c:strCache>
            </c:strRef>
          </c:cat>
          <c:val>
            <c:numRef>
              <c:f>Blad1!$D$1:$D$21</c:f>
              <c:numCache>
                <c:formatCode>General</c:formatCode>
                <c:ptCount val="21"/>
                <c:pt idx="0">
                  <c:v>102.5</c:v>
                </c:pt>
                <c:pt idx="1">
                  <c:v>102</c:v>
                </c:pt>
                <c:pt idx="2">
                  <c:v>102.4</c:v>
                </c:pt>
                <c:pt idx="3">
                  <c:v>103.5</c:v>
                </c:pt>
                <c:pt idx="4">
                  <c:v>105</c:v>
                </c:pt>
                <c:pt idx="5">
                  <c:v>105.4</c:v>
                </c:pt>
                <c:pt idx="6">
                  <c:v>106.5</c:v>
                </c:pt>
                <c:pt idx="7">
                  <c:v>109</c:v>
                </c:pt>
                <c:pt idx="8">
                  <c:v>107.5</c:v>
                </c:pt>
                <c:pt idx="9">
                  <c:v>107.2</c:v>
                </c:pt>
                <c:pt idx="10">
                  <c:v>111</c:v>
                </c:pt>
                <c:pt idx="11">
                  <c:v>110.5</c:v>
                </c:pt>
                <c:pt idx="12">
                  <c:v>113</c:v>
                </c:pt>
                <c:pt idx="13">
                  <c:v>112.7</c:v>
                </c:pt>
                <c:pt idx="14">
                  <c:v>114</c:v>
                </c:pt>
                <c:pt idx="15">
                  <c:v>114</c:v>
                </c:pt>
                <c:pt idx="16">
                  <c:v>111.8</c:v>
                </c:pt>
                <c:pt idx="17">
                  <c:v>116.4</c:v>
                </c:pt>
                <c:pt idx="18">
                  <c:v>116</c:v>
                </c:pt>
                <c:pt idx="19">
                  <c:v>120</c:v>
                </c:pt>
                <c:pt idx="20">
                  <c:v>118.5</c:v>
                </c:pt>
              </c:numCache>
            </c:numRef>
          </c:val>
        </c:ser>
        <c:marker val="1"/>
        <c:axId val="55992704"/>
        <c:axId val="55994240"/>
      </c:lineChart>
      <c:catAx>
        <c:axId val="55992704"/>
        <c:scaling>
          <c:orientation val="minMax"/>
        </c:scaling>
        <c:axPos val="b"/>
        <c:tickLblPos val="nextTo"/>
        <c:crossAx val="55994240"/>
        <c:crosses val="autoZero"/>
        <c:auto val="1"/>
        <c:lblAlgn val="ctr"/>
        <c:lblOffset val="100"/>
      </c:catAx>
      <c:valAx>
        <c:axId val="55994240"/>
        <c:scaling>
          <c:orientation val="minMax"/>
        </c:scaling>
        <c:axPos val="l"/>
        <c:majorGridlines/>
        <c:numFmt formatCode="General" sourceLinked="1"/>
        <c:tickLblPos val="nextTo"/>
        <c:crossAx val="55992704"/>
        <c:crosses val="autoZero"/>
        <c:crossBetween val="between"/>
      </c:valAx>
    </c:plotArea>
    <c:legend>
      <c:legendPos val="b"/>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B3F43-2DAB-41F5-ADBB-256690F9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7801</Words>
  <Characters>42907</Characters>
  <Application>Microsoft Office Word</Application>
  <DocSecurity>0</DocSecurity>
  <Lines>357</Lines>
  <Paragraphs>101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Teus</dc:creator>
  <cp:lastModifiedBy>Teus</cp:lastModifiedBy>
  <cp:revision>2</cp:revision>
  <cp:lastPrinted>2013-08-19T09:19:00Z</cp:lastPrinted>
  <dcterms:created xsi:type="dcterms:W3CDTF">2013-08-28T08:14:00Z</dcterms:created>
  <dcterms:modified xsi:type="dcterms:W3CDTF">2013-08-28T08:14:00Z</dcterms:modified>
</cp:coreProperties>
</file>