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87" w:rightFromText="187" w:horzAnchor="margin" w:tblpXSpec="center" w:tblpY="2881"/>
        <w:tblW w:w="4000" w:type="pct"/>
        <w:tblBorders>
          <w:left w:val="single" w:sz="18" w:space="0" w:color="4F81BD"/>
        </w:tblBorders>
        <w:tblLook w:val="00A0"/>
      </w:tblPr>
      <w:tblGrid>
        <w:gridCol w:w="7440"/>
      </w:tblGrid>
      <w:tr w:rsidR="00926DB2" w:rsidTr="001D6EB9">
        <w:tc>
          <w:tcPr>
            <w:tcW w:w="7440" w:type="dxa"/>
            <w:tcMar>
              <w:top w:w="216" w:type="dxa"/>
              <w:left w:w="115" w:type="dxa"/>
              <w:bottom w:w="216" w:type="dxa"/>
              <w:right w:w="115" w:type="dxa"/>
            </w:tcMar>
          </w:tcPr>
          <w:p w:rsidR="00926DB2" w:rsidRPr="00680B49" w:rsidRDefault="00926DB2" w:rsidP="007F7816">
            <w:pPr>
              <w:pStyle w:val="Geenafstand"/>
              <w:rPr>
                <w:rFonts w:ascii="Times New Roman" w:hAnsi="Times New Roman" w:cs="Times New Roman"/>
              </w:rPr>
            </w:pPr>
            <w:bookmarkStart w:id="0" w:name="_Toc266716094"/>
            <w:bookmarkStart w:id="1" w:name="_Toc266716100"/>
            <w:bookmarkStart w:id="2" w:name="_Toc266716099"/>
            <w:bookmarkStart w:id="3" w:name="_Toc266716098"/>
            <w:r w:rsidRPr="00680B49">
              <w:rPr>
                <w:rFonts w:ascii="Times New Roman" w:hAnsi="Times New Roman" w:cs="Times New Roman"/>
                <w:sz w:val="32"/>
                <w:szCs w:val="32"/>
              </w:rPr>
              <w:t>Erasmus Universit</w:t>
            </w:r>
            <w:r w:rsidR="007F7816">
              <w:rPr>
                <w:rFonts w:ascii="Times New Roman" w:hAnsi="Times New Roman" w:cs="Times New Roman"/>
                <w:sz w:val="32"/>
                <w:szCs w:val="32"/>
              </w:rPr>
              <w:t>eit</w:t>
            </w:r>
            <w:r w:rsidRPr="00680B49">
              <w:rPr>
                <w:rFonts w:ascii="Times New Roman" w:hAnsi="Times New Roman" w:cs="Times New Roman"/>
                <w:sz w:val="32"/>
                <w:szCs w:val="32"/>
              </w:rPr>
              <w:t xml:space="preserve"> Rotterdam</w:t>
            </w:r>
          </w:p>
        </w:tc>
      </w:tr>
      <w:tr w:rsidR="00926DB2" w:rsidTr="002074CB">
        <w:trPr>
          <w:trHeight w:val="920"/>
        </w:trPr>
        <w:tc>
          <w:tcPr>
            <w:tcW w:w="7440" w:type="dxa"/>
          </w:tcPr>
          <w:p w:rsidR="008E7CED" w:rsidRDefault="008E7CED" w:rsidP="00D812FE">
            <w:pPr>
              <w:pStyle w:val="Geenafstand"/>
              <w:rPr>
                <w:rFonts w:ascii="Times New Roman" w:hAnsi="Times New Roman" w:cs="Times New Roman"/>
                <w:color w:val="244061" w:themeColor="accent1" w:themeShade="80"/>
                <w:sz w:val="44"/>
                <w:szCs w:val="44"/>
                <w:lang w:val="en-US"/>
              </w:rPr>
            </w:pPr>
          </w:p>
          <w:p w:rsidR="008E7CED" w:rsidRDefault="008E7CED" w:rsidP="00D812FE">
            <w:pPr>
              <w:pStyle w:val="Geenafstand"/>
              <w:rPr>
                <w:rFonts w:ascii="Times New Roman" w:hAnsi="Times New Roman" w:cs="Times New Roman"/>
                <w:color w:val="244061" w:themeColor="accent1" w:themeShade="80"/>
                <w:sz w:val="44"/>
                <w:szCs w:val="44"/>
                <w:lang w:val="en-US"/>
              </w:rPr>
            </w:pPr>
            <w:r>
              <w:rPr>
                <w:rFonts w:ascii="Times New Roman" w:hAnsi="Times New Roman" w:cs="Times New Roman"/>
                <w:color w:val="244061" w:themeColor="accent1" w:themeShade="80"/>
                <w:sz w:val="44"/>
                <w:szCs w:val="44"/>
                <w:lang w:val="en-US"/>
              </w:rPr>
              <w:t>Disclosure quality and quantity</w:t>
            </w:r>
          </w:p>
          <w:p w:rsidR="00926DB2" w:rsidRPr="0075326B" w:rsidRDefault="0075326B" w:rsidP="00D812FE">
            <w:pPr>
              <w:pStyle w:val="Geenafstand"/>
              <w:rPr>
                <w:rFonts w:ascii="Times New Roman" w:hAnsi="Times New Roman" w:cs="Times New Roman"/>
                <w:color w:val="244061" w:themeColor="accent1" w:themeShade="80"/>
                <w:sz w:val="36"/>
                <w:szCs w:val="36"/>
                <w:lang w:val="en-US"/>
              </w:rPr>
            </w:pPr>
            <w:r>
              <w:rPr>
                <w:rFonts w:ascii="Times New Roman" w:hAnsi="Times New Roman" w:cs="Times New Roman"/>
                <w:color w:val="244061" w:themeColor="accent1" w:themeShade="80"/>
                <w:sz w:val="36"/>
                <w:szCs w:val="36"/>
                <w:lang w:val="en-US"/>
              </w:rPr>
              <w:t>To what extent</w:t>
            </w:r>
            <w:r w:rsidRPr="0075326B">
              <w:rPr>
                <w:rFonts w:ascii="Times New Roman" w:hAnsi="Times New Roman" w:cs="Times New Roman"/>
                <w:color w:val="244061" w:themeColor="accent1" w:themeShade="80"/>
                <w:sz w:val="36"/>
                <w:szCs w:val="36"/>
                <w:lang w:val="en-US"/>
              </w:rPr>
              <w:t xml:space="preserve"> </w:t>
            </w:r>
            <w:r>
              <w:rPr>
                <w:rFonts w:ascii="Times New Roman" w:hAnsi="Times New Roman" w:cs="Times New Roman"/>
                <w:color w:val="244061" w:themeColor="accent1" w:themeShade="80"/>
                <w:sz w:val="36"/>
                <w:szCs w:val="36"/>
                <w:lang w:val="en-US"/>
              </w:rPr>
              <w:t>the quality and quantity of investment risk disclosures have increased since the financial crisis</w:t>
            </w:r>
          </w:p>
        </w:tc>
      </w:tr>
      <w:tr w:rsidR="00926DB2" w:rsidTr="002074CB">
        <w:trPr>
          <w:trHeight w:val="22"/>
        </w:trPr>
        <w:tc>
          <w:tcPr>
            <w:tcW w:w="7440" w:type="dxa"/>
            <w:tcMar>
              <w:top w:w="216" w:type="dxa"/>
              <w:left w:w="115" w:type="dxa"/>
              <w:bottom w:w="216" w:type="dxa"/>
              <w:right w:w="115" w:type="dxa"/>
            </w:tcMar>
          </w:tcPr>
          <w:p w:rsidR="00926DB2" w:rsidRPr="002074CB" w:rsidRDefault="0075326B" w:rsidP="00384780">
            <w:pPr>
              <w:pStyle w:val="Geenafstand"/>
              <w:rPr>
                <w:rFonts w:ascii="Times New Roman" w:hAnsi="Times New Roman" w:cs="Times New Roman"/>
                <w:lang w:val="en-US"/>
              </w:rPr>
            </w:pPr>
            <w:r>
              <w:rPr>
                <w:rFonts w:ascii="Times New Roman" w:hAnsi="Times New Roman" w:cs="Times New Roman"/>
                <w:sz w:val="32"/>
                <w:szCs w:val="32"/>
                <w:lang w:val="en-US"/>
              </w:rPr>
              <w:t>A comparative research between larger and smaller Dutch pension funds</w:t>
            </w:r>
          </w:p>
        </w:tc>
      </w:tr>
    </w:tbl>
    <w:p w:rsidR="00926DB2" w:rsidRPr="00840176" w:rsidRDefault="001D6EB9">
      <w:pPr>
        <w:rPr>
          <w:color w:val="00B050"/>
          <w:lang w:val="en-US"/>
        </w:rPr>
      </w:pPr>
      <w:r>
        <w:rPr>
          <w:lang w:val="en-US"/>
        </w:rPr>
        <w:tab/>
      </w:r>
      <w:r>
        <w:rPr>
          <w:lang w:val="en-US"/>
        </w:rPr>
        <w:tab/>
      </w:r>
      <w:r>
        <w:rPr>
          <w:lang w:val="en-US"/>
        </w:rPr>
        <w:tab/>
      </w:r>
      <w:r>
        <w:rPr>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noProof/>
          <w:color w:val="00B050"/>
          <w:lang w:val="nl-NL" w:eastAsia="nl-NL" w:bidi="ar-SA"/>
        </w:rPr>
        <w:drawing>
          <wp:inline distT="0" distB="0" distL="0" distR="0">
            <wp:extent cx="1714500" cy="962025"/>
            <wp:effectExtent l="19050" t="0" r="0" b="0"/>
            <wp:docPr id="11" name="Afbeelding 4" descr="erasmus_uni_logo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_uni_logo_200.png"/>
                    <pic:cNvPicPr/>
                  </pic:nvPicPr>
                  <pic:blipFill>
                    <a:blip r:embed="rId8"/>
                    <a:stretch>
                      <a:fillRect/>
                    </a:stretch>
                  </pic:blipFill>
                  <pic:spPr>
                    <a:xfrm>
                      <a:off x="0" y="0"/>
                      <a:ext cx="1714500" cy="962025"/>
                    </a:xfrm>
                    <a:prstGeom prst="rect">
                      <a:avLst/>
                    </a:prstGeom>
                  </pic:spPr>
                </pic:pic>
              </a:graphicData>
            </a:graphic>
          </wp:inline>
        </w:drawing>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r w:rsidRPr="00840176">
        <w:rPr>
          <w:color w:val="00B050"/>
          <w:lang w:val="en-US"/>
        </w:rPr>
        <w:tab/>
      </w:r>
    </w:p>
    <w:p w:rsidR="00926DB2" w:rsidRPr="005C0352" w:rsidRDefault="00926DB2">
      <w:pPr>
        <w:rPr>
          <w:lang w:val="en-US"/>
        </w:rPr>
      </w:pPr>
    </w:p>
    <w:p w:rsidR="00926DB2" w:rsidRPr="005C0352" w:rsidRDefault="00926DB2">
      <w:pPr>
        <w:rPr>
          <w:lang w:val="en-US"/>
        </w:rPr>
      </w:pPr>
    </w:p>
    <w:p w:rsidR="00926DB2" w:rsidRDefault="00926DB2" w:rsidP="00046654">
      <w:pPr>
        <w:jc w:val="both"/>
        <w:rPr>
          <w:b/>
          <w:bCs/>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Pr="00680B49" w:rsidRDefault="00926DB2" w:rsidP="00680B49">
      <w:pPr>
        <w:rPr>
          <w:sz w:val="28"/>
          <w:szCs w:val="28"/>
          <w:lang w:val="en-US"/>
        </w:rPr>
      </w:pPr>
    </w:p>
    <w:p w:rsidR="00926DB2" w:rsidRDefault="00926DB2" w:rsidP="00046654">
      <w:pPr>
        <w:jc w:val="both"/>
        <w:rPr>
          <w:sz w:val="28"/>
          <w:szCs w:val="28"/>
          <w:lang w:val="en-US"/>
        </w:rPr>
      </w:pPr>
    </w:p>
    <w:p w:rsidR="00926DB2" w:rsidRDefault="00926DB2" w:rsidP="00046654">
      <w:pPr>
        <w:jc w:val="both"/>
        <w:rPr>
          <w:sz w:val="28"/>
          <w:szCs w:val="28"/>
          <w:lang w:val="en-US"/>
        </w:rPr>
      </w:pPr>
    </w:p>
    <w:p w:rsidR="00926DB2" w:rsidRDefault="00926DB2" w:rsidP="00046654">
      <w:pPr>
        <w:jc w:val="both"/>
        <w:rPr>
          <w:sz w:val="28"/>
          <w:szCs w:val="28"/>
          <w:lang w:val="en-US"/>
        </w:rPr>
      </w:pPr>
    </w:p>
    <w:p w:rsidR="00926DB2" w:rsidRDefault="00926DB2" w:rsidP="00046654">
      <w:pPr>
        <w:jc w:val="both"/>
        <w:rPr>
          <w:sz w:val="28"/>
          <w:szCs w:val="28"/>
          <w:lang w:val="en-US"/>
        </w:rPr>
      </w:pPr>
    </w:p>
    <w:p w:rsidR="0075326B" w:rsidRDefault="00DB4C5A" w:rsidP="00046654">
      <w:pPr>
        <w:jc w:val="both"/>
        <w:rPr>
          <w:sz w:val="32"/>
          <w:szCs w:val="32"/>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0075326B" w:rsidRPr="0075326B">
        <w:rPr>
          <w:sz w:val="32"/>
          <w:szCs w:val="32"/>
          <w:lang w:val="en-US"/>
        </w:rPr>
        <w:t>Master thesis</w:t>
      </w:r>
    </w:p>
    <w:p w:rsidR="00DB4C5A" w:rsidRDefault="00DB4C5A" w:rsidP="00046654">
      <w:pPr>
        <w:jc w:val="both"/>
        <w:rPr>
          <w:sz w:val="32"/>
          <w:szCs w:val="32"/>
          <w:lang w:val="en-US"/>
        </w:rPr>
      </w:pPr>
    </w:p>
    <w:p w:rsidR="00DB4C5A" w:rsidRPr="0075326B" w:rsidRDefault="00EF6BCB" w:rsidP="00046654">
      <w:pPr>
        <w:jc w:val="both"/>
        <w:rPr>
          <w:sz w:val="32"/>
          <w:szCs w:val="32"/>
          <w:lang w:val="en-US"/>
        </w:rPr>
      </w:pP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r>
      <w:r w:rsidR="005845A5">
        <w:rPr>
          <w:sz w:val="32"/>
          <w:szCs w:val="32"/>
          <w:lang w:val="en-US"/>
        </w:rPr>
        <w:t>May</w:t>
      </w:r>
      <w:r w:rsidR="00DB4C5A">
        <w:rPr>
          <w:sz w:val="32"/>
          <w:szCs w:val="32"/>
          <w:lang w:val="en-US"/>
        </w:rPr>
        <w:t>, 2013</w:t>
      </w:r>
    </w:p>
    <w:p w:rsidR="00DB4C5A" w:rsidRDefault="005845A5" w:rsidP="00046654">
      <w:pPr>
        <w:jc w:val="both"/>
        <w:rPr>
          <w:sz w:val="28"/>
          <w:szCs w:val="28"/>
          <w:lang w:val="en-US"/>
        </w:rPr>
      </w:pPr>
      <w:r>
        <w:rPr>
          <w:sz w:val="28"/>
          <w:szCs w:val="28"/>
          <w:lang w:val="en-US"/>
        </w:rPr>
        <w:tab/>
      </w:r>
      <w:r>
        <w:rPr>
          <w:sz w:val="28"/>
          <w:szCs w:val="28"/>
          <w:lang w:val="en-US"/>
        </w:rPr>
        <w:tab/>
      </w:r>
      <w:r>
        <w:rPr>
          <w:sz w:val="28"/>
          <w:szCs w:val="28"/>
          <w:lang w:val="en-US"/>
        </w:rPr>
        <w:tab/>
      </w:r>
    </w:p>
    <w:p w:rsidR="0075326B" w:rsidRPr="00E1797F" w:rsidRDefault="0075326B" w:rsidP="00DB4C5A">
      <w:pPr>
        <w:ind w:left="2880" w:firstLine="720"/>
        <w:jc w:val="both"/>
        <w:rPr>
          <w:sz w:val="28"/>
          <w:szCs w:val="28"/>
          <w:lang w:val="en-US"/>
        </w:rPr>
      </w:pPr>
      <w:r w:rsidRPr="00E1797F">
        <w:rPr>
          <w:sz w:val="28"/>
          <w:szCs w:val="28"/>
          <w:lang w:val="en-US"/>
        </w:rPr>
        <w:t xml:space="preserve">Name: </w:t>
      </w:r>
      <w:r w:rsidRPr="00E1797F">
        <w:rPr>
          <w:sz w:val="28"/>
          <w:szCs w:val="28"/>
          <w:lang w:val="en-US"/>
        </w:rPr>
        <w:tab/>
      </w:r>
      <w:r w:rsidR="00DB4C5A" w:rsidRPr="00E1797F">
        <w:rPr>
          <w:sz w:val="28"/>
          <w:szCs w:val="28"/>
          <w:lang w:val="en-US"/>
        </w:rPr>
        <w:tab/>
      </w:r>
      <w:proofErr w:type="spellStart"/>
      <w:r w:rsidRPr="00E1797F">
        <w:rPr>
          <w:sz w:val="28"/>
          <w:szCs w:val="28"/>
          <w:lang w:val="en-US"/>
        </w:rPr>
        <w:t>Adriaan</w:t>
      </w:r>
      <w:proofErr w:type="spellEnd"/>
      <w:r w:rsidRPr="00E1797F">
        <w:rPr>
          <w:sz w:val="28"/>
          <w:szCs w:val="28"/>
          <w:lang w:val="en-US"/>
        </w:rPr>
        <w:t xml:space="preserve"> </w:t>
      </w:r>
      <w:proofErr w:type="spellStart"/>
      <w:r w:rsidRPr="00E1797F">
        <w:rPr>
          <w:sz w:val="28"/>
          <w:szCs w:val="28"/>
          <w:lang w:val="en-US"/>
        </w:rPr>
        <w:t>Barentsen</w:t>
      </w:r>
      <w:proofErr w:type="spellEnd"/>
    </w:p>
    <w:p w:rsidR="00DB4C5A" w:rsidRPr="00E1797F" w:rsidRDefault="00DB4C5A" w:rsidP="00DB4C5A">
      <w:pPr>
        <w:ind w:left="2880" w:firstLine="720"/>
        <w:jc w:val="both"/>
        <w:rPr>
          <w:sz w:val="28"/>
          <w:szCs w:val="28"/>
          <w:lang w:val="en-US"/>
        </w:rPr>
      </w:pPr>
      <w:r w:rsidRPr="00E1797F">
        <w:rPr>
          <w:sz w:val="28"/>
          <w:szCs w:val="28"/>
          <w:lang w:val="en-US"/>
        </w:rPr>
        <w:t>Student number:</w:t>
      </w:r>
      <w:r w:rsidRPr="00E1797F">
        <w:rPr>
          <w:sz w:val="28"/>
          <w:szCs w:val="28"/>
          <w:lang w:val="en-US"/>
        </w:rPr>
        <w:tab/>
        <w:t>326569</w:t>
      </w:r>
      <w:r w:rsidRPr="00E1797F">
        <w:rPr>
          <w:sz w:val="28"/>
          <w:szCs w:val="28"/>
          <w:lang w:val="en-US"/>
        </w:rPr>
        <w:tab/>
      </w:r>
    </w:p>
    <w:p w:rsidR="00DB4C5A" w:rsidRPr="00E1797F" w:rsidRDefault="0075326B" w:rsidP="00046654">
      <w:pPr>
        <w:jc w:val="both"/>
        <w:rPr>
          <w:sz w:val="28"/>
          <w:szCs w:val="28"/>
          <w:lang w:val="en-US"/>
        </w:rPr>
      </w:pPr>
      <w:r w:rsidRPr="00E1797F">
        <w:rPr>
          <w:sz w:val="28"/>
          <w:szCs w:val="28"/>
          <w:lang w:val="en-US"/>
        </w:rPr>
        <w:tab/>
      </w:r>
      <w:r w:rsidRPr="00E1797F">
        <w:rPr>
          <w:sz w:val="28"/>
          <w:szCs w:val="28"/>
          <w:lang w:val="en-US"/>
        </w:rPr>
        <w:tab/>
      </w:r>
      <w:r w:rsidRPr="00E1797F">
        <w:rPr>
          <w:sz w:val="28"/>
          <w:szCs w:val="28"/>
          <w:lang w:val="en-US"/>
        </w:rPr>
        <w:tab/>
      </w:r>
      <w:r w:rsidRPr="00E1797F">
        <w:rPr>
          <w:sz w:val="28"/>
          <w:szCs w:val="28"/>
          <w:lang w:val="en-US"/>
        </w:rPr>
        <w:tab/>
      </w:r>
      <w:r w:rsidRPr="00E1797F">
        <w:rPr>
          <w:sz w:val="28"/>
          <w:szCs w:val="28"/>
          <w:lang w:val="en-US"/>
        </w:rPr>
        <w:tab/>
      </w:r>
      <w:r w:rsidRPr="00E1797F">
        <w:rPr>
          <w:sz w:val="28"/>
          <w:szCs w:val="28"/>
          <w:lang w:val="en-US"/>
        </w:rPr>
        <w:tab/>
      </w:r>
    </w:p>
    <w:p w:rsidR="0075326B" w:rsidRDefault="0075326B" w:rsidP="00DB4C5A">
      <w:pPr>
        <w:ind w:left="2880" w:firstLine="720"/>
        <w:jc w:val="both"/>
        <w:rPr>
          <w:sz w:val="28"/>
          <w:szCs w:val="28"/>
          <w:lang w:val="en-US"/>
        </w:rPr>
      </w:pPr>
      <w:r>
        <w:rPr>
          <w:sz w:val="28"/>
          <w:szCs w:val="28"/>
          <w:lang w:val="en-US"/>
        </w:rPr>
        <w:t xml:space="preserve">Supervisor: </w:t>
      </w:r>
      <w:r w:rsidR="00DB4C5A">
        <w:rPr>
          <w:sz w:val="28"/>
          <w:szCs w:val="28"/>
          <w:lang w:val="en-US"/>
        </w:rPr>
        <w:tab/>
      </w:r>
      <w:r w:rsidR="00DB4C5A">
        <w:rPr>
          <w:sz w:val="28"/>
          <w:szCs w:val="28"/>
          <w:lang w:val="en-US"/>
        </w:rPr>
        <w:tab/>
      </w:r>
      <w:r w:rsidRPr="0075326B">
        <w:rPr>
          <w:sz w:val="28"/>
          <w:szCs w:val="28"/>
          <w:lang w:val="en-US"/>
        </w:rPr>
        <w:t xml:space="preserve">C. van </w:t>
      </w:r>
      <w:proofErr w:type="spellStart"/>
      <w:r w:rsidRPr="0075326B">
        <w:rPr>
          <w:sz w:val="28"/>
          <w:szCs w:val="28"/>
          <w:lang w:val="en-US"/>
        </w:rPr>
        <w:t>der</w:t>
      </w:r>
      <w:proofErr w:type="spellEnd"/>
      <w:r w:rsidRPr="0075326B">
        <w:rPr>
          <w:sz w:val="28"/>
          <w:szCs w:val="28"/>
          <w:lang w:val="en-US"/>
        </w:rPr>
        <w:t xml:space="preserve"> </w:t>
      </w:r>
      <w:proofErr w:type="spellStart"/>
      <w:r w:rsidRPr="0075326B">
        <w:rPr>
          <w:sz w:val="28"/>
          <w:szCs w:val="28"/>
          <w:lang w:val="en-US"/>
        </w:rPr>
        <w:t>Spek</w:t>
      </w:r>
      <w:proofErr w:type="spellEnd"/>
      <w:r w:rsidR="00E07D39">
        <w:rPr>
          <w:sz w:val="28"/>
          <w:szCs w:val="28"/>
          <w:lang w:val="en-US"/>
        </w:rPr>
        <w:t xml:space="preserve"> RA</w:t>
      </w:r>
    </w:p>
    <w:p w:rsidR="0075326B" w:rsidRDefault="0075326B" w:rsidP="00046654">
      <w:pPr>
        <w:jc w:val="both"/>
        <w:rPr>
          <w:sz w:val="28"/>
          <w:szCs w:val="28"/>
          <w:lang w:val="en-US"/>
        </w:rPr>
      </w:pPr>
    </w:p>
    <w:p w:rsidR="0075326B" w:rsidRPr="0075326B" w:rsidRDefault="0075326B" w:rsidP="00046654">
      <w:pPr>
        <w:jc w:val="both"/>
        <w:rPr>
          <w:sz w:val="28"/>
          <w:szCs w:val="28"/>
          <w:lang w:val="en-US"/>
        </w:rPr>
      </w:pPr>
    </w:p>
    <w:p w:rsidR="00926DB2" w:rsidRDefault="00331C73" w:rsidP="00BA2A2D">
      <w:pPr>
        <w:pStyle w:val="Kop1"/>
        <w:numPr>
          <w:ilvl w:val="0"/>
          <w:numId w:val="0"/>
        </w:numPr>
        <w:spacing w:line="360" w:lineRule="auto"/>
        <w:ind w:left="431" w:hanging="431"/>
        <w:rPr>
          <w:szCs w:val="28"/>
        </w:rPr>
      </w:pPr>
      <w:bookmarkStart w:id="4" w:name="_Toc355387268"/>
      <w:r>
        <w:rPr>
          <w:szCs w:val="28"/>
        </w:rPr>
        <w:lastRenderedPageBreak/>
        <w:t>Acknowledgements</w:t>
      </w:r>
      <w:bookmarkEnd w:id="4"/>
    </w:p>
    <w:p w:rsidR="00BC5323" w:rsidRDefault="00BC5323" w:rsidP="00FA1A8A">
      <w:pPr>
        <w:spacing w:line="360" w:lineRule="auto"/>
        <w:jc w:val="both"/>
      </w:pPr>
      <w:r>
        <w:t xml:space="preserve">Writing this thesis and conducting research in the accounting field were a challenging </w:t>
      </w:r>
      <w:r w:rsidR="00660E8C">
        <w:t>way of finishing my Master in Accounting, Auditing and Control. Working on this thesis, I had the opportunity to apply the knowledge I had gained at the different cou</w:t>
      </w:r>
      <w:r w:rsidR="00284B84">
        <w:t>rses I have attended during my years at the Erasmus University.</w:t>
      </w:r>
    </w:p>
    <w:p w:rsidR="00284B84" w:rsidRDefault="00284B84" w:rsidP="00FA1A8A">
      <w:pPr>
        <w:spacing w:line="360" w:lineRule="auto"/>
        <w:jc w:val="both"/>
      </w:pPr>
    </w:p>
    <w:p w:rsidR="00284B84" w:rsidRDefault="00284B84" w:rsidP="00FA1A8A">
      <w:pPr>
        <w:spacing w:line="360" w:lineRule="auto"/>
        <w:jc w:val="both"/>
      </w:pPr>
      <w:r>
        <w:t>With pleasure, I take the opportunity to thank a number of people who helped me finishing this thesis. First of all, I would li</w:t>
      </w:r>
      <w:r w:rsidR="00E07D39">
        <w:t xml:space="preserve">ke to thank my supervisor </w:t>
      </w:r>
      <w:r w:rsidR="001E7826">
        <w:t xml:space="preserve">Mr. </w:t>
      </w:r>
      <w:r w:rsidR="00E07D39">
        <w:t>C</w:t>
      </w:r>
      <w:r>
        <w:t xml:space="preserve">. van </w:t>
      </w:r>
      <w:proofErr w:type="spellStart"/>
      <w:r>
        <w:t>der</w:t>
      </w:r>
      <w:proofErr w:type="spellEnd"/>
      <w:r>
        <w:t xml:space="preserve"> </w:t>
      </w:r>
      <w:proofErr w:type="spellStart"/>
      <w:r>
        <w:t>Spek</w:t>
      </w:r>
      <w:proofErr w:type="spellEnd"/>
      <w:r>
        <w:t xml:space="preserve"> </w:t>
      </w:r>
      <w:r w:rsidR="00E07D39">
        <w:t xml:space="preserve">RA </w:t>
      </w:r>
      <w:r>
        <w:t>for his support</w:t>
      </w:r>
      <w:r w:rsidR="00F92A14">
        <w:t>, interest</w:t>
      </w:r>
      <w:r>
        <w:t xml:space="preserve"> and advices for further improvement on the thesis. </w:t>
      </w:r>
    </w:p>
    <w:p w:rsidR="00F92A14" w:rsidRDefault="00F92A14" w:rsidP="00FA1A8A">
      <w:pPr>
        <w:spacing w:line="360" w:lineRule="auto"/>
        <w:jc w:val="both"/>
      </w:pPr>
    </w:p>
    <w:p w:rsidR="00F92A14" w:rsidRDefault="00F92A14" w:rsidP="00FA1A8A">
      <w:pPr>
        <w:spacing w:line="360" w:lineRule="auto"/>
        <w:jc w:val="both"/>
      </w:pPr>
      <w:r>
        <w:t>I would also like to thank my girlfriend Alien for</w:t>
      </w:r>
      <w:r w:rsidR="005445B2">
        <w:t xml:space="preserve"> her support and</w:t>
      </w:r>
      <w:r>
        <w:t xml:space="preserve"> giving me the opportunity to finish my master thesis. Finally, I would like to thank my colleagues for </w:t>
      </w:r>
      <w:r w:rsidR="005445B2">
        <w:t>their interest in my thesis</w:t>
      </w:r>
      <w:r>
        <w:t xml:space="preserve">. </w:t>
      </w:r>
    </w:p>
    <w:p w:rsidR="00284B84" w:rsidRDefault="00284B84" w:rsidP="00660E8C">
      <w:pPr>
        <w:spacing w:line="360" w:lineRule="auto"/>
      </w:pPr>
    </w:p>
    <w:p w:rsidR="00BC5323" w:rsidRPr="005445B2" w:rsidRDefault="00BC5323" w:rsidP="00660E8C">
      <w:pPr>
        <w:spacing w:line="360" w:lineRule="auto"/>
        <w:rPr>
          <w:lang w:val="en-US"/>
        </w:rPr>
      </w:pPr>
    </w:p>
    <w:p w:rsidR="00517228" w:rsidRPr="005445B2" w:rsidRDefault="00517228" w:rsidP="00660E8C">
      <w:pPr>
        <w:spacing w:line="360" w:lineRule="auto"/>
        <w:rPr>
          <w:lang w:val="en-US"/>
        </w:rPr>
      </w:pPr>
    </w:p>
    <w:p w:rsidR="005445B2" w:rsidRDefault="00517228" w:rsidP="00660E8C">
      <w:pPr>
        <w:spacing w:line="360" w:lineRule="auto"/>
        <w:rPr>
          <w:lang w:val="en-US"/>
        </w:rPr>
      </w:pPr>
      <w:r w:rsidRPr="005445B2">
        <w:rPr>
          <w:lang w:val="en-US"/>
        </w:rPr>
        <w:tab/>
      </w:r>
      <w:r w:rsidRPr="005445B2">
        <w:rPr>
          <w:lang w:val="en-US"/>
        </w:rPr>
        <w:tab/>
      </w:r>
      <w:r w:rsidRPr="005445B2">
        <w:rPr>
          <w:lang w:val="en-US"/>
        </w:rPr>
        <w:tab/>
      </w:r>
      <w:r w:rsidRPr="005445B2">
        <w:rPr>
          <w:lang w:val="en-US"/>
        </w:rPr>
        <w:tab/>
      </w:r>
      <w:r w:rsidRPr="005445B2">
        <w:rPr>
          <w:lang w:val="en-US"/>
        </w:rPr>
        <w:tab/>
      </w:r>
      <w:r w:rsidRPr="005445B2">
        <w:rPr>
          <w:lang w:val="en-US"/>
        </w:rPr>
        <w:tab/>
      </w:r>
      <w:r w:rsidRPr="005445B2">
        <w:rPr>
          <w:lang w:val="en-US"/>
        </w:rPr>
        <w:tab/>
      </w:r>
      <w:r w:rsidRPr="005445B2">
        <w:rPr>
          <w:lang w:val="en-US"/>
        </w:rPr>
        <w:tab/>
      </w:r>
      <w:r w:rsidRPr="005445B2">
        <w:rPr>
          <w:lang w:val="en-US"/>
        </w:rPr>
        <w:tab/>
      </w:r>
    </w:p>
    <w:p w:rsidR="005445B2" w:rsidRDefault="005445B2" w:rsidP="00660E8C">
      <w:pPr>
        <w:spacing w:line="360" w:lineRule="auto"/>
        <w:rPr>
          <w:lang w:val="en-US"/>
        </w:rPr>
      </w:pPr>
    </w:p>
    <w:p w:rsidR="005445B2" w:rsidRDefault="005445B2" w:rsidP="00660E8C">
      <w:pPr>
        <w:spacing w:line="360" w:lineRule="auto"/>
        <w:rPr>
          <w:lang w:val="en-US"/>
        </w:rPr>
      </w:pPr>
    </w:p>
    <w:p w:rsidR="00517228" w:rsidRPr="00F31AC0" w:rsidRDefault="00486633" w:rsidP="00660E8C">
      <w:pPr>
        <w:spacing w:line="360" w:lineRule="auto"/>
        <w:rPr>
          <w:lang w:val="en-US"/>
        </w:rPr>
      </w:pPr>
      <w:r>
        <w:rPr>
          <w:lang w:val="en-US"/>
        </w:rPr>
        <w:t>Utrecht, 6</w:t>
      </w:r>
      <w:r w:rsidR="00517228" w:rsidRPr="00F31AC0">
        <w:rPr>
          <w:lang w:val="en-US"/>
        </w:rPr>
        <w:t xml:space="preserve"> May 2013</w:t>
      </w:r>
    </w:p>
    <w:p w:rsidR="00BC5323" w:rsidRPr="00F31AC0" w:rsidRDefault="00BC5323">
      <w:pPr>
        <w:rPr>
          <w:lang w:val="en-US"/>
        </w:rPr>
      </w:pPr>
      <w:r w:rsidRPr="00F31AC0">
        <w:rPr>
          <w:lang w:val="en-US"/>
        </w:rPr>
        <w:br w:type="page"/>
      </w:r>
    </w:p>
    <w:p w:rsidR="00BC5323" w:rsidRDefault="006D7A79" w:rsidP="000B7DBB">
      <w:pPr>
        <w:pStyle w:val="Kop1"/>
        <w:numPr>
          <w:ilvl w:val="0"/>
          <w:numId w:val="0"/>
        </w:numPr>
        <w:spacing w:line="360" w:lineRule="auto"/>
        <w:ind w:left="432" w:hanging="432"/>
        <w:rPr>
          <w:szCs w:val="28"/>
        </w:rPr>
      </w:pPr>
      <w:bookmarkStart w:id="5" w:name="_Toc355387269"/>
      <w:r>
        <w:rPr>
          <w:szCs w:val="28"/>
        </w:rPr>
        <w:lastRenderedPageBreak/>
        <w:t>Executive summary</w:t>
      </w:r>
      <w:bookmarkStart w:id="6" w:name="_Toc267323012"/>
      <w:bookmarkStart w:id="7" w:name="_Toc267649032"/>
      <w:bookmarkEnd w:id="5"/>
    </w:p>
    <w:p w:rsidR="000B7DBB" w:rsidRDefault="000B7DBB" w:rsidP="00FA1A8A">
      <w:pPr>
        <w:spacing w:line="360" w:lineRule="auto"/>
        <w:jc w:val="both"/>
      </w:pPr>
      <w:r>
        <w:t xml:space="preserve">The Dutch pension fund sector </w:t>
      </w:r>
      <w:r w:rsidR="00071D6B">
        <w:t xml:space="preserve">is </w:t>
      </w:r>
      <w:r>
        <w:t>an interesting, dynamic research</w:t>
      </w:r>
      <w:r w:rsidR="00425437">
        <w:t xml:space="preserve"> field on which this thesis has</w:t>
      </w:r>
      <w:r>
        <w:t xml:space="preserve"> focus</w:t>
      </w:r>
      <w:r w:rsidR="00425437">
        <w:t>sed</w:t>
      </w:r>
      <w:r w:rsidR="00071D6B">
        <w:t xml:space="preserve"> by providing an answer to</w:t>
      </w:r>
      <w:r>
        <w:t xml:space="preserve"> the following main research question:</w:t>
      </w:r>
    </w:p>
    <w:p w:rsidR="007E7BDA" w:rsidRDefault="007E7BDA" w:rsidP="00FA1A8A">
      <w:pPr>
        <w:spacing w:line="120" w:lineRule="exact"/>
        <w:jc w:val="both"/>
      </w:pPr>
    </w:p>
    <w:p w:rsidR="007E7BDA" w:rsidRDefault="007E7BDA" w:rsidP="00FA1A8A">
      <w:pPr>
        <w:spacing w:line="20" w:lineRule="exact"/>
        <w:jc w:val="both"/>
      </w:pPr>
    </w:p>
    <w:p w:rsidR="000B7DBB" w:rsidRDefault="000B7DBB" w:rsidP="00FA1A8A">
      <w:pPr>
        <w:spacing w:line="360" w:lineRule="auto"/>
        <w:jc w:val="both"/>
        <w:rPr>
          <w:b/>
          <w:bCs/>
          <w:i/>
          <w:iCs/>
        </w:rPr>
      </w:pPr>
      <w:r w:rsidRPr="000B7DBB">
        <w:rPr>
          <w:b/>
          <w:bCs/>
          <w:i/>
          <w:iCs/>
        </w:rPr>
        <w:t xml:space="preserve">“To what extent have the quantity and quality of investment risk disclosures in the financial </w:t>
      </w:r>
      <w:r w:rsidRPr="000B7DBB">
        <w:rPr>
          <w:b/>
          <w:bCs/>
          <w:i/>
          <w:iCs/>
          <w:lang w:val="en-GB"/>
        </w:rPr>
        <w:t>statements</w:t>
      </w:r>
      <w:r w:rsidRPr="000B7DBB">
        <w:rPr>
          <w:b/>
          <w:bCs/>
          <w:i/>
          <w:iCs/>
        </w:rPr>
        <w:t xml:space="preserve"> of Dutch pension funds increased since the financial crisis and does pension fund size result in differences in disclosure quantity and quality?”</w:t>
      </w:r>
    </w:p>
    <w:p w:rsidR="007E7BDA" w:rsidRDefault="007E7BDA" w:rsidP="00FA1A8A">
      <w:pPr>
        <w:spacing w:line="120" w:lineRule="exact"/>
        <w:jc w:val="both"/>
        <w:rPr>
          <w:b/>
          <w:bCs/>
          <w:i/>
          <w:iCs/>
        </w:rPr>
      </w:pPr>
    </w:p>
    <w:p w:rsidR="00E05F85" w:rsidRDefault="00BD6047" w:rsidP="00FA1A8A">
      <w:pPr>
        <w:spacing w:line="360" w:lineRule="auto"/>
        <w:jc w:val="both"/>
        <w:rPr>
          <w:bCs/>
          <w:iCs/>
        </w:rPr>
      </w:pPr>
      <w:r>
        <w:rPr>
          <w:bCs/>
          <w:iCs/>
        </w:rPr>
        <w:t>Scientific research might</w:t>
      </w:r>
      <w:r w:rsidR="000B7DBB">
        <w:rPr>
          <w:bCs/>
          <w:iCs/>
        </w:rPr>
        <w:t xml:space="preserve"> contribute to increasing disclosure quality and help</w:t>
      </w:r>
      <w:r>
        <w:rPr>
          <w:bCs/>
          <w:iCs/>
        </w:rPr>
        <w:t xml:space="preserve"> reduce problems with information asymmetry and agency conflicts that occur also in the pension sector. </w:t>
      </w:r>
      <w:proofErr w:type="spellStart"/>
      <w:r w:rsidR="004F74D6">
        <w:rPr>
          <w:bCs/>
          <w:iCs/>
        </w:rPr>
        <w:t>Buzby</w:t>
      </w:r>
      <w:proofErr w:type="spellEnd"/>
      <w:r w:rsidR="004F74D6">
        <w:rPr>
          <w:bCs/>
          <w:iCs/>
        </w:rPr>
        <w:t xml:space="preserve"> (1975) and Cooke (1989) conclude</w:t>
      </w:r>
      <w:r w:rsidR="00071D6B">
        <w:rPr>
          <w:bCs/>
          <w:iCs/>
        </w:rPr>
        <w:t>d in their research</w:t>
      </w:r>
      <w:r w:rsidR="004F74D6">
        <w:rPr>
          <w:bCs/>
          <w:iCs/>
        </w:rPr>
        <w:t xml:space="preserve"> that the larger a company, the higher the disclosure quality, which will be subject of research in this thesis as well.</w:t>
      </w:r>
      <w:r w:rsidR="00425437">
        <w:rPr>
          <w:bCs/>
          <w:iCs/>
        </w:rPr>
        <w:t xml:space="preserve"> The financial crisis started in the United States in 2007 and spread all over the world since then (</w:t>
      </w:r>
      <w:proofErr w:type="spellStart"/>
      <w:r w:rsidR="00425437">
        <w:rPr>
          <w:bCs/>
          <w:iCs/>
        </w:rPr>
        <w:t>Dabrowski</w:t>
      </w:r>
      <w:proofErr w:type="spellEnd"/>
      <w:r w:rsidR="00425437">
        <w:rPr>
          <w:bCs/>
          <w:iCs/>
        </w:rPr>
        <w:t>, 2010). This thesis aims to research if the disclosure quantity and quality of investment risks have increased since the financial crisis as well.</w:t>
      </w:r>
      <w:r w:rsidR="00D27539">
        <w:rPr>
          <w:bCs/>
          <w:iCs/>
        </w:rPr>
        <w:t xml:space="preserve"> </w:t>
      </w:r>
      <w:r w:rsidR="00E05F85">
        <w:rPr>
          <w:bCs/>
          <w:iCs/>
        </w:rPr>
        <w:t>Both disclosure quantity and quality</w:t>
      </w:r>
      <w:r w:rsidR="009C45F5">
        <w:rPr>
          <w:bCs/>
          <w:iCs/>
        </w:rPr>
        <w:t xml:space="preserve"> will be researched</w:t>
      </w:r>
      <w:r w:rsidR="00E05F85">
        <w:rPr>
          <w:bCs/>
          <w:iCs/>
        </w:rPr>
        <w:t xml:space="preserve">, following Beretta and </w:t>
      </w:r>
      <w:proofErr w:type="spellStart"/>
      <w:r w:rsidR="00E05F85">
        <w:rPr>
          <w:bCs/>
          <w:iCs/>
        </w:rPr>
        <w:t>Bozzolan</w:t>
      </w:r>
      <w:proofErr w:type="spellEnd"/>
      <w:r w:rsidR="00E05F85">
        <w:rPr>
          <w:bCs/>
          <w:iCs/>
        </w:rPr>
        <w:t xml:space="preserve"> (2004) who emphasized to take into account not only “how much” (disclosure quantity), but also “what” and “in which way” (disclosure quality)  is disclosed.</w:t>
      </w:r>
    </w:p>
    <w:p w:rsidR="00BC5323" w:rsidRDefault="00E05F85" w:rsidP="00FA1A8A">
      <w:pPr>
        <w:spacing w:line="360" w:lineRule="auto"/>
        <w:jc w:val="both"/>
      </w:pPr>
      <w:r>
        <w:rPr>
          <w:bCs/>
          <w:iCs/>
        </w:rPr>
        <w:t xml:space="preserve">After an extensive selection procedure, </w:t>
      </w:r>
      <w:r w:rsidR="00071D6B">
        <w:rPr>
          <w:bCs/>
          <w:iCs/>
        </w:rPr>
        <w:t>content analysis</w:t>
      </w:r>
      <w:r w:rsidR="00BA1135">
        <w:rPr>
          <w:bCs/>
          <w:iCs/>
        </w:rPr>
        <w:t xml:space="preserve"> and </w:t>
      </w:r>
      <w:r w:rsidR="001A025E">
        <w:rPr>
          <w:bCs/>
          <w:iCs/>
        </w:rPr>
        <w:t xml:space="preserve">a </w:t>
      </w:r>
      <w:r w:rsidR="00BA1135">
        <w:rPr>
          <w:bCs/>
          <w:iCs/>
        </w:rPr>
        <w:t xml:space="preserve">disclosure </w:t>
      </w:r>
      <w:r w:rsidR="001A025E">
        <w:rPr>
          <w:bCs/>
          <w:iCs/>
        </w:rPr>
        <w:t>index study</w:t>
      </w:r>
      <w:r w:rsidR="00BA1135">
        <w:rPr>
          <w:bCs/>
          <w:iCs/>
        </w:rPr>
        <w:t xml:space="preserve"> have</w:t>
      </w:r>
      <w:r w:rsidR="00071D6B">
        <w:rPr>
          <w:bCs/>
          <w:iCs/>
        </w:rPr>
        <w:t xml:space="preserve"> been chosen as research method</w:t>
      </w:r>
      <w:r w:rsidR="00BA1135">
        <w:rPr>
          <w:bCs/>
          <w:iCs/>
        </w:rPr>
        <w:t>s</w:t>
      </w:r>
      <w:r w:rsidR="00071D6B">
        <w:rPr>
          <w:bCs/>
          <w:iCs/>
        </w:rPr>
        <w:t>. To collect the data, a checklist has been applied to</w:t>
      </w:r>
      <w:r w:rsidR="009B4795">
        <w:rPr>
          <w:bCs/>
          <w:iCs/>
        </w:rPr>
        <w:t xml:space="preserve"> the</w:t>
      </w:r>
      <w:r w:rsidR="00071D6B">
        <w:rPr>
          <w:bCs/>
          <w:iCs/>
        </w:rPr>
        <w:t xml:space="preserve"> financial statements of </w:t>
      </w:r>
      <w:r w:rsidR="009B4795">
        <w:rPr>
          <w:bCs/>
          <w:iCs/>
        </w:rPr>
        <w:t xml:space="preserve">25 </w:t>
      </w:r>
      <w:r w:rsidR="00071D6B">
        <w:rPr>
          <w:bCs/>
          <w:iCs/>
        </w:rPr>
        <w:t>Dutch pension funds.</w:t>
      </w:r>
      <w:r w:rsidR="00C8193C">
        <w:rPr>
          <w:bCs/>
          <w:iCs/>
        </w:rPr>
        <w:t xml:space="preserve"> </w:t>
      </w:r>
      <w:r w:rsidR="009B26A7">
        <w:rPr>
          <w:bCs/>
          <w:iCs/>
        </w:rPr>
        <w:t xml:space="preserve">First of all has been tested if the financial crisis was a topic in the financial statements at all and if </w:t>
      </w:r>
      <w:r w:rsidR="00E22842">
        <w:rPr>
          <w:bCs/>
          <w:iCs/>
        </w:rPr>
        <w:t xml:space="preserve">the disclosure quantity </w:t>
      </w:r>
      <w:r w:rsidR="00D90A82">
        <w:rPr>
          <w:bCs/>
          <w:iCs/>
        </w:rPr>
        <w:t xml:space="preserve">regarding financial crisis was bigger for larger than for smaller pension funds. This </w:t>
      </w:r>
      <w:r w:rsidR="009B26A7">
        <w:rPr>
          <w:bCs/>
          <w:iCs/>
        </w:rPr>
        <w:t xml:space="preserve">was indeed the case. </w:t>
      </w:r>
      <w:r w:rsidR="00D90A82">
        <w:rPr>
          <w:bCs/>
          <w:iCs/>
        </w:rPr>
        <w:t xml:space="preserve">Furthermore could be concluded that the financial crisis had resulted in a bigger disclosure quantity of investment risks. </w:t>
      </w:r>
      <w:r w:rsidR="00DB2B0E">
        <w:rPr>
          <w:bCs/>
          <w:iCs/>
        </w:rPr>
        <w:t>It was remarkable that indeed the larger pension funds disclosed the investment risks more frequently than smaller pension funds before the crisis, but this was not the case anymore after the start of the financial crisis. Regarding the asset category bonds could be concluded that the quality of investment risk disclosures ha</w:t>
      </w:r>
      <w:r w:rsidR="009C1756">
        <w:rPr>
          <w:bCs/>
          <w:iCs/>
        </w:rPr>
        <w:t>s</w:t>
      </w:r>
      <w:r w:rsidR="00DB2B0E">
        <w:rPr>
          <w:bCs/>
          <w:iCs/>
        </w:rPr>
        <w:t xml:space="preserve"> increased since the financial crisis</w:t>
      </w:r>
      <w:r w:rsidR="009C1756">
        <w:rPr>
          <w:bCs/>
          <w:iCs/>
        </w:rPr>
        <w:t xml:space="preserve"> which was </w:t>
      </w:r>
      <w:r w:rsidR="00040579">
        <w:rPr>
          <w:bCs/>
          <w:iCs/>
        </w:rPr>
        <w:t>to a lesser degree</w:t>
      </w:r>
      <w:r w:rsidR="009C1756">
        <w:rPr>
          <w:bCs/>
          <w:iCs/>
        </w:rPr>
        <w:t xml:space="preserve"> the</w:t>
      </w:r>
      <w:r w:rsidR="00DB2B0E">
        <w:rPr>
          <w:bCs/>
          <w:iCs/>
        </w:rPr>
        <w:t xml:space="preserve"> case </w:t>
      </w:r>
      <w:r w:rsidR="00040579">
        <w:rPr>
          <w:bCs/>
          <w:iCs/>
        </w:rPr>
        <w:t>with</w:t>
      </w:r>
      <w:r w:rsidR="009C1756">
        <w:rPr>
          <w:bCs/>
          <w:iCs/>
        </w:rPr>
        <w:t xml:space="preserve"> </w:t>
      </w:r>
      <w:r w:rsidR="00DB2B0E">
        <w:rPr>
          <w:bCs/>
          <w:iCs/>
        </w:rPr>
        <w:t>real estate</w:t>
      </w:r>
      <w:r w:rsidR="009C1756">
        <w:rPr>
          <w:bCs/>
          <w:iCs/>
        </w:rPr>
        <w:t>. With regard to t</w:t>
      </w:r>
      <w:r w:rsidR="00DB2B0E">
        <w:rPr>
          <w:bCs/>
          <w:iCs/>
        </w:rPr>
        <w:t>he</w:t>
      </w:r>
      <w:r w:rsidR="009C1756">
        <w:rPr>
          <w:bCs/>
          <w:iCs/>
        </w:rPr>
        <w:t xml:space="preserve"> disclosure quality of investment risks</w:t>
      </w:r>
      <w:r w:rsidR="0072310C">
        <w:rPr>
          <w:bCs/>
          <w:iCs/>
        </w:rPr>
        <w:t>,</w:t>
      </w:r>
      <w:r w:rsidR="009C1756">
        <w:rPr>
          <w:bCs/>
          <w:iCs/>
        </w:rPr>
        <w:t xml:space="preserve"> </w:t>
      </w:r>
      <w:r w:rsidR="0072310C">
        <w:rPr>
          <w:bCs/>
          <w:iCs/>
        </w:rPr>
        <w:t xml:space="preserve">pension fund size </w:t>
      </w:r>
      <w:r w:rsidR="009C1756">
        <w:rPr>
          <w:bCs/>
          <w:iCs/>
        </w:rPr>
        <w:t xml:space="preserve">resulted only partially in higher disclosure quality for bigger pension funds. </w:t>
      </w:r>
      <w:r w:rsidR="00AF308F">
        <w:rPr>
          <w:bCs/>
          <w:iCs/>
        </w:rPr>
        <w:t xml:space="preserve">However, like many other researches this research has his limitations as well. </w:t>
      </w:r>
      <w:r w:rsidR="0072310C">
        <w:rPr>
          <w:bCs/>
          <w:iCs/>
        </w:rPr>
        <w:t xml:space="preserve">An important limitation is </w:t>
      </w:r>
      <w:r w:rsidR="00F82AD5">
        <w:rPr>
          <w:bCs/>
          <w:iCs/>
        </w:rPr>
        <w:t xml:space="preserve">that there are possibilities for pension funds to voluntarily disclose information </w:t>
      </w:r>
      <w:r w:rsidR="0072310C">
        <w:rPr>
          <w:bCs/>
          <w:iCs/>
        </w:rPr>
        <w:t>to reduce problems with information asymmetry and agency conflicts.</w:t>
      </w:r>
      <w:r w:rsidR="00F82AD5">
        <w:rPr>
          <w:bCs/>
          <w:iCs/>
        </w:rPr>
        <w:t xml:space="preserve"> These possibilities, such as newsletters, have not been taken into account as part of this research and are an interesting subject of research for further investigation.</w:t>
      </w:r>
    </w:p>
    <w:p w:rsidR="00B6673E" w:rsidRPr="00B6673E" w:rsidRDefault="00BC5323" w:rsidP="00BC5323">
      <w:pPr>
        <w:pStyle w:val="Kop1"/>
        <w:numPr>
          <w:ilvl w:val="0"/>
          <w:numId w:val="0"/>
        </w:numPr>
        <w:ind w:left="432" w:hanging="432"/>
        <w:rPr>
          <w:szCs w:val="28"/>
        </w:rPr>
      </w:pPr>
      <w:bookmarkStart w:id="8" w:name="_Toc355387270"/>
      <w:r>
        <w:rPr>
          <w:szCs w:val="28"/>
        </w:rPr>
        <w:t>T</w:t>
      </w:r>
      <w:r w:rsidR="00471019" w:rsidRPr="00B554EB">
        <w:t xml:space="preserve">able of </w:t>
      </w:r>
      <w:bookmarkEnd w:id="6"/>
      <w:bookmarkEnd w:id="7"/>
      <w:r w:rsidR="000E53A1" w:rsidRPr="00B554EB">
        <w:t>contents</w:t>
      </w:r>
      <w:r w:rsidR="000E53A1">
        <w:t>:</w:t>
      </w:r>
      <w:bookmarkEnd w:id="8"/>
    </w:p>
    <w:p w:rsidR="00B1723B" w:rsidRDefault="003E0D8B">
      <w:pPr>
        <w:pStyle w:val="Inhopg1"/>
        <w:rPr>
          <w:rFonts w:asciiTheme="minorHAnsi" w:eastAsiaTheme="minorEastAsia" w:hAnsiTheme="minorHAnsi" w:cstheme="minorBidi"/>
          <w:b w:val="0"/>
          <w:bCs w:val="0"/>
          <w:sz w:val="22"/>
          <w:szCs w:val="22"/>
          <w:lang w:val="nl-NL" w:eastAsia="nl-NL" w:bidi="ar-SA"/>
        </w:rPr>
      </w:pPr>
      <w:r w:rsidRPr="003E0D8B">
        <w:rPr>
          <w:sz w:val="28"/>
          <w:szCs w:val="28"/>
          <w:lang w:val="en-US"/>
        </w:rPr>
        <w:fldChar w:fldCharType="begin"/>
      </w:r>
      <w:r w:rsidR="00926DB2" w:rsidRPr="000A3906">
        <w:rPr>
          <w:sz w:val="28"/>
          <w:szCs w:val="28"/>
          <w:lang w:val="en-US"/>
        </w:rPr>
        <w:instrText xml:space="preserve"> TOC \o "1-3" \h \z \u </w:instrText>
      </w:r>
      <w:r w:rsidRPr="003E0D8B">
        <w:rPr>
          <w:sz w:val="28"/>
          <w:szCs w:val="28"/>
          <w:lang w:val="en-US"/>
        </w:rPr>
        <w:fldChar w:fldCharType="separate"/>
      </w:r>
      <w:hyperlink w:anchor="_Toc355387268" w:history="1">
        <w:r w:rsidR="00B1723B" w:rsidRPr="0028570A">
          <w:rPr>
            <w:rStyle w:val="Hyperlink"/>
          </w:rPr>
          <w:t>Acknowledgements</w:t>
        </w:r>
        <w:r w:rsidR="00B1723B">
          <w:rPr>
            <w:webHidden/>
          </w:rPr>
          <w:tab/>
        </w:r>
        <w:r w:rsidR="00B1723B">
          <w:rPr>
            <w:webHidden/>
          </w:rPr>
          <w:fldChar w:fldCharType="begin"/>
        </w:r>
        <w:r w:rsidR="00B1723B">
          <w:rPr>
            <w:webHidden/>
          </w:rPr>
          <w:instrText xml:space="preserve"> PAGEREF _Toc355387268 \h </w:instrText>
        </w:r>
        <w:r w:rsidR="00B1723B">
          <w:rPr>
            <w:webHidden/>
          </w:rPr>
        </w:r>
        <w:r w:rsidR="00B1723B">
          <w:rPr>
            <w:webHidden/>
          </w:rPr>
          <w:fldChar w:fldCharType="separate"/>
        </w:r>
        <w:r w:rsidR="00B1723B">
          <w:rPr>
            <w:webHidden/>
          </w:rPr>
          <w:t>1</w:t>
        </w:r>
        <w:r w:rsidR="00B1723B">
          <w:rPr>
            <w:webHidden/>
          </w:rPr>
          <w:fldChar w:fldCharType="end"/>
        </w:r>
      </w:hyperlink>
    </w:p>
    <w:p w:rsidR="00B1723B" w:rsidRDefault="00B1723B">
      <w:pPr>
        <w:pStyle w:val="Inhopg1"/>
        <w:rPr>
          <w:rFonts w:asciiTheme="minorHAnsi" w:eastAsiaTheme="minorEastAsia" w:hAnsiTheme="minorHAnsi" w:cstheme="minorBidi"/>
          <w:b w:val="0"/>
          <w:bCs w:val="0"/>
          <w:sz w:val="22"/>
          <w:szCs w:val="22"/>
          <w:lang w:val="nl-NL" w:eastAsia="nl-NL" w:bidi="ar-SA"/>
        </w:rPr>
      </w:pPr>
      <w:hyperlink w:anchor="_Toc355387269" w:history="1">
        <w:r w:rsidRPr="0028570A">
          <w:rPr>
            <w:rStyle w:val="Hyperlink"/>
          </w:rPr>
          <w:t>Executive summary</w:t>
        </w:r>
        <w:r>
          <w:rPr>
            <w:webHidden/>
          </w:rPr>
          <w:tab/>
        </w:r>
        <w:r>
          <w:rPr>
            <w:webHidden/>
          </w:rPr>
          <w:fldChar w:fldCharType="begin"/>
        </w:r>
        <w:r>
          <w:rPr>
            <w:webHidden/>
          </w:rPr>
          <w:instrText xml:space="preserve"> PAGEREF _Toc355387269 \h </w:instrText>
        </w:r>
        <w:r>
          <w:rPr>
            <w:webHidden/>
          </w:rPr>
        </w:r>
        <w:r>
          <w:rPr>
            <w:webHidden/>
          </w:rPr>
          <w:fldChar w:fldCharType="separate"/>
        </w:r>
        <w:r>
          <w:rPr>
            <w:webHidden/>
          </w:rPr>
          <w:t>2</w:t>
        </w:r>
        <w:r>
          <w:rPr>
            <w:webHidden/>
          </w:rPr>
          <w:fldChar w:fldCharType="end"/>
        </w:r>
      </w:hyperlink>
    </w:p>
    <w:p w:rsidR="00B1723B" w:rsidRDefault="00B1723B">
      <w:pPr>
        <w:pStyle w:val="Inhopg1"/>
        <w:rPr>
          <w:rFonts w:asciiTheme="minorHAnsi" w:eastAsiaTheme="minorEastAsia" w:hAnsiTheme="minorHAnsi" w:cstheme="minorBidi"/>
          <w:b w:val="0"/>
          <w:bCs w:val="0"/>
          <w:sz w:val="22"/>
          <w:szCs w:val="22"/>
          <w:lang w:val="nl-NL" w:eastAsia="nl-NL" w:bidi="ar-SA"/>
        </w:rPr>
      </w:pPr>
      <w:hyperlink w:anchor="_Toc355387270" w:history="1">
        <w:r w:rsidRPr="0028570A">
          <w:rPr>
            <w:rStyle w:val="Hyperlink"/>
          </w:rPr>
          <w:t>Table of contents:</w:t>
        </w:r>
        <w:r>
          <w:rPr>
            <w:webHidden/>
          </w:rPr>
          <w:tab/>
        </w:r>
        <w:r>
          <w:rPr>
            <w:webHidden/>
          </w:rPr>
          <w:fldChar w:fldCharType="begin"/>
        </w:r>
        <w:r>
          <w:rPr>
            <w:webHidden/>
          </w:rPr>
          <w:instrText xml:space="preserve"> PAGEREF _Toc355387270 \h </w:instrText>
        </w:r>
        <w:r>
          <w:rPr>
            <w:webHidden/>
          </w:rPr>
        </w:r>
        <w:r>
          <w:rPr>
            <w:webHidden/>
          </w:rPr>
          <w:fldChar w:fldCharType="separate"/>
        </w:r>
        <w:r>
          <w:rPr>
            <w:webHidden/>
          </w:rPr>
          <w:t>3</w:t>
        </w:r>
        <w:r>
          <w:rPr>
            <w:webHidden/>
          </w:rPr>
          <w:fldChar w:fldCharType="end"/>
        </w:r>
      </w:hyperlink>
    </w:p>
    <w:p w:rsidR="00B1723B" w:rsidRDefault="00B1723B">
      <w:pPr>
        <w:pStyle w:val="Inhopg1"/>
        <w:rPr>
          <w:rFonts w:asciiTheme="minorHAnsi" w:eastAsiaTheme="minorEastAsia" w:hAnsiTheme="minorHAnsi" w:cstheme="minorBidi"/>
          <w:b w:val="0"/>
          <w:bCs w:val="0"/>
          <w:sz w:val="22"/>
          <w:szCs w:val="22"/>
          <w:lang w:val="nl-NL" w:eastAsia="nl-NL" w:bidi="ar-SA"/>
        </w:rPr>
      </w:pPr>
      <w:hyperlink w:anchor="_Toc355387271" w:history="1">
        <w:r w:rsidRPr="0028570A">
          <w:rPr>
            <w:rStyle w:val="Hyperlink"/>
            <w:lang w:val="en-US"/>
          </w:rPr>
          <w:t>List of abbreviations</w:t>
        </w:r>
        <w:r>
          <w:rPr>
            <w:webHidden/>
          </w:rPr>
          <w:tab/>
        </w:r>
        <w:r>
          <w:rPr>
            <w:webHidden/>
          </w:rPr>
          <w:fldChar w:fldCharType="begin"/>
        </w:r>
        <w:r>
          <w:rPr>
            <w:webHidden/>
          </w:rPr>
          <w:instrText xml:space="preserve"> PAGEREF _Toc355387271 \h </w:instrText>
        </w:r>
        <w:r>
          <w:rPr>
            <w:webHidden/>
          </w:rPr>
        </w:r>
        <w:r>
          <w:rPr>
            <w:webHidden/>
          </w:rPr>
          <w:fldChar w:fldCharType="separate"/>
        </w:r>
        <w:r>
          <w:rPr>
            <w:webHidden/>
          </w:rPr>
          <w:t>5</w:t>
        </w:r>
        <w:r>
          <w:rPr>
            <w:webHidden/>
          </w:rPr>
          <w:fldChar w:fldCharType="end"/>
        </w:r>
      </w:hyperlink>
    </w:p>
    <w:p w:rsidR="00B1723B" w:rsidRDefault="00B1723B">
      <w:pPr>
        <w:pStyle w:val="Inhopg1"/>
        <w:tabs>
          <w:tab w:val="left" w:pos="480"/>
        </w:tabs>
        <w:rPr>
          <w:rFonts w:asciiTheme="minorHAnsi" w:eastAsiaTheme="minorEastAsia" w:hAnsiTheme="minorHAnsi" w:cstheme="minorBidi"/>
          <w:b w:val="0"/>
          <w:bCs w:val="0"/>
          <w:sz w:val="22"/>
          <w:szCs w:val="22"/>
          <w:lang w:val="nl-NL" w:eastAsia="nl-NL" w:bidi="ar-SA"/>
        </w:rPr>
      </w:pPr>
      <w:hyperlink w:anchor="_Toc355387272" w:history="1">
        <w:r w:rsidRPr="0028570A">
          <w:rPr>
            <w:rStyle w:val="Hyperlink"/>
          </w:rPr>
          <w:t>1</w:t>
        </w:r>
        <w:r>
          <w:rPr>
            <w:rFonts w:asciiTheme="minorHAnsi" w:eastAsiaTheme="minorEastAsia" w:hAnsiTheme="minorHAnsi" w:cstheme="minorBidi"/>
            <w:b w:val="0"/>
            <w:bCs w:val="0"/>
            <w:sz w:val="22"/>
            <w:szCs w:val="22"/>
            <w:lang w:val="nl-NL" w:eastAsia="nl-NL" w:bidi="ar-SA"/>
          </w:rPr>
          <w:tab/>
        </w:r>
        <w:r w:rsidRPr="0028570A">
          <w:rPr>
            <w:rStyle w:val="Hyperlink"/>
            <w:lang w:val="en-US"/>
          </w:rPr>
          <w:t>Introduction</w:t>
        </w:r>
        <w:r>
          <w:rPr>
            <w:webHidden/>
          </w:rPr>
          <w:tab/>
        </w:r>
        <w:r>
          <w:rPr>
            <w:webHidden/>
          </w:rPr>
          <w:fldChar w:fldCharType="begin"/>
        </w:r>
        <w:r>
          <w:rPr>
            <w:webHidden/>
          </w:rPr>
          <w:instrText xml:space="preserve"> PAGEREF _Toc355387272 \h </w:instrText>
        </w:r>
        <w:r>
          <w:rPr>
            <w:webHidden/>
          </w:rPr>
        </w:r>
        <w:r>
          <w:rPr>
            <w:webHidden/>
          </w:rPr>
          <w:fldChar w:fldCharType="separate"/>
        </w:r>
        <w:r>
          <w:rPr>
            <w:webHidden/>
          </w:rPr>
          <w:t>6</w:t>
        </w:r>
        <w:r>
          <w:rPr>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73" w:history="1">
        <w:r w:rsidRPr="0028570A">
          <w:rPr>
            <w:rStyle w:val="Hyperlink"/>
            <w:noProof/>
          </w:rPr>
          <w:t>1.1</w:t>
        </w:r>
        <w:r>
          <w:rPr>
            <w:rFonts w:asciiTheme="minorHAnsi" w:eastAsiaTheme="minorEastAsia" w:hAnsiTheme="minorHAnsi" w:cstheme="minorBidi"/>
            <w:noProof/>
            <w:sz w:val="22"/>
            <w:szCs w:val="22"/>
            <w:lang w:val="nl-NL" w:eastAsia="nl-NL" w:bidi="ar-SA"/>
          </w:rPr>
          <w:tab/>
        </w:r>
        <w:r w:rsidRPr="0028570A">
          <w:rPr>
            <w:rStyle w:val="Hyperlink"/>
            <w:noProof/>
          </w:rPr>
          <w:t>Motivation</w:t>
        </w:r>
        <w:r>
          <w:rPr>
            <w:noProof/>
            <w:webHidden/>
          </w:rPr>
          <w:tab/>
        </w:r>
        <w:r>
          <w:rPr>
            <w:noProof/>
            <w:webHidden/>
          </w:rPr>
          <w:fldChar w:fldCharType="begin"/>
        </w:r>
        <w:r>
          <w:rPr>
            <w:noProof/>
            <w:webHidden/>
          </w:rPr>
          <w:instrText xml:space="preserve"> PAGEREF _Toc355387273 \h </w:instrText>
        </w:r>
        <w:r>
          <w:rPr>
            <w:noProof/>
            <w:webHidden/>
          </w:rPr>
        </w:r>
        <w:r>
          <w:rPr>
            <w:noProof/>
            <w:webHidden/>
          </w:rPr>
          <w:fldChar w:fldCharType="separate"/>
        </w:r>
        <w:r>
          <w:rPr>
            <w:noProof/>
            <w:webHidden/>
          </w:rPr>
          <w:t>6</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74" w:history="1">
        <w:r w:rsidRPr="0028570A">
          <w:rPr>
            <w:rStyle w:val="Hyperlink"/>
            <w:noProof/>
          </w:rPr>
          <w:t>1.2</w:t>
        </w:r>
        <w:r>
          <w:rPr>
            <w:rFonts w:asciiTheme="minorHAnsi" w:eastAsiaTheme="minorEastAsia" w:hAnsiTheme="minorHAnsi" w:cstheme="minorBidi"/>
            <w:noProof/>
            <w:sz w:val="22"/>
            <w:szCs w:val="22"/>
            <w:lang w:val="nl-NL" w:eastAsia="nl-NL" w:bidi="ar-SA"/>
          </w:rPr>
          <w:tab/>
        </w:r>
        <w:r w:rsidRPr="0028570A">
          <w:rPr>
            <w:rStyle w:val="Hyperlink"/>
            <w:noProof/>
          </w:rPr>
          <w:t>Main research question and sub research questions</w:t>
        </w:r>
        <w:r>
          <w:rPr>
            <w:noProof/>
            <w:webHidden/>
          </w:rPr>
          <w:tab/>
        </w:r>
        <w:r>
          <w:rPr>
            <w:noProof/>
            <w:webHidden/>
          </w:rPr>
          <w:fldChar w:fldCharType="begin"/>
        </w:r>
        <w:r>
          <w:rPr>
            <w:noProof/>
            <w:webHidden/>
          </w:rPr>
          <w:instrText xml:space="preserve"> PAGEREF _Toc355387274 \h </w:instrText>
        </w:r>
        <w:r>
          <w:rPr>
            <w:noProof/>
            <w:webHidden/>
          </w:rPr>
        </w:r>
        <w:r>
          <w:rPr>
            <w:noProof/>
            <w:webHidden/>
          </w:rPr>
          <w:fldChar w:fldCharType="separate"/>
        </w:r>
        <w:r>
          <w:rPr>
            <w:noProof/>
            <w:webHidden/>
          </w:rPr>
          <w:t>7</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75" w:history="1">
        <w:r w:rsidRPr="0028570A">
          <w:rPr>
            <w:rStyle w:val="Hyperlink"/>
            <w:noProof/>
            <w:lang w:val="en-US"/>
          </w:rPr>
          <w:t>1.3</w:t>
        </w:r>
        <w:r>
          <w:rPr>
            <w:rFonts w:asciiTheme="minorHAnsi" w:eastAsiaTheme="minorEastAsia" w:hAnsiTheme="minorHAnsi" w:cstheme="minorBidi"/>
            <w:noProof/>
            <w:sz w:val="22"/>
            <w:szCs w:val="22"/>
            <w:lang w:val="nl-NL" w:eastAsia="nl-NL" w:bidi="ar-SA"/>
          </w:rPr>
          <w:tab/>
        </w:r>
        <w:r w:rsidRPr="0028570A">
          <w:rPr>
            <w:rStyle w:val="Hyperlink"/>
            <w:noProof/>
            <w:lang w:val="en-US"/>
          </w:rPr>
          <w:t>Methodology</w:t>
        </w:r>
        <w:r>
          <w:rPr>
            <w:noProof/>
            <w:webHidden/>
          </w:rPr>
          <w:tab/>
        </w:r>
        <w:r>
          <w:rPr>
            <w:noProof/>
            <w:webHidden/>
          </w:rPr>
          <w:fldChar w:fldCharType="begin"/>
        </w:r>
        <w:r>
          <w:rPr>
            <w:noProof/>
            <w:webHidden/>
          </w:rPr>
          <w:instrText xml:space="preserve"> PAGEREF _Toc355387275 \h </w:instrText>
        </w:r>
        <w:r>
          <w:rPr>
            <w:noProof/>
            <w:webHidden/>
          </w:rPr>
        </w:r>
        <w:r>
          <w:rPr>
            <w:noProof/>
            <w:webHidden/>
          </w:rPr>
          <w:fldChar w:fldCharType="separate"/>
        </w:r>
        <w:r>
          <w:rPr>
            <w:noProof/>
            <w:webHidden/>
          </w:rPr>
          <w:t>8</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76" w:history="1">
        <w:r w:rsidRPr="0028570A">
          <w:rPr>
            <w:rStyle w:val="Hyperlink"/>
            <w:noProof/>
            <w:lang w:val="en-US"/>
          </w:rPr>
          <w:t>1.4</w:t>
        </w:r>
        <w:r>
          <w:rPr>
            <w:rFonts w:asciiTheme="minorHAnsi" w:eastAsiaTheme="minorEastAsia" w:hAnsiTheme="minorHAnsi" w:cstheme="minorBidi"/>
            <w:noProof/>
            <w:sz w:val="22"/>
            <w:szCs w:val="22"/>
            <w:lang w:val="nl-NL" w:eastAsia="nl-NL" w:bidi="ar-SA"/>
          </w:rPr>
          <w:tab/>
        </w:r>
        <w:r w:rsidRPr="0028570A">
          <w:rPr>
            <w:rStyle w:val="Hyperlink"/>
            <w:noProof/>
            <w:lang w:val="en-US"/>
          </w:rPr>
          <w:t>Structure</w:t>
        </w:r>
        <w:r>
          <w:rPr>
            <w:noProof/>
            <w:webHidden/>
          </w:rPr>
          <w:tab/>
        </w:r>
        <w:r>
          <w:rPr>
            <w:noProof/>
            <w:webHidden/>
          </w:rPr>
          <w:fldChar w:fldCharType="begin"/>
        </w:r>
        <w:r>
          <w:rPr>
            <w:noProof/>
            <w:webHidden/>
          </w:rPr>
          <w:instrText xml:space="preserve"> PAGEREF _Toc355387276 \h </w:instrText>
        </w:r>
        <w:r>
          <w:rPr>
            <w:noProof/>
            <w:webHidden/>
          </w:rPr>
        </w:r>
        <w:r>
          <w:rPr>
            <w:noProof/>
            <w:webHidden/>
          </w:rPr>
          <w:fldChar w:fldCharType="separate"/>
        </w:r>
        <w:r>
          <w:rPr>
            <w:noProof/>
            <w:webHidden/>
          </w:rPr>
          <w:t>8</w:t>
        </w:r>
        <w:r>
          <w:rPr>
            <w:noProof/>
            <w:webHidden/>
          </w:rPr>
          <w:fldChar w:fldCharType="end"/>
        </w:r>
      </w:hyperlink>
    </w:p>
    <w:p w:rsidR="00B1723B" w:rsidRDefault="00B1723B">
      <w:pPr>
        <w:pStyle w:val="Inhopg1"/>
        <w:tabs>
          <w:tab w:val="left" w:pos="480"/>
        </w:tabs>
        <w:rPr>
          <w:rFonts w:asciiTheme="minorHAnsi" w:eastAsiaTheme="minorEastAsia" w:hAnsiTheme="minorHAnsi" w:cstheme="minorBidi"/>
          <w:b w:val="0"/>
          <w:bCs w:val="0"/>
          <w:sz w:val="22"/>
          <w:szCs w:val="22"/>
          <w:lang w:val="nl-NL" w:eastAsia="nl-NL" w:bidi="ar-SA"/>
        </w:rPr>
      </w:pPr>
      <w:hyperlink w:anchor="_Toc355387277" w:history="1">
        <w:r w:rsidRPr="0028570A">
          <w:rPr>
            <w:rStyle w:val="Hyperlink"/>
            <w:lang w:val="en-US"/>
          </w:rPr>
          <w:t>2</w:t>
        </w:r>
        <w:r>
          <w:rPr>
            <w:rFonts w:asciiTheme="minorHAnsi" w:eastAsiaTheme="minorEastAsia" w:hAnsiTheme="minorHAnsi" w:cstheme="minorBidi"/>
            <w:b w:val="0"/>
            <w:bCs w:val="0"/>
            <w:sz w:val="22"/>
            <w:szCs w:val="22"/>
            <w:lang w:val="nl-NL" w:eastAsia="nl-NL" w:bidi="ar-SA"/>
          </w:rPr>
          <w:tab/>
        </w:r>
        <w:r w:rsidRPr="0028570A">
          <w:rPr>
            <w:rStyle w:val="Hyperlink"/>
            <w:iCs/>
          </w:rPr>
          <w:t>Literature research</w:t>
        </w:r>
        <w:r>
          <w:rPr>
            <w:webHidden/>
          </w:rPr>
          <w:tab/>
        </w:r>
        <w:r>
          <w:rPr>
            <w:webHidden/>
          </w:rPr>
          <w:fldChar w:fldCharType="begin"/>
        </w:r>
        <w:r>
          <w:rPr>
            <w:webHidden/>
          </w:rPr>
          <w:instrText xml:space="preserve"> PAGEREF _Toc355387277 \h </w:instrText>
        </w:r>
        <w:r>
          <w:rPr>
            <w:webHidden/>
          </w:rPr>
        </w:r>
        <w:r>
          <w:rPr>
            <w:webHidden/>
          </w:rPr>
          <w:fldChar w:fldCharType="separate"/>
        </w:r>
        <w:r>
          <w:rPr>
            <w:webHidden/>
          </w:rPr>
          <w:t>9</w:t>
        </w:r>
        <w:r>
          <w:rPr>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78" w:history="1">
        <w:r w:rsidRPr="0028570A">
          <w:rPr>
            <w:rStyle w:val="Hyperlink"/>
            <w:noProof/>
            <w:lang w:val="en-US"/>
          </w:rPr>
          <w:t>2.1</w:t>
        </w:r>
        <w:r>
          <w:rPr>
            <w:rFonts w:asciiTheme="minorHAnsi" w:eastAsiaTheme="minorEastAsia" w:hAnsiTheme="minorHAnsi" w:cstheme="minorBidi"/>
            <w:noProof/>
            <w:sz w:val="22"/>
            <w:szCs w:val="22"/>
            <w:lang w:val="nl-NL" w:eastAsia="nl-NL" w:bidi="ar-SA"/>
          </w:rPr>
          <w:tab/>
        </w:r>
        <w:r w:rsidRPr="0028570A">
          <w:rPr>
            <w:rStyle w:val="Hyperlink"/>
            <w:noProof/>
            <w:lang w:val="en-US"/>
          </w:rPr>
          <w:t>Theory</w:t>
        </w:r>
        <w:r>
          <w:rPr>
            <w:noProof/>
            <w:webHidden/>
          </w:rPr>
          <w:tab/>
        </w:r>
        <w:r>
          <w:rPr>
            <w:noProof/>
            <w:webHidden/>
          </w:rPr>
          <w:fldChar w:fldCharType="begin"/>
        </w:r>
        <w:r>
          <w:rPr>
            <w:noProof/>
            <w:webHidden/>
          </w:rPr>
          <w:instrText xml:space="preserve"> PAGEREF _Toc355387278 \h </w:instrText>
        </w:r>
        <w:r>
          <w:rPr>
            <w:noProof/>
            <w:webHidden/>
          </w:rPr>
        </w:r>
        <w:r>
          <w:rPr>
            <w:noProof/>
            <w:webHidden/>
          </w:rPr>
          <w:fldChar w:fldCharType="separate"/>
        </w:r>
        <w:r>
          <w:rPr>
            <w:noProof/>
            <w:webHidden/>
          </w:rPr>
          <w:t>9</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79" w:history="1">
        <w:r w:rsidRPr="0028570A">
          <w:rPr>
            <w:rStyle w:val="Hyperlink"/>
            <w:noProof/>
            <w:lang w:val="en-US"/>
          </w:rPr>
          <w:t>2.2</w:t>
        </w:r>
        <w:r>
          <w:rPr>
            <w:rFonts w:asciiTheme="minorHAnsi" w:eastAsiaTheme="minorEastAsia" w:hAnsiTheme="minorHAnsi" w:cstheme="minorBidi"/>
            <w:noProof/>
            <w:sz w:val="22"/>
            <w:szCs w:val="22"/>
            <w:lang w:val="nl-NL" w:eastAsia="nl-NL" w:bidi="ar-SA"/>
          </w:rPr>
          <w:tab/>
        </w:r>
        <w:r w:rsidRPr="0028570A">
          <w:rPr>
            <w:rStyle w:val="Hyperlink"/>
            <w:noProof/>
            <w:lang w:val="en-US"/>
          </w:rPr>
          <w:t>Dutch pension sector</w:t>
        </w:r>
        <w:r>
          <w:rPr>
            <w:noProof/>
            <w:webHidden/>
          </w:rPr>
          <w:tab/>
        </w:r>
        <w:r>
          <w:rPr>
            <w:noProof/>
            <w:webHidden/>
          </w:rPr>
          <w:fldChar w:fldCharType="begin"/>
        </w:r>
        <w:r>
          <w:rPr>
            <w:noProof/>
            <w:webHidden/>
          </w:rPr>
          <w:instrText xml:space="preserve"> PAGEREF _Toc355387279 \h </w:instrText>
        </w:r>
        <w:r>
          <w:rPr>
            <w:noProof/>
            <w:webHidden/>
          </w:rPr>
        </w:r>
        <w:r>
          <w:rPr>
            <w:noProof/>
            <w:webHidden/>
          </w:rPr>
          <w:fldChar w:fldCharType="separate"/>
        </w:r>
        <w:r>
          <w:rPr>
            <w:noProof/>
            <w:webHidden/>
          </w:rPr>
          <w:t>11</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0" w:history="1">
        <w:r w:rsidRPr="0028570A">
          <w:rPr>
            <w:rStyle w:val="Hyperlink"/>
            <w:noProof/>
          </w:rPr>
          <w:t>2.3</w:t>
        </w:r>
        <w:r>
          <w:rPr>
            <w:rFonts w:asciiTheme="minorHAnsi" w:eastAsiaTheme="minorEastAsia" w:hAnsiTheme="minorHAnsi" w:cstheme="minorBidi"/>
            <w:noProof/>
            <w:sz w:val="22"/>
            <w:szCs w:val="22"/>
            <w:lang w:val="nl-NL" w:eastAsia="nl-NL" w:bidi="ar-SA"/>
          </w:rPr>
          <w:tab/>
        </w:r>
        <w:r w:rsidRPr="0028570A">
          <w:rPr>
            <w:rStyle w:val="Hyperlink"/>
            <w:noProof/>
          </w:rPr>
          <w:t>Financial crisis</w:t>
        </w:r>
        <w:r>
          <w:rPr>
            <w:noProof/>
            <w:webHidden/>
          </w:rPr>
          <w:tab/>
        </w:r>
        <w:r>
          <w:rPr>
            <w:noProof/>
            <w:webHidden/>
          </w:rPr>
          <w:fldChar w:fldCharType="begin"/>
        </w:r>
        <w:r>
          <w:rPr>
            <w:noProof/>
            <w:webHidden/>
          </w:rPr>
          <w:instrText xml:space="preserve"> PAGEREF _Toc355387280 \h </w:instrText>
        </w:r>
        <w:r>
          <w:rPr>
            <w:noProof/>
            <w:webHidden/>
          </w:rPr>
        </w:r>
        <w:r>
          <w:rPr>
            <w:noProof/>
            <w:webHidden/>
          </w:rPr>
          <w:fldChar w:fldCharType="separate"/>
        </w:r>
        <w:r>
          <w:rPr>
            <w:noProof/>
            <w:webHidden/>
          </w:rPr>
          <w:t>13</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1" w:history="1">
        <w:r w:rsidRPr="0028570A">
          <w:rPr>
            <w:rStyle w:val="Hyperlink"/>
            <w:noProof/>
          </w:rPr>
          <w:t>2.4</w:t>
        </w:r>
        <w:r>
          <w:rPr>
            <w:rFonts w:asciiTheme="minorHAnsi" w:eastAsiaTheme="minorEastAsia" w:hAnsiTheme="minorHAnsi" w:cstheme="minorBidi"/>
            <w:noProof/>
            <w:sz w:val="22"/>
            <w:szCs w:val="22"/>
            <w:lang w:val="nl-NL" w:eastAsia="nl-NL" w:bidi="ar-SA"/>
          </w:rPr>
          <w:tab/>
        </w:r>
        <w:r w:rsidRPr="0028570A">
          <w:rPr>
            <w:rStyle w:val="Hyperlink"/>
            <w:noProof/>
          </w:rPr>
          <w:t>Annual reports versus annual accounts</w:t>
        </w:r>
        <w:r>
          <w:rPr>
            <w:noProof/>
            <w:webHidden/>
          </w:rPr>
          <w:tab/>
        </w:r>
        <w:r>
          <w:rPr>
            <w:noProof/>
            <w:webHidden/>
          </w:rPr>
          <w:fldChar w:fldCharType="begin"/>
        </w:r>
        <w:r>
          <w:rPr>
            <w:noProof/>
            <w:webHidden/>
          </w:rPr>
          <w:instrText xml:space="preserve"> PAGEREF _Toc355387281 \h </w:instrText>
        </w:r>
        <w:r>
          <w:rPr>
            <w:noProof/>
            <w:webHidden/>
          </w:rPr>
        </w:r>
        <w:r>
          <w:rPr>
            <w:noProof/>
            <w:webHidden/>
          </w:rPr>
          <w:fldChar w:fldCharType="separate"/>
        </w:r>
        <w:r>
          <w:rPr>
            <w:noProof/>
            <w:webHidden/>
          </w:rPr>
          <w:t>14</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2" w:history="1">
        <w:r w:rsidRPr="0028570A">
          <w:rPr>
            <w:rStyle w:val="Hyperlink"/>
            <w:noProof/>
          </w:rPr>
          <w:t>2.5</w:t>
        </w:r>
        <w:r>
          <w:rPr>
            <w:rFonts w:asciiTheme="minorHAnsi" w:eastAsiaTheme="minorEastAsia" w:hAnsiTheme="minorHAnsi" w:cstheme="minorBidi"/>
            <w:noProof/>
            <w:sz w:val="22"/>
            <w:szCs w:val="22"/>
            <w:lang w:val="nl-NL" w:eastAsia="nl-NL" w:bidi="ar-SA"/>
          </w:rPr>
          <w:tab/>
        </w:r>
        <w:r w:rsidRPr="0028570A">
          <w:rPr>
            <w:rStyle w:val="Hyperlink"/>
            <w:noProof/>
          </w:rPr>
          <w:t>Risk</w:t>
        </w:r>
        <w:r>
          <w:rPr>
            <w:noProof/>
            <w:webHidden/>
          </w:rPr>
          <w:tab/>
        </w:r>
        <w:r>
          <w:rPr>
            <w:noProof/>
            <w:webHidden/>
          </w:rPr>
          <w:fldChar w:fldCharType="begin"/>
        </w:r>
        <w:r>
          <w:rPr>
            <w:noProof/>
            <w:webHidden/>
          </w:rPr>
          <w:instrText xml:space="preserve"> PAGEREF _Toc355387282 \h </w:instrText>
        </w:r>
        <w:r>
          <w:rPr>
            <w:noProof/>
            <w:webHidden/>
          </w:rPr>
        </w:r>
        <w:r>
          <w:rPr>
            <w:noProof/>
            <w:webHidden/>
          </w:rPr>
          <w:fldChar w:fldCharType="separate"/>
        </w:r>
        <w:r>
          <w:rPr>
            <w:noProof/>
            <w:webHidden/>
          </w:rPr>
          <w:t>14</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3" w:history="1">
        <w:r w:rsidRPr="0028570A">
          <w:rPr>
            <w:rStyle w:val="Hyperlink"/>
            <w:noProof/>
          </w:rPr>
          <w:t>2.6</w:t>
        </w:r>
        <w:r>
          <w:rPr>
            <w:rFonts w:asciiTheme="minorHAnsi" w:eastAsiaTheme="minorEastAsia" w:hAnsiTheme="minorHAnsi" w:cstheme="minorBidi"/>
            <w:noProof/>
            <w:sz w:val="22"/>
            <w:szCs w:val="22"/>
            <w:lang w:val="nl-NL" w:eastAsia="nl-NL" w:bidi="ar-SA"/>
          </w:rPr>
          <w:tab/>
        </w:r>
        <w:r w:rsidRPr="0028570A">
          <w:rPr>
            <w:rStyle w:val="Hyperlink"/>
            <w:noProof/>
          </w:rPr>
          <w:t>Disclosure</w:t>
        </w:r>
        <w:r>
          <w:rPr>
            <w:noProof/>
            <w:webHidden/>
          </w:rPr>
          <w:tab/>
        </w:r>
        <w:r>
          <w:rPr>
            <w:noProof/>
            <w:webHidden/>
          </w:rPr>
          <w:fldChar w:fldCharType="begin"/>
        </w:r>
        <w:r>
          <w:rPr>
            <w:noProof/>
            <w:webHidden/>
          </w:rPr>
          <w:instrText xml:space="preserve"> PAGEREF _Toc355387283 \h </w:instrText>
        </w:r>
        <w:r>
          <w:rPr>
            <w:noProof/>
            <w:webHidden/>
          </w:rPr>
        </w:r>
        <w:r>
          <w:rPr>
            <w:noProof/>
            <w:webHidden/>
          </w:rPr>
          <w:fldChar w:fldCharType="separate"/>
        </w:r>
        <w:r>
          <w:rPr>
            <w:noProof/>
            <w:webHidden/>
          </w:rPr>
          <w:t>16</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4" w:history="1">
        <w:r w:rsidRPr="0028570A">
          <w:rPr>
            <w:rStyle w:val="Hyperlink"/>
            <w:noProof/>
            <w:lang w:val="en-US"/>
          </w:rPr>
          <w:t>2.6.1</w:t>
        </w:r>
        <w:r>
          <w:rPr>
            <w:rFonts w:asciiTheme="minorHAnsi" w:eastAsiaTheme="minorEastAsia" w:hAnsiTheme="minorHAnsi" w:cstheme="minorBidi"/>
            <w:noProof/>
            <w:sz w:val="22"/>
            <w:szCs w:val="22"/>
            <w:lang w:val="nl-NL" w:eastAsia="nl-NL" w:bidi="ar-SA"/>
          </w:rPr>
          <w:tab/>
        </w:r>
        <w:r w:rsidRPr="0028570A">
          <w:rPr>
            <w:rStyle w:val="Hyperlink"/>
            <w:noProof/>
            <w:lang w:val="en-US"/>
          </w:rPr>
          <w:t>Definition</w:t>
        </w:r>
        <w:r>
          <w:rPr>
            <w:noProof/>
            <w:webHidden/>
          </w:rPr>
          <w:tab/>
        </w:r>
        <w:r>
          <w:rPr>
            <w:noProof/>
            <w:webHidden/>
          </w:rPr>
          <w:fldChar w:fldCharType="begin"/>
        </w:r>
        <w:r>
          <w:rPr>
            <w:noProof/>
            <w:webHidden/>
          </w:rPr>
          <w:instrText xml:space="preserve"> PAGEREF _Toc355387284 \h </w:instrText>
        </w:r>
        <w:r>
          <w:rPr>
            <w:noProof/>
            <w:webHidden/>
          </w:rPr>
        </w:r>
        <w:r>
          <w:rPr>
            <w:noProof/>
            <w:webHidden/>
          </w:rPr>
          <w:fldChar w:fldCharType="separate"/>
        </w:r>
        <w:r>
          <w:rPr>
            <w:noProof/>
            <w:webHidden/>
          </w:rPr>
          <w:t>16</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5" w:history="1">
        <w:r w:rsidRPr="0028570A">
          <w:rPr>
            <w:rStyle w:val="Hyperlink"/>
            <w:noProof/>
            <w:lang w:val="en-US"/>
          </w:rPr>
          <w:t>2.6.2</w:t>
        </w:r>
        <w:r>
          <w:rPr>
            <w:rFonts w:asciiTheme="minorHAnsi" w:eastAsiaTheme="minorEastAsia" w:hAnsiTheme="minorHAnsi" w:cstheme="minorBidi"/>
            <w:noProof/>
            <w:sz w:val="22"/>
            <w:szCs w:val="22"/>
            <w:lang w:val="nl-NL" w:eastAsia="nl-NL" w:bidi="ar-SA"/>
          </w:rPr>
          <w:tab/>
        </w:r>
        <w:r w:rsidRPr="0028570A">
          <w:rPr>
            <w:rStyle w:val="Hyperlink"/>
            <w:noProof/>
            <w:lang w:val="en-US"/>
          </w:rPr>
          <w:t>Mandatory disclosures</w:t>
        </w:r>
        <w:r>
          <w:rPr>
            <w:noProof/>
            <w:webHidden/>
          </w:rPr>
          <w:tab/>
        </w:r>
        <w:r>
          <w:rPr>
            <w:noProof/>
            <w:webHidden/>
          </w:rPr>
          <w:fldChar w:fldCharType="begin"/>
        </w:r>
        <w:r>
          <w:rPr>
            <w:noProof/>
            <w:webHidden/>
          </w:rPr>
          <w:instrText xml:space="preserve"> PAGEREF _Toc355387285 \h </w:instrText>
        </w:r>
        <w:r>
          <w:rPr>
            <w:noProof/>
            <w:webHidden/>
          </w:rPr>
        </w:r>
        <w:r>
          <w:rPr>
            <w:noProof/>
            <w:webHidden/>
          </w:rPr>
          <w:fldChar w:fldCharType="separate"/>
        </w:r>
        <w:r>
          <w:rPr>
            <w:noProof/>
            <w:webHidden/>
          </w:rPr>
          <w:t>16</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6" w:history="1">
        <w:r w:rsidRPr="0028570A">
          <w:rPr>
            <w:rStyle w:val="Hyperlink"/>
            <w:noProof/>
            <w:lang w:val="en-US"/>
          </w:rPr>
          <w:t>2.6.3</w:t>
        </w:r>
        <w:r>
          <w:rPr>
            <w:rFonts w:asciiTheme="minorHAnsi" w:eastAsiaTheme="minorEastAsia" w:hAnsiTheme="minorHAnsi" w:cstheme="minorBidi"/>
            <w:noProof/>
            <w:sz w:val="22"/>
            <w:szCs w:val="22"/>
            <w:lang w:val="nl-NL" w:eastAsia="nl-NL" w:bidi="ar-SA"/>
          </w:rPr>
          <w:tab/>
        </w:r>
        <w:r w:rsidRPr="0028570A">
          <w:rPr>
            <w:rStyle w:val="Hyperlink"/>
            <w:noProof/>
            <w:lang w:val="en-US"/>
          </w:rPr>
          <w:t>Voluntary disclosures</w:t>
        </w:r>
        <w:r>
          <w:rPr>
            <w:noProof/>
            <w:webHidden/>
          </w:rPr>
          <w:tab/>
        </w:r>
        <w:r>
          <w:rPr>
            <w:noProof/>
            <w:webHidden/>
          </w:rPr>
          <w:fldChar w:fldCharType="begin"/>
        </w:r>
        <w:r>
          <w:rPr>
            <w:noProof/>
            <w:webHidden/>
          </w:rPr>
          <w:instrText xml:space="preserve"> PAGEREF _Toc355387286 \h </w:instrText>
        </w:r>
        <w:r>
          <w:rPr>
            <w:noProof/>
            <w:webHidden/>
          </w:rPr>
        </w:r>
        <w:r>
          <w:rPr>
            <w:noProof/>
            <w:webHidden/>
          </w:rPr>
          <w:fldChar w:fldCharType="separate"/>
        </w:r>
        <w:r>
          <w:rPr>
            <w:noProof/>
            <w:webHidden/>
          </w:rPr>
          <w:t>18</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7" w:history="1">
        <w:r w:rsidRPr="0028570A">
          <w:rPr>
            <w:rStyle w:val="Hyperlink"/>
            <w:noProof/>
            <w:lang w:val="en-US"/>
          </w:rPr>
          <w:t>2.6.4</w:t>
        </w:r>
        <w:r>
          <w:rPr>
            <w:rFonts w:asciiTheme="minorHAnsi" w:eastAsiaTheme="minorEastAsia" w:hAnsiTheme="minorHAnsi" w:cstheme="minorBidi"/>
            <w:noProof/>
            <w:sz w:val="22"/>
            <w:szCs w:val="22"/>
            <w:lang w:val="nl-NL" w:eastAsia="nl-NL" w:bidi="ar-SA"/>
          </w:rPr>
          <w:tab/>
        </w:r>
        <w:r w:rsidRPr="0028570A">
          <w:rPr>
            <w:rStyle w:val="Hyperlink"/>
            <w:noProof/>
            <w:lang w:val="en-US"/>
          </w:rPr>
          <w:t>Boundary between voluntary and mandatory disclosures</w:t>
        </w:r>
        <w:r>
          <w:rPr>
            <w:noProof/>
            <w:webHidden/>
          </w:rPr>
          <w:tab/>
        </w:r>
        <w:r>
          <w:rPr>
            <w:noProof/>
            <w:webHidden/>
          </w:rPr>
          <w:fldChar w:fldCharType="begin"/>
        </w:r>
        <w:r>
          <w:rPr>
            <w:noProof/>
            <w:webHidden/>
          </w:rPr>
          <w:instrText xml:space="preserve"> PAGEREF _Toc355387287 \h </w:instrText>
        </w:r>
        <w:r>
          <w:rPr>
            <w:noProof/>
            <w:webHidden/>
          </w:rPr>
        </w:r>
        <w:r>
          <w:rPr>
            <w:noProof/>
            <w:webHidden/>
          </w:rPr>
          <w:fldChar w:fldCharType="separate"/>
        </w:r>
        <w:r>
          <w:rPr>
            <w:noProof/>
            <w:webHidden/>
          </w:rPr>
          <w:t>19</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8" w:history="1">
        <w:r w:rsidRPr="0028570A">
          <w:rPr>
            <w:rStyle w:val="Hyperlink"/>
            <w:noProof/>
            <w:lang w:val="en-US"/>
          </w:rPr>
          <w:t>2.7</w:t>
        </w:r>
        <w:r>
          <w:rPr>
            <w:rFonts w:asciiTheme="minorHAnsi" w:eastAsiaTheme="minorEastAsia" w:hAnsiTheme="minorHAnsi" w:cstheme="minorBidi"/>
            <w:noProof/>
            <w:sz w:val="22"/>
            <w:szCs w:val="22"/>
            <w:lang w:val="nl-NL" w:eastAsia="nl-NL" w:bidi="ar-SA"/>
          </w:rPr>
          <w:tab/>
        </w:r>
        <w:r w:rsidRPr="0028570A">
          <w:rPr>
            <w:rStyle w:val="Hyperlink"/>
            <w:noProof/>
            <w:lang w:val="en-US"/>
          </w:rPr>
          <w:t>Measurement of disclosure quality</w:t>
        </w:r>
        <w:r>
          <w:rPr>
            <w:noProof/>
            <w:webHidden/>
          </w:rPr>
          <w:tab/>
        </w:r>
        <w:r>
          <w:rPr>
            <w:noProof/>
            <w:webHidden/>
          </w:rPr>
          <w:fldChar w:fldCharType="begin"/>
        </w:r>
        <w:r>
          <w:rPr>
            <w:noProof/>
            <w:webHidden/>
          </w:rPr>
          <w:instrText xml:space="preserve"> PAGEREF _Toc355387288 \h </w:instrText>
        </w:r>
        <w:r>
          <w:rPr>
            <w:noProof/>
            <w:webHidden/>
          </w:rPr>
        </w:r>
        <w:r>
          <w:rPr>
            <w:noProof/>
            <w:webHidden/>
          </w:rPr>
          <w:fldChar w:fldCharType="separate"/>
        </w:r>
        <w:r>
          <w:rPr>
            <w:noProof/>
            <w:webHidden/>
          </w:rPr>
          <w:t>20</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89" w:history="1">
        <w:r w:rsidRPr="0028570A">
          <w:rPr>
            <w:rStyle w:val="Hyperlink"/>
            <w:noProof/>
            <w:lang w:val="en-US"/>
          </w:rPr>
          <w:t>2.7.1</w:t>
        </w:r>
        <w:r>
          <w:rPr>
            <w:rFonts w:asciiTheme="minorHAnsi" w:eastAsiaTheme="minorEastAsia" w:hAnsiTheme="minorHAnsi" w:cstheme="minorBidi"/>
            <w:noProof/>
            <w:sz w:val="22"/>
            <w:szCs w:val="22"/>
            <w:lang w:val="nl-NL" w:eastAsia="nl-NL" w:bidi="ar-SA"/>
          </w:rPr>
          <w:tab/>
        </w:r>
        <w:r w:rsidRPr="0028570A">
          <w:rPr>
            <w:rStyle w:val="Hyperlink"/>
            <w:noProof/>
            <w:lang w:val="en-US"/>
          </w:rPr>
          <w:t>Disclosure survey (questionnaires and interviews)</w:t>
        </w:r>
        <w:r>
          <w:rPr>
            <w:noProof/>
            <w:webHidden/>
          </w:rPr>
          <w:tab/>
        </w:r>
        <w:r>
          <w:rPr>
            <w:noProof/>
            <w:webHidden/>
          </w:rPr>
          <w:fldChar w:fldCharType="begin"/>
        </w:r>
        <w:r>
          <w:rPr>
            <w:noProof/>
            <w:webHidden/>
          </w:rPr>
          <w:instrText xml:space="preserve"> PAGEREF _Toc355387289 \h </w:instrText>
        </w:r>
        <w:r>
          <w:rPr>
            <w:noProof/>
            <w:webHidden/>
          </w:rPr>
        </w:r>
        <w:r>
          <w:rPr>
            <w:noProof/>
            <w:webHidden/>
          </w:rPr>
          <w:fldChar w:fldCharType="separate"/>
        </w:r>
        <w:r>
          <w:rPr>
            <w:noProof/>
            <w:webHidden/>
          </w:rPr>
          <w:t>20</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0" w:history="1">
        <w:r w:rsidRPr="0028570A">
          <w:rPr>
            <w:rStyle w:val="Hyperlink"/>
            <w:noProof/>
            <w:lang w:val="en-US"/>
          </w:rPr>
          <w:t>2.7.2</w:t>
        </w:r>
        <w:r>
          <w:rPr>
            <w:rFonts w:asciiTheme="minorHAnsi" w:eastAsiaTheme="minorEastAsia" w:hAnsiTheme="minorHAnsi" w:cstheme="minorBidi"/>
            <w:noProof/>
            <w:sz w:val="22"/>
            <w:szCs w:val="22"/>
            <w:lang w:val="nl-NL" w:eastAsia="nl-NL" w:bidi="ar-SA"/>
          </w:rPr>
          <w:tab/>
        </w:r>
        <w:r w:rsidRPr="0028570A">
          <w:rPr>
            <w:rStyle w:val="Hyperlink"/>
            <w:noProof/>
            <w:lang w:val="en-US"/>
          </w:rPr>
          <w:t>Disclosure index studies</w:t>
        </w:r>
        <w:r>
          <w:rPr>
            <w:noProof/>
            <w:webHidden/>
          </w:rPr>
          <w:tab/>
        </w:r>
        <w:r>
          <w:rPr>
            <w:noProof/>
            <w:webHidden/>
          </w:rPr>
          <w:fldChar w:fldCharType="begin"/>
        </w:r>
        <w:r>
          <w:rPr>
            <w:noProof/>
            <w:webHidden/>
          </w:rPr>
          <w:instrText xml:space="preserve"> PAGEREF _Toc355387290 \h </w:instrText>
        </w:r>
        <w:r>
          <w:rPr>
            <w:noProof/>
            <w:webHidden/>
          </w:rPr>
        </w:r>
        <w:r>
          <w:rPr>
            <w:noProof/>
            <w:webHidden/>
          </w:rPr>
          <w:fldChar w:fldCharType="separate"/>
        </w:r>
        <w:r>
          <w:rPr>
            <w:noProof/>
            <w:webHidden/>
          </w:rPr>
          <w:t>21</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1" w:history="1">
        <w:r w:rsidRPr="0028570A">
          <w:rPr>
            <w:rStyle w:val="Hyperlink"/>
            <w:noProof/>
            <w:lang w:val="en-US"/>
          </w:rPr>
          <w:t>2.7.3</w:t>
        </w:r>
        <w:r>
          <w:rPr>
            <w:rFonts w:asciiTheme="minorHAnsi" w:eastAsiaTheme="minorEastAsia" w:hAnsiTheme="minorHAnsi" w:cstheme="minorBidi"/>
            <w:noProof/>
            <w:sz w:val="22"/>
            <w:szCs w:val="22"/>
            <w:lang w:val="nl-NL" w:eastAsia="nl-NL" w:bidi="ar-SA"/>
          </w:rPr>
          <w:tab/>
        </w:r>
        <w:r w:rsidRPr="0028570A">
          <w:rPr>
            <w:rStyle w:val="Hyperlink"/>
            <w:noProof/>
            <w:lang w:val="en-US"/>
          </w:rPr>
          <w:t>Content analysis</w:t>
        </w:r>
        <w:r>
          <w:rPr>
            <w:noProof/>
            <w:webHidden/>
          </w:rPr>
          <w:tab/>
        </w:r>
        <w:r>
          <w:rPr>
            <w:noProof/>
            <w:webHidden/>
          </w:rPr>
          <w:fldChar w:fldCharType="begin"/>
        </w:r>
        <w:r>
          <w:rPr>
            <w:noProof/>
            <w:webHidden/>
          </w:rPr>
          <w:instrText xml:space="preserve"> PAGEREF _Toc355387291 \h </w:instrText>
        </w:r>
        <w:r>
          <w:rPr>
            <w:noProof/>
            <w:webHidden/>
          </w:rPr>
        </w:r>
        <w:r>
          <w:rPr>
            <w:noProof/>
            <w:webHidden/>
          </w:rPr>
          <w:fldChar w:fldCharType="separate"/>
        </w:r>
        <w:r>
          <w:rPr>
            <w:noProof/>
            <w:webHidden/>
          </w:rPr>
          <w:t>22</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2" w:history="1">
        <w:r w:rsidRPr="0028570A">
          <w:rPr>
            <w:rStyle w:val="Hyperlink"/>
            <w:noProof/>
            <w:lang w:val="en-US"/>
          </w:rPr>
          <w:t>2.7.4</w:t>
        </w:r>
        <w:r>
          <w:rPr>
            <w:rFonts w:asciiTheme="minorHAnsi" w:eastAsiaTheme="minorEastAsia" w:hAnsiTheme="minorHAnsi" w:cstheme="minorBidi"/>
            <w:noProof/>
            <w:sz w:val="22"/>
            <w:szCs w:val="22"/>
            <w:lang w:val="nl-NL" w:eastAsia="nl-NL" w:bidi="ar-SA"/>
          </w:rPr>
          <w:tab/>
        </w:r>
        <w:r w:rsidRPr="0028570A">
          <w:rPr>
            <w:rStyle w:val="Hyperlink"/>
            <w:noProof/>
            <w:lang w:val="en-US"/>
          </w:rPr>
          <w:t>Readability studies</w:t>
        </w:r>
        <w:r>
          <w:rPr>
            <w:noProof/>
            <w:webHidden/>
          </w:rPr>
          <w:tab/>
        </w:r>
        <w:r>
          <w:rPr>
            <w:noProof/>
            <w:webHidden/>
          </w:rPr>
          <w:fldChar w:fldCharType="begin"/>
        </w:r>
        <w:r>
          <w:rPr>
            <w:noProof/>
            <w:webHidden/>
          </w:rPr>
          <w:instrText xml:space="preserve"> PAGEREF _Toc355387292 \h </w:instrText>
        </w:r>
        <w:r>
          <w:rPr>
            <w:noProof/>
            <w:webHidden/>
          </w:rPr>
        </w:r>
        <w:r>
          <w:rPr>
            <w:noProof/>
            <w:webHidden/>
          </w:rPr>
          <w:fldChar w:fldCharType="separate"/>
        </w:r>
        <w:r>
          <w:rPr>
            <w:noProof/>
            <w:webHidden/>
          </w:rPr>
          <w:t>23</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3" w:history="1">
        <w:r w:rsidRPr="0028570A">
          <w:rPr>
            <w:rStyle w:val="Hyperlink"/>
            <w:noProof/>
            <w:lang w:val="en-US"/>
          </w:rPr>
          <w:t>2.7.5</w:t>
        </w:r>
        <w:r>
          <w:rPr>
            <w:rFonts w:asciiTheme="minorHAnsi" w:eastAsiaTheme="minorEastAsia" w:hAnsiTheme="minorHAnsi" w:cstheme="minorBidi"/>
            <w:noProof/>
            <w:sz w:val="22"/>
            <w:szCs w:val="22"/>
            <w:lang w:val="nl-NL" w:eastAsia="nl-NL" w:bidi="ar-SA"/>
          </w:rPr>
          <w:tab/>
        </w:r>
        <w:r w:rsidRPr="0028570A">
          <w:rPr>
            <w:rStyle w:val="Hyperlink"/>
            <w:noProof/>
            <w:lang w:val="en-US"/>
          </w:rPr>
          <w:t>Linguistic analysis</w:t>
        </w:r>
        <w:r>
          <w:rPr>
            <w:noProof/>
            <w:webHidden/>
          </w:rPr>
          <w:tab/>
        </w:r>
        <w:r>
          <w:rPr>
            <w:noProof/>
            <w:webHidden/>
          </w:rPr>
          <w:fldChar w:fldCharType="begin"/>
        </w:r>
        <w:r>
          <w:rPr>
            <w:noProof/>
            <w:webHidden/>
          </w:rPr>
          <w:instrText xml:space="preserve"> PAGEREF _Toc355387293 \h </w:instrText>
        </w:r>
        <w:r>
          <w:rPr>
            <w:noProof/>
            <w:webHidden/>
          </w:rPr>
        </w:r>
        <w:r>
          <w:rPr>
            <w:noProof/>
            <w:webHidden/>
          </w:rPr>
          <w:fldChar w:fldCharType="separate"/>
        </w:r>
        <w:r>
          <w:rPr>
            <w:noProof/>
            <w:webHidden/>
          </w:rPr>
          <w:t>24</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4" w:history="1">
        <w:r w:rsidRPr="0028570A">
          <w:rPr>
            <w:rStyle w:val="Hyperlink"/>
            <w:noProof/>
            <w:lang w:val="en-US"/>
          </w:rPr>
          <w:t>2.8</w:t>
        </w:r>
        <w:r>
          <w:rPr>
            <w:rFonts w:asciiTheme="minorHAnsi" w:eastAsiaTheme="minorEastAsia" w:hAnsiTheme="minorHAnsi" w:cstheme="minorBidi"/>
            <w:noProof/>
            <w:sz w:val="22"/>
            <w:szCs w:val="22"/>
            <w:lang w:val="nl-NL" w:eastAsia="nl-NL" w:bidi="ar-SA"/>
          </w:rPr>
          <w:tab/>
        </w:r>
        <w:r w:rsidRPr="0028570A">
          <w:rPr>
            <w:rStyle w:val="Hyperlink"/>
            <w:noProof/>
            <w:lang w:val="en-US"/>
          </w:rPr>
          <w:t>Disclosure quality and company size</w:t>
        </w:r>
        <w:r>
          <w:rPr>
            <w:noProof/>
            <w:webHidden/>
          </w:rPr>
          <w:tab/>
        </w:r>
        <w:r>
          <w:rPr>
            <w:noProof/>
            <w:webHidden/>
          </w:rPr>
          <w:fldChar w:fldCharType="begin"/>
        </w:r>
        <w:r>
          <w:rPr>
            <w:noProof/>
            <w:webHidden/>
          </w:rPr>
          <w:instrText xml:space="preserve"> PAGEREF _Toc355387294 \h </w:instrText>
        </w:r>
        <w:r>
          <w:rPr>
            <w:noProof/>
            <w:webHidden/>
          </w:rPr>
        </w:r>
        <w:r>
          <w:rPr>
            <w:noProof/>
            <w:webHidden/>
          </w:rPr>
          <w:fldChar w:fldCharType="separate"/>
        </w:r>
        <w:r>
          <w:rPr>
            <w:noProof/>
            <w:webHidden/>
          </w:rPr>
          <w:t>24</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5" w:history="1">
        <w:r w:rsidRPr="0028570A">
          <w:rPr>
            <w:rStyle w:val="Hyperlink"/>
            <w:noProof/>
            <w:lang w:val="en-US"/>
          </w:rPr>
          <w:t>2.9</w:t>
        </w:r>
        <w:r>
          <w:rPr>
            <w:rFonts w:asciiTheme="minorHAnsi" w:eastAsiaTheme="minorEastAsia" w:hAnsiTheme="minorHAnsi" w:cstheme="minorBidi"/>
            <w:noProof/>
            <w:sz w:val="22"/>
            <w:szCs w:val="22"/>
            <w:lang w:val="nl-NL" w:eastAsia="nl-NL" w:bidi="ar-SA"/>
          </w:rPr>
          <w:tab/>
        </w:r>
        <w:r w:rsidRPr="0028570A">
          <w:rPr>
            <w:rStyle w:val="Hyperlink"/>
            <w:noProof/>
            <w:lang w:val="en-US"/>
          </w:rPr>
          <w:t>Further research</w:t>
        </w:r>
        <w:r>
          <w:rPr>
            <w:noProof/>
            <w:webHidden/>
          </w:rPr>
          <w:tab/>
        </w:r>
        <w:r>
          <w:rPr>
            <w:noProof/>
            <w:webHidden/>
          </w:rPr>
          <w:fldChar w:fldCharType="begin"/>
        </w:r>
        <w:r>
          <w:rPr>
            <w:noProof/>
            <w:webHidden/>
          </w:rPr>
          <w:instrText xml:space="preserve"> PAGEREF _Toc355387295 \h </w:instrText>
        </w:r>
        <w:r>
          <w:rPr>
            <w:noProof/>
            <w:webHidden/>
          </w:rPr>
        </w:r>
        <w:r>
          <w:rPr>
            <w:noProof/>
            <w:webHidden/>
          </w:rPr>
          <w:fldChar w:fldCharType="separate"/>
        </w:r>
        <w:r>
          <w:rPr>
            <w:noProof/>
            <w:webHidden/>
          </w:rPr>
          <w:t>25</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6" w:history="1">
        <w:r w:rsidRPr="0028570A">
          <w:rPr>
            <w:rStyle w:val="Hyperlink"/>
            <w:noProof/>
          </w:rPr>
          <w:t>2.10</w:t>
        </w:r>
        <w:r>
          <w:rPr>
            <w:rFonts w:asciiTheme="minorHAnsi" w:eastAsiaTheme="minorEastAsia" w:hAnsiTheme="minorHAnsi" w:cstheme="minorBidi"/>
            <w:noProof/>
            <w:sz w:val="22"/>
            <w:szCs w:val="22"/>
            <w:lang w:val="nl-NL" w:eastAsia="nl-NL" w:bidi="ar-SA"/>
          </w:rPr>
          <w:tab/>
        </w:r>
        <w:r w:rsidRPr="0028570A">
          <w:rPr>
            <w:rStyle w:val="Hyperlink"/>
            <w:noProof/>
          </w:rPr>
          <w:t>Summary</w:t>
        </w:r>
        <w:r>
          <w:rPr>
            <w:noProof/>
            <w:webHidden/>
          </w:rPr>
          <w:tab/>
        </w:r>
        <w:r>
          <w:rPr>
            <w:noProof/>
            <w:webHidden/>
          </w:rPr>
          <w:fldChar w:fldCharType="begin"/>
        </w:r>
        <w:r>
          <w:rPr>
            <w:noProof/>
            <w:webHidden/>
          </w:rPr>
          <w:instrText xml:space="preserve"> PAGEREF _Toc355387296 \h </w:instrText>
        </w:r>
        <w:r>
          <w:rPr>
            <w:noProof/>
            <w:webHidden/>
          </w:rPr>
        </w:r>
        <w:r>
          <w:rPr>
            <w:noProof/>
            <w:webHidden/>
          </w:rPr>
          <w:fldChar w:fldCharType="separate"/>
        </w:r>
        <w:r>
          <w:rPr>
            <w:noProof/>
            <w:webHidden/>
          </w:rPr>
          <w:t>28</w:t>
        </w:r>
        <w:r>
          <w:rPr>
            <w:noProof/>
            <w:webHidden/>
          </w:rPr>
          <w:fldChar w:fldCharType="end"/>
        </w:r>
      </w:hyperlink>
    </w:p>
    <w:p w:rsidR="00B1723B" w:rsidRDefault="00B1723B">
      <w:pPr>
        <w:pStyle w:val="Inhopg1"/>
        <w:tabs>
          <w:tab w:val="left" w:pos="480"/>
        </w:tabs>
        <w:rPr>
          <w:rFonts w:asciiTheme="minorHAnsi" w:eastAsiaTheme="minorEastAsia" w:hAnsiTheme="minorHAnsi" w:cstheme="minorBidi"/>
          <w:b w:val="0"/>
          <w:bCs w:val="0"/>
          <w:sz w:val="22"/>
          <w:szCs w:val="22"/>
          <w:lang w:val="nl-NL" w:eastAsia="nl-NL" w:bidi="ar-SA"/>
        </w:rPr>
      </w:pPr>
      <w:hyperlink w:anchor="_Toc355387297" w:history="1">
        <w:r w:rsidRPr="0028570A">
          <w:rPr>
            <w:rStyle w:val="Hyperlink"/>
            <w:lang w:val="en-US"/>
          </w:rPr>
          <w:t>3</w:t>
        </w:r>
        <w:r>
          <w:rPr>
            <w:rFonts w:asciiTheme="minorHAnsi" w:eastAsiaTheme="minorEastAsia" w:hAnsiTheme="minorHAnsi" w:cstheme="minorBidi"/>
            <w:b w:val="0"/>
            <w:bCs w:val="0"/>
            <w:sz w:val="22"/>
            <w:szCs w:val="22"/>
            <w:lang w:val="nl-NL" w:eastAsia="nl-NL" w:bidi="ar-SA"/>
          </w:rPr>
          <w:tab/>
        </w:r>
        <w:r w:rsidRPr="0028570A">
          <w:rPr>
            <w:rStyle w:val="Hyperlink"/>
          </w:rPr>
          <w:t>Research design</w:t>
        </w:r>
        <w:r>
          <w:rPr>
            <w:webHidden/>
          </w:rPr>
          <w:tab/>
        </w:r>
        <w:r>
          <w:rPr>
            <w:webHidden/>
          </w:rPr>
          <w:fldChar w:fldCharType="begin"/>
        </w:r>
        <w:r>
          <w:rPr>
            <w:webHidden/>
          </w:rPr>
          <w:instrText xml:space="preserve"> PAGEREF _Toc355387297 \h </w:instrText>
        </w:r>
        <w:r>
          <w:rPr>
            <w:webHidden/>
          </w:rPr>
        </w:r>
        <w:r>
          <w:rPr>
            <w:webHidden/>
          </w:rPr>
          <w:fldChar w:fldCharType="separate"/>
        </w:r>
        <w:r>
          <w:rPr>
            <w:webHidden/>
          </w:rPr>
          <w:t>30</w:t>
        </w:r>
        <w:r>
          <w:rPr>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8" w:history="1">
        <w:r w:rsidRPr="0028570A">
          <w:rPr>
            <w:rStyle w:val="Hyperlink"/>
            <w:noProof/>
            <w:lang w:val="en-US"/>
          </w:rPr>
          <w:t>3.1</w:t>
        </w:r>
        <w:r>
          <w:rPr>
            <w:rFonts w:asciiTheme="minorHAnsi" w:eastAsiaTheme="minorEastAsia" w:hAnsiTheme="minorHAnsi" w:cstheme="minorBidi"/>
            <w:noProof/>
            <w:sz w:val="22"/>
            <w:szCs w:val="22"/>
            <w:lang w:val="nl-NL" w:eastAsia="nl-NL" w:bidi="ar-SA"/>
          </w:rPr>
          <w:tab/>
        </w:r>
        <w:r w:rsidRPr="0028570A">
          <w:rPr>
            <w:rStyle w:val="Hyperlink"/>
            <w:noProof/>
            <w:lang w:val="en-US"/>
          </w:rPr>
          <w:t>Hypotheses</w:t>
        </w:r>
        <w:r>
          <w:rPr>
            <w:noProof/>
            <w:webHidden/>
          </w:rPr>
          <w:tab/>
        </w:r>
        <w:r>
          <w:rPr>
            <w:noProof/>
            <w:webHidden/>
          </w:rPr>
          <w:fldChar w:fldCharType="begin"/>
        </w:r>
        <w:r>
          <w:rPr>
            <w:noProof/>
            <w:webHidden/>
          </w:rPr>
          <w:instrText xml:space="preserve"> PAGEREF _Toc355387298 \h </w:instrText>
        </w:r>
        <w:r>
          <w:rPr>
            <w:noProof/>
            <w:webHidden/>
          </w:rPr>
        </w:r>
        <w:r>
          <w:rPr>
            <w:noProof/>
            <w:webHidden/>
          </w:rPr>
          <w:fldChar w:fldCharType="separate"/>
        </w:r>
        <w:r>
          <w:rPr>
            <w:noProof/>
            <w:webHidden/>
          </w:rPr>
          <w:t>30</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299" w:history="1">
        <w:r w:rsidRPr="0028570A">
          <w:rPr>
            <w:rStyle w:val="Hyperlink"/>
            <w:noProof/>
          </w:rPr>
          <w:t>3.2</w:t>
        </w:r>
        <w:r>
          <w:rPr>
            <w:rFonts w:asciiTheme="minorHAnsi" w:eastAsiaTheme="minorEastAsia" w:hAnsiTheme="minorHAnsi" w:cstheme="minorBidi"/>
            <w:noProof/>
            <w:sz w:val="22"/>
            <w:szCs w:val="22"/>
            <w:lang w:val="nl-NL" w:eastAsia="nl-NL" w:bidi="ar-SA"/>
          </w:rPr>
          <w:tab/>
        </w:r>
        <w:r w:rsidRPr="0028570A">
          <w:rPr>
            <w:rStyle w:val="Hyperlink"/>
            <w:noProof/>
          </w:rPr>
          <w:t>Conceptualization and operationalization</w:t>
        </w:r>
        <w:r>
          <w:rPr>
            <w:noProof/>
            <w:webHidden/>
          </w:rPr>
          <w:tab/>
        </w:r>
        <w:r>
          <w:rPr>
            <w:noProof/>
            <w:webHidden/>
          </w:rPr>
          <w:fldChar w:fldCharType="begin"/>
        </w:r>
        <w:r>
          <w:rPr>
            <w:noProof/>
            <w:webHidden/>
          </w:rPr>
          <w:instrText xml:space="preserve"> PAGEREF _Toc355387299 \h </w:instrText>
        </w:r>
        <w:r>
          <w:rPr>
            <w:noProof/>
            <w:webHidden/>
          </w:rPr>
        </w:r>
        <w:r>
          <w:rPr>
            <w:noProof/>
            <w:webHidden/>
          </w:rPr>
          <w:fldChar w:fldCharType="separate"/>
        </w:r>
        <w:r>
          <w:rPr>
            <w:noProof/>
            <w:webHidden/>
          </w:rPr>
          <w:t>33</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0" w:history="1">
        <w:r w:rsidRPr="0028570A">
          <w:rPr>
            <w:rStyle w:val="Hyperlink"/>
            <w:noProof/>
          </w:rPr>
          <w:t>3.3</w:t>
        </w:r>
        <w:r>
          <w:rPr>
            <w:rFonts w:asciiTheme="minorHAnsi" w:eastAsiaTheme="minorEastAsia" w:hAnsiTheme="minorHAnsi" w:cstheme="minorBidi"/>
            <w:noProof/>
            <w:sz w:val="22"/>
            <w:szCs w:val="22"/>
            <w:lang w:val="nl-NL" w:eastAsia="nl-NL" w:bidi="ar-SA"/>
          </w:rPr>
          <w:tab/>
        </w:r>
        <w:r w:rsidRPr="0028570A">
          <w:rPr>
            <w:rStyle w:val="Hyperlink"/>
            <w:noProof/>
          </w:rPr>
          <w:t>Choice of research method</w:t>
        </w:r>
        <w:r>
          <w:rPr>
            <w:noProof/>
            <w:webHidden/>
          </w:rPr>
          <w:tab/>
        </w:r>
        <w:r>
          <w:rPr>
            <w:noProof/>
            <w:webHidden/>
          </w:rPr>
          <w:fldChar w:fldCharType="begin"/>
        </w:r>
        <w:r>
          <w:rPr>
            <w:noProof/>
            <w:webHidden/>
          </w:rPr>
          <w:instrText xml:space="preserve"> PAGEREF _Toc355387300 \h </w:instrText>
        </w:r>
        <w:r>
          <w:rPr>
            <w:noProof/>
            <w:webHidden/>
          </w:rPr>
        </w:r>
        <w:r>
          <w:rPr>
            <w:noProof/>
            <w:webHidden/>
          </w:rPr>
          <w:fldChar w:fldCharType="separate"/>
        </w:r>
        <w:r>
          <w:rPr>
            <w:noProof/>
            <w:webHidden/>
          </w:rPr>
          <w:t>37</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1" w:history="1">
        <w:r w:rsidRPr="0028570A">
          <w:rPr>
            <w:rStyle w:val="Hyperlink"/>
            <w:noProof/>
          </w:rPr>
          <w:t>3.3.1</w:t>
        </w:r>
        <w:r>
          <w:rPr>
            <w:rFonts w:asciiTheme="minorHAnsi" w:eastAsiaTheme="minorEastAsia" w:hAnsiTheme="minorHAnsi" w:cstheme="minorBidi"/>
            <w:noProof/>
            <w:sz w:val="22"/>
            <w:szCs w:val="22"/>
            <w:lang w:val="nl-NL" w:eastAsia="nl-NL" w:bidi="ar-SA"/>
          </w:rPr>
          <w:tab/>
        </w:r>
        <w:r w:rsidRPr="0028570A">
          <w:rPr>
            <w:rStyle w:val="Hyperlink"/>
            <w:noProof/>
          </w:rPr>
          <w:t>Selection criteria</w:t>
        </w:r>
        <w:r>
          <w:rPr>
            <w:noProof/>
            <w:webHidden/>
          </w:rPr>
          <w:tab/>
        </w:r>
        <w:r>
          <w:rPr>
            <w:noProof/>
            <w:webHidden/>
          </w:rPr>
          <w:fldChar w:fldCharType="begin"/>
        </w:r>
        <w:r>
          <w:rPr>
            <w:noProof/>
            <w:webHidden/>
          </w:rPr>
          <w:instrText xml:space="preserve"> PAGEREF _Toc355387301 \h </w:instrText>
        </w:r>
        <w:r>
          <w:rPr>
            <w:noProof/>
            <w:webHidden/>
          </w:rPr>
        </w:r>
        <w:r>
          <w:rPr>
            <w:noProof/>
            <w:webHidden/>
          </w:rPr>
          <w:fldChar w:fldCharType="separate"/>
        </w:r>
        <w:r>
          <w:rPr>
            <w:noProof/>
            <w:webHidden/>
          </w:rPr>
          <w:t>37</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2" w:history="1">
        <w:r w:rsidRPr="0028570A">
          <w:rPr>
            <w:rStyle w:val="Hyperlink"/>
            <w:noProof/>
            <w:lang w:val="en-US"/>
          </w:rPr>
          <w:t>3.3.2</w:t>
        </w:r>
        <w:r>
          <w:rPr>
            <w:rFonts w:asciiTheme="minorHAnsi" w:eastAsiaTheme="minorEastAsia" w:hAnsiTheme="minorHAnsi" w:cstheme="minorBidi"/>
            <w:noProof/>
            <w:sz w:val="22"/>
            <w:szCs w:val="22"/>
            <w:lang w:val="nl-NL" w:eastAsia="nl-NL" w:bidi="ar-SA"/>
          </w:rPr>
          <w:tab/>
        </w:r>
        <w:r w:rsidRPr="0028570A">
          <w:rPr>
            <w:rStyle w:val="Hyperlink"/>
            <w:noProof/>
            <w:lang w:val="en-US"/>
          </w:rPr>
          <w:t>Criteria applied to research methods</w:t>
        </w:r>
        <w:r>
          <w:rPr>
            <w:noProof/>
            <w:webHidden/>
          </w:rPr>
          <w:tab/>
        </w:r>
        <w:r>
          <w:rPr>
            <w:noProof/>
            <w:webHidden/>
          </w:rPr>
          <w:fldChar w:fldCharType="begin"/>
        </w:r>
        <w:r>
          <w:rPr>
            <w:noProof/>
            <w:webHidden/>
          </w:rPr>
          <w:instrText xml:space="preserve"> PAGEREF _Toc355387302 \h </w:instrText>
        </w:r>
        <w:r>
          <w:rPr>
            <w:noProof/>
            <w:webHidden/>
          </w:rPr>
        </w:r>
        <w:r>
          <w:rPr>
            <w:noProof/>
            <w:webHidden/>
          </w:rPr>
          <w:fldChar w:fldCharType="separate"/>
        </w:r>
        <w:r>
          <w:rPr>
            <w:noProof/>
            <w:webHidden/>
          </w:rPr>
          <w:t>38</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3" w:history="1">
        <w:r w:rsidRPr="0028570A">
          <w:rPr>
            <w:rStyle w:val="Hyperlink"/>
            <w:noProof/>
            <w:lang w:val="en-US"/>
          </w:rPr>
          <w:t>3.3.3</w:t>
        </w:r>
        <w:r>
          <w:rPr>
            <w:rFonts w:asciiTheme="minorHAnsi" w:eastAsiaTheme="minorEastAsia" w:hAnsiTheme="minorHAnsi" w:cstheme="minorBidi"/>
            <w:noProof/>
            <w:sz w:val="22"/>
            <w:szCs w:val="22"/>
            <w:lang w:val="nl-NL" w:eastAsia="nl-NL" w:bidi="ar-SA"/>
          </w:rPr>
          <w:tab/>
        </w:r>
        <w:r w:rsidRPr="0028570A">
          <w:rPr>
            <w:rStyle w:val="Hyperlink"/>
            <w:noProof/>
            <w:lang w:val="en-US"/>
          </w:rPr>
          <w:t>Selection of research method(s)</w:t>
        </w:r>
        <w:r>
          <w:rPr>
            <w:noProof/>
            <w:webHidden/>
          </w:rPr>
          <w:tab/>
        </w:r>
        <w:r>
          <w:rPr>
            <w:noProof/>
            <w:webHidden/>
          </w:rPr>
          <w:fldChar w:fldCharType="begin"/>
        </w:r>
        <w:r>
          <w:rPr>
            <w:noProof/>
            <w:webHidden/>
          </w:rPr>
          <w:instrText xml:space="preserve"> PAGEREF _Toc355387303 \h </w:instrText>
        </w:r>
        <w:r>
          <w:rPr>
            <w:noProof/>
            <w:webHidden/>
          </w:rPr>
        </w:r>
        <w:r>
          <w:rPr>
            <w:noProof/>
            <w:webHidden/>
          </w:rPr>
          <w:fldChar w:fldCharType="separate"/>
        </w:r>
        <w:r>
          <w:rPr>
            <w:noProof/>
            <w:webHidden/>
          </w:rPr>
          <w:t>39</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4" w:history="1">
        <w:r w:rsidRPr="0028570A">
          <w:rPr>
            <w:rStyle w:val="Hyperlink"/>
            <w:noProof/>
          </w:rPr>
          <w:t>3.4</w:t>
        </w:r>
        <w:r>
          <w:rPr>
            <w:rFonts w:asciiTheme="minorHAnsi" w:eastAsiaTheme="minorEastAsia" w:hAnsiTheme="minorHAnsi" w:cstheme="minorBidi"/>
            <w:noProof/>
            <w:sz w:val="22"/>
            <w:szCs w:val="22"/>
            <w:lang w:val="nl-NL" w:eastAsia="nl-NL" w:bidi="ar-SA"/>
          </w:rPr>
          <w:tab/>
        </w:r>
        <w:r w:rsidRPr="0028570A">
          <w:rPr>
            <w:rStyle w:val="Hyperlink"/>
            <w:noProof/>
          </w:rPr>
          <w:t>Population and sampling</w:t>
        </w:r>
        <w:r>
          <w:rPr>
            <w:noProof/>
            <w:webHidden/>
          </w:rPr>
          <w:tab/>
        </w:r>
        <w:r>
          <w:rPr>
            <w:noProof/>
            <w:webHidden/>
          </w:rPr>
          <w:fldChar w:fldCharType="begin"/>
        </w:r>
        <w:r>
          <w:rPr>
            <w:noProof/>
            <w:webHidden/>
          </w:rPr>
          <w:instrText xml:space="preserve"> PAGEREF _Toc355387304 \h </w:instrText>
        </w:r>
        <w:r>
          <w:rPr>
            <w:noProof/>
            <w:webHidden/>
          </w:rPr>
        </w:r>
        <w:r>
          <w:rPr>
            <w:noProof/>
            <w:webHidden/>
          </w:rPr>
          <w:fldChar w:fldCharType="separate"/>
        </w:r>
        <w:r>
          <w:rPr>
            <w:noProof/>
            <w:webHidden/>
          </w:rPr>
          <w:t>40</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5" w:history="1">
        <w:r w:rsidRPr="0028570A">
          <w:rPr>
            <w:rStyle w:val="Hyperlink"/>
            <w:noProof/>
            <w:lang w:val="en-US"/>
          </w:rPr>
          <w:t>3.5</w:t>
        </w:r>
        <w:r>
          <w:rPr>
            <w:rFonts w:asciiTheme="minorHAnsi" w:eastAsiaTheme="minorEastAsia" w:hAnsiTheme="minorHAnsi" w:cstheme="minorBidi"/>
            <w:noProof/>
            <w:sz w:val="22"/>
            <w:szCs w:val="22"/>
            <w:lang w:val="nl-NL" w:eastAsia="nl-NL" w:bidi="ar-SA"/>
          </w:rPr>
          <w:tab/>
        </w:r>
        <w:r w:rsidRPr="0028570A">
          <w:rPr>
            <w:rStyle w:val="Hyperlink"/>
            <w:noProof/>
            <w:lang w:val="en-US"/>
          </w:rPr>
          <w:t>Data collection</w:t>
        </w:r>
        <w:r>
          <w:rPr>
            <w:noProof/>
            <w:webHidden/>
          </w:rPr>
          <w:tab/>
        </w:r>
        <w:r>
          <w:rPr>
            <w:noProof/>
            <w:webHidden/>
          </w:rPr>
          <w:fldChar w:fldCharType="begin"/>
        </w:r>
        <w:r>
          <w:rPr>
            <w:noProof/>
            <w:webHidden/>
          </w:rPr>
          <w:instrText xml:space="preserve"> PAGEREF _Toc355387305 \h </w:instrText>
        </w:r>
        <w:r>
          <w:rPr>
            <w:noProof/>
            <w:webHidden/>
          </w:rPr>
        </w:r>
        <w:r>
          <w:rPr>
            <w:noProof/>
            <w:webHidden/>
          </w:rPr>
          <w:fldChar w:fldCharType="separate"/>
        </w:r>
        <w:r>
          <w:rPr>
            <w:noProof/>
            <w:webHidden/>
          </w:rPr>
          <w:t>40</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6" w:history="1">
        <w:r w:rsidRPr="0028570A">
          <w:rPr>
            <w:rStyle w:val="Hyperlink"/>
            <w:noProof/>
            <w:lang w:val="en-US"/>
          </w:rPr>
          <w:t>3.6</w:t>
        </w:r>
        <w:r>
          <w:rPr>
            <w:rFonts w:asciiTheme="minorHAnsi" w:eastAsiaTheme="minorEastAsia" w:hAnsiTheme="minorHAnsi" w:cstheme="minorBidi"/>
            <w:noProof/>
            <w:sz w:val="22"/>
            <w:szCs w:val="22"/>
            <w:lang w:val="nl-NL" w:eastAsia="nl-NL" w:bidi="ar-SA"/>
          </w:rPr>
          <w:tab/>
        </w:r>
        <w:r w:rsidRPr="0028570A">
          <w:rPr>
            <w:rStyle w:val="Hyperlink"/>
            <w:noProof/>
            <w:lang w:val="en-US"/>
          </w:rPr>
          <w:t>Data processing</w:t>
        </w:r>
        <w:r>
          <w:rPr>
            <w:noProof/>
            <w:webHidden/>
          </w:rPr>
          <w:tab/>
        </w:r>
        <w:r>
          <w:rPr>
            <w:noProof/>
            <w:webHidden/>
          </w:rPr>
          <w:fldChar w:fldCharType="begin"/>
        </w:r>
        <w:r>
          <w:rPr>
            <w:noProof/>
            <w:webHidden/>
          </w:rPr>
          <w:instrText xml:space="preserve"> PAGEREF _Toc355387306 \h </w:instrText>
        </w:r>
        <w:r>
          <w:rPr>
            <w:noProof/>
            <w:webHidden/>
          </w:rPr>
        </w:r>
        <w:r>
          <w:rPr>
            <w:noProof/>
            <w:webHidden/>
          </w:rPr>
          <w:fldChar w:fldCharType="separate"/>
        </w:r>
        <w:r>
          <w:rPr>
            <w:noProof/>
            <w:webHidden/>
          </w:rPr>
          <w:t>40</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7" w:history="1">
        <w:r w:rsidRPr="0028570A">
          <w:rPr>
            <w:rStyle w:val="Hyperlink"/>
            <w:noProof/>
            <w:kern w:val="32"/>
            <w:lang w:val="en-US"/>
          </w:rPr>
          <w:t>3.7</w:t>
        </w:r>
        <w:r>
          <w:rPr>
            <w:rFonts w:asciiTheme="minorHAnsi" w:eastAsiaTheme="minorEastAsia" w:hAnsiTheme="minorHAnsi" w:cstheme="minorBidi"/>
            <w:noProof/>
            <w:sz w:val="22"/>
            <w:szCs w:val="22"/>
            <w:lang w:val="nl-NL" w:eastAsia="nl-NL" w:bidi="ar-SA"/>
          </w:rPr>
          <w:tab/>
        </w:r>
        <w:r w:rsidRPr="0028570A">
          <w:rPr>
            <w:rStyle w:val="Hyperlink"/>
            <w:noProof/>
            <w:kern w:val="32"/>
            <w:lang w:val="en-US"/>
          </w:rPr>
          <w:t>Summary</w:t>
        </w:r>
        <w:r>
          <w:rPr>
            <w:noProof/>
            <w:webHidden/>
          </w:rPr>
          <w:tab/>
        </w:r>
        <w:r>
          <w:rPr>
            <w:noProof/>
            <w:webHidden/>
          </w:rPr>
          <w:fldChar w:fldCharType="begin"/>
        </w:r>
        <w:r>
          <w:rPr>
            <w:noProof/>
            <w:webHidden/>
          </w:rPr>
          <w:instrText xml:space="preserve"> PAGEREF _Toc355387307 \h </w:instrText>
        </w:r>
        <w:r>
          <w:rPr>
            <w:noProof/>
            <w:webHidden/>
          </w:rPr>
        </w:r>
        <w:r>
          <w:rPr>
            <w:noProof/>
            <w:webHidden/>
          </w:rPr>
          <w:fldChar w:fldCharType="separate"/>
        </w:r>
        <w:r>
          <w:rPr>
            <w:noProof/>
            <w:webHidden/>
          </w:rPr>
          <w:t>41</w:t>
        </w:r>
        <w:r>
          <w:rPr>
            <w:noProof/>
            <w:webHidden/>
          </w:rPr>
          <w:fldChar w:fldCharType="end"/>
        </w:r>
      </w:hyperlink>
    </w:p>
    <w:p w:rsidR="00B1723B" w:rsidRDefault="00B1723B">
      <w:pPr>
        <w:pStyle w:val="Inhopg1"/>
        <w:tabs>
          <w:tab w:val="left" w:pos="480"/>
        </w:tabs>
        <w:rPr>
          <w:rFonts w:asciiTheme="minorHAnsi" w:eastAsiaTheme="minorEastAsia" w:hAnsiTheme="minorHAnsi" w:cstheme="minorBidi"/>
          <w:b w:val="0"/>
          <w:bCs w:val="0"/>
          <w:sz w:val="22"/>
          <w:szCs w:val="22"/>
          <w:lang w:val="nl-NL" w:eastAsia="nl-NL" w:bidi="ar-SA"/>
        </w:rPr>
      </w:pPr>
      <w:hyperlink w:anchor="_Toc355387308" w:history="1">
        <w:r w:rsidRPr="0028570A">
          <w:rPr>
            <w:rStyle w:val="Hyperlink"/>
            <w:lang w:val="en-US"/>
          </w:rPr>
          <w:t>4</w:t>
        </w:r>
        <w:r>
          <w:rPr>
            <w:rFonts w:asciiTheme="minorHAnsi" w:eastAsiaTheme="minorEastAsia" w:hAnsiTheme="minorHAnsi" w:cstheme="minorBidi"/>
            <w:b w:val="0"/>
            <w:bCs w:val="0"/>
            <w:sz w:val="22"/>
            <w:szCs w:val="22"/>
            <w:lang w:val="nl-NL" w:eastAsia="nl-NL" w:bidi="ar-SA"/>
          </w:rPr>
          <w:tab/>
        </w:r>
        <w:r w:rsidRPr="0028570A">
          <w:rPr>
            <w:rStyle w:val="Hyperlink"/>
            <w:lang w:val="en-US"/>
          </w:rPr>
          <w:t>Analysis and results</w:t>
        </w:r>
        <w:r>
          <w:rPr>
            <w:webHidden/>
          </w:rPr>
          <w:tab/>
        </w:r>
        <w:r>
          <w:rPr>
            <w:webHidden/>
          </w:rPr>
          <w:fldChar w:fldCharType="begin"/>
        </w:r>
        <w:r>
          <w:rPr>
            <w:webHidden/>
          </w:rPr>
          <w:instrText xml:space="preserve"> PAGEREF _Toc355387308 \h </w:instrText>
        </w:r>
        <w:r>
          <w:rPr>
            <w:webHidden/>
          </w:rPr>
        </w:r>
        <w:r>
          <w:rPr>
            <w:webHidden/>
          </w:rPr>
          <w:fldChar w:fldCharType="separate"/>
        </w:r>
        <w:r>
          <w:rPr>
            <w:webHidden/>
          </w:rPr>
          <w:t>42</w:t>
        </w:r>
        <w:r>
          <w:rPr>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09" w:history="1">
        <w:r w:rsidRPr="0028570A">
          <w:rPr>
            <w:rStyle w:val="Hyperlink"/>
            <w:noProof/>
            <w:lang w:val="en-US"/>
          </w:rPr>
          <w:t>4.1</w:t>
        </w:r>
        <w:r>
          <w:rPr>
            <w:rFonts w:asciiTheme="minorHAnsi" w:eastAsiaTheme="minorEastAsia" w:hAnsiTheme="minorHAnsi" w:cstheme="minorBidi"/>
            <w:noProof/>
            <w:sz w:val="22"/>
            <w:szCs w:val="22"/>
            <w:lang w:val="nl-NL" w:eastAsia="nl-NL" w:bidi="ar-SA"/>
          </w:rPr>
          <w:tab/>
        </w:r>
        <w:r w:rsidRPr="0028570A">
          <w:rPr>
            <w:rStyle w:val="Hyperlink"/>
            <w:noProof/>
            <w:lang w:val="en-US"/>
          </w:rPr>
          <w:t>General characteristics</w:t>
        </w:r>
        <w:r>
          <w:rPr>
            <w:noProof/>
            <w:webHidden/>
          </w:rPr>
          <w:tab/>
        </w:r>
        <w:r>
          <w:rPr>
            <w:noProof/>
            <w:webHidden/>
          </w:rPr>
          <w:fldChar w:fldCharType="begin"/>
        </w:r>
        <w:r>
          <w:rPr>
            <w:noProof/>
            <w:webHidden/>
          </w:rPr>
          <w:instrText xml:space="preserve"> PAGEREF _Toc355387309 \h </w:instrText>
        </w:r>
        <w:r>
          <w:rPr>
            <w:noProof/>
            <w:webHidden/>
          </w:rPr>
        </w:r>
        <w:r>
          <w:rPr>
            <w:noProof/>
            <w:webHidden/>
          </w:rPr>
          <w:fldChar w:fldCharType="separate"/>
        </w:r>
        <w:r>
          <w:rPr>
            <w:noProof/>
            <w:webHidden/>
          </w:rPr>
          <w:t>42</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0" w:history="1">
        <w:r w:rsidRPr="0028570A">
          <w:rPr>
            <w:rStyle w:val="Hyperlink"/>
            <w:noProof/>
            <w:lang w:val="en-US"/>
          </w:rPr>
          <w:t>4.2</w:t>
        </w:r>
        <w:r>
          <w:rPr>
            <w:rFonts w:asciiTheme="minorHAnsi" w:eastAsiaTheme="minorEastAsia" w:hAnsiTheme="minorHAnsi" w:cstheme="minorBidi"/>
            <w:noProof/>
            <w:sz w:val="22"/>
            <w:szCs w:val="22"/>
            <w:lang w:val="nl-NL" w:eastAsia="nl-NL" w:bidi="ar-SA"/>
          </w:rPr>
          <w:tab/>
        </w:r>
        <w:r w:rsidRPr="0028570A">
          <w:rPr>
            <w:rStyle w:val="Hyperlink"/>
            <w:noProof/>
            <w:lang w:val="en-US"/>
          </w:rPr>
          <w:t>Disclosure quantity of financial crisis in financial statements</w:t>
        </w:r>
        <w:r>
          <w:rPr>
            <w:noProof/>
            <w:webHidden/>
          </w:rPr>
          <w:tab/>
        </w:r>
        <w:r>
          <w:rPr>
            <w:noProof/>
            <w:webHidden/>
          </w:rPr>
          <w:fldChar w:fldCharType="begin"/>
        </w:r>
        <w:r>
          <w:rPr>
            <w:noProof/>
            <w:webHidden/>
          </w:rPr>
          <w:instrText xml:space="preserve"> PAGEREF _Toc355387310 \h </w:instrText>
        </w:r>
        <w:r>
          <w:rPr>
            <w:noProof/>
            <w:webHidden/>
          </w:rPr>
        </w:r>
        <w:r>
          <w:rPr>
            <w:noProof/>
            <w:webHidden/>
          </w:rPr>
          <w:fldChar w:fldCharType="separate"/>
        </w:r>
        <w:r>
          <w:rPr>
            <w:noProof/>
            <w:webHidden/>
          </w:rPr>
          <w:t>44</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1" w:history="1">
        <w:r w:rsidRPr="0028570A">
          <w:rPr>
            <w:rStyle w:val="Hyperlink"/>
            <w:noProof/>
            <w:lang w:val="en-US"/>
          </w:rPr>
          <w:t>4.3</w:t>
        </w:r>
        <w:r>
          <w:rPr>
            <w:rFonts w:asciiTheme="minorHAnsi" w:eastAsiaTheme="minorEastAsia" w:hAnsiTheme="minorHAnsi" w:cstheme="minorBidi"/>
            <w:noProof/>
            <w:sz w:val="22"/>
            <w:szCs w:val="22"/>
            <w:lang w:val="nl-NL" w:eastAsia="nl-NL" w:bidi="ar-SA"/>
          </w:rPr>
          <w:tab/>
        </w:r>
        <w:r w:rsidRPr="0028570A">
          <w:rPr>
            <w:rStyle w:val="Hyperlink"/>
            <w:noProof/>
            <w:lang w:val="en-US"/>
          </w:rPr>
          <w:t>Quantity of investment risk disclosures</w:t>
        </w:r>
        <w:r>
          <w:rPr>
            <w:noProof/>
            <w:webHidden/>
          </w:rPr>
          <w:tab/>
        </w:r>
        <w:r>
          <w:rPr>
            <w:noProof/>
            <w:webHidden/>
          </w:rPr>
          <w:fldChar w:fldCharType="begin"/>
        </w:r>
        <w:r>
          <w:rPr>
            <w:noProof/>
            <w:webHidden/>
          </w:rPr>
          <w:instrText xml:space="preserve"> PAGEREF _Toc355387311 \h </w:instrText>
        </w:r>
        <w:r>
          <w:rPr>
            <w:noProof/>
            <w:webHidden/>
          </w:rPr>
        </w:r>
        <w:r>
          <w:rPr>
            <w:noProof/>
            <w:webHidden/>
          </w:rPr>
          <w:fldChar w:fldCharType="separate"/>
        </w:r>
        <w:r>
          <w:rPr>
            <w:noProof/>
            <w:webHidden/>
          </w:rPr>
          <w:t>48</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2" w:history="1">
        <w:r w:rsidRPr="0028570A">
          <w:rPr>
            <w:rStyle w:val="Hyperlink"/>
            <w:noProof/>
            <w:lang w:val="en-US"/>
          </w:rPr>
          <w:t>4.4</w:t>
        </w:r>
        <w:r>
          <w:rPr>
            <w:rFonts w:asciiTheme="minorHAnsi" w:eastAsiaTheme="minorEastAsia" w:hAnsiTheme="minorHAnsi" w:cstheme="minorBidi"/>
            <w:noProof/>
            <w:sz w:val="22"/>
            <w:szCs w:val="22"/>
            <w:lang w:val="nl-NL" w:eastAsia="nl-NL" w:bidi="ar-SA"/>
          </w:rPr>
          <w:tab/>
        </w:r>
        <w:r w:rsidRPr="0028570A">
          <w:rPr>
            <w:rStyle w:val="Hyperlink"/>
            <w:noProof/>
            <w:lang w:val="en-US"/>
          </w:rPr>
          <w:t>Quality of investment risk disclosures</w:t>
        </w:r>
        <w:r>
          <w:rPr>
            <w:noProof/>
            <w:webHidden/>
          </w:rPr>
          <w:tab/>
        </w:r>
        <w:r>
          <w:rPr>
            <w:noProof/>
            <w:webHidden/>
          </w:rPr>
          <w:fldChar w:fldCharType="begin"/>
        </w:r>
        <w:r>
          <w:rPr>
            <w:noProof/>
            <w:webHidden/>
          </w:rPr>
          <w:instrText xml:space="preserve"> PAGEREF _Toc355387312 \h </w:instrText>
        </w:r>
        <w:r>
          <w:rPr>
            <w:noProof/>
            <w:webHidden/>
          </w:rPr>
        </w:r>
        <w:r>
          <w:rPr>
            <w:noProof/>
            <w:webHidden/>
          </w:rPr>
          <w:fldChar w:fldCharType="separate"/>
        </w:r>
        <w:r>
          <w:rPr>
            <w:noProof/>
            <w:webHidden/>
          </w:rPr>
          <w:t>53</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3" w:history="1">
        <w:r w:rsidRPr="0028570A">
          <w:rPr>
            <w:rStyle w:val="Hyperlink"/>
            <w:noProof/>
            <w:lang w:val="en-US"/>
          </w:rPr>
          <w:t>4.4.1</w:t>
        </w:r>
        <w:r>
          <w:rPr>
            <w:rFonts w:asciiTheme="minorHAnsi" w:eastAsiaTheme="minorEastAsia" w:hAnsiTheme="minorHAnsi" w:cstheme="minorBidi"/>
            <w:noProof/>
            <w:sz w:val="22"/>
            <w:szCs w:val="22"/>
            <w:lang w:val="nl-NL" w:eastAsia="nl-NL" w:bidi="ar-SA"/>
          </w:rPr>
          <w:tab/>
        </w:r>
        <w:r w:rsidRPr="0028570A">
          <w:rPr>
            <w:rStyle w:val="Hyperlink"/>
            <w:noProof/>
            <w:lang w:val="en-US"/>
          </w:rPr>
          <w:t>Real estate</w:t>
        </w:r>
        <w:r>
          <w:rPr>
            <w:noProof/>
            <w:webHidden/>
          </w:rPr>
          <w:tab/>
        </w:r>
        <w:r>
          <w:rPr>
            <w:noProof/>
            <w:webHidden/>
          </w:rPr>
          <w:fldChar w:fldCharType="begin"/>
        </w:r>
        <w:r>
          <w:rPr>
            <w:noProof/>
            <w:webHidden/>
          </w:rPr>
          <w:instrText xml:space="preserve"> PAGEREF _Toc355387313 \h </w:instrText>
        </w:r>
        <w:r>
          <w:rPr>
            <w:noProof/>
            <w:webHidden/>
          </w:rPr>
        </w:r>
        <w:r>
          <w:rPr>
            <w:noProof/>
            <w:webHidden/>
          </w:rPr>
          <w:fldChar w:fldCharType="separate"/>
        </w:r>
        <w:r>
          <w:rPr>
            <w:noProof/>
            <w:webHidden/>
          </w:rPr>
          <w:t>53</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4" w:history="1">
        <w:r w:rsidRPr="0028570A">
          <w:rPr>
            <w:rStyle w:val="Hyperlink"/>
            <w:noProof/>
            <w:lang w:val="en-US"/>
          </w:rPr>
          <w:t>4.4.2</w:t>
        </w:r>
        <w:r>
          <w:rPr>
            <w:rFonts w:asciiTheme="minorHAnsi" w:eastAsiaTheme="minorEastAsia" w:hAnsiTheme="minorHAnsi" w:cstheme="minorBidi"/>
            <w:noProof/>
            <w:sz w:val="22"/>
            <w:szCs w:val="22"/>
            <w:lang w:val="nl-NL" w:eastAsia="nl-NL" w:bidi="ar-SA"/>
          </w:rPr>
          <w:tab/>
        </w:r>
        <w:r w:rsidRPr="0028570A">
          <w:rPr>
            <w:rStyle w:val="Hyperlink"/>
            <w:noProof/>
            <w:lang w:val="en-US"/>
          </w:rPr>
          <w:t>Bonds</w:t>
        </w:r>
        <w:r>
          <w:rPr>
            <w:noProof/>
            <w:webHidden/>
          </w:rPr>
          <w:tab/>
        </w:r>
        <w:r>
          <w:rPr>
            <w:noProof/>
            <w:webHidden/>
          </w:rPr>
          <w:fldChar w:fldCharType="begin"/>
        </w:r>
        <w:r>
          <w:rPr>
            <w:noProof/>
            <w:webHidden/>
          </w:rPr>
          <w:instrText xml:space="preserve"> PAGEREF _Toc355387314 \h </w:instrText>
        </w:r>
        <w:r>
          <w:rPr>
            <w:noProof/>
            <w:webHidden/>
          </w:rPr>
        </w:r>
        <w:r>
          <w:rPr>
            <w:noProof/>
            <w:webHidden/>
          </w:rPr>
          <w:fldChar w:fldCharType="separate"/>
        </w:r>
        <w:r>
          <w:rPr>
            <w:noProof/>
            <w:webHidden/>
          </w:rPr>
          <w:t>59</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5" w:history="1">
        <w:r w:rsidRPr="0028570A">
          <w:rPr>
            <w:rStyle w:val="Hyperlink"/>
            <w:noProof/>
            <w:lang w:val="en-US"/>
          </w:rPr>
          <w:t>4.5</w:t>
        </w:r>
        <w:r>
          <w:rPr>
            <w:rFonts w:asciiTheme="minorHAnsi" w:eastAsiaTheme="minorEastAsia" w:hAnsiTheme="minorHAnsi" w:cstheme="minorBidi"/>
            <w:noProof/>
            <w:sz w:val="22"/>
            <w:szCs w:val="22"/>
            <w:lang w:val="nl-NL" w:eastAsia="nl-NL" w:bidi="ar-SA"/>
          </w:rPr>
          <w:tab/>
        </w:r>
        <w:r w:rsidRPr="0028570A">
          <w:rPr>
            <w:rStyle w:val="Hyperlink"/>
            <w:noProof/>
            <w:lang w:val="en-US"/>
          </w:rPr>
          <w:t>Summary</w:t>
        </w:r>
        <w:r>
          <w:rPr>
            <w:noProof/>
            <w:webHidden/>
          </w:rPr>
          <w:tab/>
        </w:r>
        <w:r>
          <w:rPr>
            <w:noProof/>
            <w:webHidden/>
          </w:rPr>
          <w:fldChar w:fldCharType="begin"/>
        </w:r>
        <w:r>
          <w:rPr>
            <w:noProof/>
            <w:webHidden/>
          </w:rPr>
          <w:instrText xml:space="preserve"> PAGEREF _Toc355387315 \h </w:instrText>
        </w:r>
        <w:r>
          <w:rPr>
            <w:noProof/>
            <w:webHidden/>
          </w:rPr>
        </w:r>
        <w:r>
          <w:rPr>
            <w:noProof/>
            <w:webHidden/>
          </w:rPr>
          <w:fldChar w:fldCharType="separate"/>
        </w:r>
        <w:r>
          <w:rPr>
            <w:noProof/>
            <w:webHidden/>
          </w:rPr>
          <w:t>63</w:t>
        </w:r>
        <w:r>
          <w:rPr>
            <w:noProof/>
            <w:webHidden/>
          </w:rPr>
          <w:fldChar w:fldCharType="end"/>
        </w:r>
      </w:hyperlink>
    </w:p>
    <w:p w:rsidR="00B1723B" w:rsidRDefault="00B1723B">
      <w:pPr>
        <w:pStyle w:val="Inhopg1"/>
        <w:tabs>
          <w:tab w:val="left" w:pos="480"/>
        </w:tabs>
        <w:rPr>
          <w:rFonts w:asciiTheme="minorHAnsi" w:eastAsiaTheme="minorEastAsia" w:hAnsiTheme="minorHAnsi" w:cstheme="minorBidi"/>
          <w:b w:val="0"/>
          <w:bCs w:val="0"/>
          <w:sz w:val="22"/>
          <w:szCs w:val="22"/>
          <w:lang w:val="nl-NL" w:eastAsia="nl-NL" w:bidi="ar-SA"/>
        </w:rPr>
      </w:pPr>
      <w:hyperlink w:anchor="_Toc355387316" w:history="1">
        <w:r w:rsidRPr="0028570A">
          <w:rPr>
            <w:rStyle w:val="Hyperlink"/>
            <w:lang w:val="en-US"/>
          </w:rPr>
          <w:t>5</w:t>
        </w:r>
        <w:r>
          <w:rPr>
            <w:rFonts w:asciiTheme="minorHAnsi" w:eastAsiaTheme="minorEastAsia" w:hAnsiTheme="minorHAnsi" w:cstheme="minorBidi"/>
            <w:b w:val="0"/>
            <w:bCs w:val="0"/>
            <w:sz w:val="22"/>
            <w:szCs w:val="22"/>
            <w:lang w:val="nl-NL" w:eastAsia="nl-NL" w:bidi="ar-SA"/>
          </w:rPr>
          <w:tab/>
        </w:r>
        <w:r w:rsidRPr="0028570A">
          <w:rPr>
            <w:rStyle w:val="Hyperlink"/>
            <w:lang w:val="en-US"/>
          </w:rPr>
          <w:t xml:space="preserve"> Conclusions, limitations and recommendations</w:t>
        </w:r>
        <w:r>
          <w:rPr>
            <w:webHidden/>
          </w:rPr>
          <w:tab/>
        </w:r>
        <w:r>
          <w:rPr>
            <w:webHidden/>
          </w:rPr>
          <w:fldChar w:fldCharType="begin"/>
        </w:r>
        <w:r>
          <w:rPr>
            <w:webHidden/>
          </w:rPr>
          <w:instrText xml:space="preserve"> PAGEREF _Toc355387316 \h </w:instrText>
        </w:r>
        <w:r>
          <w:rPr>
            <w:webHidden/>
          </w:rPr>
        </w:r>
        <w:r>
          <w:rPr>
            <w:webHidden/>
          </w:rPr>
          <w:fldChar w:fldCharType="separate"/>
        </w:r>
        <w:r>
          <w:rPr>
            <w:webHidden/>
          </w:rPr>
          <w:t>65</w:t>
        </w:r>
        <w:r>
          <w:rPr>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7" w:history="1">
        <w:r w:rsidRPr="0028570A">
          <w:rPr>
            <w:rStyle w:val="Hyperlink"/>
            <w:noProof/>
            <w:lang w:val="en-US"/>
          </w:rPr>
          <w:t>5.1</w:t>
        </w:r>
        <w:r>
          <w:rPr>
            <w:rFonts w:asciiTheme="minorHAnsi" w:eastAsiaTheme="minorEastAsia" w:hAnsiTheme="minorHAnsi" w:cstheme="minorBidi"/>
            <w:noProof/>
            <w:sz w:val="22"/>
            <w:szCs w:val="22"/>
            <w:lang w:val="nl-NL" w:eastAsia="nl-NL" w:bidi="ar-SA"/>
          </w:rPr>
          <w:tab/>
        </w:r>
        <w:r w:rsidRPr="0028570A">
          <w:rPr>
            <w:rStyle w:val="Hyperlink"/>
            <w:noProof/>
            <w:lang w:val="en-US"/>
          </w:rPr>
          <w:t>Conclusions</w:t>
        </w:r>
        <w:r>
          <w:rPr>
            <w:noProof/>
            <w:webHidden/>
          </w:rPr>
          <w:tab/>
        </w:r>
        <w:r>
          <w:rPr>
            <w:noProof/>
            <w:webHidden/>
          </w:rPr>
          <w:fldChar w:fldCharType="begin"/>
        </w:r>
        <w:r>
          <w:rPr>
            <w:noProof/>
            <w:webHidden/>
          </w:rPr>
          <w:instrText xml:space="preserve"> PAGEREF _Toc355387317 \h </w:instrText>
        </w:r>
        <w:r>
          <w:rPr>
            <w:noProof/>
            <w:webHidden/>
          </w:rPr>
        </w:r>
        <w:r>
          <w:rPr>
            <w:noProof/>
            <w:webHidden/>
          </w:rPr>
          <w:fldChar w:fldCharType="separate"/>
        </w:r>
        <w:r>
          <w:rPr>
            <w:noProof/>
            <w:webHidden/>
          </w:rPr>
          <w:t>65</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8" w:history="1">
        <w:r w:rsidRPr="0028570A">
          <w:rPr>
            <w:rStyle w:val="Hyperlink"/>
            <w:noProof/>
            <w:kern w:val="32"/>
            <w:lang w:val="en-US"/>
          </w:rPr>
          <w:t>5.2</w:t>
        </w:r>
        <w:r>
          <w:rPr>
            <w:rFonts w:asciiTheme="minorHAnsi" w:eastAsiaTheme="minorEastAsia" w:hAnsiTheme="minorHAnsi" w:cstheme="minorBidi"/>
            <w:noProof/>
            <w:sz w:val="22"/>
            <w:szCs w:val="22"/>
            <w:lang w:val="nl-NL" w:eastAsia="nl-NL" w:bidi="ar-SA"/>
          </w:rPr>
          <w:tab/>
        </w:r>
        <w:r w:rsidRPr="0028570A">
          <w:rPr>
            <w:rStyle w:val="Hyperlink"/>
            <w:noProof/>
            <w:kern w:val="32"/>
            <w:lang w:val="en-US"/>
          </w:rPr>
          <w:t>Limitations</w:t>
        </w:r>
        <w:r>
          <w:rPr>
            <w:noProof/>
            <w:webHidden/>
          </w:rPr>
          <w:tab/>
        </w:r>
        <w:r>
          <w:rPr>
            <w:noProof/>
            <w:webHidden/>
          </w:rPr>
          <w:fldChar w:fldCharType="begin"/>
        </w:r>
        <w:r>
          <w:rPr>
            <w:noProof/>
            <w:webHidden/>
          </w:rPr>
          <w:instrText xml:space="preserve"> PAGEREF _Toc355387318 \h </w:instrText>
        </w:r>
        <w:r>
          <w:rPr>
            <w:noProof/>
            <w:webHidden/>
          </w:rPr>
        </w:r>
        <w:r>
          <w:rPr>
            <w:noProof/>
            <w:webHidden/>
          </w:rPr>
          <w:fldChar w:fldCharType="separate"/>
        </w:r>
        <w:r>
          <w:rPr>
            <w:noProof/>
            <w:webHidden/>
          </w:rPr>
          <w:t>67</w:t>
        </w:r>
        <w:r>
          <w:rPr>
            <w:noProof/>
            <w:webHidden/>
          </w:rPr>
          <w:fldChar w:fldCharType="end"/>
        </w:r>
      </w:hyperlink>
    </w:p>
    <w:p w:rsidR="00B1723B" w:rsidRDefault="00B1723B">
      <w:pPr>
        <w:pStyle w:val="Inhopg2"/>
        <w:tabs>
          <w:tab w:val="left" w:pos="960"/>
          <w:tab w:val="right" w:leader="dot" w:pos="9060"/>
        </w:tabs>
        <w:rPr>
          <w:rFonts w:asciiTheme="minorHAnsi" w:eastAsiaTheme="minorEastAsia" w:hAnsiTheme="minorHAnsi" w:cstheme="minorBidi"/>
          <w:noProof/>
          <w:sz w:val="22"/>
          <w:szCs w:val="22"/>
          <w:lang w:val="nl-NL" w:eastAsia="nl-NL" w:bidi="ar-SA"/>
        </w:rPr>
      </w:pPr>
      <w:hyperlink w:anchor="_Toc355387319" w:history="1">
        <w:r w:rsidRPr="0028570A">
          <w:rPr>
            <w:rStyle w:val="Hyperlink"/>
            <w:noProof/>
            <w:kern w:val="32"/>
            <w:lang w:val="en-US"/>
          </w:rPr>
          <w:t>5.3</w:t>
        </w:r>
        <w:r>
          <w:rPr>
            <w:rFonts w:asciiTheme="minorHAnsi" w:eastAsiaTheme="minorEastAsia" w:hAnsiTheme="minorHAnsi" w:cstheme="minorBidi"/>
            <w:noProof/>
            <w:sz w:val="22"/>
            <w:szCs w:val="22"/>
            <w:lang w:val="nl-NL" w:eastAsia="nl-NL" w:bidi="ar-SA"/>
          </w:rPr>
          <w:tab/>
        </w:r>
        <w:r w:rsidRPr="0028570A">
          <w:rPr>
            <w:rStyle w:val="Hyperlink"/>
            <w:noProof/>
            <w:kern w:val="32"/>
            <w:lang w:val="en-US"/>
          </w:rPr>
          <w:t>Recommendations for further research</w:t>
        </w:r>
        <w:r>
          <w:rPr>
            <w:noProof/>
            <w:webHidden/>
          </w:rPr>
          <w:tab/>
        </w:r>
        <w:r>
          <w:rPr>
            <w:noProof/>
            <w:webHidden/>
          </w:rPr>
          <w:fldChar w:fldCharType="begin"/>
        </w:r>
        <w:r>
          <w:rPr>
            <w:noProof/>
            <w:webHidden/>
          </w:rPr>
          <w:instrText xml:space="preserve"> PAGEREF _Toc355387319 \h </w:instrText>
        </w:r>
        <w:r>
          <w:rPr>
            <w:noProof/>
            <w:webHidden/>
          </w:rPr>
        </w:r>
        <w:r>
          <w:rPr>
            <w:noProof/>
            <w:webHidden/>
          </w:rPr>
          <w:fldChar w:fldCharType="separate"/>
        </w:r>
        <w:r>
          <w:rPr>
            <w:noProof/>
            <w:webHidden/>
          </w:rPr>
          <w:t>68</w:t>
        </w:r>
        <w:r>
          <w:rPr>
            <w:noProof/>
            <w:webHidden/>
          </w:rPr>
          <w:fldChar w:fldCharType="end"/>
        </w:r>
      </w:hyperlink>
    </w:p>
    <w:p w:rsidR="00B1723B" w:rsidRDefault="00B1723B">
      <w:pPr>
        <w:pStyle w:val="Inhopg1"/>
        <w:rPr>
          <w:rFonts w:asciiTheme="minorHAnsi" w:eastAsiaTheme="minorEastAsia" w:hAnsiTheme="minorHAnsi" w:cstheme="minorBidi"/>
          <w:b w:val="0"/>
          <w:bCs w:val="0"/>
          <w:sz w:val="22"/>
          <w:szCs w:val="22"/>
          <w:lang w:val="nl-NL" w:eastAsia="nl-NL" w:bidi="ar-SA"/>
        </w:rPr>
      </w:pPr>
      <w:hyperlink w:anchor="_Toc355387320" w:history="1">
        <w:r w:rsidRPr="0028570A">
          <w:rPr>
            <w:rStyle w:val="Hyperlink"/>
            <w:lang w:val="en-US"/>
          </w:rPr>
          <w:t>References</w:t>
        </w:r>
        <w:r>
          <w:rPr>
            <w:webHidden/>
          </w:rPr>
          <w:tab/>
        </w:r>
        <w:r>
          <w:rPr>
            <w:webHidden/>
          </w:rPr>
          <w:fldChar w:fldCharType="begin"/>
        </w:r>
        <w:r>
          <w:rPr>
            <w:webHidden/>
          </w:rPr>
          <w:instrText xml:space="preserve"> PAGEREF _Toc355387320 \h </w:instrText>
        </w:r>
        <w:r>
          <w:rPr>
            <w:webHidden/>
          </w:rPr>
        </w:r>
        <w:r>
          <w:rPr>
            <w:webHidden/>
          </w:rPr>
          <w:fldChar w:fldCharType="separate"/>
        </w:r>
        <w:r>
          <w:rPr>
            <w:webHidden/>
          </w:rPr>
          <w:t>69</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1" w:history="1">
        <w:r w:rsidRPr="0028570A">
          <w:rPr>
            <w:rStyle w:val="Hyperlink"/>
          </w:rPr>
          <w:t>Appendix 1</w:t>
        </w:r>
        <w:r>
          <w:rPr>
            <w:rFonts w:asciiTheme="minorHAnsi" w:eastAsiaTheme="minorEastAsia" w:hAnsiTheme="minorHAnsi" w:cstheme="minorBidi"/>
            <w:b w:val="0"/>
            <w:bCs w:val="0"/>
            <w:sz w:val="22"/>
            <w:szCs w:val="22"/>
            <w:lang w:val="nl-NL" w:eastAsia="nl-NL" w:bidi="ar-SA"/>
          </w:rPr>
          <w:tab/>
        </w:r>
        <w:r w:rsidRPr="0028570A">
          <w:rPr>
            <w:rStyle w:val="Hyperlink"/>
          </w:rPr>
          <w:t>Financial accounting theory</w:t>
        </w:r>
        <w:r>
          <w:rPr>
            <w:webHidden/>
          </w:rPr>
          <w:tab/>
        </w:r>
        <w:r>
          <w:rPr>
            <w:webHidden/>
          </w:rPr>
          <w:fldChar w:fldCharType="begin"/>
        </w:r>
        <w:r>
          <w:rPr>
            <w:webHidden/>
          </w:rPr>
          <w:instrText xml:space="preserve"> PAGEREF _Toc355387321 \h </w:instrText>
        </w:r>
        <w:r>
          <w:rPr>
            <w:webHidden/>
          </w:rPr>
        </w:r>
        <w:r>
          <w:rPr>
            <w:webHidden/>
          </w:rPr>
          <w:fldChar w:fldCharType="separate"/>
        </w:r>
        <w:r>
          <w:rPr>
            <w:webHidden/>
          </w:rPr>
          <w:t>73</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2" w:history="1">
        <w:r w:rsidRPr="0028570A">
          <w:rPr>
            <w:rStyle w:val="Hyperlink"/>
          </w:rPr>
          <w:t>Appendix 2</w:t>
        </w:r>
        <w:r>
          <w:rPr>
            <w:rFonts w:asciiTheme="minorHAnsi" w:eastAsiaTheme="minorEastAsia" w:hAnsiTheme="minorHAnsi" w:cstheme="minorBidi"/>
            <w:b w:val="0"/>
            <w:bCs w:val="0"/>
            <w:sz w:val="22"/>
            <w:szCs w:val="22"/>
            <w:lang w:val="nl-NL" w:eastAsia="nl-NL" w:bidi="ar-SA"/>
          </w:rPr>
          <w:tab/>
        </w:r>
        <w:r w:rsidRPr="0028570A">
          <w:rPr>
            <w:rStyle w:val="Hyperlink"/>
          </w:rPr>
          <w:t>Number of Dutch pension funds</w:t>
        </w:r>
        <w:r>
          <w:rPr>
            <w:webHidden/>
          </w:rPr>
          <w:tab/>
        </w:r>
        <w:r>
          <w:rPr>
            <w:webHidden/>
          </w:rPr>
          <w:fldChar w:fldCharType="begin"/>
        </w:r>
        <w:r>
          <w:rPr>
            <w:webHidden/>
          </w:rPr>
          <w:instrText xml:space="preserve"> PAGEREF _Toc355387322 \h </w:instrText>
        </w:r>
        <w:r>
          <w:rPr>
            <w:webHidden/>
          </w:rPr>
        </w:r>
        <w:r>
          <w:rPr>
            <w:webHidden/>
          </w:rPr>
          <w:fldChar w:fldCharType="separate"/>
        </w:r>
        <w:r>
          <w:rPr>
            <w:webHidden/>
          </w:rPr>
          <w:t>73</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3" w:history="1">
        <w:r w:rsidRPr="0028570A">
          <w:rPr>
            <w:rStyle w:val="Hyperlink"/>
          </w:rPr>
          <w:t>Appendix 3</w:t>
        </w:r>
        <w:r>
          <w:rPr>
            <w:rFonts w:asciiTheme="minorHAnsi" w:eastAsiaTheme="minorEastAsia" w:hAnsiTheme="minorHAnsi" w:cstheme="minorBidi"/>
            <w:b w:val="0"/>
            <w:bCs w:val="0"/>
            <w:sz w:val="22"/>
            <w:szCs w:val="22"/>
            <w:lang w:val="nl-NL" w:eastAsia="nl-NL" w:bidi="ar-SA"/>
          </w:rPr>
          <w:tab/>
        </w:r>
        <w:r w:rsidRPr="0028570A">
          <w:rPr>
            <w:rStyle w:val="Hyperlink"/>
          </w:rPr>
          <w:t>Investments of Dutch pension funds</w:t>
        </w:r>
        <w:r>
          <w:rPr>
            <w:webHidden/>
          </w:rPr>
          <w:tab/>
        </w:r>
        <w:r>
          <w:rPr>
            <w:webHidden/>
          </w:rPr>
          <w:fldChar w:fldCharType="begin"/>
        </w:r>
        <w:r>
          <w:rPr>
            <w:webHidden/>
          </w:rPr>
          <w:instrText xml:space="preserve"> PAGEREF _Toc355387323 \h </w:instrText>
        </w:r>
        <w:r>
          <w:rPr>
            <w:webHidden/>
          </w:rPr>
        </w:r>
        <w:r>
          <w:rPr>
            <w:webHidden/>
          </w:rPr>
          <w:fldChar w:fldCharType="separate"/>
        </w:r>
        <w:r>
          <w:rPr>
            <w:webHidden/>
          </w:rPr>
          <w:t>74</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4" w:history="1">
        <w:r w:rsidRPr="0028570A">
          <w:rPr>
            <w:rStyle w:val="Hyperlink"/>
          </w:rPr>
          <w:t>Appendix 4</w:t>
        </w:r>
        <w:r>
          <w:rPr>
            <w:rFonts w:asciiTheme="minorHAnsi" w:eastAsiaTheme="minorEastAsia" w:hAnsiTheme="minorHAnsi" w:cstheme="minorBidi"/>
            <w:b w:val="0"/>
            <w:bCs w:val="0"/>
            <w:sz w:val="22"/>
            <w:szCs w:val="22"/>
            <w:lang w:val="nl-NL" w:eastAsia="nl-NL" w:bidi="ar-SA"/>
          </w:rPr>
          <w:tab/>
        </w:r>
        <w:r w:rsidRPr="0028570A">
          <w:rPr>
            <w:rStyle w:val="Hyperlink"/>
          </w:rPr>
          <w:t>Overview research methods</w:t>
        </w:r>
        <w:r>
          <w:rPr>
            <w:webHidden/>
          </w:rPr>
          <w:tab/>
        </w:r>
        <w:r>
          <w:rPr>
            <w:webHidden/>
          </w:rPr>
          <w:fldChar w:fldCharType="begin"/>
        </w:r>
        <w:r>
          <w:rPr>
            <w:webHidden/>
          </w:rPr>
          <w:instrText xml:space="preserve"> PAGEREF _Toc355387324 \h </w:instrText>
        </w:r>
        <w:r>
          <w:rPr>
            <w:webHidden/>
          </w:rPr>
        </w:r>
        <w:r>
          <w:rPr>
            <w:webHidden/>
          </w:rPr>
          <w:fldChar w:fldCharType="separate"/>
        </w:r>
        <w:r>
          <w:rPr>
            <w:webHidden/>
          </w:rPr>
          <w:t>74</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5" w:history="1">
        <w:r w:rsidRPr="0028570A">
          <w:rPr>
            <w:rStyle w:val="Hyperlink"/>
          </w:rPr>
          <w:t>Appendix 5</w:t>
        </w:r>
        <w:r>
          <w:rPr>
            <w:rFonts w:asciiTheme="minorHAnsi" w:eastAsiaTheme="minorEastAsia" w:hAnsiTheme="minorHAnsi" w:cstheme="minorBidi"/>
            <w:b w:val="0"/>
            <w:bCs w:val="0"/>
            <w:sz w:val="22"/>
            <w:szCs w:val="22"/>
            <w:lang w:val="nl-NL" w:eastAsia="nl-NL" w:bidi="ar-SA"/>
          </w:rPr>
          <w:tab/>
        </w:r>
        <w:r w:rsidRPr="0028570A">
          <w:rPr>
            <w:rStyle w:val="Hyperlink"/>
          </w:rPr>
          <w:t>Dutch Guidelines of Annual Reporting – Risk paragraph (revised 2007)</w:t>
        </w:r>
        <w:r>
          <w:rPr>
            <w:webHidden/>
          </w:rPr>
          <w:tab/>
        </w:r>
        <w:r>
          <w:rPr>
            <w:webHidden/>
          </w:rPr>
          <w:fldChar w:fldCharType="begin"/>
        </w:r>
        <w:r>
          <w:rPr>
            <w:webHidden/>
          </w:rPr>
          <w:instrText xml:space="preserve"> PAGEREF _Toc355387325 \h </w:instrText>
        </w:r>
        <w:r>
          <w:rPr>
            <w:webHidden/>
          </w:rPr>
        </w:r>
        <w:r>
          <w:rPr>
            <w:webHidden/>
          </w:rPr>
          <w:fldChar w:fldCharType="separate"/>
        </w:r>
        <w:r>
          <w:rPr>
            <w:webHidden/>
          </w:rPr>
          <w:t>75</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6" w:history="1">
        <w:r w:rsidRPr="0028570A">
          <w:rPr>
            <w:rStyle w:val="Hyperlink"/>
          </w:rPr>
          <w:t>Appendix 6</w:t>
        </w:r>
        <w:r>
          <w:rPr>
            <w:rFonts w:asciiTheme="minorHAnsi" w:eastAsiaTheme="minorEastAsia" w:hAnsiTheme="minorHAnsi" w:cstheme="minorBidi"/>
            <w:b w:val="0"/>
            <w:bCs w:val="0"/>
            <w:sz w:val="22"/>
            <w:szCs w:val="22"/>
            <w:lang w:val="nl-NL" w:eastAsia="nl-NL" w:bidi="ar-SA"/>
          </w:rPr>
          <w:tab/>
        </w:r>
        <w:r w:rsidRPr="0028570A">
          <w:rPr>
            <w:rStyle w:val="Hyperlink"/>
          </w:rPr>
          <w:t>Research process</w:t>
        </w:r>
        <w:r>
          <w:rPr>
            <w:webHidden/>
          </w:rPr>
          <w:tab/>
        </w:r>
        <w:r>
          <w:rPr>
            <w:webHidden/>
          </w:rPr>
          <w:fldChar w:fldCharType="begin"/>
        </w:r>
        <w:r>
          <w:rPr>
            <w:webHidden/>
          </w:rPr>
          <w:instrText xml:space="preserve"> PAGEREF _Toc355387326 \h </w:instrText>
        </w:r>
        <w:r>
          <w:rPr>
            <w:webHidden/>
          </w:rPr>
        </w:r>
        <w:r>
          <w:rPr>
            <w:webHidden/>
          </w:rPr>
          <w:fldChar w:fldCharType="separate"/>
        </w:r>
        <w:r>
          <w:rPr>
            <w:webHidden/>
          </w:rPr>
          <w:t>77</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7" w:history="1">
        <w:r w:rsidRPr="0028570A">
          <w:rPr>
            <w:rStyle w:val="Hyperlink"/>
          </w:rPr>
          <w:t>Appendix 7</w:t>
        </w:r>
        <w:r>
          <w:rPr>
            <w:rFonts w:asciiTheme="minorHAnsi" w:eastAsiaTheme="minorEastAsia" w:hAnsiTheme="minorHAnsi" w:cstheme="minorBidi"/>
            <w:b w:val="0"/>
            <w:bCs w:val="0"/>
            <w:sz w:val="22"/>
            <w:szCs w:val="22"/>
            <w:lang w:val="nl-NL" w:eastAsia="nl-NL" w:bidi="ar-SA"/>
          </w:rPr>
          <w:tab/>
        </w:r>
        <w:r w:rsidRPr="0028570A">
          <w:rPr>
            <w:rStyle w:val="Hyperlink"/>
          </w:rPr>
          <w:t>Definitions investment risks</w:t>
        </w:r>
        <w:r>
          <w:rPr>
            <w:webHidden/>
          </w:rPr>
          <w:tab/>
        </w:r>
        <w:r>
          <w:rPr>
            <w:webHidden/>
          </w:rPr>
          <w:fldChar w:fldCharType="begin"/>
        </w:r>
        <w:r>
          <w:rPr>
            <w:webHidden/>
          </w:rPr>
          <w:instrText xml:space="preserve"> PAGEREF _Toc355387327 \h </w:instrText>
        </w:r>
        <w:r>
          <w:rPr>
            <w:webHidden/>
          </w:rPr>
        </w:r>
        <w:r>
          <w:rPr>
            <w:webHidden/>
          </w:rPr>
          <w:fldChar w:fldCharType="separate"/>
        </w:r>
        <w:r>
          <w:rPr>
            <w:webHidden/>
          </w:rPr>
          <w:t>77</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8" w:history="1">
        <w:r w:rsidRPr="0028570A">
          <w:rPr>
            <w:rStyle w:val="Hyperlink"/>
          </w:rPr>
          <w:t>Appendix 8</w:t>
        </w:r>
        <w:r>
          <w:rPr>
            <w:rFonts w:asciiTheme="minorHAnsi" w:eastAsiaTheme="minorEastAsia" w:hAnsiTheme="minorHAnsi" w:cstheme="minorBidi"/>
            <w:b w:val="0"/>
            <w:bCs w:val="0"/>
            <w:sz w:val="22"/>
            <w:szCs w:val="22"/>
            <w:lang w:val="nl-NL" w:eastAsia="nl-NL" w:bidi="ar-SA"/>
          </w:rPr>
          <w:tab/>
        </w:r>
        <w:r w:rsidRPr="0028570A">
          <w:rPr>
            <w:rStyle w:val="Hyperlink"/>
          </w:rPr>
          <w:t>Analysis of Research Methods</w:t>
        </w:r>
        <w:r>
          <w:rPr>
            <w:webHidden/>
          </w:rPr>
          <w:tab/>
        </w:r>
        <w:r>
          <w:rPr>
            <w:webHidden/>
          </w:rPr>
          <w:fldChar w:fldCharType="begin"/>
        </w:r>
        <w:r>
          <w:rPr>
            <w:webHidden/>
          </w:rPr>
          <w:instrText xml:space="preserve"> PAGEREF _Toc355387328 \h </w:instrText>
        </w:r>
        <w:r>
          <w:rPr>
            <w:webHidden/>
          </w:rPr>
        </w:r>
        <w:r>
          <w:rPr>
            <w:webHidden/>
          </w:rPr>
          <w:fldChar w:fldCharType="separate"/>
        </w:r>
        <w:r>
          <w:rPr>
            <w:webHidden/>
          </w:rPr>
          <w:t>79</w:t>
        </w:r>
        <w:r>
          <w:rPr>
            <w:webHidden/>
          </w:rPr>
          <w:fldChar w:fldCharType="end"/>
        </w:r>
      </w:hyperlink>
    </w:p>
    <w:p w:rsidR="00B1723B" w:rsidRDefault="00B1723B">
      <w:pPr>
        <w:pStyle w:val="Inhopg1"/>
        <w:tabs>
          <w:tab w:val="left" w:pos="1440"/>
        </w:tabs>
        <w:rPr>
          <w:rFonts w:asciiTheme="minorHAnsi" w:eastAsiaTheme="minorEastAsia" w:hAnsiTheme="minorHAnsi" w:cstheme="minorBidi"/>
          <w:b w:val="0"/>
          <w:bCs w:val="0"/>
          <w:sz w:val="22"/>
          <w:szCs w:val="22"/>
          <w:lang w:val="nl-NL" w:eastAsia="nl-NL" w:bidi="ar-SA"/>
        </w:rPr>
      </w:pPr>
      <w:hyperlink w:anchor="_Toc355387329" w:history="1">
        <w:r w:rsidRPr="0028570A">
          <w:rPr>
            <w:rStyle w:val="Hyperlink"/>
          </w:rPr>
          <w:t>Appendix 9</w:t>
        </w:r>
        <w:r>
          <w:rPr>
            <w:rFonts w:asciiTheme="minorHAnsi" w:eastAsiaTheme="minorEastAsia" w:hAnsiTheme="minorHAnsi" w:cstheme="minorBidi"/>
            <w:b w:val="0"/>
            <w:bCs w:val="0"/>
            <w:sz w:val="22"/>
            <w:szCs w:val="22"/>
            <w:lang w:val="nl-NL" w:eastAsia="nl-NL" w:bidi="ar-SA"/>
          </w:rPr>
          <w:tab/>
        </w:r>
        <w:r w:rsidRPr="0028570A">
          <w:rPr>
            <w:rStyle w:val="Hyperlink"/>
          </w:rPr>
          <w:t>Pension funds included in sample and average AUM</w:t>
        </w:r>
        <w:r>
          <w:rPr>
            <w:webHidden/>
          </w:rPr>
          <w:tab/>
        </w:r>
        <w:r>
          <w:rPr>
            <w:webHidden/>
          </w:rPr>
          <w:fldChar w:fldCharType="begin"/>
        </w:r>
        <w:r>
          <w:rPr>
            <w:webHidden/>
          </w:rPr>
          <w:instrText xml:space="preserve"> PAGEREF _Toc355387329 \h </w:instrText>
        </w:r>
        <w:r>
          <w:rPr>
            <w:webHidden/>
          </w:rPr>
        </w:r>
        <w:r>
          <w:rPr>
            <w:webHidden/>
          </w:rPr>
          <w:fldChar w:fldCharType="separate"/>
        </w:r>
        <w:r>
          <w:rPr>
            <w:webHidden/>
          </w:rPr>
          <w:t>79</w:t>
        </w:r>
        <w:r>
          <w:rPr>
            <w:webHidden/>
          </w:rPr>
          <w:fldChar w:fldCharType="end"/>
        </w:r>
      </w:hyperlink>
    </w:p>
    <w:p w:rsidR="00B1723B" w:rsidRDefault="00B1723B">
      <w:pPr>
        <w:pStyle w:val="Inhopg1"/>
        <w:tabs>
          <w:tab w:val="left" w:pos="1680"/>
        </w:tabs>
        <w:rPr>
          <w:rFonts w:asciiTheme="minorHAnsi" w:eastAsiaTheme="minorEastAsia" w:hAnsiTheme="minorHAnsi" w:cstheme="minorBidi"/>
          <w:b w:val="0"/>
          <w:bCs w:val="0"/>
          <w:sz w:val="22"/>
          <w:szCs w:val="22"/>
          <w:lang w:val="nl-NL" w:eastAsia="nl-NL" w:bidi="ar-SA"/>
        </w:rPr>
      </w:pPr>
      <w:hyperlink w:anchor="_Toc355387330" w:history="1">
        <w:r w:rsidRPr="0028570A">
          <w:rPr>
            <w:rStyle w:val="Hyperlink"/>
          </w:rPr>
          <w:t>Appendix 10</w:t>
        </w:r>
        <w:r>
          <w:rPr>
            <w:rFonts w:asciiTheme="minorHAnsi" w:eastAsiaTheme="minorEastAsia" w:hAnsiTheme="minorHAnsi" w:cstheme="minorBidi"/>
            <w:b w:val="0"/>
            <w:bCs w:val="0"/>
            <w:sz w:val="22"/>
            <w:szCs w:val="22"/>
            <w:lang w:val="nl-NL" w:eastAsia="nl-NL" w:bidi="ar-SA"/>
          </w:rPr>
          <w:t xml:space="preserve">   </w:t>
        </w:r>
        <w:r w:rsidRPr="0028570A">
          <w:rPr>
            <w:rStyle w:val="Hyperlink"/>
          </w:rPr>
          <w:t>Checklist to collect data</w:t>
        </w:r>
        <w:r>
          <w:rPr>
            <w:webHidden/>
          </w:rPr>
          <w:tab/>
        </w:r>
        <w:r>
          <w:rPr>
            <w:webHidden/>
          </w:rPr>
          <w:fldChar w:fldCharType="begin"/>
        </w:r>
        <w:r>
          <w:rPr>
            <w:webHidden/>
          </w:rPr>
          <w:instrText xml:space="preserve"> PAGEREF _Toc355387330 \h </w:instrText>
        </w:r>
        <w:r>
          <w:rPr>
            <w:webHidden/>
          </w:rPr>
        </w:r>
        <w:r>
          <w:rPr>
            <w:webHidden/>
          </w:rPr>
          <w:fldChar w:fldCharType="separate"/>
        </w:r>
        <w:r>
          <w:rPr>
            <w:webHidden/>
          </w:rPr>
          <w:t>81</w:t>
        </w:r>
        <w:r>
          <w:rPr>
            <w:webHidden/>
          </w:rPr>
          <w:fldChar w:fldCharType="end"/>
        </w:r>
      </w:hyperlink>
    </w:p>
    <w:p w:rsidR="00B1723B" w:rsidRDefault="00B1723B">
      <w:pPr>
        <w:pStyle w:val="Inhopg1"/>
        <w:tabs>
          <w:tab w:val="left" w:pos="1680"/>
        </w:tabs>
        <w:rPr>
          <w:rFonts w:asciiTheme="minorHAnsi" w:eastAsiaTheme="minorEastAsia" w:hAnsiTheme="minorHAnsi" w:cstheme="minorBidi"/>
          <w:b w:val="0"/>
          <w:bCs w:val="0"/>
          <w:sz w:val="22"/>
          <w:szCs w:val="22"/>
          <w:lang w:val="nl-NL" w:eastAsia="nl-NL" w:bidi="ar-SA"/>
        </w:rPr>
      </w:pPr>
      <w:hyperlink w:anchor="_Toc355387331" w:history="1">
        <w:r w:rsidRPr="0028570A">
          <w:rPr>
            <w:rStyle w:val="Hyperlink"/>
          </w:rPr>
          <w:t>Appendix 11</w:t>
        </w:r>
        <w:r>
          <w:rPr>
            <w:rFonts w:asciiTheme="minorHAnsi" w:eastAsiaTheme="minorEastAsia" w:hAnsiTheme="minorHAnsi" w:cstheme="minorBidi"/>
            <w:b w:val="0"/>
            <w:bCs w:val="0"/>
            <w:sz w:val="22"/>
            <w:szCs w:val="22"/>
            <w:lang w:val="nl-NL" w:eastAsia="nl-NL" w:bidi="ar-SA"/>
          </w:rPr>
          <w:t xml:space="preserve">   </w:t>
        </w:r>
        <w:r w:rsidRPr="0028570A">
          <w:rPr>
            <w:rStyle w:val="Hyperlink"/>
          </w:rPr>
          <w:t>Decision schedule statistical methods</w:t>
        </w:r>
        <w:r>
          <w:rPr>
            <w:webHidden/>
          </w:rPr>
          <w:tab/>
        </w:r>
        <w:r>
          <w:rPr>
            <w:webHidden/>
          </w:rPr>
          <w:fldChar w:fldCharType="begin"/>
        </w:r>
        <w:r>
          <w:rPr>
            <w:webHidden/>
          </w:rPr>
          <w:instrText xml:space="preserve"> PAGEREF _Toc355387331 \h </w:instrText>
        </w:r>
        <w:r>
          <w:rPr>
            <w:webHidden/>
          </w:rPr>
        </w:r>
        <w:r>
          <w:rPr>
            <w:webHidden/>
          </w:rPr>
          <w:fldChar w:fldCharType="separate"/>
        </w:r>
        <w:r>
          <w:rPr>
            <w:webHidden/>
          </w:rPr>
          <w:t>84</w:t>
        </w:r>
        <w:r>
          <w:rPr>
            <w:webHidden/>
          </w:rPr>
          <w:fldChar w:fldCharType="end"/>
        </w:r>
      </w:hyperlink>
    </w:p>
    <w:p w:rsidR="0037661B" w:rsidRDefault="003E0D8B" w:rsidP="00C85995">
      <w:pPr>
        <w:pStyle w:val="Kop1"/>
        <w:numPr>
          <w:ilvl w:val="0"/>
          <w:numId w:val="0"/>
        </w:numPr>
        <w:spacing w:line="360" w:lineRule="auto"/>
        <w:rPr>
          <w:szCs w:val="28"/>
          <w:lang w:val="en-US"/>
        </w:rPr>
      </w:pPr>
      <w:r w:rsidRPr="000A3906">
        <w:rPr>
          <w:szCs w:val="28"/>
          <w:lang w:val="en-US"/>
        </w:rPr>
        <w:fldChar w:fldCharType="end"/>
      </w:r>
      <w:bookmarkStart w:id="9" w:name="_Toc251228820"/>
      <w:bookmarkStart w:id="10" w:name="_Toc267323013"/>
    </w:p>
    <w:p w:rsidR="002554E1" w:rsidRDefault="0037661B" w:rsidP="00AF55A7">
      <w:pPr>
        <w:spacing w:line="360" w:lineRule="auto"/>
        <w:rPr>
          <w:szCs w:val="28"/>
          <w:lang w:val="en-US"/>
        </w:rPr>
      </w:pPr>
      <w:r>
        <w:rPr>
          <w:szCs w:val="28"/>
          <w:lang w:val="en-US"/>
        </w:rPr>
        <w:br w:type="page"/>
      </w:r>
    </w:p>
    <w:p w:rsidR="002554E1" w:rsidRPr="007F63E4" w:rsidRDefault="002554E1" w:rsidP="000D073E">
      <w:pPr>
        <w:pStyle w:val="Kop1"/>
        <w:numPr>
          <w:ilvl w:val="0"/>
          <w:numId w:val="0"/>
        </w:numPr>
        <w:ind w:left="432" w:hanging="432"/>
        <w:rPr>
          <w:szCs w:val="28"/>
          <w:lang w:val="en-US"/>
        </w:rPr>
      </w:pPr>
      <w:bookmarkStart w:id="11" w:name="_Toc355387271"/>
      <w:r w:rsidRPr="007F63E4">
        <w:rPr>
          <w:szCs w:val="28"/>
          <w:lang w:val="en-US"/>
        </w:rPr>
        <w:t>List of abbreviations</w:t>
      </w:r>
      <w:bookmarkEnd w:id="11"/>
    </w:p>
    <w:p w:rsidR="002554E1" w:rsidRPr="007F63E4" w:rsidRDefault="002554E1" w:rsidP="002554E1">
      <w:pPr>
        <w:autoSpaceDE w:val="0"/>
        <w:autoSpaceDN w:val="0"/>
        <w:adjustRightInd w:val="0"/>
        <w:spacing w:line="360" w:lineRule="auto"/>
        <w:rPr>
          <w:rFonts w:cs="Times New Roman"/>
          <w:lang w:val="en-US" w:eastAsia="en-US" w:bidi="ar-SA"/>
        </w:rPr>
      </w:pPr>
    </w:p>
    <w:p w:rsidR="002554E1" w:rsidRDefault="002554E1" w:rsidP="002554E1">
      <w:pPr>
        <w:autoSpaceDE w:val="0"/>
        <w:autoSpaceDN w:val="0"/>
        <w:adjustRightInd w:val="0"/>
        <w:spacing w:line="360" w:lineRule="auto"/>
        <w:rPr>
          <w:lang w:val="en-US"/>
        </w:rPr>
      </w:pPr>
      <w:r w:rsidRPr="000D583D">
        <w:rPr>
          <w:rFonts w:cs="Times New Roman"/>
          <w:lang w:val="en-US" w:eastAsia="en-US" w:bidi="ar-SA"/>
        </w:rPr>
        <w:t>AFM</w:t>
      </w:r>
      <w:r w:rsidRPr="000D583D">
        <w:rPr>
          <w:rFonts w:cs="Times New Roman"/>
          <w:lang w:val="en-US" w:eastAsia="en-US" w:bidi="ar-SA"/>
        </w:rPr>
        <w:tab/>
      </w:r>
      <w:r w:rsidRPr="000D583D">
        <w:rPr>
          <w:rFonts w:cs="Times New Roman"/>
          <w:lang w:val="en-US" w:eastAsia="en-US" w:bidi="ar-SA"/>
        </w:rPr>
        <w:tab/>
      </w:r>
      <w:r w:rsidRPr="000D583D">
        <w:rPr>
          <w:rFonts w:cs="Times New Roman"/>
          <w:lang w:val="en-US" w:eastAsia="en-US" w:bidi="ar-SA"/>
        </w:rPr>
        <w:tab/>
      </w:r>
      <w:proofErr w:type="spellStart"/>
      <w:r w:rsidRPr="000D583D">
        <w:rPr>
          <w:rFonts w:cs="Times New Roman"/>
          <w:lang w:val="en-US" w:eastAsia="en-US" w:bidi="ar-SA"/>
        </w:rPr>
        <w:t>Autoriteit</w:t>
      </w:r>
      <w:proofErr w:type="spellEnd"/>
      <w:r w:rsidRPr="000D583D">
        <w:rPr>
          <w:rFonts w:cs="Times New Roman"/>
          <w:lang w:val="en-US" w:eastAsia="en-US" w:bidi="ar-SA"/>
        </w:rPr>
        <w:t xml:space="preserve"> </w:t>
      </w:r>
      <w:proofErr w:type="spellStart"/>
      <w:r w:rsidRPr="000D583D">
        <w:rPr>
          <w:rFonts w:cs="Times New Roman"/>
          <w:lang w:val="en-US" w:eastAsia="en-US" w:bidi="ar-SA"/>
        </w:rPr>
        <w:t>Financiële</w:t>
      </w:r>
      <w:proofErr w:type="spellEnd"/>
      <w:r w:rsidRPr="000D583D">
        <w:rPr>
          <w:rFonts w:cs="Times New Roman"/>
          <w:lang w:val="en-US" w:eastAsia="en-US" w:bidi="ar-SA"/>
        </w:rPr>
        <w:t xml:space="preserve"> </w:t>
      </w:r>
      <w:proofErr w:type="spellStart"/>
      <w:r w:rsidRPr="000D583D">
        <w:rPr>
          <w:rFonts w:cs="Times New Roman"/>
          <w:lang w:val="en-US" w:eastAsia="en-US" w:bidi="ar-SA"/>
        </w:rPr>
        <w:t>Markten</w:t>
      </w:r>
      <w:proofErr w:type="spellEnd"/>
      <w:r w:rsidR="000D583D" w:rsidRPr="000D583D">
        <w:rPr>
          <w:rFonts w:cs="Times New Roman"/>
          <w:lang w:val="en-US" w:eastAsia="en-US" w:bidi="ar-SA"/>
        </w:rPr>
        <w:t xml:space="preserve"> (</w:t>
      </w:r>
      <w:r w:rsidR="000D583D" w:rsidRPr="00651F18">
        <w:rPr>
          <w:lang w:val="en-US"/>
        </w:rPr>
        <w:t>Authority of Financial Markets</w:t>
      </w:r>
      <w:r w:rsidR="000D583D">
        <w:rPr>
          <w:lang w:val="en-US"/>
        </w:rPr>
        <w:t>)</w:t>
      </w:r>
    </w:p>
    <w:p w:rsidR="001224C2" w:rsidRPr="000D583D" w:rsidRDefault="001224C2" w:rsidP="002554E1">
      <w:pPr>
        <w:autoSpaceDE w:val="0"/>
        <w:autoSpaceDN w:val="0"/>
        <w:adjustRightInd w:val="0"/>
        <w:spacing w:line="360" w:lineRule="auto"/>
        <w:rPr>
          <w:rFonts w:cs="Times New Roman"/>
          <w:lang w:val="en-US" w:eastAsia="en-US" w:bidi="ar-SA"/>
        </w:rPr>
      </w:pPr>
      <w:r>
        <w:rPr>
          <w:lang w:val="en-US"/>
        </w:rPr>
        <w:t>AIMR</w:t>
      </w:r>
      <w:r>
        <w:rPr>
          <w:lang w:val="en-US"/>
        </w:rPr>
        <w:tab/>
      </w:r>
      <w:r>
        <w:rPr>
          <w:lang w:val="en-US"/>
        </w:rPr>
        <w:tab/>
      </w:r>
      <w:r>
        <w:rPr>
          <w:lang w:val="en-US"/>
        </w:rPr>
        <w:tab/>
      </w:r>
      <w:r w:rsidR="00ED0998">
        <w:t>Association of Investment Management Research</w:t>
      </w:r>
    </w:p>
    <w:p w:rsidR="00994B0A" w:rsidRPr="005020DD" w:rsidRDefault="00994B0A" w:rsidP="002554E1">
      <w:pPr>
        <w:autoSpaceDE w:val="0"/>
        <w:autoSpaceDN w:val="0"/>
        <w:adjustRightInd w:val="0"/>
        <w:spacing w:line="360" w:lineRule="auto"/>
        <w:rPr>
          <w:rFonts w:cs="Times New Roman"/>
          <w:lang w:val="nl-NL" w:eastAsia="en-US" w:bidi="ar-SA"/>
        </w:rPr>
      </w:pPr>
      <w:r>
        <w:rPr>
          <w:rFonts w:cs="Times New Roman"/>
          <w:lang w:val="nl-NL" w:eastAsia="en-US" w:bidi="ar-SA"/>
        </w:rPr>
        <w:t>AUM</w:t>
      </w:r>
      <w:r>
        <w:rPr>
          <w:rFonts w:cs="Times New Roman"/>
          <w:lang w:val="nl-NL" w:eastAsia="en-US" w:bidi="ar-SA"/>
        </w:rPr>
        <w:tab/>
      </w:r>
      <w:r>
        <w:rPr>
          <w:rFonts w:cs="Times New Roman"/>
          <w:lang w:val="nl-NL" w:eastAsia="en-US" w:bidi="ar-SA"/>
        </w:rPr>
        <w:tab/>
      </w:r>
      <w:r>
        <w:rPr>
          <w:rFonts w:cs="Times New Roman"/>
          <w:lang w:val="nl-NL" w:eastAsia="en-US" w:bidi="ar-SA"/>
        </w:rPr>
        <w:tab/>
      </w:r>
      <w:proofErr w:type="spellStart"/>
      <w:r>
        <w:rPr>
          <w:rFonts w:cs="Times New Roman"/>
          <w:lang w:val="nl-NL" w:eastAsia="en-US" w:bidi="ar-SA"/>
        </w:rPr>
        <w:t>Assets</w:t>
      </w:r>
      <w:proofErr w:type="spellEnd"/>
      <w:r>
        <w:rPr>
          <w:rFonts w:cs="Times New Roman"/>
          <w:lang w:val="nl-NL" w:eastAsia="en-US" w:bidi="ar-SA"/>
        </w:rPr>
        <w:t xml:space="preserve"> </w:t>
      </w:r>
      <w:proofErr w:type="spellStart"/>
      <w:r>
        <w:rPr>
          <w:rFonts w:cs="Times New Roman"/>
          <w:lang w:val="nl-NL" w:eastAsia="en-US" w:bidi="ar-SA"/>
        </w:rPr>
        <w:t>Under</w:t>
      </w:r>
      <w:proofErr w:type="spellEnd"/>
      <w:r>
        <w:rPr>
          <w:rFonts w:cs="Times New Roman"/>
          <w:lang w:val="nl-NL" w:eastAsia="en-US" w:bidi="ar-SA"/>
        </w:rPr>
        <w:t xml:space="preserve"> Management</w:t>
      </w:r>
    </w:p>
    <w:p w:rsidR="005020DD" w:rsidRDefault="005020DD" w:rsidP="005020DD">
      <w:pPr>
        <w:autoSpaceDE w:val="0"/>
        <w:autoSpaceDN w:val="0"/>
        <w:adjustRightInd w:val="0"/>
        <w:spacing w:line="360" w:lineRule="auto"/>
        <w:rPr>
          <w:rFonts w:cs="Times New Roman"/>
          <w:lang w:val="nl-NL" w:eastAsia="en-US" w:bidi="ar-SA"/>
        </w:rPr>
      </w:pPr>
      <w:r w:rsidRPr="00AC3730">
        <w:rPr>
          <w:rFonts w:cs="Times New Roman"/>
          <w:lang w:val="nl-NL" w:eastAsia="en-US" w:bidi="ar-SA"/>
        </w:rPr>
        <w:t>BW</w:t>
      </w:r>
      <w:r w:rsidRPr="00AC3730">
        <w:rPr>
          <w:rFonts w:cs="Times New Roman"/>
          <w:lang w:val="nl-NL" w:eastAsia="en-US" w:bidi="ar-SA"/>
        </w:rPr>
        <w:tab/>
      </w:r>
      <w:r w:rsidRPr="00AC3730">
        <w:rPr>
          <w:rFonts w:cs="Times New Roman"/>
          <w:lang w:val="nl-NL" w:eastAsia="en-US" w:bidi="ar-SA"/>
        </w:rPr>
        <w:tab/>
      </w:r>
      <w:r w:rsidRPr="00AC3730">
        <w:rPr>
          <w:rFonts w:cs="Times New Roman"/>
          <w:lang w:val="nl-NL" w:eastAsia="en-US" w:bidi="ar-SA"/>
        </w:rPr>
        <w:tab/>
        <w:t>Burgerlijk Wetboek</w:t>
      </w:r>
      <w:r w:rsidR="000D583D">
        <w:rPr>
          <w:rFonts w:cs="Times New Roman"/>
          <w:lang w:val="nl-NL" w:eastAsia="en-US" w:bidi="ar-SA"/>
        </w:rPr>
        <w:t xml:space="preserve"> (</w:t>
      </w:r>
      <w:proofErr w:type="spellStart"/>
      <w:r w:rsidR="000D583D">
        <w:rPr>
          <w:rFonts w:cs="Times New Roman"/>
          <w:lang w:val="nl-NL" w:eastAsia="en-US" w:bidi="ar-SA"/>
        </w:rPr>
        <w:t>Civil</w:t>
      </w:r>
      <w:proofErr w:type="spellEnd"/>
      <w:r w:rsidR="000D583D">
        <w:rPr>
          <w:rFonts w:cs="Times New Roman"/>
          <w:lang w:val="nl-NL" w:eastAsia="en-US" w:bidi="ar-SA"/>
        </w:rPr>
        <w:t xml:space="preserve"> Code)</w:t>
      </w:r>
    </w:p>
    <w:p w:rsidR="008528C6" w:rsidRPr="00AC3730" w:rsidRDefault="008528C6" w:rsidP="005020DD">
      <w:pPr>
        <w:autoSpaceDE w:val="0"/>
        <w:autoSpaceDN w:val="0"/>
        <w:adjustRightInd w:val="0"/>
        <w:spacing w:line="360" w:lineRule="auto"/>
        <w:rPr>
          <w:rFonts w:cs="Times New Roman"/>
          <w:lang w:val="nl-NL" w:eastAsia="en-US" w:bidi="ar-SA"/>
        </w:rPr>
      </w:pPr>
      <w:r>
        <w:rPr>
          <w:rFonts w:cs="Times New Roman"/>
          <w:lang w:val="nl-NL" w:eastAsia="en-US" w:bidi="ar-SA"/>
        </w:rPr>
        <w:t>CBS</w:t>
      </w:r>
      <w:r>
        <w:rPr>
          <w:rFonts w:cs="Times New Roman"/>
          <w:lang w:val="nl-NL" w:eastAsia="en-US" w:bidi="ar-SA"/>
        </w:rPr>
        <w:tab/>
      </w:r>
      <w:r>
        <w:rPr>
          <w:rFonts w:cs="Times New Roman"/>
          <w:lang w:val="nl-NL" w:eastAsia="en-US" w:bidi="ar-SA"/>
        </w:rPr>
        <w:tab/>
      </w:r>
      <w:r>
        <w:rPr>
          <w:rFonts w:cs="Times New Roman"/>
          <w:lang w:val="nl-NL" w:eastAsia="en-US" w:bidi="ar-SA"/>
        </w:rPr>
        <w:tab/>
        <w:t>Centraal Bureau voor de Statistiek</w:t>
      </w:r>
      <w:r w:rsidR="000D583D">
        <w:rPr>
          <w:rFonts w:cs="Times New Roman"/>
          <w:lang w:val="nl-NL" w:eastAsia="en-US" w:bidi="ar-SA"/>
        </w:rPr>
        <w:t xml:space="preserve"> (</w:t>
      </w:r>
      <w:proofErr w:type="spellStart"/>
      <w:r w:rsidR="000D583D">
        <w:rPr>
          <w:rFonts w:cs="Times New Roman"/>
          <w:lang w:val="nl-NL" w:eastAsia="en-US" w:bidi="ar-SA"/>
        </w:rPr>
        <w:t>Statline</w:t>
      </w:r>
      <w:proofErr w:type="spellEnd"/>
      <w:r w:rsidR="000D583D">
        <w:rPr>
          <w:rFonts w:cs="Times New Roman"/>
          <w:lang w:val="nl-NL" w:eastAsia="en-US" w:bidi="ar-SA"/>
        </w:rPr>
        <w:t>)</w:t>
      </w:r>
    </w:p>
    <w:p w:rsidR="005020DD" w:rsidRDefault="005020DD" w:rsidP="005020DD">
      <w:pPr>
        <w:autoSpaceDE w:val="0"/>
        <w:autoSpaceDN w:val="0"/>
        <w:adjustRightInd w:val="0"/>
        <w:spacing w:line="360" w:lineRule="auto"/>
        <w:rPr>
          <w:rFonts w:cs="Times New Roman"/>
          <w:lang w:val="en-US" w:eastAsia="en-US" w:bidi="ar-SA"/>
        </w:rPr>
      </w:pPr>
      <w:r>
        <w:rPr>
          <w:rFonts w:cs="Times New Roman"/>
          <w:lang w:val="en-US" w:eastAsia="en-US" w:bidi="ar-SA"/>
        </w:rPr>
        <w:t>COSO</w:t>
      </w:r>
      <w:r>
        <w:rPr>
          <w:rFonts w:cs="Times New Roman"/>
          <w:lang w:val="en-US" w:eastAsia="en-US" w:bidi="ar-SA"/>
        </w:rPr>
        <w:tab/>
      </w:r>
      <w:r>
        <w:rPr>
          <w:rFonts w:cs="Times New Roman"/>
          <w:lang w:val="en-US" w:eastAsia="en-US" w:bidi="ar-SA"/>
        </w:rPr>
        <w:tab/>
      </w:r>
      <w:r>
        <w:rPr>
          <w:rFonts w:cs="Times New Roman"/>
          <w:lang w:val="en-US" w:eastAsia="en-US" w:bidi="ar-SA"/>
        </w:rPr>
        <w:tab/>
      </w:r>
      <w:r w:rsidRPr="002554E1">
        <w:rPr>
          <w:rFonts w:cs="Times New Roman"/>
          <w:lang w:val="en-US" w:eastAsia="en-US" w:bidi="ar-SA"/>
        </w:rPr>
        <w:t xml:space="preserve">Committee of Sponsoring Organizations of the </w:t>
      </w:r>
      <w:proofErr w:type="spellStart"/>
      <w:r w:rsidRPr="002554E1">
        <w:rPr>
          <w:rFonts w:cs="Times New Roman"/>
          <w:lang w:val="en-US" w:eastAsia="en-US" w:bidi="ar-SA"/>
        </w:rPr>
        <w:t>Treadway</w:t>
      </w:r>
      <w:proofErr w:type="spellEnd"/>
      <w:r w:rsidRPr="002554E1">
        <w:rPr>
          <w:rFonts w:cs="Times New Roman"/>
          <w:lang w:val="en-US" w:eastAsia="en-US" w:bidi="ar-SA"/>
        </w:rPr>
        <w:t xml:space="preserve"> Commission</w:t>
      </w:r>
    </w:p>
    <w:p w:rsidR="00607C3B" w:rsidRDefault="002554E1" w:rsidP="002554E1">
      <w:pPr>
        <w:autoSpaceDE w:val="0"/>
        <w:autoSpaceDN w:val="0"/>
        <w:adjustRightInd w:val="0"/>
        <w:spacing w:line="360" w:lineRule="auto"/>
        <w:rPr>
          <w:rFonts w:cs="Times New Roman"/>
          <w:lang w:val="nl-NL" w:eastAsia="en-US" w:bidi="ar-SA"/>
        </w:rPr>
      </w:pPr>
      <w:r w:rsidRPr="00B926E1">
        <w:rPr>
          <w:rFonts w:cs="Times New Roman"/>
          <w:lang w:val="nl-NL" w:eastAsia="en-US" w:bidi="ar-SA"/>
        </w:rPr>
        <w:t>DNB</w:t>
      </w:r>
      <w:r w:rsidRPr="00B926E1">
        <w:rPr>
          <w:rFonts w:cs="Times New Roman"/>
          <w:lang w:val="nl-NL" w:eastAsia="en-US" w:bidi="ar-SA"/>
        </w:rPr>
        <w:tab/>
      </w:r>
      <w:r w:rsidRPr="00B926E1">
        <w:rPr>
          <w:rFonts w:cs="Times New Roman"/>
          <w:lang w:val="nl-NL" w:eastAsia="en-US" w:bidi="ar-SA"/>
        </w:rPr>
        <w:tab/>
      </w:r>
      <w:r w:rsidRPr="00B926E1">
        <w:rPr>
          <w:rFonts w:cs="Times New Roman"/>
          <w:lang w:val="nl-NL" w:eastAsia="en-US" w:bidi="ar-SA"/>
        </w:rPr>
        <w:tab/>
      </w:r>
      <w:r w:rsidR="005020DD" w:rsidRPr="00B926E1">
        <w:rPr>
          <w:rFonts w:cs="Times New Roman"/>
          <w:lang w:val="nl-NL" w:eastAsia="en-US" w:bidi="ar-SA"/>
        </w:rPr>
        <w:t xml:space="preserve">De </w:t>
      </w:r>
      <w:proofErr w:type="spellStart"/>
      <w:r w:rsidR="005020DD" w:rsidRPr="00B926E1">
        <w:rPr>
          <w:rFonts w:cs="Times New Roman"/>
          <w:lang w:val="nl-NL" w:eastAsia="en-US" w:bidi="ar-SA"/>
        </w:rPr>
        <w:t>Nederlandsche</w:t>
      </w:r>
      <w:proofErr w:type="spellEnd"/>
      <w:r w:rsidR="005020DD" w:rsidRPr="00B926E1">
        <w:rPr>
          <w:rFonts w:cs="Times New Roman"/>
          <w:lang w:val="nl-NL" w:eastAsia="en-US" w:bidi="ar-SA"/>
        </w:rPr>
        <w:t xml:space="preserve"> Bank</w:t>
      </w:r>
      <w:r w:rsidR="00B926E1" w:rsidRPr="00B926E1">
        <w:rPr>
          <w:rFonts w:cs="Times New Roman"/>
          <w:lang w:val="nl-NL" w:eastAsia="en-US" w:bidi="ar-SA"/>
        </w:rPr>
        <w:t xml:space="preserve"> (Dutch Central Bank)</w:t>
      </w:r>
    </w:p>
    <w:p w:rsidR="002D40C5" w:rsidRPr="002D40C5" w:rsidRDefault="002D40C5" w:rsidP="002554E1">
      <w:pPr>
        <w:autoSpaceDE w:val="0"/>
        <w:autoSpaceDN w:val="0"/>
        <w:adjustRightInd w:val="0"/>
        <w:spacing w:line="360" w:lineRule="auto"/>
        <w:rPr>
          <w:rFonts w:cs="Times New Roman"/>
          <w:lang w:val="en-US" w:eastAsia="en-US" w:bidi="ar-SA"/>
        </w:rPr>
      </w:pPr>
      <w:r w:rsidRPr="002D40C5">
        <w:rPr>
          <w:rFonts w:cs="Times New Roman"/>
          <w:lang w:val="en-US" w:eastAsia="en-US" w:bidi="ar-SA"/>
        </w:rPr>
        <w:t>GIIPS</w:t>
      </w:r>
      <w:r w:rsidRPr="002D40C5">
        <w:rPr>
          <w:rFonts w:cs="Times New Roman"/>
          <w:lang w:val="en-US" w:eastAsia="en-US" w:bidi="ar-SA"/>
        </w:rPr>
        <w:tab/>
      </w:r>
      <w:r w:rsidRPr="002D40C5">
        <w:rPr>
          <w:rFonts w:cs="Times New Roman"/>
          <w:lang w:val="en-US" w:eastAsia="en-US" w:bidi="ar-SA"/>
        </w:rPr>
        <w:tab/>
      </w:r>
      <w:r w:rsidRPr="002D40C5">
        <w:rPr>
          <w:rFonts w:cs="Times New Roman"/>
          <w:lang w:val="en-US" w:eastAsia="en-US" w:bidi="ar-SA"/>
        </w:rPr>
        <w:tab/>
        <w:t>Greece, Italy, Ireland</w:t>
      </w:r>
      <w:r>
        <w:rPr>
          <w:rFonts w:cs="Times New Roman"/>
          <w:lang w:val="en-US" w:eastAsia="en-US" w:bidi="ar-SA"/>
        </w:rPr>
        <w:t>, Portugal and Spain</w:t>
      </w:r>
    </w:p>
    <w:p w:rsidR="002554E1" w:rsidRPr="00607C3B" w:rsidRDefault="00607C3B" w:rsidP="002554E1">
      <w:pPr>
        <w:autoSpaceDE w:val="0"/>
        <w:autoSpaceDN w:val="0"/>
        <w:adjustRightInd w:val="0"/>
        <w:spacing w:line="360" w:lineRule="auto"/>
        <w:rPr>
          <w:rFonts w:cs="Times New Roman"/>
          <w:lang w:val="en-US" w:eastAsia="en-US" w:bidi="ar-SA"/>
        </w:rPr>
      </w:pPr>
      <w:r>
        <w:rPr>
          <w:lang w:val="en-US"/>
        </w:rPr>
        <w:t>IASB</w:t>
      </w:r>
      <w:r w:rsidRPr="00FB4C0B">
        <w:rPr>
          <w:lang w:val="en-US"/>
        </w:rPr>
        <w:t xml:space="preserve"> </w:t>
      </w:r>
      <w:r>
        <w:rPr>
          <w:lang w:val="en-US"/>
        </w:rPr>
        <w:tab/>
      </w:r>
      <w:r>
        <w:rPr>
          <w:lang w:val="en-US"/>
        </w:rPr>
        <w:tab/>
      </w:r>
      <w:r>
        <w:rPr>
          <w:lang w:val="en-US"/>
        </w:rPr>
        <w:tab/>
      </w:r>
      <w:r w:rsidRPr="00FB4C0B">
        <w:rPr>
          <w:lang w:val="en-US"/>
        </w:rPr>
        <w:t>Internatio</w:t>
      </w:r>
      <w:r>
        <w:rPr>
          <w:lang w:val="en-US"/>
        </w:rPr>
        <w:t>nal Accounting Standards Board</w:t>
      </w:r>
      <w:r w:rsidR="002554E1" w:rsidRPr="00607C3B">
        <w:rPr>
          <w:rFonts w:cs="Times New Roman"/>
          <w:lang w:val="en-US" w:eastAsia="en-US" w:bidi="ar-SA"/>
        </w:rPr>
        <w:tab/>
      </w:r>
    </w:p>
    <w:p w:rsidR="002554E1" w:rsidRPr="00F13371" w:rsidRDefault="002554E1" w:rsidP="002554E1">
      <w:pPr>
        <w:autoSpaceDE w:val="0"/>
        <w:autoSpaceDN w:val="0"/>
        <w:adjustRightInd w:val="0"/>
        <w:spacing w:line="360" w:lineRule="auto"/>
        <w:rPr>
          <w:rFonts w:cs="Times New Roman"/>
          <w:lang w:val="en-US" w:eastAsia="en-US" w:bidi="ar-SA"/>
        </w:rPr>
      </w:pPr>
      <w:r w:rsidRPr="00F13371">
        <w:rPr>
          <w:rFonts w:cs="Times New Roman"/>
          <w:lang w:val="en-US" w:eastAsia="en-US" w:bidi="ar-SA"/>
        </w:rPr>
        <w:t xml:space="preserve">IFRS </w:t>
      </w:r>
      <w:r w:rsidRPr="00F13371">
        <w:rPr>
          <w:rFonts w:cs="Times New Roman"/>
          <w:lang w:val="en-US" w:eastAsia="en-US" w:bidi="ar-SA"/>
        </w:rPr>
        <w:tab/>
      </w:r>
      <w:r w:rsidRPr="00F13371">
        <w:rPr>
          <w:rFonts w:cs="Times New Roman"/>
          <w:lang w:val="en-US" w:eastAsia="en-US" w:bidi="ar-SA"/>
        </w:rPr>
        <w:tab/>
      </w:r>
      <w:r w:rsidRPr="00F13371">
        <w:rPr>
          <w:rFonts w:cs="Times New Roman"/>
          <w:lang w:val="en-US" w:eastAsia="en-US" w:bidi="ar-SA"/>
        </w:rPr>
        <w:tab/>
        <w:t>International Financial Reporting Standards</w:t>
      </w:r>
    </w:p>
    <w:p w:rsidR="002554E1" w:rsidRPr="00C05C31" w:rsidRDefault="002554E1" w:rsidP="00A76279">
      <w:pPr>
        <w:autoSpaceDE w:val="0"/>
        <w:autoSpaceDN w:val="0"/>
        <w:adjustRightInd w:val="0"/>
        <w:spacing w:line="360" w:lineRule="auto"/>
        <w:ind w:left="2160" w:hanging="2160"/>
        <w:rPr>
          <w:rFonts w:cs="Times New Roman"/>
          <w:lang w:val="en-US" w:eastAsia="en-US" w:bidi="ar-SA"/>
        </w:rPr>
      </w:pPr>
      <w:r w:rsidRPr="00C05C31">
        <w:rPr>
          <w:rFonts w:cs="Times New Roman"/>
          <w:lang w:val="en-US" w:eastAsia="en-US" w:bidi="ar-SA"/>
        </w:rPr>
        <w:t>NIVRA</w:t>
      </w:r>
      <w:r w:rsidRPr="00C05C31">
        <w:rPr>
          <w:rFonts w:cs="Times New Roman"/>
          <w:lang w:val="en-US" w:eastAsia="en-US" w:bidi="ar-SA"/>
        </w:rPr>
        <w:tab/>
      </w:r>
      <w:proofErr w:type="spellStart"/>
      <w:r w:rsidRPr="00C05C31">
        <w:rPr>
          <w:rFonts w:cs="Times New Roman"/>
          <w:lang w:val="en-US" w:eastAsia="en-US" w:bidi="ar-SA"/>
        </w:rPr>
        <w:t>Nederlands</w:t>
      </w:r>
      <w:proofErr w:type="spellEnd"/>
      <w:r w:rsidRPr="00C05C31">
        <w:rPr>
          <w:rFonts w:cs="Times New Roman"/>
          <w:lang w:val="en-US" w:eastAsia="en-US" w:bidi="ar-SA"/>
        </w:rPr>
        <w:t xml:space="preserve"> </w:t>
      </w:r>
      <w:proofErr w:type="spellStart"/>
      <w:r w:rsidRPr="00C05C31">
        <w:rPr>
          <w:rFonts w:cs="Times New Roman"/>
          <w:lang w:val="en-US" w:eastAsia="en-US" w:bidi="ar-SA"/>
        </w:rPr>
        <w:t>Insti</w:t>
      </w:r>
      <w:r w:rsidR="00A76279">
        <w:rPr>
          <w:rFonts w:cs="Times New Roman"/>
          <w:lang w:val="en-US" w:eastAsia="en-US" w:bidi="ar-SA"/>
        </w:rPr>
        <w:t>tuut</w:t>
      </w:r>
      <w:proofErr w:type="spellEnd"/>
      <w:r w:rsidR="00A76279">
        <w:rPr>
          <w:rFonts w:cs="Times New Roman"/>
          <w:lang w:val="en-US" w:eastAsia="en-US" w:bidi="ar-SA"/>
        </w:rPr>
        <w:t xml:space="preserve"> Van </w:t>
      </w:r>
      <w:proofErr w:type="spellStart"/>
      <w:r w:rsidR="00A76279">
        <w:rPr>
          <w:rFonts w:cs="Times New Roman"/>
          <w:lang w:val="en-US" w:eastAsia="en-US" w:bidi="ar-SA"/>
        </w:rPr>
        <w:t>Registeraccountants</w:t>
      </w:r>
      <w:proofErr w:type="spellEnd"/>
      <w:r w:rsidR="00A76279">
        <w:rPr>
          <w:rFonts w:cs="Times New Roman"/>
          <w:lang w:val="en-US" w:eastAsia="en-US" w:bidi="ar-SA"/>
        </w:rPr>
        <w:t xml:space="preserve"> (Royal Dutch Institute for Certified Public Accountants</w:t>
      </w:r>
      <w:r w:rsidRPr="00C05C31">
        <w:rPr>
          <w:rFonts w:cs="Times New Roman"/>
          <w:lang w:val="en-US" w:eastAsia="en-US" w:bidi="ar-SA"/>
        </w:rPr>
        <w:t>)</w:t>
      </w:r>
    </w:p>
    <w:p w:rsidR="00E40F0C" w:rsidRPr="0006653C" w:rsidRDefault="00E40F0C" w:rsidP="002554E1">
      <w:pPr>
        <w:autoSpaceDE w:val="0"/>
        <w:autoSpaceDN w:val="0"/>
        <w:adjustRightInd w:val="0"/>
        <w:spacing w:line="360" w:lineRule="auto"/>
        <w:rPr>
          <w:rFonts w:cs="Times New Roman"/>
          <w:lang w:val="en-US" w:eastAsia="en-US" w:bidi="ar-SA"/>
        </w:rPr>
      </w:pPr>
      <w:r w:rsidRPr="0006653C">
        <w:rPr>
          <w:rFonts w:cs="Times New Roman"/>
          <w:lang w:val="en-US" w:eastAsia="en-US" w:bidi="ar-SA"/>
        </w:rPr>
        <w:t>PAT</w:t>
      </w:r>
      <w:r w:rsidRPr="0006653C">
        <w:rPr>
          <w:rFonts w:cs="Times New Roman"/>
          <w:lang w:val="en-US" w:eastAsia="en-US" w:bidi="ar-SA"/>
        </w:rPr>
        <w:tab/>
      </w:r>
      <w:r w:rsidRPr="0006653C">
        <w:rPr>
          <w:rFonts w:cs="Times New Roman"/>
          <w:lang w:val="en-US" w:eastAsia="en-US" w:bidi="ar-SA"/>
        </w:rPr>
        <w:tab/>
      </w:r>
      <w:r w:rsidRPr="0006653C">
        <w:rPr>
          <w:rFonts w:cs="Times New Roman"/>
          <w:lang w:val="en-US" w:eastAsia="en-US" w:bidi="ar-SA"/>
        </w:rPr>
        <w:tab/>
        <w:t>Positive Accounting Theory</w:t>
      </w:r>
    </w:p>
    <w:p w:rsidR="008E0B02" w:rsidRPr="005B26E9" w:rsidRDefault="008E0B02" w:rsidP="008E0B02">
      <w:pPr>
        <w:spacing w:line="360" w:lineRule="auto"/>
        <w:rPr>
          <w:szCs w:val="28"/>
          <w:lang w:val="en-US"/>
        </w:rPr>
      </w:pPr>
      <w:r w:rsidRPr="005B26E9">
        <w:rPr>
          <w:rFonts w:cs="Times New Roman"/>
          <w:lang w:val="en-US" w:eastAsia="en-US" w:bidi="ar-SA"/>
        </w:rPr>
        <w:t>RJ</w:t>
      </w:r>
      <w:r w:rsidRPr="005B26E9">
        <w:rPr>
          <w:rFonts w:cs="Times New Roman"/>
          <w:lang w:val="en-US" w:eastAsia="en-US" w:bidi="ar-SA"/>
        </w:rPr>
        <w:tab/>
      </w:r>
      <w:r w:rsidRPr="005B26E9">
        <w:rPr>
          <w:rFonts w:cs="Times New Roman"/>
          <w:lang w:val="en-US" w:eastAsia="en-US" w:bidi="ar-SA"/>
        </w:rPr>
        <w:tab/>
      </w:r>
      <w:r w:rsidRPr="005B26E9">
        <w:rPr>
          <w:rFonts w:cs="Times New Roman"/>
          <w:lang w:val="en-US" w:eastAsia="en-US" w:bidi="ar-SA"/>
        </w:rPr>
        <w:tab/>
      </w:r>
      <w:proofErr w:type="spellStart"/>
      <w:r w:rsidRPr="005B26E9">
        <w:rPr>
          <w:rFonts w:cs="Times New Roman"/>
          <w:lang w:val="en-US" w:eastAsia="en-US" w:bidi="ar-SA"/>
        </w:rPr>
        <w:t>Raad</w:t>
      </w:r>
      <w:proofErr w:type="spellEnd"/>
      <w:r w:rsidRPr="005B26E9">
        <w:rPr>
          <w:rFonts w:cs="Times New Roman"/>
          <w:lang w:val="en-US" w:eastAsia="en-US" w:bidi="ar-SA"/>
        </w:rPr>
        <w:t xml:space="preserve"> </w:t>
      </w:r>
      <w:proofErr w:type="spellStart"/>
      <w:r w:rsidRPr="005B26E9">
        <w:rPr>
          <w:rFonts w:cs="Times New Roman"/>
          <w:lang w:val="en-US" w:eastAsia="en-US" w:bidi="ar-SA"/>
        </w:rPr>
        <w:t>voor</w:t>
      </w:r>
      <w:proofErr w:type="spellEnd"/>
      <w:r w:rsidRPr="005B26E9">
        <w:rPr>
          <w:rFonts w:cs="Times New Roman"/>
          <w:lang w:val="en-US" w:eastAsia="en-US" w:bidi="ar-SA"/>
        </w:rPr>
        <w:t xml:space="preserve"> de </w:t>
      </w:r>
      <w:proofErr w:type="spellStart"/>
      <w:r w:rsidRPr="005B26E9">
        <w:rPr>
          <w:rFonts w:cs="Times New Roman"/>
          <w:lang w:val="en-US" w:eastAsia="en-US" w:bidi="ar-SA"/>
        </w:rPr>
        <w:t>Jaarverslaggeving</w:t>
      </w:r>
      <w:proofErr w:type="spellEnd"/>
      <w:r w:rsidR="000047A0" w:rsidRPr="005B26E9">
        <w:rPr>
          <w:rFonts w:cs="Times New Roman"/>
          <w:lang w:val="en-US" w:eastAsia="en-US" w:bidi="ar-SA"/>
        </w:rPr>
        <w:t xml:space="preserve"> (Council of Annual Reporting)</w:t>
      </w:r>
    </w:p>
    <w:p w:rsidR="002554E1" w:rsidRPr="005B26E9" w:rsidRDefault="002554E1" w:rsidP="002554E1">
      <w:pPr>
        <w:spacing w:line="360" w:lineRule="auto"/>
        <w:rPr>
          <w:szCs w:val="28"/>
          <w:lang w:val="en-US"/>
        </w:rPr>
      </w:pPr>
    </w:p>
    <w:p w:rsidR="002554E1" w:rsidRPr="005B26E9" w:rsidRDefault="002554E1" w:rsidP="002554E1">
      <w:pPr>
        <w:spacing w:line="360" w:lineRule="auto"/>
        <w:rPr>
          <w:szCs w:val="28"/>
          <w:lang w:val="en-US"/>
        </w:rPr>
      </w:pPr>
    </w:p>
    <w:p w:rsidR="002554E1" w:rsidRPr="005B26E9" w:rsidRDefault="002554E1" w:rsidP="002554E1">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2554E1" w:rsidRPr="005B26E9" w:rsidRDefault="002554E1" w:rsidP="00AF55A7">
      <w:pPr>
        <w:spacing w:line="360" w:lineRule="auto"/>
        <w:rPr>
          <w:szCs w:val="28"/>
          <w:lang w:val="en-US"/>
        </w:rPr>
      </w:pPr>
    </w:p>
    <w:p w:rsidR="00455B60" w:rsidRPr="005B26E9" w:rsidRDefault="00455B60" w:rsidP="00AF55A7">
      <w:pPr>
        <w:spacing w:line="360" w:lineRule="auto"/>
        <w:rPr>
          <w:szCs w:val="28"/>
          <w:lang w:val="en-US"/>
        </w:rPr>
      </w:pPr>
    </w:p>
    <w:p w:rsidR="00455B60" w:rsidRPr="005B26E9" w:rsidRDefault="00455B60" w:rsidP="00AF55A7">
      <w:pPr>
        <w:spacing w:line="360" w:lineRule="auto"/>
        <w:rPr>
          <w:szCs w:val="28"/>
          <w:lang w:val="en-US"/>
        </w:rPr>
      </w:pPr>
    </w:p>
    <w:p w:rsidR="00455B60" w:rsidRPr="005B26E9" w:rsidRDefault="00455B60" w:rsidP="00AF55A7">
      <w:pPr>
        <w:spacing w:line="360" w:lineRule="auto"/>
        <w:rPr>
          <w:szCs w:val="28"/>
          <w:lang w:val="en-US"/>
        </w:rPr>
      </w:pPr>
    </w:p>
    <w:p w:rsidR="00C23036" w:rsidRDefault="00C83E91" w:rsidP="00B85E08">
      <w:pPr>
        <w:pStyle w:val="Kop1"/>
        <w:numPr>
          <w:ilvl w:val="0"/>
          <w:numId w:val="0"/>
        </w:numPr>
        <w:spacing w:line="360" w:lineRule="auto"/>
        <w:rPr>
          <w:lang w:val="en-US"/>
        </w:rPr>
      </w:pPr>
      <w:bookmarkStart w:id="12" w:name="_Toc267323016"/>
      <w:bookmarkStart w:id="13" w:name="_Toc355387272"/>
      <w:bookmarkEnd w:id="9"/>
      <w:bookmarkEnd w:id="10"/>
      <w:r>
        <w:t>1</w:t>
      </w:r>
      <w:r w:rsidR="00B85E08" w:rsidRPr="00B85E08">
        <w:rPr>
          <w:lang w:val="en-US"/>
        </w:rPr>
        <w:tab/>
      </w:r>
      <w:r w:rsidR="005A7377">
        <w:rPr>
          <w:lang w:val="en-US"/>
        </w:rPr>
        <w:t>Introduction</w:t>
      </w:r>
      <w:bookmarkEnd w:id="13"/>
    </w:p>
    <w:p w:rsidR="00A43108" w:rsidRDefault="00D22D9F" w:rsidP="00FA1A8A">
      <w:pPr>
        <w:autoSpaceDE w:val="0"/>
        <w:autoSpaceDN w:val="0"/>
        <w:adjustRightInd w:val="0"/>
        <w:spacing w:line="360" w:lineRule="auto"/>
        <w:jc w:val="both"/>
      </w:pPr>
      <w:r>
        <w:t xml:space="preserve">In this chapter, </w:t>
      </w:r>
      <w:r w:rsidR="00A840CE">
        <w:t xml:space="preserve">the reader will receive more details on what can be expected of the thesis. In the first paragraph, </w:t>
      </w:r>
      <w:r w:rsidR="00D51B4C">
        <w:t>the motivation</w:t>
      </w:r>
      <w:r w:rsidR="000D073E">
        <w:t xml:space="preserve"> of this thesis </w:t>
      </w:r>
      <w:r w:rsidR="00D51B4C">
        <w:t>will be</w:t>
      </w:r>
      <w:r w:rsidR="000D073E">
        <w:t xml:space="preserve"> presented</w:t>
      </w:r>
      <w:r w:rsidR="00D51B4C">
        <w:t>. The next paragraph</w:t>
      </w:r>
      <w:r w:rsidR="00316B1F">
        <w:t xml:space="preserve"> will present </w:t>
      </w:r>
      <w:r w:rsidR="000D073E">
        <w:t xml:space="preserve">the </w:t>
      </w:r>
      <w:r>
        <w:t xml:space="preserve">problem definition </w:t>
      </w:r>
      <w:r w:rsidR="00D51B4C">
        <w:t>with sub research questions</w:t>
      </w:r>
      <w:r w:rsidR="002552A2">
        <w:t>.</w:t>
      </w:r>
      <w:r w:rsidR="00A840CE">
        <w:t xml:space="preserve"> </w:t>
      </w:r>
      <w:r w:rsidR="00316B1F">
        <w:t>Furthermore</w:t>
      </w:r>
      <w:r w:rsidR="00A840CE">
        <w:t>, t</w:t>
      </w:r>
      <w:r w:rsidR="00A43108">
        <w:t>he methodology</w:t>
      </w:r>
      <w:r w:rsidR="00D51B4C">
        <w:t xml:space="preserve"> is</w:t>
      </w:r>
      <w:r w:rsidR="00A840CE">
        <w:t xml:space="preserve"> described. In the last paragraph, the structure of this </w:t>
      </w:r>
      <w:r w:rsidR="00316B1F">
        <w:t xml:space="preserve">thesis is presented. </w:t>
      </w:r>
    </w:p>
    <w:p w:rsidR="00D14F59" w:rsidRDefault="00620148" w:rsidP="00620148">
      <w:pPr>
        <w:pStyle w:val="Kop2"/>
        <w:numPr>
          <w:ilvl w:val="1"/>
          <w:numId w:val="21"/>
        </w:numPr>
        <w:spacing w:line="360" w:lineRule="auto"/>
        <w:rPr>
          <w:rStyle w:val="Nadruk"/>
          <w:rFonts w:ascii="Times New Roman" w:hAnsi="Times New Roman"/>
          <w:b/>
          <w:sz w:val="24"/>
          <w:szCs w:val="24"/>
        </w:rPr>
      </w:pPr>
      <w:bookmarkStart w:id="14" w:name="_Toc355387273"/>
      <w:r>
        <w:rPr>
          <w:rStyle w:val="Nadruk"/>
          <w:rFonts w:ascii="Times New Roman" w:hAnsi="Times New Roman"/>
          <w:b/>
          <w:sz w:val="24"/>
          <w:szCs w:val="24"/>
        </w:rPr>
        <w:t>Motivation</w:t>
      </w:r>
      <w:bookmarkEnd w:id="14"/>
    </w:p>
    <w:p w:rsidR="00DD4929" w:rsidRDefault="00C82487" w:rsidP="00FA1A8A">
      <w:pPr>
        <w:spacing w:line="360" w:lineRule="auto"/>
        <w:jc w:val="both"/>
      </w:pPr>
      <w:proofErr w:type="spellStart"/>
      <w:r>
        <w:t>Claassen</w:t>
      </w:r>
      <w:proofErr w:type="spellEnd"/>
      <w:r>
        <w:t xml:space="preserve"> and </w:t>
      </w:r>
      <w:proofErr w:type="spellStart"/>
      <w:r>
        <w:t>Gotink</w:t>
      </w:r>
      <w:proofErr w:type="spellEnd"/>
      <w:r>
        <w:t xml:space="preserve"> (2010) have described that </w:t>
      </w:r>
      <w:r w:rsidRPr="001A4639">
        <w:rPr>
          <w:i/>
        </w:rPr>
        <w:t>“the Dutch pension sector is facing what may become the biggest overhaul since its inception”.</w:t>
      </w:r>
      <w:r w:rsidR="005445B2">
        <w:t xml:space="preserve"> Volatile markets, </w:t>
      </w:r>
      <w:r>
        <w:t>the decrease of the interest rate and the growing life expectancy have resulted in tough decisions that have to be made in the Dutch retirement system (</w:t>
      </w:r>
      <w:proofErr w:type="spellStart"/>
      <w:r>
        <w:t>Claassen</w:t>
      </w:r>
      <w:proofErr w:type="spellEnd"/>
      <w:r>
        <w:t xml:space="preserve"> and </w:t>
      </w:r>
      <w:proofErr w:type="spellStart"/>
      <w:r>
        <w:t>Gotink</w:t>
      </w:r>
      <w:proofErr w:type="spellEnd"/>
      <w:r>
        <w:t>, 2010).</w:t>
      </w:r>
      <w:r w:rsidR="00417648">
        <w:t xml:space="preserve"> </w:t>
      </w:r>
      <w:r w:rsidR="00BF45F7">
        <w:rPr>
          <w:rFonts w:cs="Times New Roman"/>
        </w:rPr>
        <w:t>Moreover</w:t>
      </w:r>
      <w:r w:rsidRPr="00417648">
        <w:rPr>
          <w:rFonts w:cs="Times New Roman"/>
        </w:rPr>
        <w:t>, countri</w:t>
      </w:r>
      <w:r w:rsidR="00D8095C">
        <w:rPr>
          <w:rFonts w:cs="Times New Roman"/>
        </w:rPr>
        <w:t>es around the world, including t</w:t>
      </w:r>
      <w:r w:rsidRPr="00417648">
        <w:rPr>
          <w:rFonts w:cs="Times New Roman"/>
        </w:rPr>
        <w:t>he Netherlands</w:t>
      </w:r>
      <w:r w:rsidR="005445B2" w:rsidRPr="00417648">
        <w:rPr>
          <w:rFonts w:cs="Times New Roman"/>
        </w:rPr>
        <w:t>,</w:t>
      </w:r>
      <w:r w:rsidRPr="00417648">
        <w:rPr>
          <w:rFonts w:cs="Times New Roman"/>
        </w:rPr>
        <w:t xml:space="preserve"> experienced the consequences of the financial crisis (Van </w:t>
      </w:r>
      <w:proofErr w:type="spellStart"/>
      <w:r w:rsidRPr="00417648">
        <w:rPr>
          <w:rFonts w:cs="Times New Roman"/>
        </w:rPr>
        <w:t>Ewijk</w:t>
      </w:r>
      <w:proofErr w:type="spellEnd"/>
      <w:r w:rsidRPr="00417648">
        <w:rPr>
          <w:rFonts w:cs="Times New Roman"/>
        </w:rPr>
        <w:t xml:space="preserve">, 2009; </w:t>
      </w:r>
      <w:proofErr w:type="spellStart"/>
      <w:r w:rsidRPr="00417648">
        <w:rPr>
          <w:rFonts w:cs="Times New Roman"/>
        </w:rPr>
        <w:t>Dabrowski</w:t>
      </w:r>
      <w:proofErr w:type="spellEnd"/>
      <w:r w:rsidRPr="00417648">
        <w:rPr>
          <w:rFonts w:cs="Times New Roman"/>
        </w:rPr>
        <w:t>, 2010).</w:t>
      </w:r>
      <w:r w:rsidR="00BF45F7">
        <w:rPr>
          <w:rFonts w:cs="Times New Roman"/>
        </w:rPr>
        <w:t xml:space="preserve"> Furthermore, t</w:t>
      </w:r>
      <w:r w:rsidR="00620148">
        <w:t>he vast majority of the Dutch citizens participat</w:t>
      </w:r>
      <w:r w:rsidR="00D8361A">
        <w:t>es</w:t>
      </w:r>
      <w:r w:rsidR="00620148">
        <w:t xml:space="preserve"> in Dutch pension funds </w:t>
      </w:r>
      <w:r w:rsidR="00DD4929">
        <w:t xml:space="preserve">(Statistics Netherlands, 2012) </w:t>
      </w:r>
      <w:r w:rsidR="00620148">
        <w:t>and the amount that these pens</w:t>
      </w:r>
      <w:r w:rsidR="002D7930">
        <w:t>ion funds invest is considerable</w:t>
      </w:r>
      <w:r w:rsidR="00DD4929">
        <w:t xml:space="preserve"> (Dutch Central Bank, 2012)</w:t>
      </w:r>
      <w:r w:rsidR="002C44DE">
        <w:t xml:space="preserve">, as will be </w:t>
      </w:r>
      <w:r w:rsidR="00DD4929">
        <w:t xml:space="preserve">further </w:t>
      </w:r>
      <w:r w:rsidR="002C44DE">
        <w:t>elaborated in paragraph 2.2</w:t>
      </w:r>
      <w:r w:rsidR="00620148">
        <w:t>.</w:t>
      </w:r>
      <w:r w:rsidR="002C44DE">
        <w:t xml:space="preserve"> </w:t>
      </w:r>
      <w:r w:rsidR="00F625D3">
        <w:t xml:space="preserve">In addition, there is a trend visible in which smaller Dutch pension funds </w:t>
      </w:r>
      <w:r w:rsidR="00D543D4">
        <w:t xml:space="preserve">vanish and are consolidated into larger entities (Van </w:t>
      </w:r>
      <w:proofErr w:type="spellStart"/>
      <w:r w:rsidR="00D543D4">
        <w:t>der</w:t>
      </w:r>
      <w:proofErr w:type="spellEnd"/>
      <w:r w:rsidR="00D543D4">
        <w:t xml:space="preserve"> </w:t>
      </w:r>
      <w:proofErr w:type="spellStart"/>
      <w:r w:rsidR="00D543D4">
        <w:t>Westen</w:t>
      </w:r>
      <w:proofErr w:type="spellEnd"/>
      <w:r w:rsidR="00D543D4">
        <w:t xml:space="preserve">, 2013; </w:t>
      </w:r>
      <w:proofErr w:type="spellStart"/>
      <w:r w:rsidR="00D543D4">
        <w:t>Frijns</w:t>
      </w:r>
      <w:proofErr w:type="spellEnd"/>
      <w:r w:rsidR="00D543D4">
        <w:t>, 2010)</w:t>
      </w:r>
      <w:r w:rsidR="005467B9">
        <w:t>.</w:t>
      </w:r>
    </w:p>
    <w:p w:rsidR="00DD4929" w:rsidRDefault="00DD4929" w:rsidP="00620148">
      <w:pPr>
        <w:spacing w:line="360" w:lineRule="auto"/>
      </w:pPr>
    </w:p>
    <w:p w:rsidR="00620148" w:rsidRDefault="002C44DE" w:rsidP="00FA1A8A">
      <w:pPr>
        <w:spacing w:line="360" w:lineRule="auto"/>
        <w:jc w:val="both"/>
      </w:pPr>
      <w:r>
        <w:t xml:space="preserve">Despite these interesting developments and </w:t>
      </w:r>
      <w:r w:rsidR="00DD4929">
        <w:t>the size of this sector, during an explorative</w:t>
      </w:r>
      <w:r w:rsidR="00620148">
        <w:t xml:space="preserve"> literature research, I noticed that the number of scientific research publications with regard to pension funds</w:t>
      </w:r>
      <w:r w:rsidR="008E45F6">
        <w:t xml:space="preserve"> is quite low. A</w:t>
      </w:r>
      <w:r w:rsidR="00620148">
        <w:t xml:space="preserve">s to be further elaborated during the literature research, the participants of the pension funds have to take into consideration that the pension funds might act in their own interest. For the participants of the pension funds, it is important that the disclosure quality of the </w:t>
      </w:r>
      <w:r w:rsidR="00701479">
        <w:t>financial statements</w:t>
      </w:r>
      <w:r w:rsidR="00620148">
        <w:t xml:space="preserve"> is high. Scientific research can contribute to increasing disclosure</w:t>
      </w:r>
      <w:r w:rsidR="00DD4929">
        <w:t xml:space="preserve"> quality by critically conducting</w:t>
      </w:r>
      <w:r w:rsidR="00620148">
        <w:t xml:space="preserve"> research. </w:t>
      </w:r>
    </w:p>
    <w:p w:rsidR="008E45F6" w:rsidRDefault="008E45F6" w:rsidP="00620148">
      <w:pPr>
        <w:spacing w:line="360" w:lineRule="auto"/>
      </w:pPr>
    </w:p>
    <w:p w:rsidR="008E45F6" w:rsidRDefault="00CD2D95" w:rsidP="00FA1A8A">
      <w:pPr>
        <w:autoSpaceDE w:val="0"/>
        <w:autoSpaceDN w:val="0"/>
        <w:adjustRightInd w:val="0"/>
        <w:spacing w:line="360" w:lineRule="auto"/>
        <w:jc w:val="both"/>
      </w:pPr>
      <w:r>
        <w:t>All in all, t</w:t>
      </w:r>
      <w:r w:rsidR="00011218">
        <w:t xml:space="preserve">he Dutch pension fund sector seems to provide a very </w:t>
      </w:r>
      <w:r w:rsidR="008E45F6">
        <w:t>interesting research field on which this thesis will focus, more specifically on the investments risks of Dutch pension funds. It would be interesting to research if the</w:t>
      </w:r>
      <w:r w:rsidR="009C2C9C">
        <w:t xml:space="preserve"> disclosure quantity and disclosure quality </w:t>
      </w:r>
      <w:r w:rsidR="004051E2">
        <w:t>have increased since</w:t>
      </w:r>
      <w:r w:rsidR="008E45F6">
        <w:t xml:space="preserve"> the start </w:t>
      </w:r>
      <w:r w:rsidR="000D19C8">
        <w:t>of the financial crisis in 2007 and if there are differences noticeable regarding pension fund size.</w:t>
      </w:r>
    </w:p>
    <w:p w:rsidR="00926DB2" w:rsidRDefault="00C83E91" w:rsidP="003E1F33">
      <w:pPr>
        <w:pStyle w:val="Kop2"/>
        <w:numPr>
          <w:ilvl w:val="0"/>
          <w:numId w:val="0"/>
        </w:numPr>
        <w:spacing w:line="360" w:lineRule="auto"/>
        <w:rPr>
          <w:rStyle w:val="Nadruk"/>
          <w:rFonts w:ascii="Times New Roman" w:hAnsi="Times New Roman"/>
          <w:b/>
          <w:sz w:val="24"/>
          <w:szCs w:val="24"/>
        </w:rPr>
      </w:pPr>
      <w:bookmarkStart w:id="15" w:name="_Toc355387274"/>
      <w:r>
        <w:rPr>
          <w:rStyle w:val="Nadruk"/>
          <w:rFonts w:ascii="Times New Roman" w:hAnsi="Times New Roman"/>
          <w:b/>
          <w:sz w:val="24"/>
          <w:szCs w:val="24"/>
        </w:rPr>
        <w:t>1</w:t>
      </w:r>
      <w:r w:rsidR="00926DB2" w:rsidRPr="00361F4F">
        <w:rPr>
          <w:rStyle w:val="Nadruk"/>
          <w:rFonts w:ascii="Times New Roman" w:hAnsi="Times New Roman"/>
          <w:b/>
          <w:sz w:val="24"/>
          <w:szCs w:val="24"/>
        </w:rPr>
        <w:t>.</w:t>
      </w:r>
      <w:bookmarkEnd w:id="12"/>
      <w:r w:rsidR="000D073E">
        <w:rPr>
          <w:rStyle w:val="Nadruk"/>
          <w:rFonts w:ascii="Times New Roman" w:hAnsi="Times New Roman"/>
          <w:b/>
          <w:sz w:val="24"/>
          <w:szCs w:val="24"/>
        </w:rPr>
        <w:t>2</w:t>
      </w:r>
      <w:r w:rsidR="001A3AC8">
        <w:rPr>
          <w:rStyle w:val="Nadruk"/>
          <w:rFonts w:ascii="Times New Roman" w:hAnsi="Times New Roman"/>
          <w:b/>
          <w:sz w:val="24"/>
          <w:szCs w:val="24"/>
        </w:rPr>
        <w:tab/>
      </w:r>
      <w:r w:rsidR="00ED03FC">
        <w:rPr>
          <w:rStyle w:val="Nadruk"/>
          <w:rFonts w:ascii="Times New Roman" w:hAnsi="Times New Roman"/>
          <w:b/>
          <w:sz w:val="24"/>
          <w:szCs w:val="24"/>
        </w:rPr>
        <w:t>Main research question</w:t>
      </w:r>
      <w:r w:rsidR="003D4FA6">
        <w:rPr>
          <w:rStyle w:val="Nadruk"/>
          <w:rFonts w:ascii="Times New Roman" w:hAnsi="Times New Roman"/>
          <w:b/>
          <w:sz w:val="24"/>
          <w:szCs w:val="24"/>
        </w:rPr>
        <w:t xml:space="preserve"> and sub research questions</w:t>
      </w:r>
      <w:bookmarkEnd w:id="15"/>
    </w:p>
    <w:p w:rsidR="006D3E0C" w:rsidRDefault="00137270" w:rsidP="00FA1A8A">
      <w:pPr>
        <w:spacing w:line="360" w:lineRule="auto"/>
        <w:jc w:val="both"/>
      </w:pPr>
      <w:r w:rsidRPr="005870B2">
        <w:t>Several researchers have conducted res</w:t>
      </w:r>
      <w:r w:rsidR="0056675C">
        <w:t xml:space="preserve">earch on risk disclosures (e.g. </w:t>
      </w:r>
      <w:proofErr w:type="spellStart"/>
      <w:r w:rsidR="005870B2" w:rsidRPr="005870B2">
        <w:t>Linsley</w:t>
      </w:r>
      <w:proofErr w:type="spellEnd"/>
      <w:r w:rsidR="005870B2" w:rsidRPr="005870B2">
        <w:t xml:space="preserve"> and Shrives</w:t>
      </w:r>
      <w:r w:rsidR="0056675C">
        <w:t xml:space="preserve"> (2006); </w:t>
      </w:r>
      <w:proofErr w:type="spellStart"/>
      <w:r w:rsidR="0056675C">
        <w:t>Blij</w:t>
      </w:r>
      <w:proofErr w:type="spellEnd"/>
      <w:r w:rsidR="0056675C">
        <w:t xml:space="preserve"> and </w:t>
      </w:r>
      <w:proofErr w:type="spellStart"/>
      <w:r w:rsidR="0056675C">
        <w:t>Mertens</w:t>
      </w:r>
      <w:proofErr w:type="spellEnd"/>
      <w:r w:rsidR="0056675C">
        <w:t xml:space="preserve"> (2008)</w:t>
      </w:r>
      <w:r w:rsidR="005870B2" w:rsidRPr="005870B2">
        <w:t xml:space="preserve">). </w:t>
      </w:r>
      <w:r w:rsidR="005870B2">
        <w:t>Nevertheless</w:t>
      </w:r>
      <w:r w:rsidR="005870B2" w:rsidRPr="005870B2">
        <w:t>,</w:t>
      </w:r>
      <w:r w:rsidR="005870B2">
        <w:t xml:space="preserve"> less research has been conducted </w:t>
      </w:r>
      <w:r w:rsidR="005B5B81">
        <w:t xml:space="preserve">specifically </w:t>
      </w:r>
      <w:r w:rsidR="005870B2">
        <w:t xml:space="preserve">on pension funds and the financial crisis regarding risk disclosures. However, as described in the first paragraph, the number of stakeholders in Dutch pension funds is considerable and it is in the interest of these stakeholders to conduct more research on this topic.   </w:t>
      </w:r>
    </w:p>
    <w:p w:rsidR="006D3E0C" w:rsidRDefault="006D3E0C" w:rsidP="00D14F59"/>
    <w:p w:rsidR="00D14F59" w:rsidRDefault="00ED03FC" w:rsidP="00D14F59">
      <w:r>
        <w:t>The main research question can be defined as:</w:t>
      </w:r>
    </w:p>
    <w:p w:rsidR="00D14F59" w:rsidRPr="00D14F59" w:rsidRDefault="00D14F59" w:rsidP="00D14F59"/>
    <w:p w:rsidR="00492DA0" w:rsidRDefault="00492DA0" w:rsidP="00FA1A8A">
      <w:pPr>
        <w:spacing w:line="480" w:lineRule="auto"/>
        <w:jc w:val="both"/>
        <w:rPr>
          <w:b/>
          <w:bCs/>
          <w:i/>
          <w:iCs/>
        </w:rPr>
      </w:pPr>
      <w:bookmarkStart w:id="16" w:name="_Toc267323018"/>
      <w:r w:rsidRPr="00DF0DB4">
        <w:rPr>
          <w:b/>
          <w:bCs/>
          <w:i/>
          <w:iCs/>
        </w:rPr>
        <w:t>“</w:t>
      </w:r>
      <w:r>
        <w:rPr>
          <w:b/>
          <w:bCs/>
          <w:i/>
          <w:iCs/>
        </w:rPr>
        <w:t xml:space="preserve">To what extent have the quantity and quality of investment risk disclosures in the financial </w:t>
      </w:r>
      <w:r w:rsidRPr="0072082C">
        <w:rPr>
          <w:b/>
          <w:bCs/>
          <w:i/>
          <w:iCs/>
          <w:lang w:val="en-GB"/>
        </w:rPr>
        <w:t>statements</w:t>
      </w:r>
      <w:r>
        <w:rPr>
          <w:b/>
          <w:bCs/>
          <w:i/>
          <w:iCs/>
        </w:rPr>
        <w:t xml:space="preserve"> of Dutch pension funds increased since the financial crisis and does pension fund size result in differences in disclosure quantity and quality?” </w:t>
      </w:r>
    </w:p>
    <w:p w:rsidR="00533454" w:rsidRDefault="00533454" w:rsidP="000A5D8D">
      <w:pPr>
        <w:spacing w:line="360" w:lineRule="auto"/>
      </w:pPr>
    </w:p>
    <w:p w:rsidR="000A5D8D" w:rsidRPr="00DF0DB4" w:rsidRDefault="000A5D8D" w:rsidP="00FA1A8A">
      <w:pPr>
        <w:spacing w:line="360" w:lineRule="auto"/>
        <w:jc w:val="both"/>
      </w:pPr>
      <w:r w:rsidRPr="00DF0DB4">
        <w:t>To provide enough evidence to be able to formulate a conclusion, the following sub</w:t>
      </w:r>
      <w:r w:rsidR="00533454">
        <w:t xml:space="preserve"> </w:t>
      </w:r>
      <w:r w:rsidR="003D4FA6">
        <w:t xml:space="preserve">research </w:t>
      </w:r>
      <w:r w:rsidRPr="00DF0DB4">
        <w:t>questions have been composed:</w:t>
      </w:r>
    </w:p>
    <w:p w:rsidR="000A5D8D" w:rsidRDefault="000A5D8D" w:rsidP="00FA1A8A">
      <w:pPr>
        <w:pStyle w:val="Lijstalinea"/>
        <w:numPr>
          <w:ilvl w:val="0"/>
          <w:numId w:val="2"/>
        </w:numPr>
        <w:spacing w:after="200" w:line="360" w:lineRule="auto"/>
        <w:ind w:left="714" w:hanging="357"/>
        <w:jc w:val="both"/>
        <w:rPr>
          <w:szCs w:val="24"/>
        </w:rPr>
      </w:pPr>
      <w:r w:rsidRPr="00DF0DB4">
        <w:rPr>
          <w:szCs w:val="24"/>
        </w:rPr>
        <w:t xml:space="preserve">Which literature is already </w:t>
      </w:r>
      <w:r w:rsidR="006D5D10">
        <w:rPr>
          <w:szCs w:val="24"/>
        </w:rPr>
        <w:t xml:space="preserve">available </w:t>
      </w:r>
      <w:r w:rsidR="00420588">
        <w:rPr>
          <w:szCs w:val="24"/>
        </w:rPr>
        <w:t>and which</w:t>
      </w:r>
      <w:r w:rsidR="00C23188">
        <w:rPr>
          <w:szCs w:val="24"/>
        </w:rPr>
        <w:t xml:space="preserve"> prior research has already been conducted </w:t>
      </w:r>
      <w:r w:rsidR="006D5D10">
        <w:rPr>
          <w:szCs w:val="24"/>
        </w:rPr>
        <w:t>regarding the</w:t>
      </w:r>
      <w:r w:rsidR="0092354E">
        <w:rPr>
          <w:szCs w:val="24"/>
        </w:rPr>
        <w:t xml:space="preserve"> quality</w:t>
      </w:r>
      <w:r w:rsidRPr="00DF0DB4">
        <w:rPr>
          <w:szCs w:val="24"/>
        </w:rPr>
        <w:t xml:space="preserve"> </w:t>
      </w:r>
      <w:r w:rsidR="006D5D10">
        <w:rPr>
          <w:szCs w:val="24"/>
        </w:rPr>
        <w:t xml:space="preserve">of </w:t>
      </w:r>
      <w:r w:rsidR="00B60943">
        <w:rPr>
          <w:szCs w:val="24"/>
        </w:rPr>
        <w:t xml:space="preserve">investment </w:t>
      </w:r>
      <w:r w:rsidR="006D5D10">
        <w:rPr>
          <w:szCs w:val="24"/>
        </w:rPr>
        <w:t xml:space="preserve">risk disclosures </w:t>
      </w:r>
      <w:r w:rsidRPr="00DF0DB4">
        <w:rPr>
          <w:szCs w:val="24"/>
        </w:rPr>
        <w:t>and pension funds?</w:t>
      </w:r>
    </w:p>
    <w:p w:rsidR="006D5D10" w:rsidRPr="00DF0DB4" w:rsidRDefault="006D5D10" w:rsidP="00FA1A8A">
      <w:pPr>
        <w:pStyle w:val="Lijstalinea"/>
        <w:numPr>
          <w:ilvl w:val="0"/>
          <w:numId w:val="2"/>
        </w:numPr>
        <w:spacing w:after="200" w:line="360" w:lineRule="auto"/>
        <w:ind w:left="714" w:hanging="357"/>
        <w:jc w:val="both"/>
        <w:rPr>
          <w:szCs w:val="24"/>
        </w:rPr>
      </w:pPr>
      <w:r>
        <w:rPr>
          <w:szCs w:val="24"/>
        </w:rPr>
        <w:t xml:space="preserve">Which law and regulation is applicable to </w:t>
      </w:r>
      <w:r w:rsidR="002A770C">
        <w:rPr>
          <w:szCs w:val="24"/>
        </w:rPr>
        <w:t xml:space="preserve">investment </w:t>
      </w:r>
      <w:r>
        <w:rPr>
          <w:szCs w:val="24"/>
        </w:rPr>
        <w:t>ri</w:t>
      </w:r>
      <w:r w:rsidR="00C23188">
        <w:rPr>
          <w:szCs w:val="24"/>
        </w:rPr>
        <w:t xml:space="preserve">sk disclosures of pension funds and more specifically, did </w:t>
      </w:r>
      <w:r w:rsidR="00DB4C5A">
        <w:rPr>
          <w:szCs w:val="24"/>
        </w:rPr>
        <w:t>law and regulation</w:t>
      </w:r>
      <w:r w:rsidR="00C23188">
        <w:rPr>
          <w:szCs w:val="24"/>
        </w:rPr>
        <w:t xml:space="preserve"> change since the start of the financial crisis?</w:t>
      </w:r>
    </w:p>
    <w:p w:rsidR="000477B2" w:rsidRDefault="000477B2" w:rsidP="00FA1A8A">
      <w:pPr>
        <w:pStyle w:val="Lijstalinea"/>
        <w:numPr>
          <w:ilvl w:val="0"/>
          <w:numId w:val="2"/>
        </w:numPr>
        <w:spacing w:after="200" w:line="360" w:lineRule="auto"/>
        <w:ind w:left="714" w:hanging="357"/>
        <w:jc w:val="both"/>
        <w:rPr>
          <w:szCs w:val="24"/>
        </w:rPr>
      </w:pPr>
      <w:r>
        <w:rPr>
          <w:szCs w:val="24"/>
        </w:rPr>
        <w:t xml:space="preserve">Did prior research already provide more information about a potentially positive </w:t>
      </w:r>
      <w:r w:rsidR="00BE0F47">
        <w:rPr>
          <w:szCs w:val="24"/>
        </w:rPr>
        <w:t>relation</w:t>
      </w:r>
      <w:r>
        <w:rPr>
          <w:szCs w:val="24"/>
        </w:rPr>
        <w:t xml:space="preserve"> between company size and the quality and quantity of risk disclosures?</w:t>
      </w:r>
    </w:p>
    <w:p w:rsidR="000A5D8D" w:rsidRDefault="000A5D8D" w:rsidP="00FA1A8A">
      <w:pPr>
        <w:pStyle w:val="Lijstalinea"/>
        <w:numPr>
          <w:ilvl w:val="0"/>
          <w:numId w:val="2"/>
        </w:numPr>
        <w:spacing w:after="200" w:line="360" w:lineRule="auto"/>
        <w:ind w:left="714" w:hanging="357"/>
        <w:jc w:val="both"/>
        <w:rPr>
          <w:szCs w:val="24"/>
        </w:rPr>
      </w:pPr>
      <w:r w:rsidRPr="00BC0B7B">
        <w:rPr>
          <w:szCs w:val="24"/>
        </w:rPr>
        <w:t>Which research methods can be dist</w:t>
      </w:r>
      <w:r w:rsidR="0092354E">
        <w:rPr>
          <w:szCs w:val="24"/>
        </w:rPr>
        <w:t>inguished regarding assessing disclosure quality</w:t>
      </w:r>
      <w:r w:rsidR="00ED03FC">
        <w:rPr>
          <w:szCs w:val="24"/>
        </w:rPr>
        <w:t xml:space="preserve"> and which method</w:t>
      </w:r>
      <w:r w:rsidRPr="00ED03FC">
        <w:rPr>
          <w:szCs w:val="24"/>
        </w:rPr>
        <w:t xml:space="preserve"> is the most appropriate to answer the research question?</w:t>
      </w:r>
    </w:p>
    <w:p w:rsidR="00630E76" w:rsidRPr="00ED03FC" w:rsidRDefault="00630E76" w:rsidP="00FA1A8A">
      <w:pPr>
        <w:pStyle w:val="Lijstalinea"/>
        <w:numPr>
          <w:ilvl w:val="0"/>
          <w:numId w:val="2"/>
        </w:numPr>
        <w:spacing w:after="200" w:line="360" w:lineRule="auto"/>
        <w:ind w:left="714" w:hanging="357"/>
        <w:jc w:val="both"/>
        <w:rPr>
          <w:szCs w:val="24"/>
        </w:rPr>
      </w:pPr>
      <w:r>
        <w:rPr>
          <w:szCs w:val="24"/>
        </w:rPr>
        <w:t xml:space="preserve">Is the financial crisis presented as a topic in the financial statements of Dutch pension funds, and if so, is there a positive </w:t>
      </w:r>
      <w:r w:rsidR="00BE0F47">
        <w:rPr>
          <w:szCs w:val="24"/>
        </w:rPr>
        <w:t>relation</w:t>
      </w:r>
      <w:r>
        <w:rPr>
          <w:szCs w:val="24"/>
        </w:rPr>
        <w:t xml:space="preserve"> between company size and disclosure quantity?</w:t>
      </w:r>
    </w:p>
    <w:p w:rsidR="000477B2" w:rsidRDefault="000477B2" w:rsidP="00FA1A8A">
      <w:pPr>
        <w:pStyle w:val="Lijstalinea"/>
        <w:numPr>
          <w:ilvl w:val="0"/>
          <w:numId w:val="2"/>
        </w:numPr>
        <w:spacing w:after="200" w:line="360" w:lineRule="auto"/>
        <w:ind w:left="714" w:hanging="357"/>
        <w:jc w:val="both"/>
        <w:rPr>
          <w:szCs w:val="24"/>
        </w:rPr>
      </w:pPr>
      <w:r>
        <w:rPr>
          <w:szCs w:val="24"/>
        </w:rPr>
        <w:t xml:space="preserve">Have </w:t>
      </w:r>
      <w:r w:rsidRPr="000477B2">
        <w:rPr>
          <w:bCs/>
          <w:iCs/>
        </w:rPr>
        <w:t xml:space="preserve">the quantity and quality of investment risk disclosures in the </w:t>
      </w:r>
      <w:r w:rsidR="00630E76">
        <w:rPr>
          <w:bCs/>
          <w:iCs/>
        </w:rPr>
        <w:t>financial statements</w:t>
      </w:r>
      <w:r w:rsidRPr="000477B2">
        <w:rPr>
          <w:bCs/>
          <w:iCs/>
        </w:rPr>
        <w:t xml:space="preserve"> of Dutch pension funds </w:t>
      </w:r>
      <w:r>
        <w:rPr>
          <w:bCs/>
          <w:iCs/>
        </w:rPr>
        <w:t xml:space="preserve">indeed </w:t>
      </w:r>
      <w:r w:rsidRPr="000477B2">
        <w:rPr>
          <w:bCs/>
          <w:iCs/>
        </w:rPr>
        <w:t>increase</w:t>
      </w:r>
      <w:r>
        <w:rPr>
          <w:bCs/>
          <w:iCs/>
        </w:rPr>
        <w:t>d</w:t>
      </w:r>
      <w:r w:rsidRPr="000477B2">
        <w:rPr>
          <w:bCs/>
          <w:iCs/>
        </w:rPr>
        <w:t xml:space="preserve"> since the financial crisis?</w:t>
      </w:r>
    </w:p>
    <w:p w:rsidR="000477B2" w:rsidRDefault="005870B2" w:rsidP="00FA1A8A">
      <w:pPr>
        <w:pStyle w:val="Lijstalinea"/>
        <w:numPr>
          <w:ilvl w:val="0"/>
          <w:numId w:val="2"/>
        </w:numPr>
        <w:spacing w:after="200" w:line="360" w:lineRule="auto"/>
        <w:ind w:left="714" w:hanging="357"/>
        <w:jc w:val="both"/>
        <w:rPr>
          <w:szCs w:val="24"/>
        </w:rPr>
      </w:pPr>
      <w:r>
        <w:rPr>
          <w:szCs w:val="24"/>
        </w:rPr>
        <w:t xml:space="preserve">Is there a positive </w:t>
      </w:r>
      <w:r w:rsidR="00BE0F47">
        <w:rPr>
          <w:szCs w:val="24"/>
        </w:rPr>
        <w:t>relation</w:t>
      </w:r>
      <w:r>
        <w:rPr>
          <w:szCs w:val="24"/>
        </w:rPr>
        <w:t xml:space="preserve"> between company size and the quantity</w:t>
      </w:r>
      <w:r w:rsidR="000477B2">
        <w:rPr>
          <w:szCs w:val="24"/>
        </w:rPr>
        <w:t xml:space="preserve"> </w:t>
      </w:r>
      <w:r w:rsidR="002502EC">
        <w:rPr>
          <w:szCs w:val="24"/>
        </w:rPr>
        <w:t xml:space="preserve">and quality </w:t>
      </w:r>
      <w:r w:rsidR="000477B2">
        <w:rPr>
          <w:szCs w:val="24"/>
        </w:rPr>
        <w:t>of investment risk disclosures</w:t>
      </w:r>
      <w:r w:rsidR="00ED03FC">
        <w:rPr>
          <w:szCs w:val="24"/>
        </w:rPr>
        <w:t>?</w:t>
      </w:r>
    </w:p>
    <w:p w:rsidR="005870B2" w:rsidRDefault="000477B2" w:rsidP="000477B2">
      <w:pPr>
        <w:pStyle w:val="Lijstalinea"/>
        <w:spacing w:after="200" w:line="360" w:lineRule="auto"/>
        <w:ind w:left="714"/>
        <w:rPr>
          <w:szCs w:val="24"/>
        </w:rPr>
      </w:pPr>
      <w:r>
        <w:rPr>
          <w:szCs w:val="24"/>
        </w:rPr>
        <w:t xml:space="preserve"> </w:t>
      </w:r>
    </w:p>
    <w:p w:rsidR="00C32EBA" w:rsidRDefault="00180626" w:rsidP="003E1F33">
      <w:pPr>
        <w:pStyle w:val="Kop2"/>
        <w:numPr>
          <w:ilvl w:val="0"/>
          <w:numId w:val="0"/>
        </w:numPr>
        <w:spacing w:line="360" w:lineRule="auto"/>
        <w:ind w:left="576" w:hanging="576"/>
        <w:rPr>
          <w:rFonts w:ascii="Times New Roman" w:hAnsi="Times New Roman" w:cs="Times New Roman"/>
          <w:i w:val="0"/>
          <w:iCs w:val="0"/>
          <w:sz w:val="24"/>
          <w:szCs w:val="24"/>
          <w:lang w:val="en-US"/>
        </w:rPr>
      </w:pPr>
      <w:bookmarkStart w:id="17" w:name="_Toc355387275"/>
      <w:bookmarkEnd w:id="16"/>
      <w:r>
        <w:rPr>
          <w:rFonts w:ascii="Times New Roman" w:hAnsi="Times New Roman" w:cs="Times New Roman"/>
          <w:i w:val="0"/>
          <w:iCs w:val="0"/>
          <w:sz w:val="24"/>
          <w:szCs w:val="24"/>
          <w:lang w:val="en-US"/>
        </w:rPr>
        <w:t>1</w:t>
      </w:r>
      <w:r w:rsidR="00D14F59">
        <w:rPr>
          <w:rFonts w:ascii="Times New Roman" w:hAnsi="Times New Roman" w:cs="Times New Roman"/>
          <w:i w:val="0"/>
          <w:iCs w:val="0"/>
          <w:sz w:val="24"/>
          <w:szCs w:val="24"/>
          <w:lang w:val="en-US"/>
        </w:rPr>
        <w:t>.</w:t>
      </w:r>
      <w:r w:rsidR="003D4FA6">
        <w:rPr>
          <w:rFonts w:ascii="Times New Roman" w:hAnsi="Times New Roman" w:cs="Times New Roman"/>
          <w:i w:val="0"/>
          <w:iCs w:val="0"/>
          <w:sz w:val="24"/>
          <w:szCs w:val="24"/>
          <w:lang w:val="en-US"/>
        </w:rPr>
        <w:t>3</w:t>
      </w:r>
      <w:r w:rsidR="00C32EBA" w:rsidRPr="00A06C4F">
        <w:rPr>
          <w:rFonts w:ascii="Times New Roman" w:hAnsi="Times New Roman" w:cs="Times New Roman"/>
          <w:i w:val="0"/>
          <w:iCs w:val="0"/>
          <w:sz w:val="24"/>
          <w:szCs w:val="24"/>
          <w:lang w:val="en-US"/>
        </w:rPr>
        <w:tab/>
        <w:t>Methodology</w:t>
      </w:r>
      <w:bookmarkEnd w:id="17"/>
    </w:p>
    <w:p w:rsidR="007529C9" w:rsidRPr="00A06C4F" w:rsidRDefault="00EE68AB" w:rsidP="00FA1A8A">
      <w:pPr>
        <w:spacing w:line="360" w:lineRule="auto"/>
        <w:jc w:val="both"/>
        <w:rPr>
          <w:b/>
          <w:lang w:val="en-US"/>
        </w:rPr>
      </w:pPr>
      <w:r>
        <w:rPr>
          <w:lang w:val="en-US"/>
        </w:rPr>
        <w:t>A</w:t>
      </w:r>
      <w:r w:rsidR="00073B5C">
        <w:rPr>
          <w:lang w:val="en-US"/>
        </w:rPr>
        <w:t>n extensive literature research</w:t>
      </w:r>
      <w:r w:rsidR="00DE3E72">
        <w:rPr>
          <w:lang w:val="en-US"/>
        </w:rPr>
        <w:t xml:space="preserve"> has</w:t>
      </w:r>
      <w:r w:rsidR="00073B5C">
        <w:rPr>
          <w:lang w:val="en-US"/>
        </w:rPr>
        <w:t xml:space="preserve"> be</w:t>
      </w:r>
      <w:r w:rsidR="00DE3E72">
        <w:rPr>
          <w:lang w:val="en-US"/>
        </w:rPr>
        <w:t>en</w:t>
      </w:r>
      <w:r w:rsidR="00681E5C">
        <w:rPr>
          <w:lang w:val="en-US"/>
        </w:rPr>
        <w:t xml:space="preserve"> executed. A</w:t>
      </w:r>
      <w:r w:rsidR="00D500E5">
        <w:rPr>
          <w:lang w:val="en-US"/>
        </w:rPr>
        <w:t>s</w:t>
      </w:r>
      <w:r w:rsidR="00073B5C">
        <w:rPr>
          <w:lang w:val="en-US"/>
        </w:rPr>
        <w:t xml:space="preserve"> part of the literature review</w:t>
      </w:r>
      <w:r w:rsidR="00BF41C6">
        <w:rPr>
          <w:lang w:val="en-US"/>
        </w:rPr>
        <w:t>,</w:t>
      </w:r>
      <w:r w:rsidR="00073B5C">
        <w:rPr>
          <w:lang w:val="en-US"/>
        </w:rPr>
        <w:t xml:space="preserve"> </w:t>
      </w:r>
      <w:r>
        <w:rPr>
          <w:lang w:val="en-US"/>
        </w:rPr>
        <w:t xml:space="preserve">more information on prior research </w:t>
      </w:r>
      <w:r w:rsidR="00D500E5">
        <w:rPr>
          <w:lang w:val="en-US"/>
        </w:rPr>
        <w:t xml:space="preserve">and different research methods </w:t>
      </w:r>
      <w:r>
        <w:rPr>
          <w:lang w:val="en-US"/>
        </w:rPr>
        <w:t>regarding the topic of this thesis</w:t>
      </w:r>
      <w:r w:rsidR="00D500E5">
        <w:rPr>
          <w:lang w:val="en-US"/>
        </w:rPr>
        <w:t xml:space="preserve"> will be presented</w:t>
      </w:r>
      <w:r>
        <w:rPr>
          <w:lang w:val="en-US"/>
        </w:rPr>
        <w:t xml:space="preserve">. </w:t>
      </w:r>
      <w:r w:rsidR="007529C9">
        <w:rPr>
          <w:lang w:val="en-US"/>
        </w:rPr>
        <w:t xml:space="preserve">The framework </w:t>
      </w:r>
      <w:r w:rsidR="003954C7">
        <w:rPr>
          <w:lang w:val="en-US"/>
        </w:rPr>
        <w:t xml:space="preserve">developed by </w:t>
      </w:r>
      <w:proofErr w:type="spellStart"/>
      <w:r w:rsidR="003954C7">
        <w:rPr>
          <w:lang w:val="en-US"/>
        </w:rPr>
        <w:t>Babbie</w:t>
      </w:r>
      <w:proofErr w:type="spellEnd"/>
      <w:r w:rsidR="003954C7">
        <w:rPr>
          <w:lang w:val="en-US"/>
        </w:rPr>
        <w:t xml:space="preserve"> (2007) </w:t>
      </w:r>
      <w:r w:rsidR="00DE3E72">
        <w:rPr>
          <w:lang w:val="en-US"/>
        </w:rPr>
        <w:t>has been</w:t>
      </w:r>
      <w:r w:rsidR="003954C7">
        <w:rPr>
          <w:lang w:val="en-US"/>
        </w:rPr>
        <w:t xml:space="preserve"> applied during the research process, as presented in appendix </w:t>
      </w:r>
      <w:r w:rsidR="00DD7743">
        <w:rPr>
          <w:lang w:val="en-US"/>
        </w:rPr>
        <w:t>6</w:t>
      </w:r>
      <w:r w:rsidR="003954C7">
        <w:rPr>
          <w:lang w:val="en-US"/>
        </w:rPr>
        <w:t xml:space="preserve">. Part of this research process is the selection of the research method. </w:t>
      </w:r>
      <w:r w:rsidR="00EE64D9">
        <w:rPr>
          <w:lang w:val="en-US"/>
        </w:rPr>
        <w:t>The most appropriate research m</w:t>
      </w:r>
      <w:r w:rsidR="00D500E5">
        <w:rPr>
          <w:lang w:val="en-US"/>
        </w:rPr>
        <w:t xml:space="preserve">ethod to conduct the research </w:t>
      </w:r>
      <w:r w:rsidR="00DE3E72">
        <w:rPr>
          <w:lang w:val="en-US"/>
        </w:rPr>
        <w:t>has been</w:t>
      </w:r>
      <w:r w:rsidR="00EE64D9">
        <w:rPr>
          <w:lang w:val="en-US"/>
        </w:rPr>
        <w:t xml:space="preserve"> selected by </w:t>
      </w:r>
      <w:r w:rsidR="004E2A6F">
        <w:rPr>
          <w:lang w:val="en-US"/>
        </w:rPr>
        <w:t>applying several cr</w:t>
      </w:r>
      <w:r w:rsidR="00D500E5">
        <w:rPr>
          <w:lang w:val="en-US"/>
        </w:rPr>
        <w:t xml:space="preserve">iteria to each research method. This resulted in the application of content analysis </w:t>
      </w:r>
      <w:r w:rsidR="001A025E">
        <w:rPr>
          <w:lang w:val="en-US"/>
        </w:rPr>
        <w:t xml:space="preserve">and a disclosure index study </w:t>
      </w:r>
      <w:r w:rsidR="00D500E5">
        <w:rPr>
          <w:lang w:val="en-US"/>
        </w:rPr>
        <w:t xml:space="preserve">to the financial statements of 25 Dutch pension funds. </w:t>
      </w:r>
      <w:r w:rsidR="00DE3E72">
        <w:rPr>
          <w:lang w:val="en-US"/>
        </w:rPr>
        <w:t xml:space="preserve">A checklist has been developed to collect the data regarding disclosure quantity and quality. The data has been filed in a SPSS database and processed within SPSS for further analysis. </w:t>
      </w:r>
    </w:p>
    <w:p w:rsidR="00882B8E" w:rsidRDefault="003D4FA6" w:rsidP="00882B8E">
      <w:pPr>
        <w:pStyle w:val="Kop2"/>
        <w:numPr>
          <w:ilvl w:val="0"/>
          <w:numId w:val="0"/>
        </w:numPr>
        <w:spacing w:line="360" w:lineRule="auto"/>
        <w:ind w:left="576" w:hanging="576"/>
        <w:rPr>
          <w:rFonts w:ascii="Times New Roman" w:hAnsi="Times New Roman" w:cs="Times New Roman"/>
          <w:i w:val="0"/>
          <w:iCs w:val="0"/>
          <w:sz w:val="24"/>
          <w:szCs w:val="24"/>
          <w:lang w:val="en-US"/>
        </w:rPr>
      </w:pPr>
      <w:bookmarkStart w:id="18" w:name="_Toc355387276"/>
      <w:r>
        <w:rPr>
          <w:rFonts w:ascii="Times New Roman" w:hAnsi="Times New Roman" w:cs="Times New Roman"/>
          <w:i w:val="0"/>
          <w:iCs w:val="0"/>
          <w:sz w:val="24"/>
          <w:szCs w:val="24"/>
          <w:lang w:val="en-US"/>
        </w:rPr>
        <w:t>1.4</w:t>
      </w:r>
      <w:r w:rsidR="00882B8E">
        <w:rPr>
          <w:rFonts w:ascii="Times New Roman" w:hAnsi="Times New Roman" w:cs="Times New Roman"/>
          <w:i w:val="0"/>
          <w:iCs w:val="0"/>
          <w:sz w:val="24"/>
          <w:szCs w:val="24"/>
          <w:lang w:val="en-US"/>
        </w:rPr>
        <w:tab/>
        <w:t>Structure</w:t>
      </w:r>
      <w:bookmarkEnd w:id="18"/>
    </w:p>
    <w:p w:rsidR="00686DEF" w:rsidRDefault="00882B8E" w:rsidP="00FA1A8A">
      <w:pPr>
        <w:spacing w:line="360" w:lineRule="auto"/>
        <w:jc w:val="both"/>
        <w:rPr>
          <w:lang w:val="en-US"/>
        </w:rPr>
      </w:pPr>
      <w:r>
        <w:rPr>
          <w:lang w:val="en-US"/>
        </w:rPr>
        <w:t xml:space="preserve">The </w:t>
      </w:r>
      <w:r w:rsidRPr="00B33B26">
        <w:rPr>
          <w:lang w:val="en-US"/>
        </w:rPr>
        <w:t xml:space="preserve">thesis is structured as follows. </w:t>
      </w:r>
      <w:r w:rsidR="007D4442">
        <w:rPr>
          <w:lang w:val="en-US"/>
        </w:rPr>
        <w:t>In chapte</w:t>
      </w:r>
      <w:r w:rsidR="0025090E">
        <w:rPr>
          <w:lang w:val="en-US"/>
        </w:rPr>
        <w:t xml:space="preserve">r 2, the literature research will be </w:t>
      </w:r>
      <w:r w:rsidR="007D4442">
        <w:rPr>
          <w:lang w:val="en-US"/>
        </w:rPr>
        <w:t xml:space="preserve">presented. </w:t>
      </w:r>
      <w:r w:rsidR="00316B1F">
        <w:rPr>
          <w:lang w:val="en-US"/>
        </w:rPr>
        <w:t xml:space="preserve">The different concepts that are part of the problem definition </w:t>
      </w:r>
      <w:r w:rsidR="00686DEF">
        <w:rPr>
          <w:lang w:val="en-US"/>
        </w:rPr>
        <w:t>will be elaborated during the</w:t>
      </w:r>
      <w:r w:rsidR="00316B1F">
        <w:rPr>
          <w:lang w:val="en-US"/>
        </w:rPr>
        <w:t xml:space="preserve"> literature research</w:t>
      </w:r>
      <w:r w:rsidR="00DD7743">
        <w:rPr>
          <w:lang w:val="en-US"/>
        </w:rPr>
        <w:t>,</w:t>
      </w:r>
      <w:r w:rsidR="00316B1F">
        <w:rPr>
          <w:lang w:val="en-US"/>
        </w:rPr>
        <w:t xml:space="preserve"> as well as prior research. </w:t>
      </w:r>
      <w:r w:rsidR="0025090E">
        <w:rPr>
          <w:lang w:val="en-US"/>
        </w:rPr>
        <w:t>Law and r</w:t>
      </w:r>
      <w:r w:rsidRPr="00B33B26">
        <w:rPr>
          <w:lang w:val="en-US"/>
        </w:rPr>
        <w:t xml:space="preserve">egulation regarding the disclosure of </w:t>
      </w:r>
      <w:r w:rsidR="00DD7743">
        <w:rPr>
          <w:lang w:val="en-US"/>
        </w:rPr>
        <w:t>investment risks in the financial statements</w:t>
      </w:r>
      <w:r w:rsidRPr="00B33B26">
        <w:rPr>
          <w:lang w:val="en-US"/>
        </w:rPr>
        <w:t xml:space="preserve"> will </w:t>
      </w:r>
      <w:r w:rsidR="00DD7743">
        <w:rPr>
          <w:lang w:val="en-US"/>
        </w:rPr>
        <w:t xml:space="preserve">also </w:t>
      </w:r>
      <w:r w:rsidRPr="00B33B26">
        <w:rPr>
          <w:lang w:val="en-US"/>
        </w:rPr>
        <w:t xml:space="preserve">be described in chapter </w:t>
      </w:r>
      <w:r w:rsidR="00686DEF">
        <w:rPr>
          <w:lang w:val="en-US"/>
        </w:rPr>
        <w:t>2</w:t>
      </w:r>
      <w:r w:rsidR="00316B1F">
        <w:rPr>
          <w:lang w:val="en-US"/>
        </w:rPr>
        <w:t xml:space="preserve">, </w:t>
      </w:r>
      <w:r w:rsidR="00686DEF">
        <w:rPr>
          <w:lang w:val="en-US"/>
        </w:rPr>
        <w:t>bec</w:t>
      </w:r>
      <w:r w:rsidR="00316B1F">
        <w:rPr>
          <w:lang w:val="en-US"/>
        </w:rPr>
        <w:t>a</w:t>
      </w:r>
      <w:r w:rsidR="00686DEF">
        <w:rPr>
          <w:lang w:val="en-US"/>
        </w:rPr>
        <w:t>u</w:t>
      </w:r>
      <w:r w:rsidR="00316B1F">
        <w:rPr>
          <w:lang w:val="en-US"/>
        </w:rPr>
        <w:t>s</w:t>
      </w:r>
      <w:r w:rsidR="00686DEF">
        <w:rPr>
          <w:lang w:val="en-US"/>
        </w:rPr>
        <w:t>e</w:t>
      </w:r>
      <w:r w:rsidR="00316B1F">
        <w:rPr>
          <w:lang w:val="en-US"/>
        </w:rPr>
        <w:t xml:space="preserve"> mutations in law and regulation might have an i</w:t>
      </w:r>
      <w:r w:rsidR="002709B0">
        <w:rPr>
          <w:lang w:val="en-US"/>
        </w:rPr>
        <w:t>mpact on the disclosure quality</w:t>
      </w:r>
      <w:r w:rsidRPr="00B33B26">
        <w:rPr>
          <w:lang w:val="en-US"/>
        </w:rPr>
        <w:t xml:space="preserve">. </w:t>
      </w:r>
    </w:p>
    <w:p w:rsidR="00686DEF" w:rsidRDefault="00882B8E" w:rsidP="00FA1A8A">
      <w:pPr>
        <w:spacing w:line="360" w:lineRule="auto"/>
        <w:jc w:val="both"/>
        <w:rPr>
          <w:lang w:val="en-US"/>
        </w:rPr>
      </w:pPr>
      <w:r w:rsidRPr="00B33B26">
        <w:rPr>
          <w:lang w:val="en-US"/>
        </w:rPr>
        <w:t>The research design</w:t>
      </w:r>
      <w:r w:rsidR="00686DEF">
        <w:rPr>
          <w:lang w:val="en-US"/>
        </w:rPr>
        <w:t xml:space="preserve"> will be elaborated in chapter 3</w:t>
      </w:r>
      <w:r w:rsidRPr="00B33B26">
        <w:rPr>
          <w:lang w:val="en-US"/>
        </w:rPr>
        <w:t xml:space="preserve"> by applying the research desig</w:t>
      </w:r>
      <w:r w:rsidR="0025090E">
        <w:rPr>
          <w:lang w:val="en-US"/>
        </w:rPr>
        <w:t xml:space="preserve">n of </w:t>
      </w:r>
      <w:proofErr w:type="spellStart"/>
      <w:r w:rsidR="0025090E">
        <w:rPr>
          <w:lang w:val="en-US"/>
        </w:rPr>
        <w:t>Babbie</w:t>
      </w:r>
      <w:proofErr w:type="spellEnd"/>
      <w:r w:rsidR="0025090E">
        <w:rPr>
          <w:lang w:val="en-US"/>
        </w:rPr>
        <w:t xml:space="preserve"> (2007). </w:t>
      </w:r>
      <w:r w:rsidR="008159EE">
        <w:rPr>
          <w:lang w:val="en-US"/>
        </w:rPr>
        <w:t xml:space="preserve">In this chapter, the most appropriate research method or methods will be selected and further described. </w:t>
      </w:r>
    </w:p>
    <w:p w:rsidR="00882B8E" w:rsidRPr="00B33B26" w:rsidRDefault="00686DEF" w:rsidP="00FA1A8A">
      <w:pPr>
        <w:spacing w:line="360" w:lineRule="auto"/>
        <w:jc w:val="both"/>
        <w:rPr>
          <w:lang w:val="en-US"/>
        </w:rPr>
      </w:pPr>
      <w:r>
        <w:rPr>
          <w:lang w:val="en-US"/>
        </w:rPr>
        <w:t>In chapter 4</w:t>
      </w:r>
      <w:r w:rsidR="00882B8E" w:rsidRPr="00B33B26">
        <w:rPr>
          <w:lang w:val="en-US"/>
        </w:rPr>
        <w:t>, the analys</w:t>
      </w:r>
      <w:r w:rsidR="008159EE">
        <w:rPr>
          <w:lang w:val="en-US"/>
        </w:rPr>
        <w:t>i</w:t>
      </w:r>
      <w:r>
        <w:rPr>
          <w:lang w:val="en-US"/>
        </w:rPr>
        <w:t>s and results will be described</w:t>
      </w:r>
      <w:r w:rsidR="00882B8E" w:rsidRPr="00B33B26">
        <w:rPr>
          <w:lang w:val="en-US"/>
        </w:rPr>
        <w:t xml:space="preserve">. </w:t>
      </w:r>
      <w:r w:rsidR="008159EE">
        <w:rPr>
          <w:lang w:val="en-US"/>
        </w:rPr>
        <w:t xml:space="preserve">Finally, chapter </w:t>
      </w:r>
      <w:r>
        <w:rPr>
          <w:lang w:val="en-US"/>
        </w:rPr>
        <w:t>5</w:t>
      </w:r>
      <w:r w:rsidR="008159EE">
        <w:rPr>
          <w:lang w:val="en-US"/>
        </w:rPr>
        <w:t xml:space="preserve"> presents the conclusions and limitations of the research and recommendations for further research. </w:t>
      </w:r>
    </w:p>
    <w:p w:rsidR="00B85E08" w:rsidRDefault="00905B16" w:rsidP="00B85E08">
      <w:pPr>
        <w:pStyle w:val="Kop1"/>
        <w:numPr>
          <w:ilvl w:val="0"/>
          <w:numId w:val="0"/>
        </w:numPr>
        <w:spacing w:line="360" w:lineRule="auto"/>
        <w:rPr>
          <w:iCs/>
        </w:rPr>
      </w:pPr>
      <w:r>
        <w:rPr>
          <w:lang w:val="en-US"/>
        </w:rPr>
        <w:br w:type="page"/>
      </w:r>
      <w:bookmarkStart w:id="19" w:name="_Toc355387277"/>
      <w:r w:rsidR="00180626">
        <w:rPr>
          <w:lang w:val="en-US"/>
        </w:rPr>
        <w:t>2</w:t>
      </w:r>
      <w:r w:rsidR="00B85E08">
        <w:rPr>
          <w:lang w:val="en-US"/>
        </w:rPr>
        <w:tab/>
      </w:r>
      <w:r w:rsidR="00F97D34">
        <w:rPr>
          <w:iCs/>
        </w:rPr>
        <w:t>Literature research</w:t>
      </w:r>
      <w:bookmarkEnd w:id="19"/>
    </w:p>
    <w:p w:rsidR="009664FE" w:rsidRDefault="00E50493" w:rsidP="00FA1A8A">
      <w:pPr>
        <w:spacing w:line="360" w:lineRule="auto"/>
        <w:jc w:val="both"/>
      </w:pPr>
      <w:r>
        <w:t xml:space="preserve">In the previous chapter, different concepts have </w:t>
      </w:r>
      <w:r w:rsidR="00CE39F6">
        <w:t xml:space="preserve">already </w:t>
      </w:r>
      <w:r>
        <w:t>been described</w:t>
      </w:r>
      <w:r w:rsidR="00AF55A7">
        <w:t xml:space="preserve"> </w:t>
      </w:r>
      <w:r w:rsidR="000A126E">
        <w:t>as part of the</w:t>
      </w:r>
      <w:r w:rsidR="00AF55A7">
        <w:t xml:space="preserve"> </w:t>
      </w:r>
      <w:r w:rsidR="00497276">
        <w:t>main research question</w:t>
      </w:r>
      <w:r w:rsidR="00686DEF">
        <w:t xml:space="preserve"> and </w:t>
      </w:r>
      <w:proofErr w:type="spellStart"/>
      <w:r w:rsidR="00C9633A">
        <w:t>subquestions</w:t>
      </w:r>
      <w:proofErr w:type="spellEnd"/>
      <w:r w:rsidR="00686DEF">
        <w:t>.</w:t>
      </w:r>
      <w:r>
        <w:t xml:space="preserve"> </w:t>
      </w:r>
      <w:r w:rsidR="00686DEF">
        <w:t>B</w:t>
      </w:r>
      <w:r w:rsidR="000A126E">
        <w:t xml:space="preserve">efore conducting further research, </w:t>
      </w:r>
      <w:r w:rsidR="001D69D3">
        <w:t xml:space="preserve">in this chapter, </w:t>
      </w:r>
      <w:r w:rsidR="000A126E">
        <w:t xml:space="preserve">these concepts are elaborated </w:t>
      </w:r>
      <w:r w:rsidR="00073B5C">
        <w:t>as part of the</w:t>
      </w:r>
      <w:r w:rsidR="00A126F2">
        <w:t xml:space="preserve"> literature research</w:t>
      </w:r>
      <w:r w:rsidR="000A126E">
        <w:t>.</w:t>
      </w:r>
      <w:r w:rsidR="00C9633A">
        <w:t xml:space="preserve"> </w:t>
      </w:r>
      <w:r w:rsidR="00CD5B38">
        <w:t>In the first paragraph,</w:t>
      </w:r>
      <w:r w:rsidR="000A126E">
        <w:t xml:space="preserve"> important theories </w:t>
      </w:r>
      <w:r w:rsidR="00073B5C">
        <w:t>with regard to the</w:t>
      </w:r>
      <w:r w:rsidR="00CD5B38">
        <w:t xml:space="preserve"> thesis will be described, followed by a paragraph about the </w:t>
      </w:r>
      <w:r w:rsidR="00497276">
        <w:t xml:space="preserve">Dutch </w:t>
      </w:r>
      <w:r w:rsidR="00CD5B38">
        <w:t>pension sector. The concepts of financial crisis</w:t>
      </w:r>
      <w:r w:rsidR="0046713D">
        <w:t xml:space="preserve">, </w:t>
      </w:r>
      <w:r w:rsidR="00952C61">
        <w:t xml:space="preserve">annual accounts versus annual reports, </w:t>
      </w:r>
      <w:r w:rsidR="0046713D">
        <w:t>risk</w:t>
      </w:r>
      <w:r w:rsidR="00073B5C">
        <w:t xml:space="preserve"> a</w:t>
      </w:r>
      <w:r w:rsidR="00CD5B38">
        <w:t xml:space="preserve">nd </w:t>
      </w:r>
      <w:r>
        <w:t xml:space="preserve">disclosure </w:t>
      </w:r>
      <w:r w:rsidR="00CD5B38">
        <w:t>will be presented as well</w:t>
      </w:r>
      <w:r w:rsidR="00686DEF">
        <w:t>, including different methods to measure the disclosure quality</w:t>
      </w:r>
      <w:r w:rsidR="00CD5B38">
        <w:t xml:space="preserve">. </w:t>
      </w:r>
      <w:r w:rsidR="0081736A">
        <w:t xml:space="preserve">Subsequently, </w:t>
      </w:r>
      <w:r w:rsidR="001B621D">
        <w:t>the association between disclosure quality and company size is described. Finally</w:t>
      </w:r>
      <w:r w:rsidR="00952C61">
        <w:t xml:space="preserve">, papers and articles will be described that </w:t>
      </w:r>
      <w:r w:rsidR="00A7369C">
        <w:t xml:space="preserve">concern empirical research, </w:t>
      </w:r>
      <w:r w:rsidR="00EC749A">
        <w:t xml:space="preserve">which will be </w:t>
      </w:r>
      <w:r w:rsidR="00A7369C">
        <w:t xml:space="preserve">also </w:t>
      </w:r>
      <w:r w:rsidR="00EC749A">
        <w:t xml:space="preserve">helpful </w:t>
      </w:r>
      <w:r w:rsidR="00A7369C">
        <w:t>to answer the research question in the remainder of this thesis.</w:t>
      </w:r>
    </w:p>
    <w:p w:rsidR="007D4442" w:rsidRDefault="00180626" w:rsidP="00D22E59">
      <w:pPr>
        <w:pStyle w:val="Kop2"/>
        <w:numPr>
          <w:ilvl w:val="0"/>
          <w:numId w:val="0"/>
        </w:numPr>
        <w:spacing w:line="360" w:lineRule="auto"/>
        <w:ind w:left="576" w:hanging="576"/>
        <w:rPr>
          <w:rFonts w:ascii="Times New Roman" w:hAnsi="Times New Roman" w:cs="Times New Roman"/>
          <w:i w:val="0"/>
          <w:iCs w:val="0"/>
          <w:sz w:val="24"/>
          <w:szCs w:val="24"/>
          <w:lang w:val="en-US"/>
        </w:rPr>
      </w:pPr>
      <w:bookmarkStart w:id="20" w:name="_Toc355387278"/>
      <w:r>
        <w:rPr>
          <w:rFonts w:ascii="Times New Roman" w:hAnsi="Times New Roman" w:cs="Times New Roman"/>
          <w:i w:val="0"/>
          <w:iCs w:val="0"/>
          <w:sz w:val="24"/>
          <w:szCs w:val="24"/>
          <w:lang w:val="en-US"/>
        </w:rPr>
        <w:t>2</w:t>
      </w:r>
      <w:r w:rsidR="00D22E59">
        <w:rPr>
          <w:rFonts w:ascii="Times New Roman" w:hAnsi="Times New Roman" w:cs="Times New Roman"/>
          <w:i w:val="0"/>
          <w:iCs w:val="0"/>
          <w:sz w:val="24"/>
          <w:szCs w:val="24"/>
          <w:lang w:val="en-US"/>
        </w:rPr>
        <w:t>.</w:t>
      </w:r>
      <w:r w:rsidR="005A7377">
        <w:rPr>
          <w:rFonts w:ascii="Times New Roman" w:hAnsi="Times New Roman" w:cs="Times New Roman"/>
          <w:i w:val="0"/>
          <w:iCs w:val="0"/>
          <w:sz w:val="24"/>
          <w:szCs w:val="24"/>
          <w:lang w:val="en-US"/>
        </w:rPr>
        <w:t>1</w:t>
      </w:r>
      <w:r w:rsidR="00D31F15">
        <w:rPr>
          <w:rFonts w:ascii="Times New Roman" w:hAnsi="Times New Roman" w:cs="Times New Roman"/>
          <w:i w:val="0"/>
          <w:iCs w:val="0"/>
          <w:sz w:val="24"/>
          <w:szCs w:val="24"/>
          <w:lang w:val="en-US"/>
        </w:rPr>
        <w:tab/>
      </w:r>
      <w:r w:rsidR="00E70E4D">
        <w:rPr>
          <w:rFonts w:ascii="Times New Roman" w:hAnsi="Times New Roman" w:cs="Times New Roman"/>
          <w:i w:val="0"/>
          <w:iCs w:val="0"/>
          <w:sz w:val="24"/>
          <w:szCs w:val="24"/>
          <w:lang w:val="en-US"/>
        </w:rPr>
        <w:t>T</w:t>
      </w:r>
      <w:r w:rsidR="007D4442">
        <w:rPr>
          <w:rFonts w:ascii="Times New Roman" w:hAnsi="Times New Roman" w:cs="Times New Roman"/>
          <w:i w:val="0"/>
          <w:iCs w:val="0"/>
          <w:sz w:val="24"/>
          <w:szCs w:val="24"/>
          <w:lang w:val="en-US"/>
        </w:rPr>
        <w:t>heory</w:t>
      </w:r>
      <w:bookmarkEnd w:id="20"/>
    </w:p>
    <w:p w:rsidR="003B51B4" w:rsidRDefault="003B51B4" w:rsidP="00FA1A8A">
      <w:pPr>
        <w:spacing w:line="360" w:lineRule="auto"/>
        <w:jc w:val="both"/>
        <w:rPr>
          <w:lang w:val="en-US"/>
        </w:rPr>
      </w:pPr>
      <w:r>
        <w:rPr>
          <w:lang w:val="en-US"/>
        </w:rPr>
        <w:t xml:space="preserve">Healy and </w:t>
      </w:r>
      <w:proofErr w:type="spellStart"/>
      <w:r>
        <w:rPr>
          <w:lang w:val="en-US"/>
        </w:rPr>
        <w:t>Palepu</w:t>
      </w:r>
      <w:proofErr w:type="spellEnd"/>
      <w:r>
        <w:rPr>
          <w:lang w:val="en-US"/>
        </w:rPr>
        <w:t xml:space="preserve"> (2001) describe </w:t>
      </w:r>
      <w:r w:rsidR="00BA4D56">
        <w:rPr>
          <w:lang w:val="en-US"/>
        </w:rPr>
        <w:t xml:space="preserve">that the request for financial reporting and disclosures is derived from information asymmetry and the agency problem. </w:t>
      </w:r>
      <w:r w:rsidR="00356372">
        <w:rPr>
          <w:lang w:val="en-US"/>
        </w:rPr>
        <w:t>I</w:t>
      </w:r>
      <w:r w:rsidR="00BA4D56">
        <w:rPr>
          <w:lang w:val="en-US"/>
        </w:rPr>
        <w:t>nformation asymmetry will be described as part of the financial accounting theory. Subsequently, in this paragraph</w:t>
      </w:r>
      <w:r w:rsidR="00A7369C">
        <w:rPr>
          <w:lang w:val="en-US"/>
        </w:rPr>
        <w:t>,</w:t>
      </w:r>
      <w:r w:rsidR="00BA4D56">
        <w:rPr>
          <w:lang w:val="en-US"/>
        </w:rPr>
        <w:t xml:space="preserve"> the agency theory will be described as part of the Positive Accounting Theory (PAT)</w:t>
      </w:r>
      <w:r w:rsidR="004729A6">
        <w:rPr>
          <w:lang w:val="en-US"/>
        </w:rPr>
        <w:t xml:space="preserve">. </w:t>
      </w:r>
    </w:p>
    <w:p w:rsidR="00BA4D56" w:rsidRDefault="00BA4D56" w:rsidP="0032400F">
      <w:pPr>
        <w:rPr>
          <w:lang w:val="en-US"/>
        </w:rPr>
      </w:pPr>
    </w:p>
    <w:p w:rsidR="004729A6" w:rsidRPr="000C7758" w:rsidRDefault="004729A6" w:rsidP="004729A6">
      <w:pPr>
        <w:spacing w:line="360" w:lineRule="auto"/>
        <w:rPr>
          <w:b/>
          <w:u w:val="single"/>
        </w:rPr>
      </w:pPr>
      <w:r w:rsidRPr="000C7758">
        <w:rPr>
          <w:b/>
          <w:lang w:val="en-US"/>
        </w:rPr>
        <w:t>Information asymmetry</w:t>
      </w:r>
      <w:r>
        <w:rPr>
          <w:b/>
          <w:lang w:val="en-US"/>
        </w:rPr>
        <w:t xml:space="preserve"> as part of financial accounting </w:t>
      </w:r>
      <w:r w:rsidR="00461CD4">
        <w:rPr>
          <w:b/>
          <w:lang w:val="en-US"/>
        </w:rPr>
        <w:t>theory</w:t>
      </w:r>
    </w:p>
    <w:p w:rsidR="004729A6" w:rsidRPr="007313BF" w:rsidRDefault="004729A6" w:rsidP="00FA1A8A">
      <w:pPr>
        <w:spacing w:line="360" w:lineRule="auto"/>
        <w:jc w:val="both"/>
      </w:pPr>
      <w:r>
        <w:t>Scott (2006)</w:t>
      </w:r>
      <w:r w:rsidR="00461CD4">
        <w:t xml:space="preserve"> emphasizes the importance of </w:t>
      </w:r>
      <w:r>
        <w:t xml:space="preserve">information asymmetry </w:t>
      </w:r>
      <w:r w:rsidR="00461CD4">
        <w:t xml:space="preserve">as </w:t>
      </w:r>
      <w:r>
        <w:t>part of the financial accounting theory. Scott (2006) argues that in ideal conditions, there is no information asymmetry</w:t>
      </w:r>
      <w:r w:rsidRPr="008A61A0">
        <w:t>. However, such like other sectors, the Dutch pension sector is not characterized by ideal conditions.</w:t>
      </w:r>
      <w:r>
        <w:t xml:space="preserve"> </w:t>
      </w:r>
    </w:p>
    <w:p w:rsidR="004729A6" w:rsidRDefault="004729A6" w:rsidP="004729A6">
      <w:pPr>
        <w:spacing w:line="360" w:lineRule="auto"/>
      </w:pPr>
    </w:p>
    <w:p w:rsidR="002B60A9" w:rsidRDefault="002B60A9" w:rsidP="00FA1A8A">
      <w:pPr>
        <w:spacing w:line="360" w:lineRule="auto"/>
        <w:jc w:val="both"/>
      </w:pPr>
      <w:r>
        <w:t xml:space="preserve">Scott (2006) continues that there is information asymmetry in a situation in which parties that are part of business transactions benefit from having more information than others. Scott (2006) distinguishes two important information asymmetry types, adverse selection and moral hazard, as depicted in </w:t>
      </w:r>
      <w:r w:rsidR="00232D7F">
        <w:t>appendix</w:t>
      </w:r>
      <w:r>
        <w:t xml:space="preserve"> 1. </w:t>
      </w:r>
    </w:p>
    <w:p w:rsidR="002B60A9" w:rsidRDefault="002B60A9" w:rsidP="002B60A9">
      <w:pPr>
        <w:spacing w:line="360" w:lineRule="auto"/>
      </w:pPr>
    </w:p>
    <w:p w:rsidR="004729A6" w:rsidRDefault="004729A6" w:rsidP="00FA1A8A">
      <w:pPr>
        <w:spacing w:line="360" w:lineRule="auto"/>
        <w:jc w:val="both"/>
      </w:pPr>
      <w:r>
        <w:t xml:space="preserve">Scott (2006) describes adverse selection as a kind of information asymmetry in which one or more participants of business transactions, or potential business transactions, have the benefit from having more information than others. Parties with information advantages are for example managers </w:t>
      </w:r>
      <w:r w:rsidR="00BC4A67">
        <w:t>within the pension funds</w:t>
      </w:r>
      <w:r>
        <w:t xml:space="preserve"> and other insiders. These parties have more information about the current situation of the company and also about </w:t>
      </w:r>
      <w:r w:rsidR="00224227">
        <w:t xml:space="preserve">future </w:t>
      </w:r>
      <w:r>
        <w:t>expectations</w:t>
      </w:r>
      <w:r w:rsidR="00224227">
        <w:t>.</w:t>
      </w:r>
    </w:p>
    <w:p w:rsidR="004729A6" w:rsidRDefault="004729A6" w:rsidP="00FA1A8A">
      <w:pPr>
        <w:spacing w:line="360" w:lineRule="auto"/>
        <w:jc w:val="both"/>
      </w:pPr>
      <w:r>
        <w:t xml:space="preserve">Moral hazard is another type of information asymmetry and exists because of the separation between control and ownership that is the case in most of the large companies (Scott, 2006). One or more participants of a transaction are able to notice the efforts to meet the transaction, while other parties are unable to notice. In general, it is not possible for creditors and shareholders to assess the quality and extent of the top managers’ efforts to act on their </w:t>
      </w:r>
      <w:r w:rsidR="00232D7F">
        <w:t xml:space="preserve">own </w:t>
      </w:r>
      <w:r>
        <w:t>behalf. In response to this, top managers might avoid to do their duty in all due respect. Top management could blame a decrease in business performance on factors outside their control.</w:t>
      </w:r>
    </w:p>
    <w:p w:rsidR="004729A6" w:rsidRDefault="004729A6" w:rsidP="00FA1A8A">
      <w:pPr>
        <w:spacing w:line="360" w:lineRule="auto"/>
        <w:jc w:val="both"/>
      </w:pPr>
    </w:p>
    <w:p w:rsidR="003945FD" w:rsidRDefault="00232D7F" w:rsidP="00FA1A8A">
      <w:pPr>
        <w:spacing w:line="360" w:lineRule="auto"/>
        <w:jc w:val="both"/>
      </w:pPr>
      <w:r>
        <w:t>As depicted in appendix</w:t>
      </w:r>
      <w:r w:rsidR="002B60A9">
        <w:t xml:space="preserve"> 1, providing full disclosure is a possibility to overcome </w:t>
      </w:r>
      <w:r w:rsidR="00224227">
        <w:t>information asymmetry. P</w:t>
      </w:r>
      <w:r w:rsidR="00230111">
        <w:t>articipants of</w:t>
      </w:r>
      <w:r w:rsidR="00224227">
        <w:t xml:space="preserve"> </w:t>
      </w:r>
      <w:r w:rsidR="002B60A9">
        <w:t xml:space="preserve">Dutch pension funds might gain more information about their </w:t>
      </w:r>
      <w:r w:rsidR="00224227">
        <w:t xml:space="preserve">contributions when </w:t>
      </w:r>
      <w:r w:rsidR="002B60A9">
        <w:t xml:space="preserve">pension funds provide more information in the </w:t>
      </w:r>
      <w:r w:rsidR="00701479">
        <w:t>financial statements</w:t>
      </w:r>
      <w:r w:rsidR="002B60A9">
        <w:t xml:space="preserve">. </w:t>
      </w:r>
    </w:p>
    <w:p w:rsidR="00D87C61" w:rsidRDefault="00D87C61" w:rsidP="00E70E4D">
      <w:pPr>
        <w:spacing w:line="360" w:lineRule="auto"/>
        <w:rPr>
          <w:lang w:val="en-US"/>
        </w:rPr>
      </w:pPr>
    </w:p>
    <w:p w:rsidR="00D87C61" w:rsidRDefault="00AD5236" w:rsidP="00E70E4D">
      <w:pPr>
        <w:spacing w:line="360" w:lineRule="auto"/>
        <w:rPr>
          <w:b/>
          <w:lang w:val="en-US"/>
        </w:rPr>
      </w:pPr>
      <w:r>
        <w:rPr>
          <w:b/>
          <w:lang w:val="en-US"/>
        </w:rPr>
        <w:t>Positive Accounting T</w:t>
      </w:r>
      <w:r w:rsidR="00845E24">
        <w:rPr>
          <w:b/>
          <w:lang w:val="en-US"/>
        </w:rPr>
        <w:t>heory</w:t>
      </w:r>
      <w:r w:rsidR="00E40F0C">
        <w:rPr>
          <w:b/>
          <w:lang w:val="en-US"/>
        </w:rPr>
        <w:t xml:space="preserve"> (PAT)</w:t>
      </w:r>
    </w:p>
    <w:p w:rsidR="00943535" w:rsidRPr="00943535" w:rsidRDefault="00441581" w:rsidP="00FA1A8A">
      <w:pPr>
        <w:spacing w:line="360" w:lineRule="auto"/>
        <w:jc w:val="both"/>
        <w:rPr>
          <w:lang w:val="en-US"/>
        </w:rPr>
      </w:pPr>
      <w:r>
        <w:rPr>
          <w:lang w:val="en-US"/>
        </w:rPr>
        <w:t xml:space="preserve">A positive theory attempts to </w:t>
      </w:r>
      <w:r>
        <w:rPr>
          <w:i/>
          <w:lang w:val="en-US"/>
        </w:rPr>
        <w:t>“explain and predict particular phenomena”</w:t>
      </w:r>
      <w:r w:rsidR="0066388C">
        <w:rPr>
          <w:i/>
          <w:lang w:val="en-US"/>
        </w:rPr>
        <w:t xml:space="preserve"> </w:t>
      </w:r>
      <w:r>
        <w:rPr>
          <w:lang w:val="en-US"/>
        </w:rPr>
        <w:t>(</w:t>
      </w:r>
      <w:proofErr w:type="spellStart"/>
      <w:r>
        <w:rPr>
          <w:lang w:val="en-US"/>
        </w:rPr>
        <w:t>Deegan</w:t>
      </w:r>
      <w:proofErr w:type="spellEnd"/>
      <w:r>
        <w:rPr>
          <w:lang w:val="en-US"/>
        </w:rPr>
        <w:t xml:space="preserve"> and </w:t>
      </w:r>
      <w:proofErr w:type="spellStart"/>
      <w:r>
        <w:rPr>
          <w:lang w:val="en-US"/>
        </w:rPr>
        <w:t>Unerman</w:t>
      </w:r>
      <w:proofErr w:type="spellEnd"/>
      <w:r>
        <w:rPr>
          <w:lang w:val="en-US"/>
        </w:rPr>
        <w:t xml:space="preserve"> (2006)). </w:t>
      </w:r>
      <w:r w:rsidR="004960A6">
        <w:rPr>
          <w:lang w:val="en-US"/>
        </w:rPr>
        <w:t xml:space="preserve">According to </w:t>
      </w:r>
      <w:proofErr w:type="spellStart"/>
      <w:r>
        <w:rPr>
          <w:lang w:val="en-US"/>
        </w:rPr>
        <w:t>Deegan</w:t>
      </w:r>
      <w:proofErr w:type="spellEnd"/>
      <w:r>
        <w:rPr>
          <w:lang w:val="en-US"/>
        </w:rPr>
        <w:t xml:space="preserve"> and </w:t>
      </w:r>
      <w:proofErr w:type="spellStart"/>
      <w:r>
        <w:rPr>
          <w:lang w:val="en-US"/>
        </w:rPr>
        <w:t>Unerman</w:t>
      </w:r>
      <w:proofErr w:type="spellEnd"/>
      <w:r w:rsidR="004960A6">
        <w:rPr>
          <w:lang w:val="en-US"/>
        </w:rPr>
        <w:t xml:space="preserve"> (2006), </w:t>
      </w:r>
      <w:r w:rsidR="00AD5236">
        <w:rPr>
          <w:lang w:val="en-US"/>
        </w:rPr>
        <w:t>P</w:t>
      </w:r>
      <w:r w:rsidR="00E40F0C">
        <w:rPr>
          <w:lang w:val="en-US"/>
        </w:rPr>
        <w:t>AT</w:t>
      </w:r>
      <w:r w:rsidR="0066388C">
        <w:rPr>
          <w:lang w:val="en-US"/>
        </w:rPr>
        <w:t xml:space="preserve"> concentrates on the </w:t>
      </w:r>
      <w:r w:rsidR="00BE0F47">
        <w:rPr>
          <w:lang w:val="en-US"/>
        </w:rPr>
        <w:t>relation</w:t>
      </w:r>
      <w:r w:rsidR="0066388C">
        <w:rPr>
          <w:lang w:val="en-US"/>
        </w:rPr>
        <w:t xml:space="preserve">s between the </w:t>
      </w:r>
      <w:r w:rsidR="004960A6">
        <w:rPr>
          <w:lang w:val="en-US"/>
        </w:rPr>
        <w:t>different</w:t>
      </w:r>
      <w:r w:rsidR="0066388C">
        <w:rPr>
          <w:lang w:val="en-US"/>
        </w:rPr>
        <w:t xml:space="preserve"> persons that deliver resources to an enterprise and in which way accounting might help in the working of these </w:t>
      </w:r>
      <w:r w:rsidR="00BE0F47">
        <w:rPr>
          <w:lang w:val="en-US"/>
        </w:rPr>
        <w:t>relation</w:t>
      </w:r>
      <w:r w:rsidR="0066388C">
        <w:rPr>
          <w:lang w:val="en-US"/>
        </w:rPr>
        <w:t>s.</w:t>
      </w:r>
      <w:r w:rsidR="00230111">
        <w:rPr>
          <w:lang w:val="en-US"/>
        </w:rPr>
        <w:t xml:space="preserve"> Research from a positive accounting perspective could focus on particular characteristics of an </w:t>
      </w:r>
      <w:r w:rsidR="005E5B82">
        <w:rPr>
          <w:lang w:val="en-US"/>
        </w:rPr>
        <w:t>enterprise that can explain how management behaves with regard to disclosures.</w:t>
      </w:r>
      <w:r w:rsidR="00EC20DE">
        <w:rPr>
          <w:lang w:val="en-US"/>
        </w:rPr>
        <w:t xml:space="preserve"> This thesis </w:t>
      </w:r>
      <w:r w:rsidR="007C6CEF">
        <w:rPr>
          <w:lang w:val="en-US"/>
        </w:rPr>
        <w:t xml:space="preserve">focuses on the characteristic pension fund size and will </w:t>
      </w:r>
      <w:r w:rsidR="00EC20DE">
        <w:rPr>
          <w:lang w:val="en-US"/>
        </w:rPr>
        <w:t>predict</w:t>
      </w:r>
      <w:r w:rsidR="007C6CEF">
        <w:rPr>
          <w:lang w:val="en-US"/>
        </w:rPr>
        <w:t xml:space="preserve"> if and explain why pension fund size</w:t>
      </w:r>
      <w:r w:rsidR="00EC20DE">
        <w:rPr>
          <w:lang w:val="en-US"/>
        </w:rPr>
        <w:t xml:space="preserve"> </w:t>
      </w:r>
      <w:r w:rsidR="007C6CEF">
        <w:rPr>
          <w:lang w:val="en-US"/>
        </w:rPr>
        <w:t xml:space="preserve">could </w:t>
      </w:r>
      <w:r w:rsidR="00EC20DE">
        <w:rPr>
          <w:lang w:val="en-US"/>
        </w:rPr>
        <w:t xml:space="preserve">result in differences in disclosure quantity and quality. </w:t>
      </w:r>
      <w:r w:rsidR="00230111">
        <w:rPr>
          <w:lang w:val="en-US"/>
        </w:rPr>
        <w:t xml:space="preserve"> </w:t>
      </w:r>
      <w:r w:rsidR="00E40F0C">
        <w:rPr>
          <w:lang w:val="en-US"/>
        </w:rPr>
        <w:t xml:space="preserve">  </w:t>
      </w:r>
      <w:r>
        <w:rPr>
          <w:lang w:val="en-US"/>
        </w:rPr>
        <w:t xml:space="preserve"> </w:t>
      </w:r>
    </w:p>
    <w:p w:rsidR="00D87C61" w:rsidRDefault="00D87C61" w:rsidP="00FA1A8A">
      <w:pPr>
        <w:spacing w:line="360" w:lineRule="auto"/>
        <w:jc w:val="both"/>
        <w:rPr>
          <w:lang w:val="en-US"/>
        </w:rPr>
      </w:pPr>
    </w:p>
    <w:p w:rsidR="001179C7" w:rsidRDefault="00137589" w:rsidP="00FA1A8A">
      <w:pPr>
        <w:spacing w:line="360" w:lineRule="auto"/>
        <w:jc w:val="both"/>
      </w:pPr>
      <w:proofErr w:type="spellStart"/>
      <w:r>
        <w:t>De</w:t>
      </w:r>
      <w:r w:rsidR="005E5B82">
        <w:t>egan</w:t>
      </w:r>
      <w:proofErr w:type="spellEnd"/>
      <w:r w:rsidR="005E5B82">
        <w:t xml:space="preserve"> and </w:t>
      </w:r>
      <w:proofErr w:type="spellStart"/>
      <w:r w:rsidR="005E5B82">
        <w:t>Unerman</w:t>
      </w:r>
      <w:proofErr w:type="spellEnd"/>
      <w:r w:rsidR="005E5B82">
        <w:t xml:space="preserve"> (2006) present</w:t>
      </w:r>
      <w:r>
        <w:t xml:space="preserve"> </w:t>
      </w:r>
      <w:r w:rsidR="005E5B82">
        <w:t xml:space="preserve">the agency theory as part of PAT and describe </w:t>
      </w:r>
      <w:r>
        <w:t xml:space="preserve">that in the agency theory, a firm is regarded as a nexus of contracts. Contracts that have been established to make sure that each party that behaves in his own self-interest, at the same time has a motivation to maximize the organizations value. Jensen and </w:t>
      </w:r>
      <w:proofErr w:type="spellStart"/>
      <w:r>
        <w:t>Meckling</w:t>
      </w:r>
      <w:proofErr w:type="spellEnd"/>
      <w:r>
        <w:t xml:space="preserve"> (1976) have defined an agency </w:t>
      </w:r>
      <w:r w:rsidR="00BE0F47">
        <w:t>relation</w:t>
      </w:r>
      <w:r>
        <w:t xml:space="preserve"> as </w:t>
      </w:r>
      <w:r w:rsidRPr="007539B4">
        <w:rPr>
          <w:i/>
        </w:rPr>
        <w:t>“a contract under which one or more persons (the principal(s)) engage another person (the agent) to perform some service on their behalf which involves delegating some decision making authority to the agent”.</w:t>
      </w:r>
    </w:p>
    <w:p w:rsidR="00B95B69" w:rsidRDefault="00B95B69" w:rsidP="00137589">
      <w:pPr>
        <w:spacing w:line="360" w:lineRule="auto"/>
      </w:pPr>
    </w:p>
    <w:p w:rsidR="00137589" w:rsidRDefault="00137589" w:rsidP="00FA1A8A">
      <w:pPr>
        <w:spacing w:line="360" w:lineRule="auto"/>
        <w:jc w:val="both"/>
      </w:pPr>
      <w:proofErr w:type="spellStart"/>
      <w:r>
        <w:t>Maatman</w:t>
      </w:r>
      <w:proofErr w:type="spellEnd"/>
      <w:r>
        <w:t xml:space="preserve"> (2004) describes that the rights and obligations that exist in the </w:t>
      </w:r>
      <w:r w:rsidR="00BE0F47">
        <w:t>relation</w:t>
      </w:r>
      <w:r>
        <w:t xml:space="preserve"> between principal and agent often relate to conflicts of interest. These risks of conflicts of interest can be experienced by the principal in “serving two masters” as well as the agent by “self-dealing” (Jensen, 2000). </w:t>
      </w:r>
    </w:p>
    <w:p w:rsidR="00926DB2" w:rsidRDefault="00F13D81" w:rsidP="00FA1A8A">
      <w:pPr>
        <w:spacing w:line="360" w:lineRule="auto"/>
        <w:jc w:val="both"/>
      </w:pPr>
      <w:r>
        <w:t>However, t</w:t>
      </w:r>
      <w:r w:rsidR="00137589">
        <w:t xml:space="preserve">he legislator will search </w:t>
      </w:r>
      <w:r w:rsidR="00EA2C46">
        <w:t xml:space="preserve">for possibilities to oppose </w:t>
      </w:r>
      <w:r w:rsidR="00137589">
        <w:t xml:space="preserve">agency problems. According to </w:t>
      </w:r>
      <w:proofErr w:type="spellStart"/>
      <w:r w:rsidR="00137589">
        <w:t>Maatman</w:t>
      </w:r>
      <w:proofErr w:type="spellEnd"/>
      <w:r w:rsidR="00137589">
        <w:t xml:space="preserve"> (2004), the agency problems </w:t>
      </w:r>
      <w:r w:rsidR="00EA2C46">
        <w:t xml:space="preserve">of Dutch pension funds, </w:t>
      </w:r>
      <w:r w:rsidR="00137589">
        <w:t xml:space="preserve">can be solved by meticulously described rules regarding prudent asset management, reliability and integrity. Healy and </w:t>
      </w:r>
      <w:proofErr w:type="spellStart"/>
      <w:r w:rsidR="00137589">
        <w:t>Palepu</w:t>
      </w:r>
      <w:proofErr w:type="spellEnd"/>
      <w:r w:rsidR="00137589">
        <w:t xml:space="preserve"> (2001) state that </w:t>
      </w:r>
      <w:r w:rsidR="00EA2C46">
        <w:t xml:space="preserve">to solve agency problems, </w:t>
      </w:r>
      <w:r w:rsidR="00137589">
        <w:t xml:space="preserve">the board of directors can play an important role by actively monitoring and disciplining the management of a company in the interests of the stakeholders. Healy and </w:t>
      </w:r>
      <w:proofErr w:type="spellStart"/>
      <w:r w:rsidR="00137589">
        <w:t>Palepu</w:t>
      </w:r>
      <w:proofErr w:type="spellEnd"/>
      <w:r w:rsidR="00137589">
        <w:t xml:space="preserve"> (2001) continue that information intermediaries, like rating agencies and financial analysts are able to produce information that might detect managers applying the resources of the firm for the wrong purposes.</w:t>
      </w:r>
      <w:r w:rsidR="002B2E02">
        <w:t xml:space="preserve"> </w:t>
      </w:r>
    </w:p>
    <w:p w:rsidR="00872435" w:rsidRDefault="00872435" w:rsidP="00FA1A8A">
      <w:pPr>
        <w:spacing w:line="360" w:lineRule="auto"/>
        <w:jc w:val="both"/>
      </w:pPr>
    </w:p>
    <w:p w:rsidR="00386327" w:rsidRDefault="00386327" w:rsidP="00FA1A8A">
      <w:pPr>
        <w:spacing w:line="360" w:lineRule="auto"/>
        <w:jc w:val="both"/>
        <w:rPr>
          <w:lang w:val="en-US"/>
        </w:rPr>
      </w:pPr>
      <w:r>
        <w:t>A pension fund has several stakeholders and behaves in the interests of these stakeholders.</w:t>
      </w:r>
      <w:r w:rsidR="00872435">
        <w:t xml:space="preserve"> As described above, meticulously described rules are a possibility to reduce the agency problems. In the Dutch Pension Law, the protection of the interests of the stakeholders of the Dutch pension funds is explicitly described. </w:t>
      </w:r>
      <w:r>
        <w:t xml:space="preserve">Article 105 paragraph 2 of the Dutch Pension Law describes the requirements with regard to the policymakers of Dutch pension funds. The persons that determine the policy of a pension fund or partly determine this policy have to act in the interest of several parties in performing their duty. </w:t>
      </w:r>
      <w:r w:rsidRPr="002B2E02">
        <w:rPr>
          <w:lang w:val="en-US"/>
        </w:rPr>
        <w:t>Members, former members, others entitled to claim, pensioners and the employers have to be represented in a balanced way.</w:t>
      </w:r>
      <w:r w:rsidR="002C0B3A">
        <w:rPr>
          <w:lang w:val="en-US"/>
        </w:rPr>
        <w:t xml:space="preserve"> I</w:t>
      </w:r>
      <w:r w:rsidR="00B05BBA">
        <w:rPr>
          <w:lang w:val="en-US"/>
        </w:rPr>
        <w:t xml:space="preserve">n this chapter, </w:t>
      </w:r>
      <w:r w:rsidR="002C0B3A">
        <w:rPr>
          <w:lang w:val="en-US"/>
        </w:rPr>
        <w:t xml:space="preserve">these laws and regulations </w:t>
      </w:r>
      <w:r w:rsidR="00B05BBA">
        <w:rPr>
          <w:lang w:val="en-US"/>
        </w:rPr>
        <w:t xml:space="preserve">will </w:t>
      </w:r>
      <w:r w:rsidR="00EA2C46">
        <w:rPr>
          <w:lang w:val="en-US"/>
        </w:rPr>
        <w:t xml:space="preserve">also </w:t>
      </w:r>
      <w:r w:rsidR="00B05BBA">
        <w:rPr>
          <w:lang w:val="en-US"/>
        </w:rPr>
        <w:t>be further described</w:t>
      </w:r>
      <w:r w:rsidR="002C0B3A">
        <w:rPr>
          <w:lang w:val="en-US"/>
        </w:rPr>
        <w:t xml:space="preserve">. </w:t>
      </w:r>
    </w:p>
    <w:p w:rsidR="007D4442" w:rsidRDefault="005A7377" w:rsidP="00125FC4">
      <w:pPr>
        <w:pStyle w:val="Kop2"/>
        <w:numPr>
          <w:ilvl w:val="0"/>
          <w:numId w:val="0"/>
        </w:numPr>
        <w:spacing w:line="360" w:lineRule="auto"/>
        <w:ind w:left="576" w:hanging="576"/>
        <w:rPr>
          <w:rFonts w:ascii="Times New Roman" w:hAnsi="Times New Roman" w:cs="Times New Roman"/>
          <w:i w:val="0"/>
          <w:iCs w:val="0"/>
          <w:sz w:val="24"/>
          <w:szCs w:val="24"/>
          <w:lang w:val="en-US"/>
        </w:rPr>
      </w:pPr>
      <w:bookmarkStart w:id="21" w:name="_Toc355387279"/>
      <w:r>
        <w:rPr>
          <w:rFonts w:ascii="Times New Roman" w:hAnsi="Times New Roman" w:cs="Times New Roman"/>
          <w:i w:val="0"/>
          <w:iCs w:val="0"/>
          <w:sz w:val="24"/>
          <w:szCs w:val="24"/>
          <w:lang w:val="en-US"/>
        </w:rPr>
        <w:t>2.2</w:t>
      </w:r>
      <w:r w:rsidR="00CE55F0">
        <w:rPr>
          <w:rFonts w:ascii="Times New Roman" w:hAnsi="Times New Roman" w:cs="Times New Roman"/>
          <w:i w:val="0"/>
          <w:iCs w:val="0"/>
          <w:sz w:val="24"/>
          <w:szCs w:val="24"/>
          <w:lang w:val="en-US"/>
        </w:rPr>
        <w:tab/>
      </w:r>
      <w:r w:rsidR="00535AD3">
        <w:rPr>
          <w:rFonts w:ascii="Times New Roman" w:hAnsi="Times New Roman" w:cs="Times New Roman"/>
          <w:i w:val="0"/>
          <w:iCs w:val="0"/>
          <w:sz w:val="24"/>
          <w:szCs w:val="24"/>
          <w:lang w:val="en-US"/>
        </w:rPr>
        <w:t xml:space="preserve">Dutch pension </w:t>
      </w:r>
      <w:r w:rsidR="007D4442">
        <w:rPr>
          <w:rFonts w:ascii="Times New Roman" w:hAnsi="Times New Roman" w:cs="Times New Roman"/>
          <w:i w:val="0"/>
          <w:iCs w:val="0"/>
          <w:sz w:val="24"/>
          <w:szCs w:val="24"/>
          <w:lang w:val="en-US"/>
        </w:rPr>
        <w:t>sector</w:t>
      </w:r>
      <w:bookmarkEnd w:id="21"/>
    </w:p>
    <w:p w:rsidR="00D72B95" w:rsidRPr="00D72B95" w:rsidRDefault="00D72B95" w:rsidP="00FA1A8A">
      <w:pPr>
        <w:spacing w:line="360" w:lineRule="auto"/>
        <w:jc w:val="both"/>
        <w:rPr>
          <w:lang w:val="en-US"/>
        </w:rPr>
      </w:pPr>
      <w:r>
        <w:t>The Dutch pension sector is a dynamic sector. In the past decade, a lot of developments have taken place that had impact on Dutch pension funds and might have influenced the quality of risk disclosures as well. For this reason, these recent developments have been included</w:t>
      </w:r>
      <w:r w:rsidR="00DB70BD">
        <w:t>.</w:t>
      </w:r>
    </w:p>
    <w:p w:rsidR="00EB3316" w:rsidRDefault="00EB3316" w:rsidP="00EB3316">
      <w:pPr>
        <w:rPr>
          <w:lang w:val="en-US"/>
        </w:rPr>
      </w:pPr>
    </w:p>
    <w:p w:rsidR="00F63CB3" w:rsidRPr="00EB3316" w:rsidRDefault="00FC30D4" w:rsidP="00EB3316">
      <w:pPr>
        <w:spacing w:line="360" w:lineRule="auto"/>
        <w:rPr>
          <w:b/>
          <w:lang w:val="en-US"/>
        </w:rPr>
      </w:pPr>
      <w:r w:rsidRPr="00EB3316">
        <w:rPr>
          <w:b/>
          <w:lang w:val="en-US"/>
        </w:rPr>
        <w:t xml:space="preserve">Dutch pension </w:t>
      </w:r>
      <w:r w:rsidR="00535AD3" w:rsidRPr="00EB3316">
        <w:rPr>
          <w:b/>
          <w:lang w:val="en-US"/>
        </w:rPr>
        <w:t>funds</w:t>
      </w:r>
      <w:bookmarkStart w:id="22" w:name="_Toc267647427"/>
      <w:bookmarkStart w:id="23" w:name="_Toc267649043"/>
      <w:bookmarkStart w:id="24" w:name="_Toc267653495"/>
    </w:p>
    <w:p w:rsidR="00EA5311" w:rsidRDefault="00EA5311" w:rsidP="00FA1A8A">
      <w:pPr>
        <w:spacing w:line="360" w:lineRule="auto"/>
        <w:jc w:val="both"/>
      </w:pPr>
      <w:r>
        <w:t>A pension fund is a legal entity, in which on behalf of at least two participants, former participants or their surviving relatives</w:t>
      </w:r>
      <w:r w:rsidR="00EA2C46">
        <w:t>,</w:t>
      </w:r>
      <w:r>
        <w:t xml:space="preserve"> money is raised or has been raised and is managed for the execution of at least </w:t>
      </w:r>
      <w:r w:rsidR="003223C5">
        <w:t>one basic pension regulation (Pensio</w:t>
      </w:r>
      <w:r w:rsidR="00101E38">
        <w:t>n Law</w:t>
      </w:r>
      <w:r w:rsidR="0062504A">
        <w:t xml:space="preserve"> [in </w:t>
      </w:r>
      <w:r w:rsidR="00101E38">
        <w:t>Dutch</w:t>
      </w:r>
      <w:r w:rsidR="0062504A">
        <w:t xml:space="preserve">: </w:t>
      </w:r>
      <w:proofErr w:type="spellStart"/>
      <w:r w:rsidR="0062504A">
        <w:t>Pensio</w:t>
      </w:r>
      <w:r w:rsidR="00101E38">
        <w:t>enwet</w:t>
      </w:r>
      <w:proofErr w:type="spellEnd"/>
      <w:r w:rsidR="0062504A">
        <w:t>]</w:t>
      </w:r>
      <w:r w:rsidR="003223C5">
        <w:t xml:space="preserve"> article 1).</w:t>
      </w:r>
    </w:p>
    <w:p w:rsidR="00F63CB3" w:rsidRDefault="00F63CB3" w:rsidP="00FA1A8A">
      <w:pPr>
        <w:spacing w:line="360" w:lineRule="auto"/>
        <w:jc w:val="both"/>
      </w:pPr>
    </w:p>
    <w:p w:rsidR="00CC0955" w:rsidRDefault="0062504A" w:rsidP="00FA1A8A">
      <w:pPr>
        <w:spacing w:line="360" w:lineRule="auto"/>
        <w:jc w:val="both"/>
      </w:pPr>
      <w:r>
        <w:t>In article 1 of the Pensio</w:t>
      </w:r>
      <w:r w:rsidR="00101E38">
        <w:t>n Law</w:t>
      </w:r>
      <w:r>
        <w:t xml:space="preserve"> </w:t>
      </w:r>
      <w:r w:rsidR="00FC304D">
        <w:t xml:space="preserve">three </w:t>
      </w:r>
      <w:r w:rsidR="001063F4">
        <w:t xml:space="preserve">main </w:t>
      </w:r>
      <w:r w:rsidR="00FC304D">
        <w:t>types of pension funds are described.</w:t>
      </w:r>
      <w:r w:rsidR="0083350F">
        <w:t xml:space="preserve"> These three types are the </w:t>
      </w:r>
      <w:r w:rsidR="000C022C">
        <w:t>company</w:t>
      </w:r>
      <w:r w:rsidR="0083350F">
        <w:t xml:space="preserve"> pension fund (in Dutch: </w:t>
      </w:r>
      <w:proofErr w:type="spellStart"/>
      <w:r w:rsidR="0083350F">
        <w:t>ondernemingspensioenfonds</w:t>
      </w:r>
      <w:proofErr w:type="spellEnd"/>
      <w:r w:rsidR="0083350F">
        <w:t>), the</w:t>
      </w:r>
      <w:r w:rsidR="00FC304D">
        <w:t xml:space="preserve"> </w:t>
      </w:r>
      <w:r w:rsidR="00017FB9">
        <w:t>sector</w:t>
      </w:r>
      <w:r w:rsidR="0083350F">
        <w:t xml:space="preserve"> pension fund (in Dutch: </w:t>
      </w:r>
      <w:proofErr w:type="spellStart"/>
      <w:r w:rsidR="0083350F">
        <w:t>bedrijfstakpensioenfonds</w:t>
      </w:r>
      <w:proofErr w:type="spellEnd"/>
      <w:r w:rsidR="0083350F">
        <w:t xml:space="preserve">) and the compulsory </w:t>
      </w:r>
      <w:r w:rsidR="00017FB9">
        <w:t>sector</w:t>
      </w:r>
      <w:r w:rsidR="0083350F">
        <w:t xml:space="preserve"> pension fund</w:t>
      </w:r>
      <w:r w:rsidR="001063F4">
        <w:t xml:space="preserve"> (In Dutch: </w:t>
      </w:r>
      <w:proofErr w:type="spellStart"/>
      <w:r w:rsidR="001063F4">
        <w:t>verplichtgesteld</w:t>
      </w:r>
      <w:r w:rsidR="00E0432D">
        <w:t>e</w:t>
      </w:r>
      <w:proofErr w:type="spellEnd"/>
      <w:r w:rsidR="001063F4">
        <w:t xml:space="preserve"> </w:t>
      </w:r>
      <w:proofErr w:type="spellStart"/>
      <w:r w:rsidR="001063F4">
        <w:t>bedrijfstakpensioenfonds</w:t>
      </w:r>
      <w:proofErr w:type="spellEnd"/>
      <w:r w:rsidR="001063F4">
        <w:t>)</w:t>
      </w:r>
      <w:r w:rsidR="0083350F">
        <w:t>.</w:t>
      </w:r>
      <w:r w:rsidR="009C06A6">
        <w:t xml:space="preserve"> </w:t>
      </w:r>
      <w:r w:rsidR="001063F4">
        <w:t xml:space="preserve">The </w:t>
      </w:r>
      <w:r w:rsidR="000C022C">
        <w:t>company</w:t>
      </w:r>
      <w:r w:rsidR="001063F4">
        <w:t xml:space="preserve"> pension fund is a p</w:t>
      </w:r>
      <w:r w:rsidR="000C022C">
        <w:t>ension fund that is linked to a company</w:t>
      </w:r>
      <w:r w:rsidR="001063F4">
        <w:t xml:space="preserve"> or a group or a pension fund linked to </w:t>
      </w:r>
      <w:r w:rsidR="00FE33F6">
        <w:t xml:space="preserve">a number of </w:t>
      </w:r>
      <w:r w:rsidR="000C022C">
        <w:t>companies</w:t>
      </w:r>
      <w:r w:rsidR="00FE33F6">
        <w:t xml:space="preserve"> or groups by a merger of the pension funds that are linked to the </w:t>
      </w:r>
      <w:r w:rsidR="000C022C">
        <w:t>companies</w:t>
      </w:r>
      <w:r w:rsidR="00FE33F6">
        <w:t xml:space="preserve"> or groups.</w:t>
      </w:r>
      <w:r w:rsidR="00E32177">
        <w:t xml:space="preserve"> </w:t>
      </w:r>
      <w:r w:rsidR="00017FB9">
        <w:t>A sector</w:t>
      </w:r>
      <w:r w:rsidR="00FE33F6">
        <w:t xml:space="preserve"> pension fund is a pension fund for the benefit of </w:t>
      </w:r>
      <w:r w:rsidR="00830620">
        <w:t xml:space="preserve">one or more </w:t>
      </w:r>
      <w:r w:rsidR="00017FB9">
        <w:t>sectors or parts of a sector</w:t>
      </w:r>
      <w:r w:rsidR="00830620">
        <w:t xml:space="preserve">. A compulsory </w:t>
      </w:r>
      <w:r w:rsidR="00017FB9">
        <w:t>sector pension</w:t>
      </w:r>
      <w:r w:rsidR="00830620">
        <w:t xml:space="preserve"> fund is a </w:t>
      </w:r>
      <w:r w:rsidR="00017FB9">
        <w:t>sector</w:t>
      </w:r>
      <w:r w:rsidR="00F22016">
        <w:t xml:space="preserve"> pension fund in</w:t>
      </w:r>
      <w:r w:rsidR="00830620">
        <w:t xml:space="preserve"> which the </w:t>
      </w:r>
      <w:r w:rsidR="000C022C">
        <w:t>company</w:t>
      </w:r>
      <w:r w:rsidR="00830620">
        <w:t xml:space="preserve"> is obliged </w:t>
      </w:r>
      <w:r w:rsidR="005D4E4C">
        <w:t xml:space="preserve">to participate </w:t>
      </w:r>
      <w:r w:rsidR="00830620">
        <w:t>as described in article 2 of the Pension Law</w:t>
      </w:r>
      <w:r w:rsidR="00360EEA">
        <w:t>.</w:t>
      </w:r>
    </w:p>
    <w:p w:rsidR="003305BA" w:rsidRDefault="003305BA" w:rsidP="00FA1A8A">
      <w:pPr>
        <w:spacing w:line="360" w:lineRule="auto"/>
        <w:jc w:val="both"/>
      </w:pPr>
    </w:p>
    <w:p w:rsidR="003305BA" w:rsidRDefault="003305BA" w:rsidP="00FA1A8A">
      <w:pPr>
        <w:spacing w:line="360" w:lineRule="auto"/>
        <w:jc w:val="both"/>
      </w:pPr>
      <w:r>
        <w:t>The Dutch Central Bank distinguishes in addition to the three main</w:t>
      </w:r>
      <w:r w:rsidR="00B94D1D">
        <w:t xml:space="preserve"> types </w:t>
      </w:r>
      <w:r>
        <w:t xml:space="preserve">also occupational pension funds (in Dutch: </w:t>
      </w:r>
      <w:proofErr w:type="spellStart"/>
      <w:r>
        <w:t>beroepspensioenfondsen</w:t>
      </w:r>
      <w:proofErr w:type="spellEnd"/>
      <w:r>
        <w:t xml:space="preserve">). Occupational pension funds are pension funds that operate for certain professions (Article 1, Wet </w:t>
      </w:r>
      <w:proofErr w:type="spellStart"/>
      <w:r>
        <w:t>verplic</w:t>
      </w:r>
      <w:r w:rsidR="00B46425">
        <w:t>hte</w:t>
      </w:r>
      <w:proofErr w:type="spellEnd"/>
      <w:r w:rsidR="00B46425">
        <w:t xml:space="preserve"> </w:t>
      </w:r>
      <w:proofErr w:type="spellStart"/>
      <w:r w:rsidR="00B46425">
        <w:t>beroepspensioenregeling</w:t>
      </w:r>
      <w:proofErr w:type="spellEnd"/>
      <w:r w:rsidR="00B46425">
        <w:t xml:space="preserve">). Requirements to qualify as </w:t>
      </w:r>
      <w:r>
        <w:t xml:space="preserve">occupational pension fund are </w:t>
      </w:r>
      <w:r w:rsidR="00B46425">
        <w:t xml:space="preserve">also </w:t>
      </w:r>
      <w:r>
        <w:t>desc</w:t>
      </w:r>
      <w:r w:rsidR="00B46425">
        <w:t>ribed in the Pension Law</w:t>
      </w:r>
      <w:r>
        <w:t xml:space="preserve">. </w:t>
      </w:r>
    </w:p>
    <w:p w:rsidR="00CC0955" w:rsidRDefault="00CC0955" w:rsidP="00FA1A8A">
      <w:pPr>
        <w:spacing w:line="360" w:lineRule="auto"/>
        <w:jc w:val="both"/>
      </w:pPr>
    </w:p>
    <w:p w:rsidR="00CC0955" w:rsidRDefault="009C06A6" w:rsidP="00FA1A8A">
      <w:pPr>
        <w:spacing w:line="360" w:lineRule="auto"/>
        <w:jc w:val="both"/>
      </w:pPr>
      <w:r>
        <w:t>The number of pension funds in t</w:t>
      </w:r>
      <w:r w:rsidR="00CC0955">
        <w:t>he Netherlands has decreased considerably during the past deca</w:t>
      </w:r>
      <w:r>
        <w:t>de, as depicted in appendix 2</w:t>
      </w:r>
      <w:r w:rsidR="00CC0955">
        <w:t xml:space="preserve"> (DNB, </w:t>
      </w:r>
      <w:r>
        <w:t>2012). On 31 December 2002, in t</w:t>
      </w:r>
      <w:r w:rsidR="00CC0955">
        <w:t>he Netherlands, 926 pension funds had been registered</w:t>
      </w:r>
      <w:r w:rsidR="00F22016">
        <w:t>, this</w:t>
      </w:r>
      <w:r w:rsidR="00CC0955">
        <w:t xml:space="preserve"> number </w:t>
      </w:r>
      <w:r w:rsidR="00F22016">
        <w:t xml:space="preserve">has </w:t>
      </w:r>
      <w:r w:rsidR="00CC0955">
        <w:t>decreased to 454 on 31 December 201</w:t>
      </w:r>
      <w:r w:rsidR="00501713">
        <w:t>1</w:t>
      </w:r>
      <w:r w:rsidR="00CC0955">
        <w:t xml:space="preserve">. </w:t>
      </w:r>
      <w:proofErr w:type="spellStart"/>
      <w:r w:rsidR="00CC0955">
        <w:t>Blokzijl</w:t>
      </w:r>
      <w:proofErr w:type="spellEnd"/>
      <w:r w:rsidR="00CC0955">
        <w:t xml:space="preserve"> and </w:t>
      </w:r>
      <w:r w:rsidR="00CC0955" w:rsidRPr="00C83913">
        <w:t>Slob (2012)</w:t>
      </w:r>
      <w:r w:rsidR="00CC0955">
        <w:t xml:space="preserve"> describe two main arguments for the decline in number of Dutch pension funds, cost efficiency and a stronger interpretation of governance by the management of the pension funds</w:t>
      </w:r>
      <w:r w:rsidR="00DC07C1">
        <w:t>.</w:t>
      </w:r>
      <w:r w:rsidR="00836561">
        <w:t xml:space="preserve"> </w:t>
      </w:r>
    </w:p>
    <w:p w:rsidR="002C44DE" w:rsidRDefault="002C44DE" w:rsidP="00FA1A8A">
      <w:pPr>
        <w:spacing w:line="360" w:lineRule="auto"/>
        <w:jc w:val="both"/>
      </w:pPr>
    </w:p>
    <w:p w:rsidR="002C44DE" w:rsidRDefault="002C44DE" w:rsidP="00FA1A8A">
      <w:pPr>
        <w:spacing w:line="360" w:lineRule="auto"/>
        <w:jc w:val="both"/>
      </w:pPr>
      <w:r>
        <w:t>An important part of the Dutch citizens is participant of a pension fund. Statistics Ne</w:t>
      </w:r>
      <w:r w:rsidR="00AD73C3">
        <w:t>therlands (2012) estimated 5.735</w:t>
      </w:r>
      <w:r>
        <w:t xml:space="preserve">.000 active participants of Dutch </w:t>
      </w:r>
      <w:r w:rsidR="00AD73C3">
        <w:t>pension funds as per end of 2011</w:t>
      </w:r>
      <w:r>
        <w:t>. Statistics Netherlands considers participants active when these participants pay their premium at the end of the year and Statistics Netherlands estimated the number of former participants as per end of 201</w:t>
      </w:r>
      <w:r w:rsidR="00AD73C3">
        <w:t>1 at 8.714</w:t>
      </w:r>
      <w:r>
        <w:t>.000. These participants have paid their premiums in the past and are non-contributory entitled to a p</w:t>
      </w:r>
      <w:r w:rsidR="009C06A6">
        <w:t>ension in the future. Appendix 3</w:t>
      </w:r>
      <w:r>
        <w:t xml:space="preserve"> depicts an overview of </w:t>
      </w:r>
      <w:proofErr w:type="spellStart"/>
      <w:r>
        <w:t>Statline</w:t>
      </w:r>
      <w:proofErr w:type="spellEnd"/>
      <w:r>
        <w:t>, in Dutch CBS. The appendix indicates that the investments of the Dutch pension funds amount to over 800 billion euro as per end of 2011.</w:t>
      </w:r>
    </w:p>
    <w:p w:rsidR="003E72AB" w:rsidRDefault="003E72AB" w:rsidP="00FA1A8A">
      <w:pPr>
        <w:spacing w:line="360" w:lineRule="auto"/>
        <w:jc w:val="both"/>
      </w:pPr>
    </w:p>
    <w:bookmarkEnd w:id="22"/>
    <w:bookmarkEnd w:id="23"/>
    <w:bookmarkEnd w:id="24"/>
    <w:p w:rsidR="00926DB2" w:rsidRPr="00EB3316" w:rsidRDefault="00771884" w:rsidP="00EB3316">
      <w:pPr>
        <w:spacing w:line="360" w:lineRule="auto"/>
        <w:rPr>
          <w:b/>
          <w:lang w:val="en-US"/>
        </w:rPr>
      </w:pPr>
      <w:r w:rsidRPr="00EB3316">
        <w:rPr>
          <w:b/>
          <w:lang w:val="en-US"/>
        </w:rPr>
        <w:t xml:space="preserve">Report </w:t>
      </w:r>
      <w:r w:rsidR="00535AD3" w:rsidRPr="00EB3316">
        <w:rPr>
          <w:b/>
          <w:lang w:val="en-US"/>
        </w:rPr>
        <w:t xml:space="preserve">Commission </w:t>
      </w:r>
      <w:proofErr w:type="spellStart"/>
      <w:r w:rsidR="00535AD3" w:rsidRPr="00EB3316">
        <w:rPr>
          <w:b/>
          <w:lang w:val="en-US"/>
        </w:rPr>
        <w:t>Frijns</w:t>
      </w:r>
      <w:proofErr w:type="spellEnd"/>
    </w:p>
    <w:p w:rsidR="002D32E0" w:rsidRDefault="008844B3" w:rsidP="00FA1A8A">
      <w:pPr>
        <w:autoSpaceDE w:val="0"/>
        <w:autoSpaceDN w:val="0"/>
        <w:adjustRightInd w:val="0"/>
        <w:spacing w:line="360" w:lineRule="auto"/>
        <w:jc w:val="both"/>
      </w:pPr>
      <w:r>
        <w:rPr>
          <w:lang w:val="en-US"/>
        </w:rPr>
        <w:t>T</w:t>
      </w:r>
      <w:r w:rsidR="0086482A">
        <w:t xml:space="preserve">he </w:t>
      </w:r>
      <w:r w:rsidR="003503B4">
        <w:t>Commission</w:t>
      </w:r>
      <w:r w:rsidR="0086482A" w:rsidRPr="00571858">
        <w:t xml:space="preserve"> </w:t>
      </w:r>
      <w:proofErr w:type="spellStart"/>
      <w:r w:rsidR="0086482A">
        <w:t>Frijns</w:t>
      </w:r>
      <w:proofErr w:type="spellEnd"/>
      <w:r w:rsidR="0086482A">
        <w:t xml:space="preserve"> </w:t>
      </w:r>
      <w:r w:rsidR="005D0BAF">
        <w:t xml:space="preserve">(2010) </w:t>
      </w:r>
      <w:r>
        <w:t xml:space="preserve">analyses in her report </w:t>
      </w:r>
      <w:r w:rsidR="0086482A" w:rsidRPr="00571858">
        <w:t>the future development</w:t>
      </w:r>
      <w:r w:rsidR="0086482A">
        <w:t>s</w:t>
      </w:r>
      <w:r w:rsidR="0086482A" w:rsidRPr="00571858">
        <w:t xml:space="preserve"> of</w:t>
      </w:r>
      <w:r w:rsidR="0086482A">
        <w:t xml:space="preserve"> </w:t>
      </w:r>
      <w:r w:rsidR="0086482A" w:rsidRPr="00571858">
        <w:t>occupation</w:t>
      </w:r>
      <w:r w:rsidR="003503B4">
        <w:t>al pensions</w:t>
      </w:r>
      <w:r>
        <w:t xml:space="preserve">. </w:t>
      </w:r>
      <w:r w:rsidR="00991229">
        <w:t xml:space="preserve">The commission </w:t>
      </w:r>
      <w:proofErr w:type="spellStart"/>
      <w:r w:rsidR="003503B4">
        <w:t>Frijns</w:t>
      </w:r>
      <w:proofErr w:type="spellEnd"/>
      <w:r w:rsidR="003503B4">
        <w:t xml:space="preserve"> </w:t>
      </w:r>
      <w:r w:rsidR="005D0BAF">
        <w:t xml:space="preserve">(2010) </w:t>
      </w:r>
      <w:r>
        <w:t>states</w:t>
      </w:r>
      <w:r w:rsidR="000A4897">
        <w:t xml:space="preserve"> that the pension sector is heterog</w:t>
      </w:r>
      <w:r>
        <w:t>eneous and becomes more</w:t>
      </w:r>
      <w:r w:rsidR="000A4897">
        <w:t xml:space="preserve"> complex. Due to the </w:t>
      </w:r>
      <w:r w:rsidR="00D148B4">
        <w:t xml:space="preserve">declining birth rates and </w:t>
      </w:r>
      <w:r w:rsidR="000222E2">
        <w:t>the proportional increase of the ageing population</w:t>
      </w:r>
      <w:r w:rsidR="000A4897">
        <w:t>, pension funds become more vuln</w:t>
      </w:r>
      <w:r w:rsidR="00160C97">
        <w:t>erable (</w:t>
      </w:r>
      <w:proofErr w:type="spellStart"/>
      <w:r w:rsidR="00160C97">
        <w:t>Frijns</w:t>
      </w:r>
      <w:proofErr w:type="spellEnd"/>
      <w:r w:rsidR="00160C97">
        <w:t xml:space="preserve"> et al. (2010)).</w:t>
      </w:r>
    </w:p>
    <w:p w:rsidR="00D2427B" w:rsidRDefault="002D32E0" w:rsidP="00FA1A8A">
      <w:pPr>
        <w:autoSpaceDE w:val="0"/>
        <w:autoSpaceDN w:val="0"/>
        <w:adjustRightInd w:val="0"/>
        <w:spacing w:line="360" w:lineRule="auto"/>
        <w:jc w:val="both"/>
      </w:pPr>
      <w:r>
        <w:t>According to the research of this commission, the risk profile of D</w:t>
      </w:r>
      <w:r w:rsidR="00F22016">
        <w:t>utch pension funds has changed</w:t>
      </w:r>
      <w:r>
        <w:t xml:space="preserve"> considerably. Pension funds have become more and more dependent on financial markets. Pension funds </w:t>
      </w:r>
      <w:r w:rsidR="007A7A1A">
        <w:t>invest</w:t>
      </w:r>
      <w:r>
        <w:t xml:space="preserve"> increasingly in </w:t>
      </w:r>
      <w:r w:rsidR="00E135FF">
        <w:t xml:space="preserve">financial products such as </w:t>
      </w:r>
      <w:r w:rsidR="00CB3604">
        <w:t>shares</w:t>
      </w:r>
      <w:r>
        <w:t>, real estate and alternative investments</w:t>
      </w:r>
      <w:r w:rsidR="008844B3">
        <w:t xml:space="preserve"> in which investing is, in general, </w:t>
      </w:r>
      <w:r w:rsidR="00E135FF">
        <w:t xml:space="preserve">riskier than for example investing in government bonds of countries with a high credit rating. </w:t>
      </w:r>
      <w:r>
        <w:t>Th</w:t>
      </w:r>
      <w:r w:rsidR="00E135FF">
        <w:t>e tendency of Dutch pension funds to invest with more risk</w:t>
      </w:r>
      <w:r>
        <w:t xml:space="preserve"> has been partially caused by the </w:t>
      </w:r>
      <w:r w:rsidR="007A7A1A">
        <w:t>necessity</w:t>
      </w:r>
      <w:r w:rsidR="00D2427B">
        <w:t xml:space="preserve"> </w:t>
      </w:r>
      <w:r w:rsidR="00BB7E60">
        <w:t xml:space="preserve">to increase their yield, </w:t>
      </w:r>
      <w:r w:rsidR="00D2427B">
        <w:t>to keep the pension costs low (</w:t>
      </w:r>
      <w:proofErr w:type="spellStart"/>
      <w:r w:rsidR="00D2427B">
        <w:t>Frijns</w:t>
      </w:r>
      <w:proofErr w:type="spellEnd"/>
      <w:r w:rsidR="00D2427B">
        <w:t xml:space="preserve"> et al. 2010). </w:t>
      </w:r>
      <w:proofErr w:type="spellStart"/>
      <w:r w:rsidR="00D2427B">
        <w:t>Frijns</w:t>
      </w:r>
      <w:proofErr w:type="spellEnd"/>
      <w:r w:rsidR="00D2427B">
        <w:t xml:space="preserve"> et al. (2010) </w:t>
      </w:r>
      <w:r w:rsidR="00BB7E60">
        <w:t xml:space="preserve">emphasize </w:t>
      </w:r>
      <w:r w:rsidR="00D2427B">
        <w:t>that in times of crisis, the increased risk profile may</w:t>
      </w:r>
      <w:r w:rsidR="00C421F7">
        <w:t xml:space="preserve"> lead to considerable decreases of the funding ratio (the ratio of market value of assets to liabilities) </w:t>
      </w:r>
      <w:r w:rsidR="007D6724">
        <w:t>of pension funds.</w:t>
      </w:r>
    </w:p>
    <w:p w:rsidR="002D32E0" w:rsidRDefault="002D32E0" w:rsidP="00FA1A8A">
      <w:pPr>
        <w:autoSpaceDE w:val="0"/>
        <w:autoSpaceDN w:val="0"/>
        <w:adjustRightInd w:val="0"/>
        <w:spacing w:line="360" w:lineRule="auto"/>
        <w:jc w:val="both"/>
      </w:pPr>
    </w:p>
    <w:p w:rsidR="00D93BD6" w:rsidRPr="00D61C43" w:rsidRDefault="00603BDC" w:rsidP="00FA1A8A">
      <w:pPr>
        <w:autoSpaceDE w:val="0"/>
        <w:autoSpaceDN w:val="0"/>
        <w:adjustRightInd w:val="0"/>
        <w:spacing w:line="360" w:lineRule="auto"/>
        <w:jc w:val="both"/>
        <w:rPr>
          <w:lang w:val="en-US"/>
        </w:rPr>
      </w:pPr>
      <w:r>
        <w:t xml:space="preserve">The Commission </w:t>
      </w:r>
      <w:proofErr w:type="spellStart"/>
      <w:r>
        <w:t>Frijns</w:t>
      </w:r>
      <w:proofErr w:type="spellEnd"/>
      <w:r>
        <w:t xml:space="preserve"> </w:t>
      </w:r>
      <w:r w:rsidR="000255B5">
        <w:t xml:space="preserve">(2010) </w:t>
      </w:r>
      <w:r>
        <w:t xml:space="preserve">concluded also that </w:t>
      </w:r>
      <w:r w:rsidR="000A4897">
        <w:t xml:space="preserve">pension funds have </w:t>
      </w:r>
      <w:r w:rsidR="009F5AB8">
        <w:t xml:space="preserve">structurally too little attention for </w:t>
      </w:r>
      <w:r w:rsidR="00CE49CC">
        <w:t>risk management a</w:t>
      </w:r>
      <w:r w:rsidR="009F5AB8">
        <w:t>n</w:t>
      </w:r>
      <w:r w:rsidR="00CE49CC">
        <w:t>d</w:t>
      </w:r>
      <w:r w:rsidR="009F5AB8">
        <w:t xml:space="preserve"> the </w:t>
      </w:r>
      <w:r w:rsidR="00160C97">
        <w:t>implementation of an</w:t>
      </w:r>
      <w:r w:rsidR="00CE49CC">
        <w:t xml:space="preserve"> investment policy</w:t>
      </w:r>
      <w:r>
        <w:t xml:space="preserve">. </w:t>
      </w:r>
      <w:r w:rsidR="00F22016">
        <w:rPr>
          <w:lang w:val="en-US"/>
        </w:rPr>
        <w:t>Regarding</w:t>
      </w:r>
      <w:r w:rsidR="00D93BD6" w:rsidRPr="00452106">
        <w:rPr>
          <w:lang w:val="en-US"/>
        </w:rPr>
        <w:t xml:space="preserve"> the relation between the size of the Dutch pension funds and risk management, the Commission </w:t>
      </w:r>
      <w:proofErr w:type="spellStart"/>
      <w:r w:rsidR="00D93BD6" w:rsidRPr="00452106">
        <w:rPr>
          <w:lang w:val="en-US"/>
        </w:rPr>
        <w:t>Frijns</w:t>
      </w:r>
      <w:proofErr w:type="spellEnd"/>
      <w:r w:rsidR="00D93BD6" w:rsidRPr="00452106">
        <w:rPr>
          <w:lang w:val="en-US"/>
        </w:rPr>
        <w:t xml:space="preserve"> </w:t>
      </w:r>
      <w:r w:rsidR="000255B5">
        <w:rPr>
          <w:lang w:val="en-US"/>
        </w:rPr>
        <w:t xml:space="preserve">(2010) </w:t>
      </w:r>
      <w:r w:rsidR="00D93BD6" w:rsidRPr="00452106">
        <w:rPr>
          <w:lang w:val="en-US"/>
        </w:rPr>
        <w:t>describes that there is no clear information available.</w:t>
      </w:r>
      <w:r w:rsidR="00452106">
        <w:rPr>
          <w:lang w:val="en-US"/>
        </w:rPr>
        <w:t xml:space="preserve"> </w:t>
      </w:r>
      <w:r w:rsidR="00452106" w:rsidRPr="00452106">
        <w:rPr>
          <w:lang w:val="en-US"/>
        </w:rPr>
        <w:t xml:space="preserve">The Commission continues that </w:t>
      </w:r>
      <w:r w:rsidR="00F22016">
        <w:rPr>
          <w:lang w:val="en-US"/>
        </w:rPr>
        <w:t>above mentioned challenges</w:t>
      </w:r>
      <w:r w:rsidR="00452106" w:rsidRPr="00452106">
        <w:rPr>
          <w:lang w:val="en-US"/>
        </w:rPr>
        <w:t xml:space="preserve"> will set high standards to the </w:t>
      </w:r>
      <w:r w:rsidR="00452106">
        <w:rPr>
          <w:lang w:val="en-US"/>
        </w:rPr>
        <w:t>Board of Directors and that given the large amount of Dutch pension funds</w:t>
      </w:r>
      <w:r w:rsidR="008844B3">
        <w:rPr>
          <w:lang w:val="en-US"/>
        </w:rPr>
        <w:t>,</w:t>
      </w:r>
      <w:r w:rsidR="00452106">
        <w:rPr>
          <w:lang w:val="en-US"/>
        </w:rPr>
        <w:t xml:space="preserve"> one may questions if these standards will be fulfilled. </w:t>
      </w:r>
      <w:r w:rsidR="00452106" w:rsidRPr="00452106">
        <w:rPr>
          <w:lang w:val="en-US"/>
        </w:rPr>
        <w:t xml:space="preserve">According to the Commission </w:t>
      </w:r>
      <w:proofErr w:type="spellStart"/>
      <w:r w:rsidR="00452106" w:rsidRPr="00452106">
        <w:rPr>
          <w:lang w:val="en-US"/>
        </w:rPr>
        <w:t>Frijns</w:t>
      </w:r>
      <w:proofErr w:type="spellEnd"/>
      <w:r w:rsidR="00452106" w:rsidRPr="00452106">
        <w:rPr>
          <w:lang w:val="en-US"/>
        </w:rPr>
        <w:t>, further consolidation o</w:t>
      </w:r>
      <w:r w:rsidR="008478DD">
        <w:rPr>
          <w:lang w:val="en-US"/>
        </w:rPr>
        <w:t>f pension funds can be expected</w:t>
      </w:r>
      <w:r w:rsidR="00452106">
        <w:rPr>
          <w:lang w:val="en-US"/>
        </w:rPr>
        <w:t xml:space="preserve">, </w:t>
      </w:r>
      <w:r w:rsidR="008844B3">
        <w:rPr>
          <w:lang w:val="en-US"/>
        </w:rPr>
        <w:t xml:space="preserve">as already </w:t>
      </w:r>
      <w:r w:rsidR="00452106">
        <w:rPr>
          <w:lang w:val="en-US"/>
        </w:rPr>
        <w:t xml:space="preserve">described </w:t>
      </w:r>
      <w:r w:rsidR="00D61C43">
        <w:rPr>
          <w:lang w:val="en-US"/>
        </w:rPr>
        <w:t xml:space="preserve">in this chapter </w:t>
      </w:r>
      <w:r w:rsidR="00452106">
        <w:rPr>
          <w:lang w:val="en-US"/>
        </w:rPr>
        <w:t xml:space="preserve">and depicted in appendix </w:t>
      </w:r>
      <w:r w:rsidR="008478DD">
        <w:rPr>
          <w:lang w:val="en-US"/>
        </w:rPr>
        <w:t>2</w:t>
      </w:r>
      <w:r w:rsidR="00452106">
        <w:rPr>
          <w:lang w:val="en-US"/>
        </w:rPr>
        <w:t>.</w:t>
      </w:r>
    </w:p>
    <w:p w:rsidR="0086482A" w:rsidRPr="00BF57EE" w:rsidRDefault="0086482A" w:rsidP="00FA1A8A">
      <w:pPr>
        <w:autoSpaceDE w:val="0"/>
        <w:autoSpaceDN w:val="0"/>
        <w:adjustRightInd w:val="0"/>
        <w:spacing w:line="360" w:lineRule="auto"/>
        <w:jc w:val="both"/>
        <w:rPr>
          <w:lang w:val="en-US"/>
        </w:rPr>
      </w:pPr>
    </w:p>
    <w:p w:rsidR="00535AD3" w:rsidRPr="00CE4566" w:rsidRDefault="00270975" w:rsidP="00EB3316">
      <w:pPr>
        <w:spacing w:line="360" w:lineRule="auto"/>
        <w:rPr>
          <w:b/>
          <w:lang w:val="en-US"/>
        </w:rPr>
      </w:pPr>
      <w:r w:rsidRPr="00CE4566">
        <w:rPr>
          <w:b/>
          <w:lang w:val="en-US"/>
        </w:rPr>
        <w:t xml:space="preserve">Report Commission </w:t>
      </w:r>
      <w:proofErr w:type="spellStart"/>
      <w:r w:rsidRPr="00CE4566">
        <w:rPr>
          <w:b/>
          <w:lang w:val="en-US"/>
        </w:rPr>
        <w:t>Goudswaard</w:t>
      </w:r>
      <w:proofErr w:type="spellEnd"/>
    </w:p>
    <w:p w:rsidR="00A4694E" w:rsidRDefault="0010359C" w:rsidP="00FA1A8A">
      <w:pPr>
        <w:autoSpaceDE w:val="0"/>
        <w:autoSpaceDN w:val="0"/>
        <w:adjustRightInd w:val="0"/>
        <w:spacing w:line="360" w:lineRule="auto"/>
        <w:jc w:val="both"/>
        <w:rPr>
          <w:lang w:val="en-US"/>
        </w:rPr>
      </w:pPr>
      <w:r w:rsidRPr="00DA06CA">
        <w:rPr>
          <w:lang w:val="en-US"/>
        </w:rPr>
        <w:t xml:space="preserve">The Commission </w:t>
      </w:r>
      <w:proofErr w:type="spellStart"/>
      <w:r w:rsidR="006E6168" w:rsidRPr="00DA06CA">
        <w:rPr>
          <w:lang w:val="en-US"/>
        </w:rPr>
        <w:t>Goudswaard</w:t>
      </w:r>
      <w:proofErr w:type="spellEnd"/>
      <w:r w:rsidR="006E6168" w:rsidRPr="00DA06CA">
        <w:rPr>
          <w:lang w:val="en-US"/>
        </w:rPr>
        <w:t xml:space="preserve"> (2010) </w:t>
      </w:r>
      <w:r w:rsidR="006615AB" w:rsidRPr="00DA06CA">
        <w:rPr>
          <w:lang w:val="en-US"/>
        </w:rPr>
        <w:t>states that the participants of D</w:t>
      </w:r>
      <w:r w:rsidR="00973B50" w:rsidRPr="00DA06CA">
        <w:rPr>
          <w:lang w:val="en-US"/>
        </w:rPr>
        <w:t>utch pension funds</w:t>
      </w:r>
      <w:r w:rsidR="006615AB" w:rsidRPr="00DA06CA">
        <w:rPr>
          <w:lang w:val="en-US"/>
        </w:rPr>
        <w:t xml:space="preserve"> </w:t>
      </w:r>
      <w:r w:rsidR="00AD7AD0" w:rsidRPr="00DA06CA">
        <w:rPr>
          <w:lang w:val="en-US"/>
        </w:rPr>
        <w:t>have</w:t>
      </w:r>
      <w:r w:rsidR="006615AB" w:rsidRPr="00DA06CA">
        <w:rPr>
          <w:lang w:val="en-US"/>
        </w:rPr>
        <w:t xml:space="preserve"> increasingly </w:t>
      </w:r>
      <w:r w:rsidR="00AD7AD0" w:rsidRPr="00DA06CA">
        <w:rPr>
          <w:lang w:val="en-US"/>
        </w:rPr>
        <w:t xml:space="preserve">been </w:t>
      </w:r>
      <w:r w:rsidR="006615AB" w:rsidRPr="00DA06CA">
        <w:rPr>
          <w:lang w:val="en-US"/>
        </w:rPr>
        <w:t>exposed to risks.</w:t>
      </w:r>
      <w:r w:rsidR="00AD7AD0" w:rsidRPr="00DA06CA">
        <w:rPr>
          <w:lang w:val="en-US"/>
        </w:rPr>
        <w:t xml:space="preserve"> Financial setbacks </w:t>
      </w:r>
      <w:r w:rsidR="00173318" w:rsidRPr="00DA06CA">
        <w:rPr>
          <w:lang w:val="en-US"/>
        </w:rPr>
        <w:t xml:space="preserve">have an impact on the pension of the participants. The Commission </w:t>
      </w:r>
      <w:proofErr w:type="spellStart"/>
      <w:r w:rsidR="00173318" w:rsidRPr="00DA06CA">
        <w:rPr>
          <w:lang w:val="en-US"/>
        </w:rPr>
        <w:t>Goudswaard</w:t>
      </w:r>
      <w:proofErr w:type="spellEnd"/>
      <w:r w:rsidR="00173318" w:rsidRPr="00DA06CA">
        <w:rPr>
          <w:lang w:val="en-US"/>
        </w:rPr>
        <w:t xml:space="preserve"> </w:t>
      </w:r>
      <w:r w:rsidR="008844B3">
        <w:rPr>
          <w:lang w:val="en-US"/>
        </w:rPr>
        <w:t xml:space="preserve">(2010) </w:t>
      </w:r>
      <w:r w:rsidR="005F2A48" w:rsidRPr="00DA06CA">
        <w:rPr>
          <w:lang w:val="en-US"/>
        </w:rPr>
        <w:t xml:space="preserve">describes that the </w:t>
      </w:r>
      <w:r w:rsidR="00EC775E" w:rsidRPr="00DA06CA">
        <w:rPr>
          <w:lang w:val="en-US"/>
        </w:rPr>
        <w:t>trust of the participants in the</w:t>
      </w:r>
      <w:r w:rsidR="00DA06CA">
        <w:rPr>
          <w:lang w:val="en-US"/>
        </w:rPr>
        <w:t>ir</w:t>
      </w:r>
      <w:r w:rsidR="00EC775E" w:rsidRPr="00DA06CA">
        <w:rPr>
          <w:lang w:val="en-US"/>
        </w:rPr>
        <w:t xml:space="preserve"> pension funds </w:t>
      </w:r>
      <w:r w:rsidR="00DA06CA">
        <w:rPr>
          <w:lang w:val="en-US"/>
        </w:rPr>
        <w:t xml:space="preserve">and thereby the pension scheme </w:t>
      </w:r>
      <w:r w:rsidR="00EC775E" w:rsidRPr="00DA06CA">
        <w:rPr>
          <w:lang w:val="en-US"/>
        </w:rPr>
        <w:t>is under pressure</w:t>
      </w:r>
      <w:r w:rsidR="003B6A03">
        <w:rPr>
          <w:lang w:val="en-US"/>
        </w:rPr>
        <w:t xml:space="preserve">. </w:t>
      </w:r>
    </w:p>
    <w:p w:rsidR="00A4694E" w:rsidRDefault="00A4694E" w:rsidP="00FA1A8A">
      <w:pPr>
        <w:autoSpaceDE w:val="0"/>
        <w:autoSpaceDN w:val="0"/>
        <w:adjustRightInd w:val="0"/>
        <w:spacing w:line="360" w:lineRule="auto"/>
        <w:jc w:val="both"/>
        <w:rPr>
          <w:lang w:val="en-US"/>
        </w:rPr>
      </w:pPr>
    </w:p>
    <w:p w:rsidR="00DB403A" w:rsidRPr="006615AB" w:rsidRDefault="003B6A03" w:rsidP="00FA1A8A">
      <w:pPr>
        <w:autoSpaceDE w:val="0"/>
        <w:autoSpaceDN w:val="0"/>
        <w:adjustRightInd w:val="0"/>
        <w:spacing w:line="360" w:lineRule="auto"/>
        <w:jc w:val="both"/>
        <w:rPr>
          <w:highlight w:val="yellow"/>
          <w:lang w:val="en-US"/>
        </w:rPr>
      </w:pPr>
      <w:r>
        <w:rPr>
          <w:lang w:val="en-US"/>
        </w:rPr>
        <w:t xml:space="preserve">The Commission </w:t>
      </w:r>
      <w:proofErr w:type="spellStart"/>
      <w:r w:rsidR="00A4694E">
        <w:rPr>
          <w:lang w:val="en-US"/>
        </w:rPr>
        <w:t>Goudswaard</w:t>
      </w:r>
      <w:proofErr w:type="spellEnd"/>
      <w:r w:rsidR="00A4694E">
        <w:rPr>
          <w:lang w:val="en-US"/>
        </w:rPr>
        <w:t xml:space="preserve"> (2010) </w:t>
      </w:r>
      <w:r>
        <w:rPr>
          <w:lang w:val="en-US"/>
        </w:rPr>
        <w:t xml:space="preserve">states that it will be hard to further increase the pension premiums. Solutions are further reduction of pension ambitions, changes in risk management or a combination of both. </w:t>
      </w:r>
      <w:r w:rsidR="00A4694E">
        <w:rPr>
          <w:lang w:val="en-US"/>
        </w:rPr>
        <w:t xml:space="preserve">The Commission </w:t>
      </w:r>
      <w:proofErr w:type="spellStart"/>
      <w:r w:rsidR="00A4694E">
        <w:rPr>
          <w:lang w:val="en-US"/>
        </w:rPr>
        <w:t>Goudswaard</w:t>
      </w:r>
      <w:proofErr w:type="spellEnd"/>
      <w:r w:rsidR="00A4694E">
        <w:rPr>
          <w:lang w:val="en-US"/>
        </w:rPr>
        <w:t xml:space="preserve"> (2010) states that these solutions require</w:t>
      </w:r>
      <w:r w:rsidR="00474C21">
        <w:rPr>
          <w:lang w:val="en-US"/>
        </w:rPr>
        <w:t xml:space="preserve"> pervasive and transparent communication. According to the Commission </w:t>
      </w:r>
      <w:proofErr w:type="spellStart"/>
      <w:r w:rsidR="00474C21">
        <w:rPr>
          <w:lang w:val="en-US"/>
        </w:rPr>
        <w:t>Goudswaard</w:t>
      </w:r>
      <w:proofErr w:type="spellEnd"/>
      <w:r w:rsidR="00474C21">
        <w:rPr>
          <w:lang w:val="en-US"/>
        </w:rPr>
        <w:t xml:space="preserve"> (2010), the participants have to be inquired as clear and comprehensible as possible about the expected purchasing power of the pension rights and the associated uncertainties.</w:t>
      </w:r>
      <w:r w:rsidR="00FC5279">
        <w:rPr>
          <w:lang w:val="en-US"/>
        </w:rPr>
        <w:t xml:space="preserve"> The </w:t>
      </w:r>
      <w:r w:rsidR="006B726C">
        <w:rPr>
          <w:lang w:val="en-US"/>
        </w:rPr>
        <w:t>financial statements</w:t>
      </w:r>
      <w:r w:rsidR="00FC5279">
        <w:rPr>
          <w:lang w:val="en-US"/>
        </w:rPr>
        <w:t xml:space="preserve"> of the pension funds could play an important role in this.</w:t>
      </w:r>
    </w:p>
    <w:p w:rsidR="001E23AD" w:rsidRDefault="001E23AD" w:rsidP="001E23AD">
      <w:pPr>
        <w:pStyle w:val="Kop2"/>
        <w:numPr>
          <w:ilvl w:val="0"/>
          <w:numId w:val="0"/>
        </w:numPr>
        <w:spacing w:line="360" w:lineRule="auto"/>
        <w:ind w:left="576" w:hanging="576"/>
        <w:jc w:val="both"/>
      </w:pPr>
      <w:bookmarkStart w:id="25" w:name="_Toc251228824"/>
      <w:bookmarkStart w:id="26" w:name="_Toc355387280"/>
      <w:r>
        <w:rPr>
          <w:rFonts w:ascii="Times New Roman" w:hAnsi="Times New Roman" w:cs="Times New Roman"/>
          <w:i w:val="0"/>
          <w:iCs w:val="0"/>
          <w:sz w:val="24"/>
          <w:szCs w:val="24"/>
        </w:rPr>
        <w:t>2</w:t>
      </w:r>
      <w:r w:rsidRPr="009F6B24">
        <w:rPr>
          <w:rFonts w:ascii="Times New Roman" w:hAnsi="Times New Roman" w:cs="Times New Roman"/>
          <w:i w:val="0"/>
          <w:iCs w:val="0"/>
          <w:sz w:val="24"/>
          <w:szCs w:val="24"/>
        </w:rPr>
        <w:t>.</w:t>
      </w:r>
      <w:bookmarkEnd w:id="25"/>
      <w:r w:rsidR="005A7377">
        <w:rPr>
          <w:rFonts w:ascii="Times New Roman" w:hAnsi="Times New Roman" w:cs="Times New Roman"/>
          <w:i w:val="0"/>
          <w:iCs w:val="0"/>
          <w:sz w:val="24"/>
          <w:szCs w:val="24"/>
        </w:rPr>
        <w:t>3</w:t>
      </w:r>
      <w:r>
        <w:rPr>
          <w:rFonts w:ascii="Times New Roman" w:hAnsi="Times New Roman" w:cs="Times New Roman"/>
          <w:i w:val="0"/>
          <w:iCs w:val="0"/>
          <w:sz w:val="24"/>
          <w:szCs w:val="24"/>
        </w:rPr>
        <w:tab/>
        <w:t>Financial crisis</w:t>
      </w:r>
      <w:bookmarkEnd w:id="26"/>
    </w:p>
    <w:p w:rsidR="001E23AD" w:rsidRPr="00987FAA" w:rsidRDefault="0078717E" w:rsidP="00FA1A8A">
      <w:pPr>
        <w:spacing w:line="360" w:lineRule="auto"/>
        <w:jc w:val="both"/>
        <w:rPr>
          <w:bCs/>
        </w:rPr>
      </w:pPr>
      <w:bookmarkStart w:id="27" w:name="_Toc267323019"/>
      <w:r>
        <w:rPr>
          <w:bCs/>
        </w:rPr>
        <w:t>There are several definitions with regard to financial crisis</w:t>
      </w:r>
      <w:r w:rsidR="00862BAE">
        <w:rPr>
          <w:bCs/>
        </w:rPr>
        <w:t xml:space="preserve">. </w:t>
      </w:r>
      <w:proofErr w:type="spellStart"/>
      <w:r w:rsidR="001E23AD">
        <w:rPr>
          <w:bCs/>
        </w:rPr>
        <w:t>Mishkin</w:t>
      </w:r>
      <w:proofErr w:type="spellEnd"/>
      <w:r w:rsidR="001E23AD">
        <w:rPr>
          <w:bCs/>
        </w:rPr>
        <w:t xml:space="preserve"> (1991) </w:t>
      </w:r>
      <w:r>
        <w:rPr>
          <w:bCs/>
        </w:rPr>
        <w:t xml:space="preserve">defines a financial crisis </w:t>
      </w:r>
      <w:r w:rsidR="001E23AD">
        <w:rPr>
          <w:bCs/>
        </w:rPr>
        <w:t>as</w:t>
      </w:r>
      <w:r w:rsidR="00FA0F87">
        <w:rPr>
          <w:bCs/>
        </w:rPr>
        <w:t xml:space="preserve"> </w:t>
      </w:r>
      <w:r w:rsidR="001E23AD" w:rsidRPr="0078717E">
        <w:rPr>
          <w:bCs/>
          <w:i/>
        </w:rPr>
        <w:t>“a disruption to financial markets in which adverse selection and moral hazard problems become much worse, so that financial markets are unable to efficiently channel funds to those who have the most productive investment opportunities”</w:t>
      </w:r>
      <w:r>
        <w:rPr>
          <w:bCs/>
        </w:rPr>
        <w:t>.</w:t>
      </w:r>
      <w:r w:rsidR="00AE3C81">
        <w:rPr>
          <w:bCs/>
        </w:rPr>
        <w:t xml:space="preserve"> This</w:t>
      </w:r>
      <w:r w:rsidR="00190261">
        <w:rPr>
          <w:bCs/>
        </w:rPr>
        <w:t xml:space="preserve"> definition of </w:t>
      </w:r>
      <w:proofErr w:type="spellStart"/>
      <w:r w:rsidR="00190261">
        <w:rPr>
          <w:bCs/>
        </w:rPr>
        <w:t>Mish</w:t>
      </w:r>
      <w:r w:rsidR="00314AAC">
        <w:rPr>
          <w:bCs/>
        </w:rPr>
        <w:t>k</w:t>
      </w:r>
      <w:r w:rsidR="00190261">
        <w:rPr>
          <w:bCs/>
        </w:rPr>
        <w:t>in</w:t>
      </w:r>
      <w:proofErr w:type="spellEnd"/>
      <w:r w:rsidR="00190261">
        <w:rPr>
          <w:bCs/>
        </w:rPr>
        <w:t xml:space="preserve"> (1991) is connected with the theory described in </w:t>
      </w:r>
      <w:r w:rsidR="000D14AE">
        <w:rPr>
          <w:bCs/>
        </w:rPr>
        <w:t xml:space="preserve">paragraph </w:t>
      </w:r>
      <w:r w:rsidR="00F0356F">
        <w:rPr>
          <w:bCs/>
        </w:rPr>
        <w:t xml:space="preserve">2.1, </w:t>
      </w:r>
      <w:r w:rsidR="000D14AE">
        <w:rPr>
          <w:bCs/>
        </w:rPr>
        <w:t xml:space="preserve">as </w:t>
      </w:r>
      <w:r w:rsidR="00190261">
        <w:rPr>
          <w:bCs/>
        </w:rPr>
        <w:t xml:space="preserve">adverse selection and moral hazard problems are part of the concept of information asymmetry (Scott, 2006). </w:t>
      </w:r>
      <w:proofErr w:type="spellStart"/>
      <w:r w:rsidR="004B6089">
        <w:rPr>
          <w:bCs/>
        </w:rPr>
        <w:t>Bordo</w:t>
      </w:r>
      <w:proofErr w:type="spellEnd"/>
      <w:r w:rsidR="004B6089">
        <w:rPr>
          <w:bCs/>
        </w:rPr>
        <w:t xml:space="preserve"> et al. (2001) </w:t>
      </w:r>
      <w:r w:rsidR="00862BAE">
        <w:rPr>
          <w:bCs/>
        </w:rPr>
        <w:t>define</w:t>
      </w:r>
      <w:r w:rsidR="004B6089">
        <w:rPr>
          <w:bCs/>
        </w:rPr>
        <w:t xml:space="preserve"> financial crisis</w:t>
      </w:r>
      <w:r w:rsidR="00FA0F87">
        <w:rPr>
          <w:bCs/>
        </w:rPr>
        <w:t xml:space="preserve"> as an </w:t>
      </w:r>
      <w:r w:rsidR="004B6089">
        <w:rPr>
          <w:bCs/>
          <w:i/>
        </w:rPr>
        <w:t xml:space="preserve">“episode of financial-market volatility marked by significant problems of illiquidity and insolvency among financial-market </w:t>
      </w:r>
      <w:r w:rsidR="00987FAA">
        <w:rPr>
          <w:bCs/>
          <w:i/>
        </w:rPr>
        <w:t>participants and/or by official intervention to contain such consequences</w:t>
      </w:r>
      <w:r w:rsidR="00415BB1">
        <w:rPr>
          <w:bCs/>
          <w:i/>
        </w:rPr>
        <w:t>”</w:t>
      </w:r>
      <w:r w:rsidR="00987FAA">
        <w:rPr>
          <w:bCs/>
        </w:rPr>
        <w:t>.</w:t>
      </w:r>
    </w:p>
    <w:p w:rsidR="001E23AD" w:rsidRDefault="001E23AD" w:rsidP="00FA1A8A">
      <w:pPr>
        <w:spacing w:line="360" w:lineRule="auto"/>
        <w:jc w:val="both"/>
        <w:rPr>
          <w:bCs/>
        </w:rPr>
      </w:pPr>
    </w:p>
    <w:p w:rsidR="0078717E" w:rsidRDefault="00DE06F4" w:rsidP="00FA1A8A">
      <w:pPr>
        <w:spacing w:line="360" w:lineRule="auto"/>
        <w:jc w:val="both"/>
        <w:rPr>
          <w:bCs/>
        </w:rPr>
      </w:pPr>
      <w:r>
        <w:rPr>
          <w:bCs/>
        </w:rPr>
        <w:t xml:space="preserve">According to </w:t>
      </w:r>
      <w:proofErr w:type="spellStart"/>
      <w:r>
        <w:rPr>
          <w:bCs/>
        </w:rPr>
        <w:t>Mishkin</w:t>
      </w:r>
      <w:proofErr w:type="spellEnd"/>
      <w:r>
        <w:rPr>
          <w:bCs/>
        </w:rPr>
        <w:t xml:space="preserve"> (2009), t</w:t>
      </w:r>
      <w:r w:rsidR="001E23AD">
        <w:rPr>
          <w:bCs/>
        </w:rPr>
        <w:t>he financial crisis, also known as the economic crisis</w:t>
      </w:r>
      <w:r w:rsidR="004A7D5F">
        <w:rPr>
          <w:bCs/>
        </w:rPr>
        <w:t xml:space="preserve"> or credit crisis</w:t>
      </w:r>
      <w:r w:rsidR="001E23AD">
        <w:rPr>
          <w:bCs/>
        </w:rPr>
        <w:t xml:space="preserve">, started in </w:t>
      </w:r>
      <w:r>
        <w:rPr>
          <w:bCs/>
        </w:rPr>
        <w:t>the United States</w:t>
      </w:r>
      <w:r w:rsidR="001E23AD">
        <w:rPr>
          <w:bCs/>
        </w:rPr>
        <w:t xml:space="preserve">. </w:t>
      </w:r>
      <w:proofErr w:type="spellStart"/>
      <w:r w:rsidR="009F3D75">
        <w:rPr>
          <w:bCs/>
        </w:rPr>
        <w:t>Dabrowski</w:t>
      </w:r>
      <w:proofErr w:type="spellEnd"/>
      <w:r w:rsidR="009F3D75">
        <w:rPr>
          <w:bCs/>
        </w:rPr>
        <w:t xml:space="preserve"> (2010) continues that summer of 2007, the global financial crisis started with the subprime mortgage crisis.  </w:t>
      </w:r>
      <w:proofErr w:type="spellStart"/>
      <w:r>
        <w:rPr>
          <w:bCs/>
        </w:rPr>
        <w:t>Dabrowski</w:t>
      </w:r>
      <w:proofErr w:type="spellEnd"/>
      <w:r>
        <w:rPr>
          <w:bCs/>
        </w:rPr>
        <w:t xml:space="preserve"> (2010) described </w:t>
      </w:r>
      <w:r w:rsidR="009F3D75">
        <w:rPr>
          <w:bCs/>
        </w:rPr>
        <w:t xml:space="preserve">further </w:t>
      </w:r>
      <w:r>
        <w:rPr>
          <w:bCs/>
        </w:rPr>
        <w:t>that s</w:t>
      </w:r>
      <w:r w:rsidR="001E23AD">
        <w:rPr>
          <w:bCs/>
        </w:rPr>
        <w:t xml:space="preserve">ubsequently, the financial crisis </w:t>
      </w:r>
      <w:r w:rsidR="00F16682">
        <w:rPr>
          <w:bCs/>
        </w:rPr>
        <w:t xml:space="preserve">in 2008 </w:t>
      </w:r>
      <w:r>
        <w:rPr>
          <w:bCs/>
        </w:rPr>
        <w:t>also spread to Europe</w:t>
      </w:r>
      <w:r w:rsidR="001E23AD">
        <w:rPr>
          <w:bCs/>
        </w:rPr>
        <w:t xml:space="preserve">. </w:t>
      </w:r>
    </w:p>
    <w:p w:rsidR="00415BB1" w:rsidRDefault="00415BB1" w:rsidP="00FA1A8A">
      <w:pPr>
        <w:spacing w:line="360" w:lineRule="auto"/>
        <w:jc w:val="both"/>
        <w:rPr>
          <w:bCs/>
        </w:rPr>
      </w:pPr>
    </w:p>
    <w:p w:rsidR="00107581" w:rsidRDefault="0078717E" w:rsidP="00FA1A8A">
      <w:pPr>
        <w:spacing w:line="360" w:lineRule="auto"/>
        <w:jc w:val="both"/>
        <w:rPr>
          <w:bCs/>
        </w:rPr>
      </w:pPr>
      <w:r w:rsidRPr="008307FA">
        <w:rPr>
          <w:bCs/>
        </w:rPr>
        <w:t xml:space="preserve">Van </w:t>
      </w:r>
      <w:proofErr w:type="spellStart"/>
      <w:r w:rsidRPr="008307FA">
        <w:rPr>
          <w:bCs/>
        </w:rPr>
        <w:t>Ewijk</w:t>
      </w:r>
      <w:proofErr w:type="spellEnd"/>
      <w:r w:rsidRPr="008307FA">
        <w:rPr>
          <w:bCs/>
        </w:rPr>
        <w:t xml:space="preserve"> (2009) </w:t>
      </w:r>
      <w:r w:rsidR="00055A68">
        <w:rPr>
          <w:bCs/>
        </w:rPr>
        <w:t xml:space="preserve">has conducted research specifically aimed at the financial crisis and Dutch pension funds and </w:t>
      </w:r>
      <w:r w:rsidRPr="008307FA">
        <w:rPr>
          <w:bCs/>
        </w:rPr>
        <w:t>describes that in 2008, the problems for Dutch pension funds occurred as a result of the financial crisis. The stock market collapse</w:t>
      </w:r>
      <w:r w:rsidR="006C226A">
        <w:rPr>
          <w:bCs/>
        </w:rPr>
        <w:t>d and due to the collapse, the A</w:t>
      </w:r>
      <w:r w:rsidRPr="008307FA">
        <w:rPr>
          <w:bCs/>
        </w:rPr>
        <w:t xml:space="preserve">ssets </w:t>
      </w:r>
      <w:r w:rsidR="006C226A">
        <w:rPr>
          <w:bCs/>
        </w:rPr>
        <w:t>Under M</w:t>
      </w:r>
      <w:r w:rsidRPr="008307FA">
        <w:rPr>
          <w:bCs/>
        </w:rPr>
        <w:t xml:space="preserve">anagement </w:t>
      </w:r>
      <w:r w:rsidR="00415BB1">
        <w:rPr>
          <w:bCs/>
        </w:rPr>
        <w:t>(AUM) of Dutch pension funds decreased with a total</w:t>
      </w:r>
      <w:r w:rsidRPr="008307FA">
        <w:rPr>
          <w:bCs/>
        </w:rPr>
        <w:t xml:space="preserve"> amount of around 130 billion euro. This represented a quarter of all the pension wealth that had been created.</w:t>
      </w:r>
    </w:p>
    <w:p w:rsidR="006F607F" w:rsidRDefault="006F607F" w:rsidP="006F607F">
      <w:pPr>
        <w:pStyle w:val="Kop2"/>
        <w:numPr>
          <w:ilvl w:val="0"/>
          <w:numId w:val="0"/>
        </w:numPr>
        <w:spacing w:line="360" w:lineRule="auto"/>
        <w:ind w:left="576" w:hanging="576"/>
        <w:jc w:val="both"/>
        <w:rPr>
          <w:rStyle w:val="Nadruk"/>
          <w:rFonts w:ascii="Times New Roman" w:hAnsi="Times New Roman"/>
          <w:b/>
          <w:sz w:val="24"/>
          <w:szCs w:val="24"/>
        </w:rPr>
      </w:pPr>
      <w:bookmarkStart w:id="28" w:name="_Toc355387281"/>
      <w:r>
        <w:rPr>
          <w:rStyle w:val="Nadruk"/>
          <w:rFonts w:ascii="Times New Roman" w:hAnsi="Times New Roman"/>
          <w:b/>
          <w:sz w:val="24"/>
          <w:szCs w:val="24"/>
        </w:rPr>
        <w:t>2.4</w:t>
      </w:r>
      <w:r>
        <w:rPr>
          <w:rStyle w:val="Nadruk"/>
          <w:rFonts w:ascii="Times New Roman" w:hAnsi="Times New Roman"/>
          <w:b/>
          <w:sz w:val="24"/>
          <w:szCs w:val="24"/>
        </w:rPr>
        <w:tab/>
        <w:t>Annual reports versus annual accounts</w:t>
      </w:r>
      <w:bookmarkEnd w:id="28"/>
    </w:p>
    <w:p w:rsidR="001239CF" w:rsidRDefault="006F607F" w:rsidP="00FA1A8A">
      <w:pPr>
        <w:spacing w:line="360" w:lineRule="auto"/>
        <w:jc w:val="both"/>
      </w:pPr>
      <w:r>
        <w:t xml:space="preserve">In the annual report, the Executive Board reports in writing the chronology of events at the legal entity and the policy of the legal entity. In reporting practice, this report is also denoted as “Report of the Executive Board” (Dutch Guidelines of Annual Reporting Guideline 400.101). </w:t>
      </w:r>
    </w:p>
    <w:p w:rsidR="0078717E" w:rsidRDefault="00756068" w:rsidP="00FA1A8A">
      <w:pPr>
        <w:spacing w:line="360" w:lineRule="auto"/>
        <w:jc w:val="both"/>
        <w:rPr>
          <w:bCs/>
        </w:rPr>
      </w:pPr>
      <w:r>
        <w:t>In contrast</w:t>
      </w:r>
      <w:r w:rsidR="006F607F">
        <w:rPr>
          <w:lang w:val="en-US"/>
        </w:rPr>
        <w:t xml:space="preserve"> to the annual accounts, the annual reports are only verified marginally on the basis of article 2:393 (5f) of the Dutch Civil Code (NIVRA, 2010).</w:t>
      </w:r>
      <w:r w:rsidR="0078717E" w:rsidRPr="008307FA">
        <w:rPr>
          <w:bCs/>
        </w:rPr>
        <w:t xml:space="preserve"> </w:t>
      </w:r>
    </w:p>
    <w:p w:rsidR="0001342A" w:rsidRDefault="0001342A" w:rsidP="0001342A">
      <w:pPr>
        <w:pStyle w:val="Kop2"/>
        <w:numPr>
          <w:ilvl w:val="0"/>
          <w:numId w:val="0"/>
        </w:numPr>
        <w:spacing w:line="360" w:lineRule="auto"/>
        <w:ind w:left="576" w:hanging="576"/>
        <w:jc w:val="both"/>
        <w:rPr>
          <w:rStyle w:val="Nadruk"/>
          <w:rFonts w:ascii="Times New Roman" w:hAnsi="Times New Roman"/>
          <w:b/>
          <w:sz w:val="24"/>
          <w:szCs w:val="24"/>
        </w:rPr>
      </w:pPr>
      <w:bookmarkStart w:id="29" w:name="_Toc355387282"/>
      <w:r>
        <w:rPr>
          <w:rStyle w:val="Nadruk"/>
          <w:rFonts w:ascii="Times New Roman" w:hAnsi="Times New Roman"/>
          <w:b/>
          <w:sz w:val="24"/>
          <w:szCs w:val="24"/>
        </w:rPr>
        <w:t>2</w:t>
      </w:r>
      <w:r w:rsidRPr="009F6B24">
        <w:rPr>
          <w:rStyle w:val="Nadruk"/>
          <w:rFonts w:ascii="Times New Roman" w:hAnsi="Times New Roman"/>
          <w:b/>
          <w:sz w:val="24"/>
          <w:szCs w:val="24"/>
        </w:rPr>
        <w:t>.</w:t>
      </w:r>
      <w:r w:rsidR="006F607F">
        <w:rPr>
          <w:rStyle w:val="Nadruk"/>
          <w:rFonts w:ascii="Times New Roman" w:hAnsi="Times New Roman"/>
          <w:b/>
          <w:sz w:val="24"/>
          <w:szCs w:val="24"/>
        </w:rPr>
        <w:t>5</w:t>
      </w:r>
      <w:r>
        <w:rPr>
          <w:rStyle w:val="Nadruk"/>
          <w:rFonts w:ascii="Times New Roman" w:hAnsi="Times New Roman"/>
          <w:b/>
          <w:sz w:val="24"/>
          <w:szCs w:val="24"/>
        </w:rPr>
        <w:tab/>
        <w:t>Risk</w:t>
      </w:r>
      <w:bookmarkEnd w:id="29"/>
    </w:p>
    <w:p w:rsidR="00652357" w:rsidRPr="00652357" w:rsidRDefault="00652357" w:rsidP="00FA1A8A">
      <w:pPr>
        <w:spacing w:line="360" w:lineRule="auto"/>
        <w:jc w:val="both"/>
      </w:pPr>
      <w:r>
        <w:t>In this paragraph, first</w:t>
      </w:r>
      <w:r w:rsidR="00D330FC">
        <w:t>,</w:t>
      </w:r>
      <w:r>
        <w:t xml:space="preserve"> “risk” will be defined, subsequently</w:t>
      </w:r>
      <w:r w:rsidR="005E4D34">
        <w:t xml:space="preserve"> different risk categories will be described.</w:t>
      </w:r>
    </w:p>
    <w:p w:rsidR="00490CE0" w:rsidRDefault="00490CE0" w:rsidP="008B6382">
      <w:pPr>
        <w:spacing w:line="360" w:lineRule="auto"/>
        <w:rPr>
          <w:bCs/>
        </w:rPr>
      </w:pPr>
    </w:p>
    <w:p w:rsidR="00196217" w:rsidRDefault="00490CE0" w:rsidP="00196217">
      <w:pPr>
        <w:spacing w:line="360" w:lineRule="auto"/>
        <w:rPr>
          <w:b/>
          <w:bCs/>
          <w:i/>
        </w:rPr>
      </w:pPr>
      <w:r w:rsidRPr="00490CE0">
        <w:rPr>
          <w:b/>
          <w:bCs/>
          <w:i/>
        </w:rPr>
        <w:t>Risk</w:t>
      </w:r>
    </w:p>
    <w:p w:rsidR="000D4003" w:rsidRDefault="008B6382" w:rsidP="009D7D39">
      <w:pPr>
        <w:spacing w:line="360" w:lineRule="auto"/>
        <w:jc w:val="both"/>
        <w:rPr>
          <w:bCs/>
        </w:rPr>
      </w:pPr>
      <w:r w:rsidRPr="008B6382">
        <w:rPr>
          <w:bCs/>
        </w:rPr>
        <w:t xml:space="preserve">Risk can be described as </w:t>
      </w:r>
      <w:r w:rsidRPr="006C226A">
        <w:rPr>
          <w:bCs/>
          <w:i/>
        </w:rPr>
        <w:t>“the possibility of a loss or harm to an entity”</w:t>
      </w:r>
      <w:r>
        <w:rPr>
          <w:bCs/>
        </w:rPr>
        <w:t xml:space="preserve"> (</w:t>
      </w:r>
      <w:proofErr w:type="spellStart"/>
      <w:r w:rsidRPr="008B6382">
        <w:rPr>
          <w:bCs/>
        </w:rPr>
        <w:t>Fichadia</w:t>
      </w:r>
      <w:proofErr w:type="spellEnd"/>
      <w:r>
        <w:rPr>
          <w:bCs/>
        </w:rPr>
        <w:t xml:space="preserve"> and </w:t>
      </w:r>
      <w:proofErr w:type="spellStart"/>
      <w:r>
        <w:rPr>
          <w:bCs/>
        </w:rPr>
        <w:t>Raval</w:t>
      </w:r>
      <w:proofErr w:type="spellEnd"/>
      <w:r w:rsidRPr="008B6382">
        <w:rPr>
          <w:bCs/>
        </w:rPr>
        <w:t xml:space="preserve">, 2007). </w:t>
      </w:r>
      <w:r w:rsidR="004B21F0">
        <w:rPr>
          <w:bCs/>
        </w:rPr>
        <w:t>Like other entities, Dutch pension funds also face certain risks</w:t>
      </w:r>
      <w:r w:rsidR="002010D2">
        <w:rPr>
          <w:bCs/>
        </w:rPr>
        <w:t xml:space="preserve"> and uncertainties</w:t>
      </w:r>
      <w:r w:rsidR="00223160">
        <w:rPr>
          <w:bCs/>
        </w:rPr>
        <w:t>. However, according to the Dutch Guidelines of Annual Reporting, focussing only on losses is too minimalistic. The RJ states that for example the concept of price risk comprises not only the risk on losses but also the risk of gains (RJ 940).</w:t>
      </w:r>
    </w:p>
    <w:p w:rsidR="000D4003" w:rsidRDefault="000D4003" w:rsidP="008B6382">
      <w:pPr>
        <w:spacing w:line="360" w:lineRule="auto"/>
        <w:rPr>
          <w:bCs/>
        </w:rPr>
      </w:pPr>
    </w:p>
    <w:p w:rsidR="002010D2" w:rsidRPr="002010D2" w:rsidRDefault="0000639D" w:rsidP="003F31A3">
      <w:pPr>
        <w:spacing w:line="360" w:lineRule="auto"/>
        <w:jc w:val="both"/>
        <w:rPr>
          <w:bCs/>
          <w:i/>
        </w:rPr>
      </w:pPr>
      <w:proofErr w:type="spellStart"/>
      <w:r>
        <w:rPr>
          <w:bCs/>
        </w:rPr>
        <w:t>Linsley</w:t>
      </w:r>
      <w:proofErr w:type="spellEnd"/>
      <w:r>
        <w:rPr>
          <w:bCs/>
        </w:rPr>
        <w:t xml:space="preserve"> and Shrives (2006) have </w:t>
      </w:r>
      <w:r w:rsidR="00526B93">
        <w:rPr>
          <w:bCs/>
        </w:rPr>
        <w:t>presented</w:t>
      </w:r>
      <w:r>
        <w:rPr>
          <w:bCs/>
        </w:rPr>
        <w:t xml:space="preserve"> a definition of risk </w:t>
      </w:r>
      <w:r w:rsidR="002010D2">
        <w:rPr>
          <w:bCs/>
        </w:rPr>
        <w:t xml:space="preserve">disclosure </w:t>
      </w:r>
      <w:r>
        <w:rPr>
          <w:bCs/>
        </w:rPr>
        <w:t xml:space="preserve">that </w:t>
      </w:r>
      <w:r w:rsidR="002010D2">
        <w:rPr>
          <w:bCs/>
        </w:rPr>
        <w:t xml:space="preserve">consists of </w:t>
      </w:r>
      <w:r w:rsidR="002010D2">
        <w:rPr>
          <w:bCs/>
          <w:i/>
        </w:rPr>
        <w:t xml:space="preserve">‘good’ </w:t>
      </w:r>
      <w:r w:rsidR="002010D2">
        <w:rPr>
          <w:bCs/>
        </w:rPr>
        <w:t>and</w:t>
      </w:r>
      <w:r w:rsidR="002010D2">
        <w:rPr>
          <w:bCs/>
          <w:i/>
        </w:rPr>
        <w:t xml:space="preserve"> ‘bad</w:t>
      </w:r>
      <w:r w:rsidR="00D63DA6">
        <w:rPr>
          <w:bCs/>
          <w:i/>
        </w:rPr>
        <w:t xml:space="preserve"> </w:t>
      </w:r>
      <w:r w:rsidR="002010D2">
        <w:rPr>
          <w:bCs/>
          <w:i/>
        </w:rPr>
        <w:t>risk</w:t>
      </w:r>
      <w:r w:rsidR="00D63DA6">
        <w:rPr>
          <w:bCs/>
          <w:i/>
        </w:rPr>
        <w:t>’</w:t>
      </w:r>
      <w:r w:rsidR="002010D2">
        <w:rPr>
          <w:bCs/>
          <w:i/>
        </w:rPr>
        <w:t xml:space="preserve"> </w:t>
      </w:r>
      <w:r w:rsidR="002010D2">
        <w:rPr>
          <w:bCs/>
        </w:rPr>
        <w:t xml:space="preserve">and </w:t>
      </w:r>
      <w:r w:rsidR="002010D2" w:rsidRPr="002010D2">
        <w:rPr>
          <w:bCs/>
          <w:i/>
        </w:rPr>
        <w:t>‘uncertainties’</w:t>
      </w:r>
      <w:r w:rsidR="002010D2">
        <w:rPr>
          <w:bCs/>
        </w:rPr>
        <w:t xml:space="preserve">, so it contains </w:t>
      </w:r>
      <w:r w:rsidR="00092968">
        <w:rPr>
          <w:bCs/>
        </w:rPr>
        <w:t xml:space="preserve">also the risk of gains </w:t>
      </w:r>
      <w:r w:rsidR="00FA5FCF">
        <w:rPr>
          <w:bCs/>
        </w:rPr>
        <w:t>described in RJ 940</w:t>
      </w:r>
      <w:r w:rsidR="002010D2">
        <w:rPr>
          <w:bCs/>
        </w:rPr>
        <w:t xml:space="preserve">. </w:t>
      </w:r>
      <w:r w:rsidR="00FA5FCF">
        <w:rPr>
          <w:bCs/>
        </w:rPr>
        <w:t xml:space="preserve">According to </w:t>
      </w:r>
      <w:proofErr w:type="spellStart"/>
      <w:r w:rsidR="002010D2">
        <w:rPr>
          <w:bCs/>
        </w:rPr>
        <w:t>Linsley</w:t>
      </w:r>
      <w:proofErr w:type="spellEnd"/>
      <w:r w:rsidR="002010D2">
        <w:rPr>
          <w:bCs/>
        </w:rPr>
        <w:t xml:space="preserve"> and Shrives (2006)</w:t>
      </w:r>
      <w:r w:rsidR="00FA5FCF">
        <w:rPr>
          <w:bCs/>
        </w:rPr>
        <w:t xml:space="preserve">, risk disclosure </w:t>
      </w:r>
      <w:r w:rsidR="00526B93">
        <w:rPr>
          <w:bCs/>
        </w:rPr>
        <w:t>occurs when</w:t>
      </w:r>
      <w:r w:rsidR="00FA5FCF">
        <w:rPr>
          <w:bCs/>
        </w:rPr>
        <w:t xml:space="preserve"> a reader is acquainted of</w:t>
      </w:r>
      <w:r w:rsidR="00F67A6F">
        <w:rPr>
          <w:bCs/>
        </w:rPr>
        <w:t xml:space="preserve"> </w:t>
      </w:r>
      <w:r w:rsidR="002010D2">
        <w:rPr>
          <w:bCs/>
          <w:i/>
        </w:rPr>
        <w:t>“any opportunity or prospect,</w:t>
      </w:r>
      <w:r w:rsidR="00FA5FCF">
        <w:rPr>
          <w:bCs/>
          <w:i/>
        </w:rPr>
        <w:t xml:space="preserve"> </w:t>
      </w:r>
      <w:r w:rsidR="002010D2">
        <w:rPr>
          <w:bCs/>
          <w:i/>
        </w:rPr>
        <w:t>or</w:t>
      </w:r>
      <w:r w:rsidR="00FA5FCF">
        <w:rPr>
          <w:bCs/>
          <w:i/>
        </w:rPr>
        <w:t xml:space="preserve"> of any hazard, danger, harm, threat or exposure, that has already impacted upon the company or may impact upon the company in the future or of the management of any such opportunity, prospect, hazard, harm, threat or exposure”</w:t>
      </w:r>
      <w:r w:rsidR="00526B93">
        <w:rPr>
          <w:bCs/>
          <w:i/>
        </w:rPr>
        <w:t>.</w:t>
      </w:r>
    </w:p>
    <w:p w:rsidR="00067B08" w:rsidRDefault="00067B08" w:rsidP="00FF338E">
      <w:pPr>
        <w:spacing w:line="360" w:lineRule="auto"/>
        <w:rPr>
          <w:bCs/>
          <w:i/>
        </w:rPr>
      </w:pPr>
    </w:p>
    <w:p w:rsidR="00490CE0" w:rsidRDefault="00490CE0" w:rsidP="00FF338E">
      <w:pPr>
        <w:spacing w:line="360" w:lineRule="auto"/>
        <w:rPr>
          <w:b/>
          <w:bCs/>
          <w:i/>
        </w:rPr>
      </w:pPr>
      <w:r>
        <w:rPr>
          <w:b/>
          <w:bCs/>
          <w:i/>
        </w:rPr>
        <w:t>Risk categories</w:t>
      </w:r>
    </w:p>
    <w:p w:rsidR="003C1013" w:rsidRDefault="00A334CE" w:rsidP="003F31A3">
      <w:pPr>
        <w:spacing w:line="360" w:lineRule="auto"/>
        <w:jc w:val="both"/>
        <w:rPr>
          <w:b/>
          <w:bCs/>
          <w:i/>
        </w:rPr>
      </w:pPr>
      <w:r>
        <w:rPr>
          <w:bCs/>
        </w:rPr>
        <w:t>COSO (2004) and t</w:t>
      </w:r>
      <w:r w:rsidR="00582992">
        <w:rPr>
          <w:bCs/>
        </w:rPr>
        <w:t>he RJ</w:t>
      </w:r>
      <w:r>
        <w:rPr>
          <w:bCs/>
        </w:rPr>
        <w:t xml:space="preserve"> present different classifications of risk categories. COSO (2004) presents five types of risks, which are financial, operational, reporting, compliance and strategic risk</w:t>
      </w:r>
      <w:r w:rsidR="00582992">
        <w:rPr>
          <w:bCs/>
        </w:rPr>
        <w:t>s</w:t>
      </w:r>
      <w:r>
        <w:rPr>
          <w:bCs/>
        </w:rPr>
        <w:t>. RJ</w:t>
      </w:r>
      <w:r w:rsidR="00582992">
        <w:rPr>
          <w:bCs/>
        </w:rPr>
        <w:t xml:space="preserve"> 610.403 </w:t>
      </w:r>
      <w:r w:rsidR="00972946">
        <w:rPr>
          <w:bCs/>
        </w:rPr>
        <w:t>distinguishes matching risk, insurance risk, concentration risk, investment risks, operational risks, legal risks and outsourcing and associated risks as different</w:t>
      </w:r>
      <w:r w:rsidR="00F554AF">
        <w:rPr>
          <w:bCs/>
        </w:rPr>
        <w:t xml:space="preserve"> risk categories (see appendix 5</w:t>
      </w:r>
      <w:r w:rsidR="00972946">
        <w:rPr>
          <w:bCs/>
        </w:rPr>
        <w:t>).</w:t>
      </w:r>
    </w:p>
    <w:p w:rsidR="003C1013" w:rsidRPr="00490CE0" w:rsidRDefault="003C1013" w:rsidP="003F31A3">
      <w:pPr>
        <w:spacing w:line="360" w:lineRule="auto"/>
        <w:jc w:val="both"/>
        <w:rPr>
          <w:b/>
          <w:bCs/>
          <w:i/>
        </w:rPr>
      </w:pPr>
    </w:p>
    <w:p w:rsidR="001239CF" w:rsidRDefault="003C1013" w:rsidP="003F31A3">
      <w:pPr>
        <w:spacing w:line="360" w:lineRule="auto"/>
        <w:jc w:val="both"/>
        <w:rPr>
          <w:b/>
          <w:bCs/>
          <w:i/>
          <w:lang w:val="en-US"/>
        </w:rPr>
      </w:pPr>
      <w:r w:rsidRPr="00681822">
        <w:rPr>
          <w:b/>
          <w:bCs/>
          <w:i/>
          <w:lang w:val="en-US"/>
        </w:rPr>
        <w:t>Investment risks</w:t>
      </w:r>
    </w:p>
    <w:p w:rsidR="003C1013" w:rsidRPr="001239CF" w:rsidRDefault="001239CF" w:rsidP="003F31A3">
      <w:pPr>
        <w:spacing w:line="360" w:lineRule="auto"/>
        <w:jc w:val="both"/>
        <w:rPr>
          <w:b/>
          <w:bCs/>
          <w:i/>
          <w:lang w:val="en-US"/>
        </w:rPr>
      </w:pPr>
      <w:r>
        <w:rPr>
          <w:bCs/>
          <w:lang w:val="en-US"/>
        </w:rPr>
        <w:t xml:space="preserve">Regarding investment risks, </w:t>
      </w:r>
      <w:r w:rsidR="003C1013" w:rsidRPr="0006653C">
        <w:rPr>
          <w:bCs/>
          <w:lang w:val="en-US"/>
        </w:rPr>
        <w:t>the Dutch Guidelines of Annual Reporting</w:t>
      </w:r>
      <w:r>
        <w:rPr>
          <w:bCs/>
          <w:lang w:val="en-US"/>
        </w:rPr>
        <w:t xml:space="preserve"> provide</w:t>
      </w:r>
      <w:r w:rsidR="003C1013" w:rsidRPr="0006653C">
        <w:rPr>
          <w:bCs/>
          <w:lang w:val="en-US"/>
        </w:rPr>
        <w:t xml:space="preserve"> </w:t>
      </w:r>
      <w:r>
        <w:rPr>
          <w:bCs/>
          <w:lang w:val="en-US"/>
        </w:rPr>
        <w:t xml:space="preserve">in RJ 610.403 </w:t>
      </w:r>
      <w:r w:rsidR="003C1013" w:rsidRPr="0006653C">
        <w:rPr>
          <w:bCs/>
          <w:lang w:val="en-US"/>
        </w:rPr>
        <w:t>examples of five different in</w:t>
      </w:r>
      <w:r w:rsidR="00972946">
        <w:rPr>
          <w:bCs/>
          <w:lang w:val="en-US"/>
        </w:rPr>
        <w:t>vestment risks</w:t>
      </w:r>
      <w:r>
        <w:rPr>
          <w:bCs/>
          <w:lang w:val="en-US"/>
        </w:rPr>
        <w:t xml:space="preserve">. </w:t>
      </w:r>
      <w:r w:rsidR="003C1013" w:rsidRPr="0006653C">
        <w:rPr>
          <w:bCs/>
          <w:lang w:val="en-US"/>
        </w:rPr>
        <w:t xml:space="preserve">These </w:t>
      </w:r>
      <w:r w:rsidR="003C1013">
        <w:rPr>
          <w:bCs/>
          <w:lang w:val="en-US"/>
        </w:rPr>
        <w:t xml:space="preserve">investment risks </w:t>
      </w:r>
      <w:r w:rsidR="003C1013" w:rsidRPr="0006653C">
        <w:rPr>
          <w:bCs/>
          <w:lang w:val="en-US"/>
        </w:rPr>
        <w:t xml:space="preserve">are interest rate risk, price risk, credit risk, liquidity risk and specific investment risks </w:t>
      </w:r>
      <w:r>
        <w:rPr>
          <w:bCs/>
          <w:lang w:val="en-US"/>
        </w:rPr>
        <w:t>regarding</w:t>
      </w:r>
      <w:r w:rsidR="003C1013" w:rsidRPr="0006653C">
        <w:rPr>
          <w:bCs/>
          <w:lang w:val="en-US"/>
        </w:rPr>
        <w:t xml:space="preserve"> alternative investments. Furthermore, the RJ distinguishes three types of price risk, which are currency risk, interest rate risk and market risk (RJ 940)</w:t>
      </w:r>
      <w:r w:rsidR="003C1013">
        <w:rPr>
          <w:bCs/>
          <w:lang w:val="en-US"/>
        </w:rPr>
        <w:t>.</w:t>
      </w:r>
      <w:r w:rsidR="001A3137">
        <w:rPr>
          <w:bCs/>
          <w:lang w:val="en-US"/>
        </w:rPr>
        <w:t xml:space="preserve"> </w:t>
      </w:r>
      <w:r w:rsidR="003C1013">
        <w:rPr>
          <w:bCs/>
          <w:lang w:val="en-US"/>
        </w:rPr>
        <w:t>The overview of investment risks described by the RJ in RJ 610.403 is not limitative</w:t>
      </w:r>
      <w:r w:rsidR="00164643">
        <w:rPr>
          <w:bCs/>
          <w:lang w:val="en-US"/>
        </w:rPr>
        <w:t xml:space="preserve"> as</w:t>
      </w:r>
      <w:r w:rsidR="003C1013">
        <w:rPr>
          <w:bCs/>
          <w:lang w:val="en-US"/>
        </w:rPr>
        <w:t xml:space="preserve"> the RJ has described only five </w:t>
      </w:r>
      <w:r w:rsidR="003C1013" w:rsidRPr="009D421A">
        <w:rPr>
          <w:bCs/>
          <w:i/>
          <w:lang w:val="en-US"/>
        </w:rPr>
        <w:t>examples</w:t>
      </w:r>
      <w:r w:rsidR="003C1013">
        <w:rPr>
          <w:bCs/>
          <w:lang w:val="en-US"/>
        </w:rPr>
        <w:t xml:space="preserve"> of investment risks</w:t>
      </w:r>
      <w:r w:rsidR="00972946">
        <w:rPr>
          <w:bCs/>
          <w:lang w:val="en-US"/>
        </w:rPr>
        <w:t>.</w:t>
      </w:r>
      <w:r w:rsidR="001A3137">
        <w:rPr>
          <w:bCs/>
          <w:lang w:val="en-US"/>
        </w:rPr>
        <w:t xml:space="preserve"> </w:t>
      </w:r>
    </w:p>
    <w:p w:rsidR="003C1013" w:rsidRDefault="003C1013" w:rsidP="003F31A3">
      <w:pPr>
        <w:spacing w:line="360" w:lineRule="auto"/>
        <w:jc w:val="both"/>
        <w:rPr>
          <w:bCs/>
          <w:lang w:val="en-US"/>
        </w:rPr>
      </w:pPr>
    </w:p>
    <w:p w:rsidR="00384394" w:rsidRDefault="008A3169" w:rsidP="003F31A3">
      <w:pPr>
        <w:spacing w:line="360" w:lineRule="auto"/>
        <w:jc w:val="both"/>
        <w:rPr>
          <w:bCs/>
        </w:rPr>
      </w:pPr>
      <w:proofErr w:type="spellStart"/>
      <w:r>
        <w:rPr>
          <w:bCs/>
        </w:rPr>
        <w:t>C</w:t>
      </w:r>
      <w:r w:rsidR="003644F9">
        <w:rPr>
          <w:bCs/>
        </w:rPr>
        <w:t>h</w:t>
      </w:r>
      <w:r>
        <w:rPr>
          <w:bCs/>
        </w:rPr>
        <w:t>ristoffersen</w:t>
      </w:r>
      <w:proofErr w:type="spellEnd"/>
      <w:r>
        <w:rPr>
          <w:bCs/>
        </w:rPr>
        <w:t xml:space="preserve"> (2012) </w:t>
      </w:r>
      <w:r w:rsidR="00213E55">
        <w:rPr>
          <w:bCs/>
        </w:rPr>
        <w:t>states</w:t>
      </w:r>
      <w:r>
        <w:rPr>
          <w:bCs/>
        </w:rPr>
        <w:t xml:space="preserve"> </w:t>
      </w:r>
      <w:r w:rsidR="003644F9">
        <w:rPr>
          <w:bCs/>
        </w:rPr>
        <w:t xml:space="preserve">that before </w:t>
      </w:r>
      <w:r>
        <w:rPr>
          <w:bCs/>
        </w:rPr>
        <w:t>the financial crisis, th</w:t>
      </w:r>
      <w:r w:rsidR="003644F9">
        <w:rPr>
          <w:bCs/>
        </w:rPr>
        <w:t>e</w:t>
      </w:r>
      <w:r w:rsidR="00E57D90">
        <w:rPr>
          <w:bCs/>
        </w:rPr>
        <w:t xml:space="preserve">re was little attention in risk management to liquidity risk. </w:t>
      </w:r>
      <w:r w:rsidR="00AB27E6">
        <w:rPr>
          <w:bCs/>
        </w:rPr>
        <w:t xml:space="preserve">According to </w:t>
      </w:r>
      <w:proofErr w:type="spellStart"/>
      <w:r w:rsidR="00AB27E6">
        <w:rPr>
          <w:bCs/>
        </w:rPr>
        <w:t>Christoffersen</w:t>
      </w:r>
      <w:proofErr w:type="spellEnd"/>
      <w:r w:rsidR="00AB27E6">
        <w:rPr>
          <w:bCs/>
        </w:rPr>
        <w:t xml:space="preserve"> (2012)</w:t>
      </w:r>
      <w:r w:rsidR="00E57D90">
        <w:rPr>
          <w:bCs/>
        </w:rPr>
        <w:t xml:space="preserve">, </w:t>
      </w:r>
      <w:r w:rsidR="00AB27E6">
        <w:rPr>
          <w:bCs/>
        </w:rPr>
        <w:t>since the financial crisis, the demand for treasury securities (like bonds) with a lower risk has increased considerably.</w:t>
      </w:r>
      <w:r w:rsidR="00663E46">
        <w:rPr>
          <w:bCs/>
        </w:rPr>
        <w:t xml:space="preserve"> The liquidity in markets for r</w:t>
      </w:r>
      <w:r w:rsidR="00F554AF">
        <w:rPr>
          <w:bCs/>
        </w:rPr>
        <w:t xml:space="preserve">iskier securities dried up as </w:t>
      </w:r>
      <w:r w:rsidR="00663E46">
        <w:rPr>
          <w:bCs/>
        </w:rPr>
        <w:t>result of this</w:t>
      </w:r>
      <w:r w:rsidR="00C472E8">
        <w:rPr>
          <w:bCs/>
        </w:rPr>
        <w:t xml:space="preserve"> (</w:t>
      </w:r>
      <w:proofErr w:type="spellStart"/>
      <w:r w:rsidR="00C472E8">
        <w:rPr>
          <w:bCs/>
        </w:rPr>
        <w:t>Christoffersen</w:t>
      </w:r>
      <w:proofErr w:type="spellEnd"/>
      <w:r w:rsidR="00C472E8">
        <w:rPr>
          <w:bCs/>
        </w:rPr>
        <w:t>, 2012)</w:t>
      </w:r>
      <w:r w:rsidR="00663E46">
        <w:rPr>
          <w:bCs/>
        </w:rPr>
        <w:t>.</w:t>
      </w:r>
    </w:p>
    <w:p w:rsidR="001E23AD" w:rsidRDefault="001E23AD" w:rsidP="003F31A3">
      <w:pPr>
        <w:pStyle w:val="Kop2"/>
        <w:numPr>
          <w:ilvl w:val="0"/>
          <w:numId w:val="0"/>
        </w:numPr>
        <w:spacing w:line="360" w:lineRule="auto"/>
        <w:ind w:left="576" w:hanging="576"/>
        <w:jc w:val="both"/>
        <w:rPr>
          <w:rStyle w:val="Nadruk"/>
          <w:rFonts w:ascii="Times New Roman" w:hAnsi="Times New Roman"/>
          <w:b/>
          <w:sz w:val="24"/>
          <w:szCs w:val="24"/>
        </w:rPr>
      </w:pPr>
      <w:bookmarkStart w:id="30" w:name="_Toc355387283"/>
      <w:r>
        <w:rPr>
          <w:rStyle w:val="Nadruk"/>
          <w:rFonts w:ascii="Times New Roman" w:hAnsi="Times New Roman"/>
          <w:b/>
          <w:sz w:val="24"/>
          <w:szCs w:val="24"/>
        </w:rPr>
        <w:t>2</w:t>
      </w:r>
      <w:r w:rsidRPr="009F6B24">
        <w:rPr>
          <w:rStyle w:val="Nadruk"/>
          <w:rFonts w:ascii="Times New Roman" w:hAnsi="Times New Roman"/>
          <w:b/>
          <w:sz w:val="24"/>
          <w:szCs w:val="24"/>
        </w:rPr>
        <w:t>.</w:t>
      </w:r>
      <w:bookmarkEnd w:id="27"/>
      <w:r w:rsidR="008157BD">
        <w:rPr>
          <w:rStyle w:val="Nadruk"/>
          <w:rFonts w:ascii="Times New Roman" w:hAnsi="Times New Roman"/>
          <w:b/>
          <w:sz w:val="24"/>
          <w:szCs w:val="24"/>
        </w:rPr>
        <w:t>6</w:t>
      </w:r>
      <w:r>
        <w:rPr>
          <w:rStyle w:val="Nadruk"/>
          <w:rFonts w:ascii="Times New Roman" w:hAnsi="Times New Roman"/>
          <w:b/>
          <w:sz w:val="24"/>
          <w:szCs w:val="24"/>
        </w:rPr>
        <w:tab/>
        <w:t>Disclosure</w:t>
      </w:r>
      <w:bookmarkEnd w:id="30"/>
    </w:p>
    <w:p w:rsidR="008E737D" w:rsidRPr="00AA1450" w:rsidRDefault="000408C3" w:rsidP="003F31A3">
      <w:pPr>
        <w:spacing w:line="360" w:lineRule="auto"/>
        <w:jc w:val="both"/>
        <w:rPr>
          <w:bCs/>
          <w:iCs/>
        </w:rPr>
      </w:pPr>
      <w:r w:rsidRPr="00AA1450">
        <w:rPr>
          <w:bCs/>
          <w:iCs/>
        </w:rPr>
        <w:t xml:space="preserve">According to Healy and </w:t>
      </w:r>
      <w:proofErr w:type="spellStart"/>
      <w:r w:rsidRPr="00AA1450">
        <w:rPr>
          <w:bCs/>
          <w:iCs/>
        </w:rPr>
        <w:t>Palepu</w:t>
      </w:r>
      <w:proofErr w:type="spellEnd"/>
      <w:r w:rsidRPr="00AA1450">
        <w:rPr>
          <w:bCs/>
          <w:iCs/>
        </w:rPr>
        <w:t xml:space="preserve"> (2001), the </w:t>
      </w:r>
      <w:r w:rsidR="00AA1450" w:rsidRPr="00AA1450">
        <w:rPr>
          <w:bCs/>
          <w:iCs/>
        </w:rPr>
        <w:t xml:space="preserve">request of the stakeholders for disclosures </w:t>
      </w:r>
      <w:r w:rsidR="00171221">
        <w:rPr>
          <w:bCs/>
          <w:iCs/>
        </w:rPr>
        <w:t>is derived from information asymmetry and agency conflicts between management and outside investors. These theoretical terms have already been elaborated in the first paragraph of this chapter. In this paragraph, fist ‘disclosure’ will be defined</w:t>
      </w:r>
      <w:r w:rsidR="001A574E">
        <w:rPr>
          <w:bCs/>
          <w:iCs/>
        </w:rPr>
        <w:t xml:space="preserve">. </w:t>
      </w:r>
      <w:r w:rsidR="001A574E">
        <w:rPr>
          <w:rStyle w:val="Nadruk"/>
          <w:b w:val="0"/>
          <w:bCs/>
          <w:i w:val="0"/>
          <w:iCs w:val="0"/>
          <w:lang w:val="en-US"/>
        </w:rPr>
        <w:t xml:space="preserve">Hassan and Marston (2010) describe that disclosures can be categorized in the broad categories ‘voluntary’ and ‘mandatory’, which will be described in further detail in this paragraph. The boundary between voluntary and mandatory disclosures will be described as well. </w:t>
      </w:r>
    </w:p>
    <w:p w:rsidR="005B4F8C" w:rsidRDefault="005B4F8C" w:rsidP="005B4F8C">
      <w:pPr>
        <w:pStyle w:val="Kop2"/>
        <w:numPr>
          <w:ilvl w:val="0"/>
          <w:numId w:val="0"/>
        </w:numPr>
        <w:spacing w:line="360" w:lineRule="auto"/>
        <w:ind w:left="576" w:hanging="576"/>
        <w:jc w:val="both"/>
        <w:rPr>
          <w:rStyle w:val="Nadruk"/>
          <w:rFonts w:ascii="Times New Roman" w:hAnsi="Times New Roman"/>
          <w:b/>
          <w:color w:val="000000"/>
          <w:sz w:val="24"/>
          <w:szCs w:val="24"/>
          <w:lang w:val="en-US"/>
        </w:rPr>
      </w:pPr>
      <w:bookmarkStart w:id="31" w:name="_Toc355387284"/>
      <w:r>
        <w:rPr>
          <w:rStyle w:val="Nadruk"/>
          <w:rFonts w:ascii="Times New Roman" w:hAnsi="Times New Roman"/>
          <w:b/>
          <w:sz w:val="24"/>
          <w:szCs w:val="24"/>
          <w:lang w:val="en-US"/>
        </w:rPr>
        <w:t>2.</w:t>
      </w:r>
      <w:r w:rsidR="008157BD">
        <w:rPr>
          <w:rStyle w:val="Nadruk"/>
          <w:rFonts w:ascii="Times New Roman" w:hAnsi="Times New Roman"/>
          <w:b/>
          <w:sz w:val="24"/>
          <w:szCs w:val="24"/>
          <w:lang w:val="en-US"/>
        </w:rPr>
        <w:t>6</w:t>
      </w:r>
      <w:r w:rsidRPr="00067EF2">
        <w:rPr>
          <w:rStyle w:val="Nadruk"/>
          <w:rFonts w:ascii="Times New Roman" w:hAnsi="Times New Roman"/>
          <w:b/>
          <w:sz w:val="24"/>
          <w:szCs w:val="24"/>
          <w:lang w:val="en-US"/>
        </w:rPr>
        <w:t>.</w:t>
      </w:r>
      <w:r>
        <w:rPr>
          <w:rStyle w:val="Nadruk"/>
          <w:rFonts w:ascii="Times New Roman" w:hAnsi="Times New Roman"/>
          <w:b/>
          <w:sz w:val="24"/>
          <w:szCs w:val="24"/>
          <w:lang w:val="en-US"/>
        </w:rPr>
        <w:t>1</w:t>
      </w:r>
      <w:r w:rsidRPr="00067EF2">
        <w:rPr>
          <w:rStyle w:val="Nadruk"/>
          <w:rFonts w:ascii="Times New Roman" w:hAnsi="Times New Roman"/>
          <w:b/>
          <w:sz w:val="24"/>
          <w:szCs w:val="24"/>
          <w:lang w:val="en-US"/>
        </w:rPr>
        <w:tab/>
      </w:r>
      <w:r w:rsidR="0092618E">
        <w:rPr>
          <w:rStyle w:val="Nadruk"/>
          <w:rFonts w:ascii="Times New Roman" w:hAnsi="Times New Roman"/>
          <w:b/>
          <w:color w:val="000000"/>
          <w:sz w:val="24"/>
          <w:szCs w:val="24"/>
          <w:lang w:val="en-US"/>
        </w:rPr>
        <w:t>Definition</w:t>
      </w:r>
      <w:bookmarkEnd w:id="31"/>
    </w:p>
    <w:p w:rsidR="001E23AD" w:rsidRDefault="001E23AD" w:rsidP="003F31A3">
      <w:pPr>
        <w:spacing w:line="360" w:lineRule="auto"/>
        <w:jc w:val="both"/>
        <w:rPr>
          <w:i/>
        </w:rPr>
      </w:pPr>
      <w:proofErr w:type="spellStart"/>
      <w:r w:rsidRPr="00641974">
        <w:t>Gibbins</w:t>
      </w:r>
      <w:proofErr w:type="spellEnd"/>
      <w:r>
        <w:t xml:space="preserve">, Richardson and </w:t>
      </w:r>
      <w:proofErr w:type="spellStart"/>
      <w:r>
        <w:t>Wahterhouse</w:t>
      </w:r>
      <w:proofErr w:type="spellEnd"/>
      <w:r>
        <w:t xml:space="preserve"> (1990) define financial disclosure as</w:t>
      </w:r>
      <w:r w:rsidR="00AE3C81">
        <w:t xml:space="preserve"> </w:t>
      </w:r>
      <w:r w:rsidRPr="000A1F8E">
        <w:rPr>
          <w:i/>
        </w:rPr>
        <w:t>“any deliberate release of financial (and non-financial) information, whether numerical or qualitative, required or voluntary, or via formal or informal channels.”</w:t>
      </w:r>
    </w:p>
    <w:p w:rsidR="00B227B5" w:rsidRDefault="008157BD" w:rsidP="00B227B5">
      <w:pPr>
        <w:pStyle w:val="Kop2"/>
        <w:numPr>
          <w:ilvl w:val="0"/>
          <w:numId w:val="0"/>
        </w:numPr>
        <w:spacing w:line="360" w:lineRule="auto"/>
        <w:ind w:left="576" w:hanging="576"/>
        <w:jc w:val="both"/>
        <w:rPr>
          <w:rStyle w:val="Nadruk"/>
          <w:rFonts w:ascii="Times New Roman" w:hAnsi="Times New Roman"/>
          <w:b/>
          <w:color w:val="000000"/>
          <w:sz w:val="24"/>
          <w:szCs w:val="24"/>
          <w:lang w:val="en-US"/>
        </w:rPr>
      </w:pPr>
      <w:bookmarkStart w:id="32" w:name="_Toc355387285"/>
      <w:r>
        <w:rPr>
          <w:rStyle w:val="Nadruk"/>
          <w:rFonts w:ascii="Times New Roman" w:hAnsi="Times New Roman"/>
          <w:b/>
          <w:sz w:val="24"/>
          <w:szCs w:val="24"/>
          <w:lang w:val="en-US"/>
        </w:rPr>
        <w:t>2.6</w:t>
      </w:r>
      <w:r w:rsidR="00B227B5" w:rsidRPr="00067EF2">
        <w:rPr>
          <w:rStyle w:val="Nadruk"/>
          <w:rFonts w:ascii="Times New Roman" w:hAnsi="Times New Roman"/>
          <w:b/>
          <w:sz w:val="24"/>
          <w:szCs w:val="24"/>
          <w:lang w:val="en-US"/>
        </w:rPr>
        <w:t>.</w:t>
      </w:r>
      <w:r w:rsidR="00B227B5">
        <w:rPr>
          <w:rStyle w:val="Nadruk"/>
          <w:rFonts w:ascii="Times New Roman" w:hAnsi="Times New Roman"/>
          <w:b/>
          <w:sz w:val="24"/>
          <w:szCs w:val="24"/>
          <w:lang w:val="en-US"/>
        </w:rPr>
        <w:t>2</w:t>
      </w:r>
      <w:r w:rsidR="00B227B5" w:rsidRPr="00067EF2">
        <w:rPr>
          <w:rStyle w:val="Nadruk"/>
          <w:rFonts w:ascii="Times New Roman" w:hAnsi="Times New Roman"/>
          <w:b/>
          <w:sz w:val="24"/>
          <w:szCs w:val="24"/>
          <w:lang w:val="en-US"/>
        </w:rPr>
        <w:tab/>
      </w:r>
      <w:r w:rsidR="000814F8">
        <w:rPr>
          <w:rStyle w:val="Nadruk"/>
          <w:rFonts w:ascii="Times New Roman" w:hAnsi="Times New Roman"/>
          <w:b/>
          <w:color w:val="000000"/>
          <w:sz w:val="24"/>
          <w:szCs w:val="24"/>
          <w:lang w:val="en-US"/>
        </w:rPr>
        <w:t xml:space="preserve">Mandatory </w:t>
      </w:r>
      <w:r w:rsidR="001A574E" w:rsidRPr="001A574E">
        <w:rPr>
          <w:rStyle w:val="Nadruk"/>
          <w:rFonts w:ascii="Times New Roman" w:hAnsi="Times New Roman"/>
          <w:b/>
          <w:color w:val="000000"/>
          <w:sz w:val="24"/>
          <w:szCs w:val="24"/>
          <w:lang w:val="en-US"/>
        </w:rPr>
        <w:t>disclosures</w:t>
      </w:r>
      <w:bookmarkEnd w:id="32"/>
    </w:p>
    <w:p w:rsidR="0081214F" w:rsidRDefault="00943EAE" w:rsidP="003F31A3">
      <w:pPr>
        <w:spacing w:line="360" w:lineRule="auto"/>
        <w:jc w:val="both"/>
      </w:pPr>
      <w:r>
        <w:t>Hassan and Marston (2010) define mandatory disclosur</w:t>
      </w:r>
      <w:r w:rsidR="00AE3C81">
        <w:t xml:space="preserve">e as </w:t>
      </w:r>
      <w:r>
        <w:rPr>
          <w:i/>
        </w:rPr>
        <w:t>“information revealed</w:t>
      </w:r>
      <w:r w:rsidR="0081214F">
        <w:rPr>
          <w:i/>
        </w:rPr>
        <w:t xml:space="preserve"> in the fulfilment of disclosure requirements of statute in the form of laws, professional regulations in the form of standards and the listing rules of stock exchanges”</w:t>
      </w:r>
      <w:r w:rsidR="0091089A">
        <w:rPr>
          <w:i/>
        </w:rPr>
        <w:t>.</w:t>
      </w:r>
      <w:r w:rsidR="0081214F">
        <w:t xml:space="preserve"> </w:t>
      </w:r>
    </w:p>
    <w:p w:rsidR="00943EAE" w:rsidRPr="00943EAE" w:rsidRDefault="0081214F" w:rsidP="00943EAE">
      <w:pPr>
        <w:spacing w:line="360" w:lineRule="auto"/>
        <w:rPr>
          <w:i/>
        </w:rPr>
      </w:pPr>
      <w:r>
        <w:rPr>
          <w:i/>
        </w:rPr>
        <w:t xml:space="preserve"> </w:t>
      </w:r>
      <w:r w:rsidR="00943EAE">
        <w:rPr>
          <w:i/>
        </w:rPr>
        <w:t xml:space="preserve"> </w:t>
      </w:r>
    </w:p>
    <w:p w:rsidR="0051545A" w:rsidRDefault="0051545A" w:rsidP="003F31A3">
      <w:pPr>
        <w:spacing w:line="360" w:lineRule="auto"/>
        <w:jc w:val="both"/>
      </w:pPr>
      <w:r>
        <w:t xml:space="preserve">The financial statements of pension funds are </w:t>
      </w:r>
      <w:r w:rsidR="0081214F">
        <w:t xml:space="preserve">examples of mandatory disclosures. Regarding the Dutch pension fund, the statements have to be </w:t>
      </w:r>
      <w:r>
        <w:t>presented in acc</w:t>
      </w:r>
      <w:r w:rsidR="00D8095C">
        <w:t>ordance with the Civil Code of t</w:t>
      </w:r>
      <w:r>
        <w:t>he Netherlands, the Dutch Guidelines for Annual Reporting an</w:t>
      </w:r>
      <w:r w:rsidR="004F6788">
        <w:t>d the Dutch Pension Law.</w:t>
      </w:r>
      <w:r w:rsidR="00DC4959">
        <w:t xml:space="preserve"> Further details with regard to the law will be presented below,</w:t>
      </w:r>
      <w:r w:rsidR="003F31A3">
        <w:t xml:space="preserve"> including changes, if any, which</w:t>
      </w:r>
      <w:r w:rsidR="00DC4959">
        <w:t xml:space="preserve"> have occurred since 200</w:t>
      </w:r>
      <w:r w:rsidR="0091089A">
        <w:t>6</w:t>
      </w:r>
      <w:r w:rsidR="00DC4959">
        <w:t xml:space="preserve">, the year before the start of the financial crisis. These changes in law are important to take into account as part of the analysis of the research results, </w:t>
      </w:r>
      <w:r w:rsidR="001A574E">
        <w:t>which</w:t>
      </w:r>
      <w:r w:rsidR="00DC4959">
        <w:t xml:space="preserve"> </w:t>
      </w:r>
      <w:r w:rsidR="001A574E">
        <w:t>w</w:t>
      </w:r>
      <w:r w:rsidR="00DC4959">
        <w:t>ill be presented in cha</w:t>
      </w:r>
      <w:r w:rsidR="00E16FA6">
        <w:t xml:space="preserve">pter 4. </w:t>
      </w:r>
      <w:r w:rsidR="004F6788">
        <w:t xml:space="preserve"> </w:t>
      </w:r>
    </w:p>
    <w:p w:rsidR="00FC72CE" w:rsidRPr="00FD13BF" w:rsidRDefault="00FC72CE" w:rsidP="003F31A3">
      <w:pPr>
        <w:spacing w:line="360" w:lineRule="auto"/>
        <w:jc w:val="both"/>
      </w:pPr>
    </w:p>
    <w:p w:rsidR="0051545A" w:rsidRPr="00FC72CE" w:rsidRDefault="0051545A" w:rsidP="003F31A3">
      <w:pPr>
        <w:spacing w:line="360" w:lineRule="auto"/>
        <w:jc w:val="both"/>
        <w:rPr>
          <w:rStyle w:val="Nadruk"/>
          <w:color w:val="000000"/>
        </w:rPr>
      </w:pPr>
      <w:r w:rsidRPr="00FC72CE">
        <w:rPr>
          <w:rStyle w:val="Nadruk"/>
          <w:color w:val="000000"/>
        </w:rPr>
        <w:t>Title</w:t>
      </w:r>
      <w:r w:rsidR="00D8095C">
        <w:rPr>
          <w:rStyle w:val="Nadruk"/>
          <w:color w:val="000000"/>
        </w:rPr>
        <w:t xml:space="preserve"> 9 Book 2 of the Civil Code of t</w:t>
      </w:r>
      <w:r w:rsidRPr="00FC72CE">
        <w:rPr>
          <w:rStyle w:val="Nadruk"/>
          <w:color w:val="000000"/>
        </w:rPr>
        <w:t>he Netherlands</w:t>
      </w:r>
    </w:p>
    <w:p w:rsidR="0051545A" w:rsidRDefault="0051545A" w:rsidP="003F31A3">
      <w:pPr>
        <w:spacing w:line="360" w:lineRule="auto"/>
        <w:jc w:val="both"/>
      </w:pPr>
      <w:r>
        <w:t>In Title</w:t>
      </w:r>
      <w:r w:rsidR="00D8095C">
        <w:t xml:space="preserve"> 9 Book 2 of the Civil Code of t</w:t>
      </w:r>
      <w:r>
        <w:t xml:space="preserve">he Netherlands (in Dutch: </w:t>
      </w:r>
      <w:proofErr w:type="spellStart"/>
      <w:r>
        <w:t>Titel</w:t>
      </w:r>
      <w:proofErr w:type="spellEnd"/>
      <w:r>
        <w:t xml:space="preserve"> 9 </w:t>
      </w:r>
      <w:proofErr w:type="spellStart"/>
      <w:r>
        <w:t>Boek</w:t>
      </w:r>
      <w:proofErr w:type="spellEnd"/>
      <w:r>
        <w:t xml:space="preserve"> 2 </w:t>
      </w:r>
      <w:proofErr w:type="spellStart"/>
      <w:r>
        <w:t>Burgerlijk</w:t>
      </w:r>
      <w:proofErr w:type="spellEnd"/>
      <w:r>
        <w:t xml:space="preserve"> </w:t>
      </w:r>
      <w:proofErr w:type="spellStart"/>
      <w:r>
        <w:t>Wetboek</w:t>
      </w:r>
      <w:proofErr w:type="spellEnd"/>
      <w:r>
        <w:t xml:space="preserve">), </w:t>
      </w:r>
      <w:r w:rsidRPr="00893C68">
        <w:t>the legal provisions</w:t>
      </w:r>
      <w:r>
        <w:t xml:space="preserve"> are described that have to be taken into account for the preparation of the financial statements (</w:t>
      </w:r>
      <w:proofErr w:type="spellStart"/>
      <w:r>
        <w:t>Böhmer</w:t>
      </w:r>
      <w:proofErr w:type="spellEnd"/>
      <w:r>
        <w:t xml:space="preserve"> </w:t>
      </w:r>
      <w:proofErr w:type="spellStart"/>
      <w:r>
        <w:t>e.a</w:t>
      </w:r>
      <w:proofErr w:type="spellEnd"/>
      <w:r>
        <w:t>., 2012).</w:t>
      </w:r>
    </w:p>
    <w:p w:rsidR="0051545A" w:rsidRDefault="0051545A" w:rsidP="003F31A3">
      <w:pPr>
        <w:spacing w:line="360" w:lineRule="auto"/>
        <w:jc w:val="both"/>
      </w:pPr>
    </w:p>
    <w:p w:rsidR="00196217" w:rsidRDefault="0051545A" w:rsidP="003F31A3">
      <w:pPr>
        <w:spacing w:line="360" w:lineRule="auto"/>
        <w:jc w:val="both"/>
      </w:pPr>
      <w:r>
        <w:t>Article 2:362 (1) of the Dutch Civil Code describes that the annual accounts have to provide, in accordance with the generally accepted accounting principles, that kind of insight that a sound judgment can be made about the capital and result, as well as, provided that the nature of the annual accounts permits, the solvency and liquidity of the legal entity.</w:t>
      </w:r>
      <w:r w:rsidR="00196217">
        <w:t xml:space="preserve"> </w:t>
      </w:r>
    </w:p>
    <w:p w:rsidR="0051545A" w:rsidRDefault="0051545A" w:rsidP="003F31A3">
      <w:pPr>
        <w:spacing w:line="360" w:lineRule="auto"/>
        <w:jc w:val="both"/>
      </w:pPr>
      <w:r>
        <w:t xml:space="preserve">Article 2:391 describes the minimum requirements of the annual report. The annual report should provide a description of the main risks and uncertainties to which the legal entity is exposed. This article describes </w:t>
      </w:r>
      <w:r w:rsidR="00165726">
        <w:t xml:space="preserve">also </w:t>
      </w:r>
      <w:r>
        <w:t>that the annual report should present the risk policy. More specifically, the annual report should describe the policy of hedging risks regarding major types of transactions and the exposure to price, credit, liquidity and cash flow risk.</w:t>
      </w:r>
    </w:p>
    <w:p w:rsidR="0051545A" w:rsidRDefault="0051545A" w:rsidP="003F31A3">
      <w:pPr>
        <w:spacing w:line="360" w:lineRule="auto"/>
        <w:jc w:val="both"/>
      </w:pPr>
    </w:p>
    <w:p w:rsidR="0051545A" w:rsidRDefault="0051545A" w:rsidP="003F31A3">
      <w:pPr>
        <w:spacing w:line="360" w:lineRule="auto"/>
        <w:jc w:val="both"/>
        <w:rPr>
          <w:lang w:val="en-US"/>
        </w:rPr>
      </w:pPr>
      <w:r>
        <w:t>Relating to the content, these arti</w:t>
      </w:r>
      <w:r w:rsidR="0091089A">
        <w:t>cles have not changed since 2006</w:t>
      </w:r>
      <w:r>
        <w:t xml:space="preserve">, the year </w:t>
      </w:r>
      <w:r w:rsidR="00D8095C">
        <w:t>before the financial crisis in t</w:t>
      </w:r>
      <w:r>
        <w:t xml:space="preserve">he Netherlands. </w:t>
      </w:r>
    </w:p>
    <w:p w:rsidR="00FC72CE" w:rsidRDefault="00FC72CE" w:rsidP="003F31A3">
      <w:pPr>
        <w:jc w:val="both"/>
        <w:rPr>
          <w:rStyle w:val="Nadruk"/>
          <w:color w:val="000000"/>
          <w:lang w:val="en-US"/>
        </w:rPr>
      </w:pPr>
    </w:p>
    <w:p w:rsidR="0051545A" w:rsidRPr="00FC72CE" w:rsidRDefault="0051545A" w:rsidP="003F31A3">
      <w:pPr>
        <w:spacing w:line="360" w:lineRule="auto"/>
        <w:jc w:val="both"/>
        <w:rPr>
          <w:rStyle w:val="Nadruk"/>
          <w:color w:val="000000"/>
          <w:lang w:val="en-US"/>
        </w:rPr>
      </w:pPr>
      <w:r w:rsidRPr="00FC72CE">
        <w:rPr>
          <w:rStyle w:val="Nadruk"/>
          <w:color w:val="000000"/>
          <w:lang w:val="en-US"/>
        </w:rPr>
        <w:t>Pension Law</w:t>
      </w:r>
    </w:p>
    <w:p w:rsidR="0051545A" w:rsidRDefault="0051545A" w:rsidP="003F31A3">
      <w:pPr>
        <w:spacing w:line="360" w:lineRule="auto"/>
        <w:jc w:val="both"/>
      </w:pPr>
      <w:r>
        <w:t xml:space="preserve">As of 1 January 2007, the Pension Law (in Dutch: </w:t>
      </w:r>
      <w:proofErr w:type="spellStart"/>
      <w:r>
        <w:t>Pensioenwet</w:t>
      </w:r>
      <w:proofErr w:type="spellEnd"/>
      <w:r>
        <w:t xml:space="preserve">) has been initiated. With regard to risks, article 143 of the Pension Law describes that a pension fund has to arrange the organisation in such a way that a controlled and upright operational management is guaranteed. Rules by general measures of management concern among other things controlling of business processes and business risks and the solidarity of the pension fund. The solidarity of the pension fund means controlling financial risks and the control of other risks that might damage the solidarity of the pension fund.  </w:t>
      </w:r>
    </w:p>
    <w:p w:rsidR="0051545A" w:rsidRDefault="0051545A" w:rsidP="003F31A3">
      <w:pPr>
        <w:spacing w:line="360" w:lineRule="auto"/>
        <w:jc w:val="both"/>
      </w:pPr>
    </w:p>
    <w:p w:rsidR="0051545A" w:rsidRPr="00FC72CE" w:rsidRDefault="0051545A" w:rsidP="003F31A3">
      <w:pPr>
        <w:spacing w:line="360" w:lineRule="auto"/>
        <w:jc w:val="both"/>
        <w:rPr>
          <w:rStyle w:val="Nadruk"/>
          <w:color w:val="000000"/>
        </w:rPr>
      </w:pPr>
      <w:r w:rsidRPr="00FC72CE">
        <w:rPr>
          <w:rStyle w:val="Nadruk"/>
          <w:color w:val="000000"/>
        </w:rPr>
        <w:t>Dutch Gui</w:t>
      </w:r>
      <w:r w:rsidR="0091089A">
        <w:rPr>
          <w:rStyle w:val="Nadruk"/>
          <w:color w:val="000000"/>
        </w:rPr>
        <w:t>delines of Annual Reporting</w:t>
      </w:r>
    </w:p>
    <w:p w:rsidR="0051545A" w:rsidRDefault="0051545A" w:rsidP="003F31A3">
      <w:pPr>
        <w:spacing w:line="360" w:lineRule="auto"/>
        <w:jc w:val="both"/>
        <w:rPr>
          <w:lang w:val="en-US"/>
        </w:rPr>
      </w:pPr>
      <w:r w:rsidRPr="002A6B6C">
        <w:rPr>
          <w:lang w:val="en-US"/>
        </w:rPr>
        <w:t>The Dutch Guidelines of Annual Reporting (</w:t>
      </w:r>
      <w:r>
        <w:rPr>
          <w:lang w:val="en-US"/>
        </w:rPr>
        <w:t>Dutch Guidelines from now</w:t>
      </w:r>
      <w:r w:rsidR="006C226A">
        <w:rPr>
          <w:lang w:val="en-US"/>
        </w:rPr>
        <w:t>,</w:t>
      </w:r>
      <w:r>
        <w:rPr>
          <w:lang w:val="en-US"/>
        </w:rPr>
        <w:t xml:space="preserve"> [</w:t>
      </w:r>
      <w:r w:rsidRPr="002A6B6C">
        <w:rPr>
          <w:lang w:val="en-US"/>
        </w:rPr>
        <w:t xml:space="preserve">in Dutch: </w:t>
      </w:r>
      <w:proofErr w:type="spellStart"/>
      <w:r w:rsidRPr="002A6B6C">
        <w:rPr>
          <w:lang w:val="en-US"/>
        </w:rPr>
        <w:t>Richtlijnen</w:t>
      </w:r>
      <w:proofErr w:type="spellEnd"/>
      <w:r w:rsidRPr="002A6B6C">
        <w:rPr>
          <w:lang w:val="en-US"/>
        </w:rPr>
        <w:t xml:space="preserve"> </w:t>
      </w:r>
      <w:proofErr w:type="spellStart"/>
      <w:r>
        <w:rPr>
          <w:lang w:val="en-US"/>
        </w:rPr>
        <w:t>voor</w:t>
      </w:r>
      <w:proofErr w:type="spellEnd"/>
      <w:r>
        <w:rPr>
          <w:lang w:val="en-US"/>
        </w:rPr>
        <w:t xml:space="preserve"> de </w:t>
      </w:r>
      <w:proofErr w:type="spellStart"/>
      <w:r>
        <w:rPr>
          <w:lang w:val="en-US"/>
        </w:rPr>
        <w:t>Jaarverslaggeving</w:t>
      </w:r>
      <w:proofErr w:type="spellEnd"/>
      <w:r>
        <w:rPr>
          <w:lang w:val="en-US"/>
        </w:rPr>
        <w:t>]) aim to answ</w:t>
      </w:r>
      <w:r w:rsidR="0091089A">
        <w:rPr>
          <w:lang w:val="en-US"/>
        </w:rPr>
        <w:t xml:space="preserve">er </w:t>
      </w:r>
      <w:r w:rsidRPr="00387CBA">
        <w:rPr>
          <w:lang w:val="en-US"/>
        </w:rPr>
        <w:t>most of the questions that arise in practice (</w:t>
      </w:r>
      <w:proofErr w:type="spellStart"/>
      <w:r w:rsidRPr="00387CBA">
        <w:rPr>
          <w:lang w:val="en-US"/>
        </w:rPr>
        <w:t>Böhmer</w:t>
      </w:r>
      <w:proofErr w:type="spellEnd"/>
      <w:r w:rsidRPr="00387CBA">
        <w:rPr>
          <w:lang w:val="en-US"/>
        </w:rPr>
        <w:t xml:space="preserve"> </w:t>
      </w:r>
      <w:proofErr w:type="spellStart"/>
      <w:r w:rsidRPr="00387CBA">
        <w:rPr>
          <w:lang w:val="en-US"/>
        </w:rPr>
        <w:t>e.a</w:t>
      </w:r>
      <w:proofErr w:type="spellEnd"/>
      <w:r w:rsidRPr="00387CBA">
        <w:rPr>
          <w:lang w:val="en-US"/>
        </w:rPr>
        <w:t xml:space="preserve">., 2012). In the Dutch Guidelines, The </w:t>
      </w:r>
      <w:proofErr w:type="spellStart"/>
      <w:r w:rsidRPr="00387CBA">
        <w:rPr>
          <w:lang w:val="en-US"/>
        </w:rPr>
        <w:t>Raad</w:t>
      </w:r>
      <w:proofErr w:type="spellEnd"/>
      <w:r w:rsidRPr="00387CBA">
        <w:rPr>
          <w:lang w:val="en-US"/>
        </w:rPr>
        <w:t xml:space="preserve"> </w:t>
      </w:r>
      <w:proofErr w:type="spellStart"/>
      <w:r w:rsidRPr="00387CBA">
        <w:rPr>
          <w:lang w:val="en-US"/>
        </w:rPr>
        <w:t>voor</w:t>
      </w:r>
      <w:proofErr w:type="spellEnd"/>
      <w:r w:rsidRPr="00387CBA">
        <w:rPr>
          <w:lang w:val="en-US"/>
        </w:rPr>
        <w:t xml:space="preserve"> de </w:t>
      </w:r>
      <w:proofErr w:type="spellStart"/>
      <w:r w:rsidRPr="00387CBA">
        <w:rPr>
          <w:lang w:val="en-US"/>
        </w:rPr>
        <w:t>Jaarverslaggeving</w:t>
      </w:r>
      <w:proofErr w:type="spellEnd"/>
      <w:r w:rsidRPr="00387CBA">
        <w:rPr>
          <w:lang w:val="en-US"/>
        </w:rPr>
        <w:t xml:space="preserve"> (RJ) distinguishes between convincing judgments and recommendations. The RJ does not pretend that the judgments are</w:t>
      </w:r>
      <w:r w:rsidRPr="007C588B">
        <w:rPr>
          <w:lang w:val="en-US"/>
        </w:rPr>
        <w:t xml:space="preserve"> enforceable. </w:t>
      </w:r>
      <w:r w:rsidRPr="00B9523E">
        <w:rPr>
          <w:lang w:val="en-US"/>
        </w:rPr>
        <w:t xml:space="preserve">However, </w:t>
      </w:r>
      <w:r>
        <w:rPr>
          <w:lang w:val="en-US"/>
        </w:rPr>
        <w:t>court jurisdiction reveals</w:t>
      </w:r>
      <w:r w:rsidRPr="00B9523E">
        <w:rPr>
          <w:lang w:val="en-US"/>
        </w:rPr>
        <w:t xml:space="preserve"> the </w:t>
      </w:r>
      <w:r>
        <w:rPr>
          <w:lang w:val="en-US"/>
        </w:rPr>
        <w:t>undeniable</w:t>
      </w:r>
      <w:r w:rsidRPr="00B9523E">
        <w:rPr>
          <w:lang w:val="en-US"/>
        </w:rPr>
        <w:t xml:space="preserve"> authority of the </w:t>
      </w:r>
      <w:r>
        <w:rPr>
          <w:lang w:val="en-US"/>
        </w:rPr>
        <w:t xml:space="preserve">Dutch </w:t>
      </w:r>
      <w:r w:rsidRPr="00B9523E">
        <w:rPr>
          <w:lang w:val="en-US"/>
        </w:rPr>
        <w:t>Guidelines</w:t>
      </w:r>
      <w:r w:rsidR="0091089A">
        <w:rPr>
          <w:lang w:val="en-US"/>
        </w:rPr>
        <w:t xml:space="preserve"> (</w:t>
      </w:r>
      <w:proofErr w:type="spellStart"/>
      <w:r w:rsidR="0091089A">
        <w:rPr>
          <w:lang w:val="en-US"/>
        </w:rPr>
        <w:t>Böhmer</w:t>
      </w:r>
      <w:proofErr w:type="spellEnd"/>
      <w:r w:rsidR="0091089A">
        <w:rPr>
          <w:lang w:val="en-US"/>
        </w:rPr>
        <w:t xml:space="preserve"> </w:t>
      </w:r>
      <w:proofErr w:type="spellStart"/>
      <w:r w:rsidR="0091089A">
        <w:rPr>
          <w:lang w:val="en-US"/>
        </w:rPr>
        <w:t>e.a</w:t>
      </w:r>
      <w:proofErr w:type="spellEnd"/>
      <w:r w:rsidR="0091089A">
        <w:rPr>
          <w:lang w:val="en-US"/>
        </w:rPr>
        <w:t>., 2012)</w:t>
      </w:r>
      <w:r w:rsidRPr="00B9523E">
        <w:rPr>
          <w:lang w:val="en-US"/>
        </w:rPr>
        <w:t>.</w:t>
      </w:r>
    </w:p>
    <w:p w:rsidR="0051545A" w:rsidRDefault="0051545A" w:rsidP="003F31A3">
      <w:pPr>
        <w:spacing w:line="360" w:lineRule="auto"/>
        <w:jc w:val="both"/>
        <w:rPr>
          <w:lang w:val="en-US"/>
        </w:rPr>
      </w:pPr>
    </w:p>
    <w:p w:rsidR="0051545A" w:rsidRDefault="0051545A" w:rsidP="003F31A3">
      <w:pPr>
        <w:spacing w:line="360" w:lineRule="auto"/>
        <w:jc w:val="both"/>
        <w:rPr>
          <w:lang w:val="en-US"/>
        </w:rPr>
      </w:pPr>
      <w:r w:rsidRPr="00FB4C0B">
        <w:rPr>
          <w:lang w:val="en-US"/>
        </w:rPr>
        <w:t xml:space="preserve">The RJ </w:t>
      </w:r>
      <w:r>
        <w:rPr>
          <w:lang w:val="en-US"/>
        </w:rPr>
        <w:t>reviews</w:t>
      </w:r>
      <w:r w:rsidRPr="00FB4C0B">
        <w:rPr>
          <w:lang w:val="en-US"/>
        </w:rPr>
        <w:t xml:space="preserve"> critically if the standards of the Internatio</w:t>
      </w:r>
      <w:r>
        <w:rPr>
          <w:lang w:val="en-US"/>
        </w:rPr>
        <w:t>nal Accounting Standards Board (IASB), which will be presented in this chapter as well,</w:t>
      </w:r>
      <w:r w:rsidRPr="00FB4C0B">
        <w:rPr>
          <w:lang w:val="en-US"/>
        </w:rPr>
        <w:t xml:space="preserve"> </w:t>
      </w:r>
      <w:r>
        <w:rPr>
          <w:lang w:val="en-US"/>
        </w:rPr>
        <w:t>could be applicable to Dutch legal entities. If these standards indeed contribute to further development of external financial reporting, certain standards can be introduced in the Dutch Guidelines (</w:t>
      </w:r>
      <w:proofErr w:type="spellStart"/>
      <w:r>
        <w:rPr>
          <w:lang w:val="en-US"/>
        </w:rPr>
        <w:t>Böhmer</w:t>
      </w:r>
      <w:proofErr w:type="spellEnd"/>
      <w:r>
        <w:rPr>
          <w:lang w:val="en-US"/>
        </w:rPr>
        <w:t xml:space="preserve"> </w:t>
      </w:r>
      <w:proofErr w:type="spellStart"/>
      <w:r>
        <w:rPr>
          <w:lang w:val="en-US"/>
        </w:rPr>
        <w:t>e.a</w:t>
      </w:r>
      <w:proofErr w:type="spellEnd"/>
      <w:r>
        <w:rPr>
          <w:lang w:val="en-US"/>
        </w:rPr>
        <w:t>., 2012).</w:t>
      </w:r>
    </w:p>
    <w:p w:rsidR="0051545A" w:rsidRDefault="0051545A" w:rsidP="003F31A3">
      <w:pPr>
        <w:spacing w:line="360" w:lineRule="auto"/>
        <w:jc w:val="both"/>
        <w:rPr>
          <w:lang w:val="en-US"/>
        </w:rPr>
      </w:pPr>
    </w:p>
    <w:p w:rsidR="0051545A" w:rsidRDefault="0051545A" w:rsidP="003F31A3">
      <w:pPr>
        <w:spacing w:line="360" w:lineRule="auto"/>
        <w:jc w:val="both"/>
      </w:pPr>
      <w:r>
        <w:t>Chapter 610 of the Dutch Guidelines applies to Dutch pension funds. Chapter 610 has been revised significantly in the so-called “2007 revision”</w:t>
      </w:r>
      <w:r w:rsidR="00FD12B7">
        <w:t xml:space="preserve"> that is applicable to annual reports that start on or after January 1</w:t>
      </w:r>
      <w:r w:rsidR="00FD12B7" w:rsidRPr="00FD12B7">
        <w:rPr>
          <w:vertAlign w:val="superscript"/>
        </w:rPr>
        <w:t>st</w:t>
      </w:r>
      <w:r w:rsidR="00FD12B7">
        <w:t xml:space="preserve"> of 2008.</w:t>
      </w:r>
      <w:r>
        <w:t xml:space="preserve"> In the 2005 revision of chapter 610, the recommendations regarding risk disclosures were limited in scope. At the time, Dutch Guideline 610.504, part of the “Other subjects”, described that with regard to investments</w:t>
      </w:r>
      <w:r w:rsidR="008E2696">
        <w:t>,</w:t>
      </w:r>
      <w:r>
        <w:t xml:space="preserve"> certain risks, developments and break-downs </w:t>
      </w:r>
      <w:r w:rsidRPr="00CE19C1">
        <w:rPr>
          <w:i/>
        </w:rPr>
        <w:t>could</w:t>
      </w:r>
      <w:r>
        <w:t xml:space="preserve"> be presented.</w:t>
      </w:r>
    </w:p>
    <w:p w:rsidR="0051545A" w:rsidRDefault="0051545A" w:rsidP="0051545A">
      <w:pPr>
        <w:spacing w:line="360" w:lineRule="auto"/>
      </w:pPr>
    </w:p>
    <w:p w:rsidR="0051545A" w:rsidRDefault="0051545A" w:rsidP="003F31A3">
      <w:pPr>
        <w:spacing w:line="360" w:lineRule="auto"/>
        <w:jc w:val="both"/>
      </w:pPr>
      <w:r>
        <w:t xml:space="preserve">The 2007 revisions resulted in the addition of specific and more extensive guidelines with regard to the risk paragraph of pension funds. In appendix </w:t>
      </w:r>
      <w:r w:rsidR="008E2696">
        <w:t>5</w:t>
      </w:r>
      <w:r>
        <w:t xml:space="preserve">, the risk paragraph has been translated. As presented in appendix </w:t>
      </w:r>
      <w:r w:rsidR="008E2696">
        <w:t>5</w:t>
      </w:r>
      <w:r>
        <w:t xml:space="preserve">, with regard to investments risks, RJ 610.403 recommends to present explanations from a policy point to interest rate risk, price risk, credit risk and liquidity risk. RJ 610.403 applies to annual reports, however, RJ 610.404 recommends to present further explanations to the risks described in RJ 610.403 in the annual accounts. This concerns the major risks. </w:t>
      </w:r>
    </w:p>
    <w:p w:rsidR="0051545A" w:rsidRDefault="0051545A" w:rsidP="003F31A3">
      <w:pPr>
        <w:spacing w:line="360" w:lineRule="auto"/>
        <w:jc w:val="both"/>
      </w:pPr>
    </w:p>
    <w:p w:rsidR="0051545A" w:rsidRDefault="0051545A" w:rsidP="003F31A3">
      <w:pPr>
        <w:spacing w:line="360" w:lineRule="auto"/>
        <w:jc w:val="both"/>
      </w:pPr>
      <w:r>
        <w:t xml:space="preserve">RJ 610.507 recommends to apply the revised </w:t>
      </w:r>
      <w:r w:rsidR="00476A70">
        <w:t xml:space="preserve">risk paragraph of </w:t>
      </w:r>
      <w:r>
        <w:t>chapter 610 to annual accounts beginning on or after 1 January 200</w:t>
      </w:r>
      <w:r w:rsidR="008E2696">
        <w:t xml:space="preserve">7. </w:t>
      </w:r>
      <w:r>
        <w:t>Up and un</w:t>
      </w:r>
      <w:r w:rsidR="00476A70">
        <w:t>til</w:t>
      </w:r>
      <w:r>
        <w:t xml:space="preserve"> the reporting year 2011, the guidelines regarding the risk paragraph have not changed. Hence, if the annual accounts have been presented in conformity with the recommendations of the RJ, there are no changes in the Dutch Guidelines regarding the risk paragraph that might lead to changes in the disclosure quality of the annual accounts</w:t>
      </w:r>
      <w:r w:rsidR="00476A70">
        <w:t xml:space="preserve"> </w:t>
      </w:r>
      <w:r w:rsidR="00476A70" w:rsidRPr="008E2696">
        <w:rPr>
          <w:i/>
        </w:rPr>
        <w:t>during</w:t>
      </w:r>
      <w:r w:rsidR="00476A70">
        <w:t xml:space="preserve"> the financial crisis</w:t>
      </w:r>
      <w:r>
        <w:t>.</w:t>
      </w:r>
      <w:r w:rsidR="00476A70">
        <w:t xml:space="preserve"> However, regarding the annual reports of 2006, the year </w:t>
      </w:r>
      <w:r w:rsidR="00476A70" w:rsidRPr="008E2696">
        <w:rPr>
          <w:i/>
        </w:rPr>
        <w:t>before</w:t>
      </w:r>
      <w:r w:rsidR="00476A70">
        <w:t xml:space="preserve"> the financial crisis, less specific and less extensive guidelines were applicable. During the research, this will have to be taken into account, as this might influence the research results.</w:t>
      </w:r>
      <w:r>
        <w:t xml:space="preserve"> </w:t>
      </w:r>
    </w:p>
    <w:p w:rsidR="001A574E" w:rsidRDefault="008157BD" w:rsidP="001A574E">
      <w:pPr>
        <w:pStyle w:val="Kop2"/>
        <w:numPr>
          <w:ilvl w:val="0"/>
          <w:numId w:val="0"/>
        </w:numPr>
        <w:spacing w:line="360" w:lineRule="auto"/>
        <w:ind w:left="576" w:hanging="576"/>
        <w:jc w:val="both"/>
        <w:rPr>
          <w:rStyle w:val="Nadruk"/>
          <w:rFonts w:ascii="Times New Roman" w:hAnsi="Times New Roman"/>
          <w:b/>
          <w:color w:val="000000"/>
          <w:sz w:val="24"/>
          <w:szCs w:val="24"/>
          <w:lang w:val="en-US"/>
        </w:rPr>
      </w:pPr>
      <w:bookmarkStart w:id="33" w:name="_Toc355387286"/>
      <w:r>
        <w:rPr>
          <w:rStyle w:val="Nadruk"/>
          <w:rFonts w:ascii="Times New Roman" w:hAnsi="Times New Roman"/>
          <w:b/>
          <w:sz w:val="24"/>
          <w:szCs w:val="24"/>
          <w:lang w:val="en-US"/>
        </w:rPr>
        <w:t>2.6</w:t>
      </w:r>
      <w:r w:rsidR="001A574E" w:rsidRPr="00067EF2">
        <w:rPr>
          <w:rStyle w:val="Nadruk"/>
          <w:rFonts w:ascii="Times New Roman" w:hAnsi="Times New Roman"/>
          <w:b/>
          <w:sz w:val="24"/>
          <w:szCs w:val="24"/>
          <w:lang w:val="en-US"/>
        </w:rPr>
        <w:t>.</w:t>
      </w:r>
      <w:r w:rsidR="001A574E">
        <w:rPr>
          <w:rStyle w:val="Nadruk"/>
          <w:rFonts w:ascii="Times New Roman" w:hAnsi="Times New Roman"/>
          <w:b/>
          <w:sz w:val="24"/>
          <w:szCs w:val="24"/>
          <w:lang w:val="en-US"/>
        </w:rPr>
        <w:t>3</w:t>
      </w:r>
      <w:r w:rsidR="001A574E" w:rsidRPr="00067EF2">
        <w:rPr>
          <w:rStyle w:val="Nadruk"/>
          <w:rFonts w:ascii="Times New Roman" w:hAnsi="Times New Roman"/>
          <w:b/>
          <w:sz w:val="24"/>
          <w:szCs w:val="24"/>
          <w:lang w:val="en-US"/>
        </w:rPr>
        <w:tab/>
      </w:r>
      <w:r w:rsidR="001A574E">
        <w:rPr>
          <w:rStyle w:val="Nadruk"/>
          <w:rFonts w:ascii="Times New Roman" w:hAnsi="Times New Roman"/>
          <w:b/>
          <w:color w:val="000000"/>
          <w:sz w:val="24"/>
          <w:szCs w:val="24"/>
          <w:lang w:val="en-US"/>
        </w:rPr>
        <w:t xml:space="preserve">Voluntary </w:t>
      </w:r>
      <w:r w:rsidR="001A574E" w:rsidRPr="001A574E">
        <w:rPr>
          <w:rStyle w:val="Nadruk"/>
          <w:rFonts w:ascii="Times New Roman" w:hAnsi="Times New Roman"/>
          <w:b/>
          <w:color w:val="000000"/>
          <w:sz w:val="24"/>
          <w:szCs w:val="24"/>
          <w:lang w:val="en-US"/>
        </w:rPr>
        <w:t>disclosures</w:t>
      </w:r>
      <w:bookmarkEnd w:id="33"/>
    </w:p>
    <w:p w:rsidR="000814F8" w:rsidRDefault="00E0246F" w:rsidP="003F31A3">
      <w:pPr>
        <w:spacing w:line="360" w:lineRule="auto"/>
        <w:jc w:val="both"/>
      </w:pPr>
      <w:r>
        <w:rPr>
          <w:lang w:val="en-US"/>
        </w:rPr>
        <w:t>Lev (1992</w:t>
      </w:r>
      <w:r w:rsidR="000814F8" w:rsidRPr="002B7768">
        <w:rPr>
          <w:lang w:val="en-US"/>
        </w:rPr>
        <w:t>) de</w:t>
      </w:r>
      <w:r w:rsidR="008E2696">
        <w:rPr>
          <w:lang w:val="en-US"/>
        </w:rPr>
        <w:t>scribes voluntary disclosure as “</w:t>
      </w:r>
      <w:r w:rsidR="000814F8">
        <w:rPr>
          <w:i/>
          <w:lang w:val="en-US"/>
        </w:rPr>
        <w:t>the in</w:t>
      </w:r>
      <w:r w:rsidR="000814F8" w:rsidRPr="002B7768">
        <w:rPr>
          <w:i/>
          <w:lang w:val="en-US"/>
        </w:rPr>
        <w:t>for</w:t>
      </w:r>
      <w:r w:rsidR="000814F8">
        <w:rPr>
          <w:i/>
          <w:lang w:val="en-US"/>
        </w:rPr>
        <w:t>m</w:t>
      </w:r>
      <w:r w:rsidR="000814F8" w:rsidRPr="002B7768">
        <w:rPr>
          <w:i/>
          <w:lang w:val="en-US"/>
        </w:rPr>
        <w:t>ation that is not required by laws or regulations</w:t>
      </w:r>
      <w:r>
        <w:rPr>
          <w:i/>
          <w:lang w:val="en-US"/>
        </w:rPr>
        <w:t>”.</w:t>
      </w:r>
      <w:r w:rsidR="000814F8" w:rsidRPr="002B7768">
        <w:rPr>
          <w:i/>
          <w:lang w:val="en-US"/>
        </w:rPr>
        <w:t xml:space="preserve"> </w:t>
      </w:r>
      <w:r>
        <w:rPr>
          <w:lang w:val="en-US"/>
        </w:rPr>
        <w:t>Gray et al. (2001) continue that voluntary disclosures concerns</w:t>
      </w:r>
      <w:r w:rsidR="000814F8" w:rsidRPr="002B7768">
        <w:rPr>
          <w:i/>
          <w:lang w:val="en-US"/>
        </w:rPr>
        <w:t xml:space="preserve"> </w:t>
      </w:r>
      <w:r>
        <w:rPr>
          <w:i/>
          <w:lang w:val="en-US"/>
        </w:rPr>
        <w:t>“</w:t>
      </w:r>
      <w:r w:rsidR="000814F8" w:rsidRPr="002B7768">
        <w:rPr>
          <w:i/>
          <w:lang w:val="en-US"/>
        </w:rPr>
        <w:t>the information that goes beyond the minimum required in a mandatory area”</w:t>
      </w:r>
      <w:r w:rsidR="008E2696">
        <w:rPr>
          <w:i/>
          <w:lang w:val="en-US"/>
        </w:rPr>
        <w:t xml:space="preserve">. </w:t>
      </w:r>
      <w:r w:rsidR="004F6788">
        <w:t>A number of pension funds go indeed beyond the minimum that is required in the mandatory area</w:t>
      </w:r>
      <w:r w:rsidR="008D052F">
        <w:t xml:space="preserve"> as will be described below</w:t>
      </w:r>
      <w:r w:rsidR="004F6788">
        <w:t xml:space="preserve">. </w:t>
      </w:r>
    </w:p>
    <w:p w:rsidR="008D052F" w:rsidRDefault="008D052F" w:rsidP="003F31A3">
      <w:pPr>
        <w:spacing w:line="360" w:lineRule="auto"/>
        <w:jc w:val="both"/>
        <w:rPr>
          <w:rStyle w:val="Nadruk"/>
        </w:rPr>
      </w:pPr>
    </w:p>
    <w:p w:rsidR="0051545A" w:rsidRPr="00FC72CE" w:rsidRDefault="0051545A" w:rsidP="003F31A3">
      <w:pPr>
        <w:spacing w:line="360" w:lineRule="auto"/>
        <w:jc w:val="both"/>
        <w:rPr>
          <w:rStyle w:val="Nadruk"/>
          <w:color w:val="000000"/>
        </w:rPr>
      </w:pPr>
      <w:r w:rsidRPr="00FC72CE">
        <w:rPr>
          <w:rStyle w:val="Nadruk"/>
        </w:rPr>
        <w:t>International Financial Reporting Standards (IFRS)</w:t>
      </w:r>
    </w:p>
    <w:p w:rsidR="0051545A" w:rsidRDefault="0051545A" w:rsidP="003F31A3">
      <w:pPr>
        <w:spacing w:line="360" w:lineRule="auto"/>
        <w:jc w:val="both"/>
      </w:pPr>
      <w:r>
        <w:t>Pension funds are not obliged to publish the financial statements in confirmation with IFRS. However, pension funds are permitted to voluntarily apply IFRS (</w:t>
      </w:r>
      <w:proofErr w:type="spellStart"/>
      <w:r>
        <w:t>Böhmer</w:t>
      </w:r>
      <w:proofErr w:type="spellEnd"/>
      <w:r>
        <w:t xml:space="preserve"> et al., 2012). When a pension funds applies IFRS, a Dutch pension fund still has to take into account the requirements of the Pension law and Title 9 Book 2 of the Civil Code.</w:t>
      </w:r>
    </w:p>
    <w:p w:rsidR="0051545A" w:rsidRDefault="0051545A" w:rsidP="003F31A3">
      <w:pPr>
        <w:spacing w:line="360" w:lineRule="auto"/>
        <w:jc w:val="both"/>
      </w:pPr>
    </w:p>
    <w:p w:rsidR="0051545A" w:rsidRPr="00A609D0" w:rsidRDefault="0051545A" w:rsidP="003F31A3">
      <w:pPr>
        <w:spacing w:line="360" w:lineRule="auto"/>
        <w:jc w:val="both"/>
        <w:rPr>
          <w:lang w:val="en-US"/>
        </w:rPr>
      </w:pPr>
      <w:r>
        <w:rPr>
          <w:lang w:val="en-US"/>
        </w:rPr>
        <w:t>IFRS 7 concerns the disclosures and describes</w:t>
      </w:r>
      <w:r w:rsidRPr="00A609D0">
        <w:rPr>
          <w:lang w:val="en-US"/>
        </w:rPr>
        <w:t xml:space="preserve"> </w:t>
      </w:r>
      <w:r>
        <w:rPr>
          <w:lang w:val="en-US"/>
        </w:rPr>
        <w:t xml:space="preserve">two parts, a part with quantitative disclosures regarding the positions on the balance sheet and the income statements and a second part with risk disclosures. These risk disclosures concern financial instruments and are presented ‘through the eyes of management’. The disclosures should present how management observes, quantifies and manages the risk of a fund (PricewaterhouseCoopers, 2010). </w:t>
      </w:r>
    </w:p>
    <w:p w:rsidR="0051545A" w:rsidRPr="00A609D0" w:rsidRDefault="0051545A" w:rsidP="003F31A3">
      <w:pPr>
        <w:jc w:val="both"/>
        <w:rPr>
          <w:lang w:val="en-US"/>
        </w:rPr>
      </w:pPr>
    </w:p>
    <w:p w:rsidR="0051545A" w:rsidRPr="00FB4C0B" w:rsidRDefault="0051545A" w:rsidP="003F31A3">
      <w:pPr>
        <w:spacing w:line="360" w:lineRule="auto"/>
        <w:jc w:val="both"/>
        <w:rPr>
          <w:lang w:val="en-US"/>
        </w:rPr>
      </w:pPr>
      <w:r>
        <w:t>August of 2005, IFRS has been issued and IFRS 7 is applicable to financial statements beginning on or after January 1</w:t>
      </w:r>
      <w:r w:rsidRPr="004D47D1">
        <w:rPr>
          <w:vertAlign w:val="superscript"/>
        </w:rPr>
        <w:t>st</w:t>
      </w:r>
      <w:r>
        <w:t xml:space="preserve"> of 2007, accordingly before the financial crisis took place. However, since January 1</w:t>
      </w:r>
      <w:r w:rsidRPr="004D47D1">
        <w:rPr>
          <w:vertAlign w:val="superscript"/>
        </w:rPr>
        <w:t>st</w:t>
      </w:r>
      <w:r>
        <w:rPr>
          <w:vertAlign w:val="superscript"/>
        </w:rPr>
        <w:t xml:space="preserve"> </w:t>
      </w:r>
      <w:r>
        <w:t>of 2007, a number of amendments are effective, for example on liquidity risk (Deloitte, 2012). This might influence the outcomes of the research.</w:t>
      </w:r>
      <w:r w:rsidR="008D052F">
        <w:t xml:space="preserve"> </w:t>
      </w:r>
      <w:r>
        <w:t xml:space="preserve">Compared to pension funds that do not apply IFRS, this could result in differences in the risk disclosures. As described above, pension funds are not obliged to apply IFRS. However, </w:t>
      </w:r>
      <w:proofErr w:type="spellStart"/>
      <w:r>
        <w:t>Stichting</w:t>
      </w:r>
      <w:proofErr w:type="spellEnd"/>
      <w:r>
        <w:t xml:space="preserve"> Shell </w:t>
      </w:r>
      <w:proofErr w:type="spellStart"/>
      <w:r>
        <w:t>Pensioenfonds</w:t>
      </w:r>
      <w:proofErr w:type="spellEnd"/>
      <w:r>
        <w:t xml:space="preserve"> is an example of a pension fund that indeed applies IFRS. </w:t>
      </w:r>
      <w:r w:rsidRPr="00FB4C0B">
        <w:rPr>
          <w:lang w:val="en-US"/>
        </w:rPr>
        <w:t xml:space="preserve"> </w:t>
      </w:r>
    </w:p>
    <w:p w:rsidR="001A574E" w:rsidRPr="001A574E" w:rsidRDefault="001A574E" w:rsidP="003F31A3">
      <w:pPr>
        <w:pStyle w:val="Kop2"/>
        <w:numPr>
          <w:ilvl w:val="0"/>
          <w:numId w:val="0"/>
        </w:numPr>
        <w:spacing w:line="360" w:lineRule="auto"/>
        <w:ind w:left="576" w:hanging="576"/>
        <w:jc w:val="both"/>
        <w:rPr>
          <w:rStyle w:val="Nadruk"/>
          <w:rFonts w:ascii="Times New Roman" w:hAnsi="Times New Roman"/>
          <w:sz w:val="24"/>
          <w:szCs w:val="24"/>
        </w:rPr>
      </w:pPr>
      <w:bookmarkStart w:id="34" w:name="_Toc355387287"/>
      <w:r>
        <w:rPr>
          <w:rStyle w:val="Nadruk"/>
          <w:rFonts w:ascii="Times New Roman" w:hAnsi="Times New Roman"/>
          <w:b/>
          <w:sz w:val="24"/>
          <w:szCs w:val="24"/>
          <w:lang w:val="en-US"/>
        </w:rPr>
        <w:t>2.</w:t>
      </w:r>
      <w:r w:rsidR="008157BD">
        <w:rPr>
          <w:rStyle w:val="Nadruk"/>
          <w:rFonts w:ascii="Times New Roman" w:hAnsi="Times New Roman"/>
          <w:b/>
          <w:sz w:val="24"/>
          <w:szCs w:val="24"/>
          <w:lang w:val="en-US"/>
        </w:rPr>
        <w:t>6</w:t>
      </w:r>
      <w:r w:rsidRPr="00067EF2">
        <w:rPr>
          <w:rStyle w:val="Nadruk"/>
          <w:rFonts w:ascii="Times New Roman" w:hAnsi="Times New Roman"/>
          <w:b/>
          <w:sz w:val="24"/>
          <w:szCs w:val="24"/>
          <w:lang w:val="en-US"/>
        </w:rPr>
        <w:t>.</w:t>
      </w:r>
      <w:r>
        <w:rPr>
          <w:rStyle w:val="Nadruk"/>
          <w:rFonts w:ascii="Times New Roman" w:hAnsi="Times New Roman"/>
          <w:b/>
          <w:sz w:val="24"/>
          <w:szCs w:val="24"/>
          <w:lang w:val="en-US"/>
        </w:rPr>
        <w:t>4</w:t>
      </w:r>
      <w:r w:rsidRPr="00067EF2">
        <w:rPr>
          <w:rStyle w:val="Nadruk"/>
          <w:rFonts w:ascii="Times New Roman" w:hAnsi="Times New Roman"/>
          <w:b/>
          <w:sz w:val="24"/>
          <w:szCs w:val="24"/>
          <w:lang w:val="en-US"/>
        </w:rPr>
        <w:tab/>
      </w:r>
      <w:r w:rsidRPr="001A574E">
        <w:rPr>
          <w:rStyle w:val="Nadruk"/>
          <w:rFonts w:ascii="Times New Roman" w:hAnsi="Times New Roman"/>
          <w:b/>
          <w:color w:val="000000"/>
          <w:sz w:val="24"/>
          <w:szCs w:val="24"/>
          <w:lang w:val="en-US"/>
        </w:rPr>
        <w:t>Boundary between voluntary and mandatory disclosures</w:t>
      </w:r>
      <w:bookmarkEnd w:id="34"/>
    </w:p>
    <w:p w:rsidR="00CE4566" w:rsidRDefault="00CE4566" w:rsidP="003F31A3">
      <w:pPr>
        <w:spacing w:line="360" w:lineRule="auto"/>
        <w:jc w:val="both"/>
        <w:rPr>
          <w:lang w:val="en-US"/>
        </w:rPr>
      </w:pPr>
      <w:r>
        <w:rPr>
          <w:lang w:val="en-US"/>
        </w:rPr>
        <w:t>T</w:t>
      </w:r>
      <w:r w:rsidR="00031717">
        <w:rPr>
          <w:lang w:val="en-US"/>
        </w:rPr>
        <w:t>here is no clearly defined boundary between voluntary and mandatory disclosures.</w:t>
      </w:r>
      <w:r w:rsidR="005A298D">
        <w:rPr>
          <w:lang w:val="en-US"/>
        </w:rPr>
        <w:t xml:space="preserve"> Gray et al. (2001</w:t>
      </w:r>
      <w:r w:rsidR="003D2824">
        <w:rPr>
          <w:lang w:val="en-US"/>
        </w:rPr>
        <w:t xml:space="preserve">) state </w:t>
      </w:r>
      <w:r w:rsidR="0019620B">
        <w:rPr>
          <w:lang w:val="en-US"/>
        </w:rPr>
        <w:t>that within the mandatory area, the disclosure of information might go beyond the minimum that is required. H</w:t>
      </w:r>
      <w:r w:rsidR="00611FEB">
        <w:rPr>
          <w:lang w:val="en-US"/>
        </w:rPr>
        <w:t>owever, it is difficult</w:t>
      </w:r>
      <w:r w:rsidR="0019620B">
        <w:rPr>
          <w:lang w:val="en-US"/>
        </w:rPr>
        <w:t xml:space="preserve"> to assess what these minimum requirements are. Although regarding risk disclosures, the requi</w:t>
      </w:r>
      <w:r w:rsidR="00D8095C">
        <w:rPr>
          <w:lang w:val="en-US"/>
        </w:rPr>
        <w:t>rements from the Civil Code of t</w:t>
      </w:r>
      <w:r w:rsidR="0019620B">
        <w:rPr>
          <w:lang w:val="en-US"/>
        </w:rPr>
        <w:t xml:space="preserve">he </w:t>
      </w:r>
      <w:r w:rsidR="00611FEB">
        <w:rPr>
          <w:lang w:val="en-US"/>
        </w:rPr>
        <w:t>Netherlands, the Dutch Guidelines of Annual Report</w:t>
      </w:r>
      <w:r w:rsidR="00F72A8B">
        <w:rPr>
          <w:lang w:val="en-US"/>
        </w:rPr>
        <w:t>ing</w:t>
      </w:r>
      <w:r w:rsidR="00611FEB">
        <w:rPr>
          <w:lang w:val="en-US"/>
        </w:rPr>
        <w:t xml:space="preserve">, the Pension Law and IFRS have already been presented, the boundary is still difficult to assess. </w:t>
      </w:r>
    </w:p>
    <w:p w:rsidR="00B227B5" w:rsidRDefault="00611FEB" w:rsidP="003F31A3">
      <w:pPr>
        <w:spacing w:line="360" w:lineRule="auto"/>
        <w:jc w:val="both"/>
      </w:pPr>
      <w:r>
        <w:rPr>
          <w:lang w:val="en-US"/>
        </w:rPr>
        <w:t>T</w:t>
      </w:r>
      <w:r w:rsidR="003C4813">
        <w:rPr>
          <w:lang w:val="en-US"/>
        </w:rPr>
        <w:t>he principles-based law systems that have to be applied to the Dutch pension funds increase the difficulty.</w:t>
      </w:r>
      <w:r w:rsidR="00CE4566">
        <w:rPr>
          <w:lang w:val="en-US"/>
        </w:rPr>
        <w:t xml:space="preserve"> </w:t>
      </w:r>
      <w:proofErr w:type="spellStart"/>
      <w:r w:rsidR="00B227B5">
        <w:t>DiPiazza</w:t>
      </w:r>
      <w:proofErr w:type="spellEnd"/>
      <w:r w:rsidR="00B227B5">
        <w:t xml:space="preserve"> et al. (2008) state that one should acknowledge that no system exists that is purely based on principles nor a system that is purely based on rules. However, the law as described </w:t>
      </w:r>
      <w:r w:rsidR="003C4813">
        <w:t>above</w:t>
      </w:r>
      <w:r w:rsidR="00B227B5">
        <w:t xml:space="preserve"> focuses more on a principles-based system. In their paper, </w:t>
      </w:r>
      <w:proofErr w:type="spellStart"/>
      <w:r w:rsidR="00B227B5">
        <w:t>DiPiazzo</w:t>
      </w:r>
      <w:proofErr w:type="spellEnd"/>
      <w:r w:rsidR="00B227B5">
        <w:t xml:space="preserve"> et al. (2008) emphasize that the preparers of the financial statements should </w:t>
      </w:r>
      <w:r w:rsidR="00B227B5">
        <w:rPr>
          <w:i/>
        </w:rPr>
        <w:t xml:space="preserve">“place more emphasis on the exercise of professional judgment”. </w:t>
      </w:r>
      <w:r w:rsidR="00B227B5">
        <w:t xml:space="preserve">This is an important remark, both the preparers and the users will have to take this into account.  </w:t>
      </w:r>
    </w:p>
    <w:p w:rsidR="00B227B5" w:rsidRPr="00640663" w:rsidRDefault="00B227B5" w:rsidP="003F31A3">
      <w:pPr>
        <w:spacing w:line="360" w:lineRule="auto"/>
        <w:jc w:val="both"/>
        <w:rPr>
          <w:lang w:val="en-US"/>
        </w:rPr>
      </w:pPr>
      <w:proofErr w:type="spellStart"/>
      <w:r>
        <w:t>DiPiazza</w:t>
      </w:r>
      <w:proofErr w:type="spellEnd"/>
      <w:r>
        <w:t xml:space="preserve"> et al. (2008) exemplify this with an example about fair value measurement and risks and emphasize that disclosure</w:t>
      </w:r>
      <w:r w:rsidR="009A249A">
        <w:t xml:space="preserve"> quality</w:t>
      </w:r>
      <w:r>
        <w:t xml:space="preserve"> might be enhanced by disclosing supplementary information. When certain investments of a pension fund have been presented at fair value, this will for several investments mean that risks of not or partially not receiving future cash flows have already been calculated in the fair value (</w:t>
      </w:r>
      <w:proofErr w:type="spellStart"/>
      <w:r>
        <w:t>DiPiazza</w:t>
      </w:r>
      <w:proofErr w:type="spellEnd"/>
      <w:r>
        <w:t xml:space="preserve"> et al</w:t>
      </w:r>
      <w:r w:rsidR="004F40F2">
        <w:t>.</w:t>
      </w:r>
      <w:r>
        <w:t>, 2008). Since the financial crisis, the investments in for example Greece have been restructured and revaluation of these investments ha</w:t>
      </w:r>
      <w:r w:rsidR="00AF2450">
        <w:t>s</w:t>
      </w:r>
      <w:r>
        <w:t xml:space="preserve"> already been priced in the fair value. However, additional information on the investments in Greece and the risks of these investments could enhance the faithful representation of the investments.</w:t>
      </w:r>
    </w:p>
    <w:p w:rsidR="009A7993" w:rsidRDefault="008157BD" w:rsidP="003F31A3">
      <w:pPr>
        <w:pStyle w:val="Kop2"/>
        <w:numPr>
          <w:ilvl w:val="0"/>
          <w:numId w:val="0"/>
        </w:numPr>
        <w:spacing w:line="360" w:lineRule="auto"/>
        <w:ind w:left="576" w:hanging="576"/>
        <w:jc w:val="both"/>
        <w:rPr>
          <w:rStyle w:val="Nadruk"/>
          <w:rFonts w:ascii="Times New Roman" w:hAnsi="Times New Roman"/>
          <w:b/>
          <w:color w:val="000000"/>
          <w:sz w:val="24"/>
          <w:szCs w:val="24"/>
          <w:lang w:val="en-US"/>
        </w:rPr>
      </w:pPr>
      <w:bookmarkStart w:id="35" w:name="_Toc355387288"/>
      <w:r>
        <w:rPr>
          <w:rStyle w:val="Nadruk"/>
          <w:rFonts w:ascii="Times New Roman" w:hAnsi="Times New Roman"/>
          <w:b/>
          <w:sz w:val="24"/>
          <w:szCs w:val="24"/>
          <w:lang w:val="en-US"/>
        </w:rPr>
        <w:t>2.7</w:t>
      </w:r>
      <w:r w:rsidR="009A7993" w:rsidRPr="00067EF2">
        <w:rPr>
          <w:rStyle w:val="Nadruk"/>
          <w:rFonts w:ascii="Times New Roman" w:hAnsi="Times New Roman"/>
          <w:b/>
          <w:sz w:val="24"/>
          <w:szCs w:val="24"/>
          <w:lang w:val="en-US"/>
        </w:rPr>
        <w:tab/>
      </w:r>
      <w:r w:rsidR="00BA3FA9">
        <w:rPr>
          <w:rStyle w:val="Nadruk"/>
          <w:rFonts w:ascii="Times New Roman" w:hAnsi="Times New Roman"/>
          <w:b/>
          <w:color w:val="000000"/>
          <w:sz w:val="24"/>
          <w:szCs w:val="24"/>
          <w:lang w:val="en-US"/>
        </w:rPr>
        <w:t>Measurement of disclosure quality</w:t>
      </w:r>
      <w:bookmarkEnd w:id="35"/>
    </w:p>
    <w:p w:rsidR="007E7893" w:rsidRDefault="000A52E6" w:rsidP="003F31A3">
      <w:pPr>
        <w:spacing w:line="360" w:lineRule="auto"/>
        <w:jc w:val="both"/>
      </w:pPr>
      <w:r>
        <w:rPr>
          <w:lang w:val="en-US"/>
        </w:rPr>
        <w:t xml:space="preserve">Several authors (e.g. Healy and </w:t>
      </w:r>
      <w:proofErr w:type="spellStart"/>
      <w:r>
        <w:rPr>
          <w:lang w:val="en-US"/>
        </w:rPr>
        <w:t>Palepu</w:t>
      </w:r>
      <w:proofErr w:type="spellEnd"/>
      <w:r>
        <w:rPr>
          <w:lang w:val="en-US"/>
        </w:rPr>
        <w:t xml:space="preserve"> (2001); </w:t>
      </w:r>
      <w:r w:rsidR="00DF41FB" w:rsidRPr="008A2235">
        <w:rPr>
          <w:lang w:val="en-US"/>
        </w:rPr>
        <w:t xml:space="preserve">Beattie et al. </w:t>
      </w:r>
      <w:r w:rsidR="00DF41FB">
        <w:t>(2004)</w:t>
      </w:r>
      <w:r>
        <w:t xml:space="preserve">; </w:t>
      </w:r>
      <w:proofErr w:type="spellStart"/>
      <w:r w:rsidR="007E7893">
        <w:t>Babbie</w:t>
      </w:r>
      <w:proofErr w:type="spellEnd"/>
      <w:r w:rsidR="007E7893">
        <w:t xml:space="preserve"> (2007); </w:t>
      </w:r>
      <w:r>
        <w:t>Hassan and Mars</w:t>
      </w:r>
      <w:r w:rsidR="007E7893">
        <w:t>t</w:t>
      </w:r>
      <w:r>
        <w:t>on (2010))</w:t>
      </w:r>
      <w:r w:rsidR="00DF41FB">
        <w:t xml:space="preserve"> have made an overview o</w:t>
      </w:r>
      <w:r w:rsidR="00EB3316">
        <w:t>f different approaches to analys</w:t>
      </w:r>
      <w:r w:rsidR="00DF41FB">
        <w:t xml:space="preserve">e </w:t>
      </w:r>
      <w:r w:rsidR="00EB3316">
        <w:t xml:space="preserve">and measure </w:t>
      </w:r>
      <w:r>
        <w:t xml:space="preserve">the </w:t>
      </w:r>
      <w:r w:rsidR="006B28A6">
        <w:t xml:space="preserve">disclosure quality </w:t>
      </w:r>
      <w:r w:rsidR="007E7893">
        <w:t xml:space="preserve">in annual reports. </w:t>
      </w:r>
    </w:p>
    <w:p w:rsidR="00581543" w:rsidRDefault="00581543" w:rsidP="003F31A3">
      <w:pPr>
        <w:spacing w:line="360" w:lineRule="auto"/>
        <w:jc w:val="both"/>
      </w:pPr>
    </w:p>
    <w:p w:rsidR="00D942C0" w:rsidRDefault="002C56EF" w:rsidP="003F31A3">
      <w:pPr>
        <w:spacing w:line="360" w:lineRule="auto"/>
        <w:jc w:val="both"/>
      </w:pPr>
      <w:r w:rsidRPr="00581543">
        <w:t>Beattie et al. (2004) distinguis</w:t>
      </w:r>
      <w:r w:rsidR="00581543" w:rsidRPr="00581543">
        <w:t>h subjec</w:t>
      </w:r>
      <w:r w:rsidR="00A66847">
        <w:t>tive ratings, disclosure index studies</w:t>
      </w:r>
      <w:r w:rsidR="00581543" w:rsidRPr="00581543">
        <w:t>, content analysis, readability studies and linguistic analysis</w:t>
      </w:r>
      <w:r w:rsidR="00A66847">
        <w:t xml:space="preserve"> as proxies for disclosure</w:t>
      </w:r>
      <w:r w:rsidR="00107581">
        <w:t xml:space="preserve"> measurement</w:t>
      </w:r>
      <w:r w:rsidR="00581543" w:rsidRPr="00581543">
        <w:t>.</w:t>
      </w:r>
      <w:r w:rsidR="00581543">
        <w:t xml:space="preserve"> </w:t>
      </w:r>
      <w:r w:rsidR="003A3398">
        <w:t>Hassan and Marston (2010) have presented subjective ratings as part of the broader category “Disclosure survey”.</w:t>
      </w:r>
      <w:r w:rsidR="00D942C0">
        <w:t xml:space="preserve"> All proxies will be described in this subparagraph, a</w:t>
      </w:r>
      <w:r w:rsidR="00EB2AFE">
        <w:t>s depicted in appendix 4</w:t>
      </w:r>
      <w:r w:rsidR="00A66847">
        <w:t xml:space="preserve">, in this thesis, subjective ratings will also be described as part of the disclosure surveys. </w:t>
      </w:r>
      <w:r w:rsidR="00D942C0">
        <w:t>E</w:t>
      </w:r>
      <w:r w:rsidR="00581543">
        <w:t>very research method</w:t>
      </w:r>
      <w:r w:rsidR="00D942C0">
        <w:t xml:space="preserve"> will be accompanied by</w:t>
      </w:r>
      <w:r w:rsidR="00581543">
        <w:t xml:space="preserve"> a general description</w:t>
      </w:r>
      <w:r w:rsidR="00D942C0">
        <w:t>, a</w:t>
      </w:r>
      <w:r w:rsidR="00581543">
        <w:t xml:space="preserve">dvantages and disadvantages </w:t>
      </w:r>
      <w:r w:rsidR="00D942C0">
        <w:t>and</w:t>
      </w:r>
      <w:r w:rsidR="001C2E19">
        <w:t>, if applicable,</w:t>
      </w:r>
      <w:r w:rsidR="0056675C">
        <w:t xml:space="preserve"> an</w:t>
      </w:r>
      <w:r w:rsidR="00D942C0">
        <w:t xml:space="preserve"> example of previous research.</w:t>
      </w:r>
    </w:p>
    <w:p w:rsidR="00F31930" w:rsidRPr="002545B5" w:rsidRDefault="008157BD" w:rsidP="008478DD">
      <w:pPr>
        <w:pStyle w:val="Kop2"/>
        <w:numPr>
          <w:ilvl w:val="0"/>
          <w:numId w:val="0"/>
        </w:numPr>
        <w:spacing w:line="360" w:lineRule="auto"/>
        <w:ind w:left="576" w:hanging="576"/>
        <w:jc w:val="both"/>
        <w:rPr>
          <w:rStyle w:val="Nadruk"/>
          <w:rFonts w:ascii="Times New Roman" w:hAnsi="Times New Roman"/>
          <w:iCs/>
          <w:sz w:val="24"/>
          <w:szCs w:val="24"/>
          <w:lang w:val="en-US"/>
        </w:rPr>
      </w:pPr>
      <w:bookmarkStart w:id="36" w:name="_Toc355387289"/>
      <w:r>
        <w:rPr>
          <w:rStyle w:val="Nadruk"/>
          <w:rFonts w:ascii="Times New Roman" w:hAnsi="Times New Roman"/>
          <w:b/>
          <w:sz w:val="24"/>
          <w:szCs w:val="24"/>
          <w:lang w:val="en-US"/>
        </w:rPr>
        <w:t>2.7</w:t>
      </w:r>
      <w:r w:rsidR="002545B5" w:rsidRPr="00067EF2">
        <w:rPr>
          <w:rStyle w:val="Nadruk"/>
          <w:rFonts w:ascii="Times New Roman" w:hAnsi="Times New Roman"/>
          <w:b/>
          <w:sz w:val="24"/>
          <w:szCs w:val="24"/>
          <w:lang w:val="en-US"/>
        </w:rPr>
        <w:t>.</w:t>
      </w:r>
      <w:r w:rsidR="002545B5">
        <w:rPr>
          <w:rStyle w:val="Nadruk"/>
          <w:rFonts w:ascii="Times New Roman" w:hAnsi="Times New Roman"/>
          <w:b/>
          <w:sz w:val="24"/>
          <w:szCs w:val="24"/>
          <w:lang w:val="en-US"/>
        </w:rPr>
        <w:t>1</w:t>
      </w:r>
      <w:r w:rsidR="002545B5" w:rsidRPr="00067EF2">
        <w:rPr>
          <w:rStyle w:val="Nadruk"/>
          <w:rFonts w:ascii="Times New Roman" w:hAnsi="Times New Roman"/>
          <w:b/>
          <w:sz w:val="24"/>
          <w:szCs w:val="24"/>
          <w:lang w:val="en-US"/>
        </w:rPr>
        <w:tab/>
      </w:r>
      <w:r w:rsidR="00F31930" w:rsidRPr="002545B5">
        <w:rPr>
          <w:rStyle w:val="Nadruk"/>
          <w:rFonts w:ascii="Times New Roman" w:hAnsi="Times New Roman"/>
          <w:b/>
          <w:sz w:val="24"/>
          <w:szCs w:val="24"/>
          <w:lang w:val="en-US"/>
        </w:rPr>
        <w:t>Disclosure survey (questionnaires and interviews)</w:t>
      </w:r>
      <w:bookmarkEnd w:id="36"/>
    </w:p>
    <w:p w:rsidR="00F31930" w:rsidRPr="00366840" w:rsidRDefault="00F31930" w:rsidP="003F31A3">
      <w:pPr>
        <w:jc w:val="both"/>
        <w:rPr>
          <w:lang w:val="en-US"/>
        </w:rPr>
      </w:pPr>
    </w:p>
    <w:p w:rsidR="00F31930" w:rsidRPr="000E0EE8" w:rsidRDefault="00F31930" w:rsidP="003F31A3">
      <w:pPr>
        <w:spacing w:line="360" w:lineRule="auto"/>
        <w:jc w:val="both"/>
        <w:rPr>
          <w:b/>
          <w:i/>
        </w:rPr>
      </w:pPr>
      <w:r>
        <w:rPr>
          <w:b/>
          <w:i/>
        </w:rPr>
        <w:t>General description</w:t>
      </w:r>
    </w:p>
    <w:p w:rsidR="00F31930" w:rsidRDefault="00F31930" w:rsidP="003F31A3">
      <w:pPr>
        <w:spacing w:line="360" w:lineRule="auto"/>
        <w:jc w:val="both"/>
      </w:pPr>
      <w:r>
        <w:t>Disclosure surveys are applied to investigate disclosure by the investigation of the perceptions of investors, financial analysts or other groups about the disclosures of certain firms with questionnaires or interviews (Hassan and Marston, 2010). In a typical survey research, a researcher selects a sample of respondents and supplies the respondents a standardized questionnaire (</w:t>
      </w:r>
      <w:proofErr w:type="spellStart"/>
      <w:r>
        <w:t>Babbie</w:t>
      </w:r>
      <w:proofErr w:type="spellEnd"/>
      <w:r>
        <w:t>, 2007).</w:t>
      </w:r>
    </w:p>
    <w:p w:rsidR="00F31930" w:rsidRDefault="00F31930" w:rsidP="003F31A3">
      <w:pPr>
        <w:spacing w:line="360" w:lineRule="auto"/>
        <w:jc w:val="both"/>
      </w:pPr>
    </w:p>
    <w:p w:rsidR="00F31930" w:rsidRPr="000E0EE8" w:rsidRDefault="00F31930" w:rsidP="003F31A3">
      <w:pPr>
        <w:spacing w:line="360" w:lineRule="auto"/>
        <w:jc w:val="both"/>
        <w:rPr>
          <w:b/>
          <w:i/>
        </w:rPr>
      </w:pPr>
      <w:r>
        <w:rPr>
          <w:b/>
          <w:i/>
        </w:rPr>
        <w:t>Advantages and disadvantages</w:t>
      </w:r>
    </w:p>
    <w:p w:rsidR="00F31930" w:rsidRPr="00873538" w:rsidRDefault="00F31930" w:rsidP="003F31A3">
      <w:pPr>
        <w:spacing w:line="360" w:lineRule="auto"/>
        <w:jc w:val="both"/>
      </w:pPr>
      <w:r>
        <w:t>Blumberg et al. (2011) describe versatility as t</w:t>
      </w:r>
      <w:r w:rsidR="00366840">
        <w:t>he great strength of a survey. A</w:t>
      </w:r>
      <w:r>
        <w:t xml:space="preserve">ll types of information can be gathered by questioning respondents. </w:t>
      </w:r>
      <w:proofErr w:type="spellStart"/>
      <w:r>
        <w:t>Babbie</w:t>
      </w:r>
      <w:proofErr w:type="spellEnd"/>
      <w:r>
        <w:t xml:space="preserve"> (2007) adds that a survey is especially useful when the research involves the description of characteristics of a large population and that surveys make it possible to work with large samples.     </w:t>
      </w:r>
    </w:p>
    <w:p w:rsidR="00F31930" w:rsidRDefault="00F31930" w:rsidP="003F31A3">
      <w:pPr>
        <w:spacing w:line="360" w:lineRule="auto"/>
        <w:jc w:val="both"/>
      </w:pPr>
      <w:r>
        <w:t xml:space="preserve">However, surveys have also their shortcomings. Blumberg et al. (2011) explain that </w:t>
      </w:r>
      <w:r w:rsidR="00366840">
        <w:t xml:space="preserve">the quality and quantity of </w:t>
      </w:r>
      <w:r>
        <w:t xml:space="preserve">information is heavily dependent on the possibilities and willingness of the participants to cooperate in the survey. </w:t>
      </w:r>
      <w:proofErr w:type="spellStart"/>
      <w:r>
        <w:t>Babbie</w:t>
      </w:r>
      <w:proofErr w:type="spellEnd"/>
      <w:r>
        <w:t xml:space="preserve"> </w:t>
      </w:r>
      <w:r w:rsidR="00EB2AFE">
        <w:t xml:space="preserve">(2007) </w:t>
      </w:r>
      <w:r w:rsidR="00366840">
        <w:t>continues</w:t>
      </w:r>
      <w:r>
        <w:t xml:space="preserve"> that surveys are subject to artificiality. An </w:t>
      </w:r>
      <w:r w:rsidR="00B94D1D">
        <w:t xml:space="preserve">example to illustrate this, </w:t>
      </w:r>
      <w:r>
        <w:t>when a person gives conservative answers in a questionnaire, it does not necessarily mean that this person is conservative.</w:t>
      </w:r>
    </w:p>
    <w:p w:rsidR="00F31930" w:rsidRDefault="00F31930" w:rsidP="003F31A3">
      <w:pPr>
        <w:spacing w:line="360" w:lineRule="auto"/>
        <w:jc w:val="both"/>
      </w:pPr>
    </w:p>
    <w:p w:rsidR="00F31930" w:rsidRDefault="00F31930" w:rsidP="003F31A3">
      <w:pPr>
        <w:spacing w:line="360" w:lineRule="auto"/>
        <w:jc w:val="both"/>
        <w:rPr>
          <w:b/>
          <w:i/>
        </w:rPr>
      </w:pPr>
      <w:r>
        <w:rPr>
          <w:b/>
          <w:i/>
        </w:rPr>
        <w:t>Previous research</w:t>
      </w:r>
    </w:p>
    <w:p w:rsidR="0019568F" w:rsidRDefault="000B16EE" w:rsidP="0019568F">
      <w:pPr>
        <w:spacing w:line="360" w:lineRule="auto"/>
        <w:jc w:val="both"/>
      </w:pPr>
      <w:r>
        <w:rPr>
          <w:iCs/>
        </w:rPr>
        <w:t xml:space="preserve">Hassan and Marston (2010) describe the reports of the </w:t>
      </w:r>
      <w:r>
        <w:t>Association of Investment Management Research (AIMR) as one of the most cited examples of applying disclosure survey.</w:t>
      </w:r>
      <w:r w:rsidR="00A0404E">
        <w:t xml:space="preserve"> </w:t>
      </w:r>
      <w:r w:rsidR="00E07D39">
        <w:t xml:space="preserve">Unfortunately, </w:t>
      </w:r>
      <w:r w:rsidR="0019568F">
        <w:t xml:space="preserve">these reports concern American sectors, few if no </w:t>
      </w:r>
      <w:r w:rsidR="001C2E19">
        <w:t>disclosure surveys have</w:t>
      </w:r>
      <w:r w:rsidR="0019568F">
        <w:t xml:space="preserve"> been conducted in the Dutch pension fund sector, therefore, no example of previous research will be provided. </w:t>
      </w:r>
    </w:p>
    <w:p w:rsidR="0019568F" w:rsidRPr="001C2E19" w:rsidRDefault="0019568F" w:rsidP="001836E2">
      <w:pPr>
        <w:jc w:val="both"/>
        <w:rPr>
          <w:rStyle w:val="Nadruk"/>
          <w:b w:val="0"/>
        </w:rPr>
      </w:pPr>
    </w:p>
    <w:p w:rsidR="00A369C3" w:rsidRPr="002545B5" w:rsidRDefault="00A369C3" w:rsidP="00A369C3">
      <w:pPr>
        <w:pStyle w:val="Kop2"/>
        <w:numPr>
          <w:ilvl w:val="0"/>
          <w:numId w:val="0"/>
        </w:numPr>
        <w:spacing w:line="360" w:lineRule="auto"/>
        <w:ind w:left="576" w:hanging="576"/>
        <w:jc w:val="both"/>
        <w:rPr>
          <w:rStyle w:val="Nadruk"/>
          <w:rFonts w:ascii="Times New Roman" w:hAnsi="Times New Roman"/>
          <w:iCs/>
          <w:sz w:val="24"/>
          <w:szCs w:val="24"/>
          <w:lang w:val="en-US"/>
        </w:rPr>
      </w:pPr>
      <w:bookmarkStart w:id="37" w:name="_Toc355387290"/>
      <w:r>
        <w:rPr>
          <w:rStyle w:val="Nadruk"/>
          <w:rFonts w:ascii="Times New Roman" w:hAnsi="Times New Roman"/>
          <w:b/>
          <w:sz w:val="24"/>
          <w:szCs w:val="24"/>
          <w:lang w:val="en-US"/>
        </w:rPr>
        <w:t>2.</w:t>
      </w:r>
      <w:r w:rsidR="008157BD">
        <w:rPr>
          <w:rStyle w:val="Nadruk"/>
          <w:rFonts w:ascii="Times New Roman" w:hAnsi="Times New Roman"/>
          <w:b/>
          <w:sz w:val="24"/>
          <w:szCs w:val="24"/>
          <w:lang w:val="en-US"/>
        </w:rPr>
        <w:t>7</w:t>
      </w:r>
      <w:r w:rsidRPr="00067EF2">
        <w:rPr>
          <w:rStyle w:val="Nadruk"/>
          <w:rFonts w:ascii="Times New Roman" w:hAnsi="Times New Roman"/>
          <w:b/>
          <w:sz w:val="24"/>
          <w:szCs w:val="24"/>
          <w:lang w:val="en-US"/>
        </w:rPr>
        <w:t>.</w:t>
      </w:r>
      <w:r>
        <w:rPr>
          <w:rStyle w:val="Nadruk"/>
          <w:rFonts w:ascii="Times New Roman" w:hAnsi="Times New Roman"/>
          <w:b/>
          <w:sz w:val="24"/>
          <w:szCs w:val="24"/>
          <w:lang w:val="en-US"/>
        </w:rPr>
        <w:t>2</w:t>
      </w:r>
      <w:r w:rsidRPr="00067EF2">
        <w:rPr>
          <w:rStyle w:val="Nadruk"/>
          <w:rFonts w:ascii="Times New Roman" w:hAnsi="Times New Roman"/>
          <w:b/>
          <w:sz w:val="24"/>
          <w:szCs w:val="24"/>
          <w:lang w:val="en-US"/>
        </w:rPr>
        <w:tab/>
      </w:r>
      <w:r w:rsidRPr="002545B5">
        <w:rPr>
          <w:rStyle w:val="Nadruk"/>
          <w:rFonts w:ascii="Times New Roman" w:hAnsi="Times New Roman"/>
          <w:b/>
          <w:sz w:val="24"/>
          <w:szCs w:val="24"/>
          <w:lang w:val="en-US"/>
        </w:rPr>
        <w:t xml:space="preserve">Disclosure </w:t>
      </w:r>
      <w:r>
        <w:rPr>
          <w:rStyle w:val="Nadruk"/>
          <w:rFonts w:ascii="Times New Roman" w:hAnsi="Times New Roman"/>
          <w:b/>
          <w:sz w:val="24"/>
          <w:szCs w:val="24"/>
          <w:lang w:val="en-US"/>
        </w:rPr>
        <w:t>index studies</w:t>
      </w:r>
      <w:bookmarkEnd w:id="37"/>
    </w:p>
    <w:p w:rsidR="008A6E04" w:rsidRDefault="00BE2D31" w:rsidP="001421A4">
      <w:pPr>
        <w:spacing w:line="360" w:lineRule="auto"/>
        <w:rPr>
          <w:b/>
          <w:i/>
          <w:lang w:val="en-US"/>
        </w:rPr>
      </w:pPr>
      <w:r>
        <w:rPr>
          <w:b/>
          <w:i/>
          <w:lang w:val="en-US"/>
        </w:rPr>
        <w:t>General description</w:t>
      </w:r>
    </w:p>
    <w:p w:rsidR="00933DD8" w:rsidRDefault="008A6E04" w:rsidP="003F31A3">
      <w:pPr>
        <w:spacing w:line="360" w:lineRule="auto"/>
        <w:jc w:val="both"/>
        <w:rPr>
          <w:lang w:val="en-US"/>
        </w:rPr>
      </w:pPr>
      <w:r>
        <w:rPr>
          <w:lang w:val="en-US"/>
        </w:rPr>
        <w:t xml:space="preserve">Disclosure index studies </w:t>
      </w:r>
      <w:r w:rsidR="00BE2D31">
        <w:rPr>
          <w:lang w:val="en-US"/>
        </w:rPr>
        <w:t xml:space="preserve">acknowledge that measuring disclosure quality is difficult and </w:t>
      </w:r>
      <w:r w:rsidR="00070AD2">
        <w:rPr>
          <w:lang w:val="en-US"/>
        </w:rPr>
        <w:t xml:space="preserve">these studies </w:t>
      </w:r>
      <w:r w:rsidR="00BE2D31">
        <w:rPr>
          <w:lang w:val="en-US"/>
        </w:rPr>
        <w:t>make the assumption that the number of disclos</w:t>
      </w:r>
      <w:r w:rsidR="00070AD2">
        <w:rPr>
          <w:lang w:val="en-US"/>
        </w:rPr>
        <w:t>ures of pre-defined subjects is a proxy</w:t>
      </w:r>
      <w:r w:rsidR="00BE2D31">
        <w:rPr>
          <w:lang w:val="en-US"/>
        </w:rPr>
        <w:t xml:space="preserve"> for disclosure quality (Beattie et al., 2004).</w:t>
      </w:r>
      <w:r w:rsidR="006F76C7">
        <w:rPr>
          <w:lang w:val="en-US"/>
        </w:rPr>
        <w:t xml:space="preserve"> </w:t>
      </w:r>
    </w:p>
    <w:p w:rsidR="00070AD2" w:rsidRDefault="00F90D7A" w:rsidP="003F31A3">
      <w:pPr>
        <w:spacing w:line="360" w:lineRule="auto"/>
        <w:jc w:val="both"/>
        <w:rPr>
          <w:lang w:val="en-US"/>
        </w:rPr>
      </w:pPr>
      <w:r>
        <w:rPr>
          <w:lang w:val="en-US"/>
        </w:rPr>
        <w:t xml:space="preserve">Hassan and Marston (2010) describe that disclosure indices can include mandatory as well as voluntary disclosures. According to Beattie et al. (2004), the majority of disclosure index studies is aimed to research differences between companies and countries. </w:t>
      </w:r>
      <w:r w:rsidR="006F76C7">
        <w:rPr>
          <w:lang w:val="en-US"/>
        </w:rPr>
        <w:t xml:space="preserve">Beattie et al. (2004) continue that </w:t>
      </w:r>
      <w:r w:rsidR="00531C49">
        <w:rPr>
          <w:lang w:val="en-US"/>
        </w:rPr>
        <w:t>in most cases, a binary coding scheme is applied in which the researcher records if an item is present or not. However, o</w:t>
      </w:r>
      <w:r w:rsidR="00F8654C">
        <w:rPr>
          <w:lang w:val="en-US"/>
        </w:rPr>
        <w:t xml:space="preserve">rdinal coding schemes are applied also frequently according to Beattie et al. (2004). </w:t>
      </w:r>
    </w:p>
    <w:p w:rsidR="00070AD2" w:rsidRDefault="00070AD2" w:rsidP="003F31A3">
      <w:pPr>
        <w:spacing w:line="360" w:lineRule="auto"/>
        <w:jc w:val="both"/>
        <w:rPr>
          <w:lang w:val="en-US"/>
        </w:rPr>
      </w:pPr>
    </w:p>
    <w:p w:rsidR="003D3358" w:rsidRPr="008A6E04" w:rsidRDefault="00070AD2" w:rsidP="003F31A3">
      <w:pPr>
        <w:spacing w:line="360" w:lineRule="auto"/>
        <w:jc w:val="both"/>
        <w:rPr>
          <w:lang w:val="en-US"/>
        </w:rPr>
      </w:pPr>
      <w:r>
        <w:rPr>
          <w:b/>
          <w:i/>
          <w:lang w:val="en-US"/>
        </w:rPr>
        <w:t>Advantages and disadvantages</w:t>
      </w:r>
      <w:r w:rsidR="00BE2D31">
        <w:rPr>
          <w:lang w:val="en-US"/>
        </w:rPr>
        <w:t xml:space="preserve">  </w:t>
      </w:r>
      <w:r w:rsidR="008A6E04">
        <w:rPr>
          <w:lang w:val="en-US"/>
        </w:rPr>
        <w:t xml:space="preserve"> </w:t>
      </w:r>
    </w:p>
    <w:p w:rsidR="008A6E04" w:rsidRDefault="00146B95" w:rsidP="003F31A3">
      <w:pPr>
        <w:spacing w:line="360" w:lineRule="auto"/>
        <w:jc w:val="both"/>
        <w:rPr>
          <w:lang w:val="en-US"/>
        </w:rPr>
      </w:pPr>
      <w:r>
        <w:rPr>
          <w:lang w:val="en-US"/>
        </w:rPr>
        <w:t xml:space="preserve">Hassan and Marston (2010) describe </w:t>
      </w:r>
      <w:r w:rsidR="006F76C7">
        <w:rPr>
          <w:lang w:val="en-US"/>
        </w:rPr>
        <w:t>the flexibility of this research method as a major advantage</w:t>
      </w:r>
      <w:r w:rsidR="00643FF3">
        <w:rPr>
          <w:lang w:val="en-US"/>
        </w:rPr>
        <w:t xml:space="preserve"> and emphasize that d</w:t>
      </w:r>
      <w:r w:rsidR="00F8654C">
        <w:rPr>
          <w:lang w:val="en-US"/>
        </w:rPr>
        <w:t xml:space="preserve">isclosure indices make it possible to </w:t>
      </w:r>
      <w:r w:rsidR="001C344D">
        <w:rPr>
          <w:lang w:val="en-US"/>
        </w:rPr>
        <w:t>make own customized indices that fits the needs of the researcher</w:t>
      </w:r>
      <w:r w:rsidR="00643FF3">
        <w:rPr>
          <w:lang w:val="en-US"/>
        </w:rPr>
        <w:t xml:space="preserve">. </w:t>
      </w:r>
      <w:r w:rsidR="001C344D">
        <w:rPr>
          <w:lang w:val="en-US"/>
        </w:rPr>
        <w:t xml:space="preserve"> </w:t>
      </w:r>
    </w:p>
    <w:p w:rsidR="001C344D" w:rsidRPr="00146B95" w:rsidRDefault="0088394A" w:rsidP="003F31A3">
      <w:pPr>
        <w:spacing w:line="360" w:lineRule="auto"/>
        <w:jc w:val="both"/>
        <w:rPr>
          <w:lang w:val="en-US"/>
        </w:rPr>
      </w:pPr>
      <w:r>
        <w:rPr>
          <w:lang w:val="en-US"/>
        </w:rPr>
        <w:t xml:space="preserve">Hassan and Marston (2010) describe </w:t>
      </w:r>
      <w:r w:rsidR="00F26AF3">
        <w:rPr>
          <w:lang w:val="en-US"/>
        </w:rPr>
        <w:t>as disadvantages that</w:t>
      </w:r>
      <w:r w:rsidR="00242926">
        <w:rPr>
          <w:lang w:val="en-US"/>
        </w:rPr>
        <w:t xml:space="preserve"> the research is subject to the judgment of the researcher and that</w:t>
      </w:r>
      <w:r w:rsidR="00F26AF3">
        <w:rPr>
          <w:lang w:val="en-US"/>
        </w:rPr>
        <w:t>, i</w:t>
      </w:r>
      <w:r w:rsidR="00C328F0">
        <w:rPr>
          <w:lang w:val="en-US"/>
        </w:rPr>
        <w:t xml:space="preserve">n general, </w:t>
      </w:r>
      <w:r w:rsidR="00F26AF3">
        <w:rPr>
          <w:lang w:val="en-US"/>
        </w:rPr>
        <w:t>it is</w:t>
      </w:r>
      <w:r w:rsidR="00C328F0">
        <w:rPr>
          <w:lang w:val="en-US"/>
        </w:rPr>
        <w:t xml:space="preserve"> resource-intensive to collect </w:t>
      </w:r>
      <w:r w:rsidR="00F26AF3">
        <w:rPr>
          <w:lang w:val="en-US"/>
        </w:rPr>
        <w:t>data which results in small samples</w:t>
      </w:r>
      <w:r w:rsidR="00242926">
        <w:rPr>
          <w:lang w:val="en-US"/>
        </w:rPr>
        <w:t xml:space="preserve">. </w:t>
      </w:r>
      <w:r w:rsidR="00F90D7A">
        <w:rPr>
          <w:lang w:val="en-US"/>
        </w:rPr>
        <w:t>Beatt</w:t>
      </w:r>
      <w:r w:rsidR="00AB1E1A">
        <w:rPr>
          <w:lang w:val="en-US"/>
        </w:rPr>
        <w:t xml:space="preserve">ie et al. (2004) emphasize that </w:t>
      </w:r>
      <w:r w:rsidR="00F90D7A">
        <w:rPr>
          <w:lang w:val="en-US"/>
        </w:rPr>
        <w:t>problems with reliab</w:t>
      </w:r>
      <w:r w:rsidR="00F43DED">
        <w:rPr>
          <w:lang w:val="en-US"/>
        </w:rPr>
        <w:t>ility and validity might occur.</w:t>
      </w:r>
    </w:p>
    <w:p w:rsidR="00BE2D31" w:rsidRDefault="00070AD2" w:rsidP="003F31A3">
      <w:pPr>
        <w:spacing w:line="360" w:lineRule="auto"/>
        <w:jc w:val="both"/>
        <w:rPr>
          <w:b/>
          <w:i/>
          <w:lang w:val="en-US"/>
        </w:rPr>
      </w:pPr>
      <w:r>
        <w:rPr>
          <w:b/>
          <w:i/>
          <w:lang w:val="en-US"/>
        </w:rPr>
        <w:t>Previous research</w:t>
      </w:r>
    </w:p>
    <w:p w:rsidR="00070AD2" w:rsidRPr="00EC43F5" w:rsidRDefault="00E66FEF" w:rsidP="003F31A3">
      <w:pPr>
        <w:spacing w:line="360" w:lineRule="auto"/>
        <w:jc w:val="both"/>
        <w:rPr>
          <w:b/>
          <w:lang w:val="en-US"/>
        </w:rPr>
      </w:pPr>
      <w:proofErr w:type="spellStart"/>
      <w:r w:rsidRPr="00EC43F5">
        <w:rPr>
          <w:b/>
          <w:lang w:val="en-US"/>
        </w:rPr>
        <w:t>Botosan</w:t>
      </w:r>
      <w:proofErr w:type="spellEnd"/>
      <w:r w:rsidRPr="00EC43F5">
        <w:rPr>
          <w:b/>
          <w:lang w:val="en-US"/>
        </w:rPr>
        <w:t xml:space="preserve"> (1997)</w:t>
      </w:r>
    </w:p>
    <w:p w:rsidR="0031789E" w:rsidRDefault="00E66FEF" w:rsidP="003F31A3">
      <w:pPr>
        <w:spacing w:line="360" w:lineRule="auto"/>
        <w:jc w:val="both"/>
        <w:rPr>
          <w:lang w:val="en-US"/>
        </w:rPr>
      </w:pPr>
      <w:proofErr w:type="spellStart"/>
      <w:r w:rsidRPr="00EC43F5">
        <w:rPr>
          <w:lang w:val="en-US"/>
        </w:rPr>
        <w:t>Botosan</w:t>
      </w:r>
      <w:proofErr w:type="spellEnd"/>
      <w:r w:rsidRPr="00EC43F5">
        <w:rPr>
          <w:lang w:val="en-US"/>
        </w:rPr>
        <w:t xml:space="preserve"> (1997) </w:t>
      </w:r>
      <w:r w:rsidR="004C085D">
        <w:rPr>
          <w:lang w:val="en-US"/>
        </w:rPr>
        <w:t xml:space="preserve">has applied a disclosure index study and </w:t>
      </w:r>
      <w:r w:rsidR="005327BF" w:rsidRPr="00EC43F5">
        <w:rPr>
          <w:lang w:val="en-US"/>
        </w:rPr>
        <w:t>aimed to supp</w:t>
      </w:r>
      <w:r w:rsidR="0031789E" w:rsidRPr="00EC43F5">
        <w:rPr>
          <w:lang w:val="en-US"/>
        </w:rPr>
        <w:t>ly further evidence regarding the association between equity capital costs and the level of disclosure and the size of this effect.</w:t>
      </w:r>
      <w:r w:rsidR="004C085D">
        <w:rPr>
          <w:lang w:val="en-US"/>
        </w:rPr>
        <w:t xml:space="preserve"> </w:t>
      </w:r>
      <w:proofErr w:type="spellStart"/>
      <w:r w:rsidR="002A2E8B" w:rsidRPr="00EC43F5">
        <w:rPr>
          <w:lang w:val="en-US"/>
        </w:rPr>
        <w:t>Botosan</w:t>
      </w:r>
      <w:proofErr w:type="spellEnd"/>
      <w:r w:rsidR="002A2E8B" w:rsidRPr="00EC43F5">
        <w:rPr>
          <w:lang w:val="en-US"/>
        </w:rPr>
        <w:t xml:space="preserve"> (1997) used a sample which consisted of the annual reports of 122 manufacturing enterprises. </w:t>
      </w:r>
      <w:proofErr w:type="spellStart"/>
      <w:r w:rsidR="002A2E8B" w:rsidRPr="00EC43F5">
        <w:rPr>
          <w:lang w:val="en-US"/>
        </w:rPr>
        <w:t>Botosan</w:t>
      </w:r>
      <w:proofErr w:type="spellEnd"/>
      <w:r w:rsidR="002A2E8B" w:rsidRPr="00EC43F5">
        <w:rPr>
          <w:lang w:val="en-US"/>
        </w:rPr>
        <w:t xml:space="preserve"> (1997) made a disclosure index </w:t>
      </w:r>
      <w:r w:rsidR="00025DC1" w:rsidRPr="00EC43F5">
        <w:rPr>
          <w:lang w:val="en-US"/>
        </w:rPr>
        <w:t>which contained five different categories of voluntary information.</w:t>
      </w:r>
      <w:r w:rsidR="00EC43F5">
        <w:rPr>
          <w:lang w:val="en-US"/>
        </w:rPr>
        <w:t xml:space="preserve"> </w:t>
      </w:r>
      <w:r w:rsidR="000C7E27">
        <w:rPr>
          <w:lang w:val="en-US"/>
        </w:rPr>
        <w:t xml:space="preserve">The results of the research of </w:t>
      </w:r>
      <w:proofErr w:type="spellStart"/>
      <w:r w:rsidR="000C7E27">
        <w:rPr>
          <w:lang w:val="en-US"/>
        </w:rPr>
        <w:t>Botosan</w:t>
      </w:r>
      <w:proofErr w:type="spellEnd"/>
      <w:r w:rsidR="000C7E27">
        <w:rPr>
          <w:lang w:val="en-US"/>
        </w:rPr>
        <w:t xml:space="preserve"> (1997) revealed that </w:t>
      </w:r>
      <w:r w:rsidR="000A18EA">
        <w:rPr>
          <w:lang w:val="en-US"/>
        </w:rPr>
        <w:t>for the sample with enterprises that were followed by a relatively smaller number of analysts, there was an associa</w:t>
      </w:r>
      <w:r w:rsidR="0022045E">
        <w:rPr>
          <w:lang w:val="en-US"/>
        </w:rPr>
        <w:t xml:space="preserve">tion between </w:t>
      </w:r>
      <w:r w:rsidR="000A18EA">
        <w:rPr>
          <w:lang w:val="en-US"/>
        </w:rPr>
        <w:t>more extensive disclosure and lower costs for equity capital. No association was measured for the sample with firms which were followed by a relatively larger number of analysts.</w:t>
      </w:r>
    </w:p>
    <w:p w:rsidR="0031789E" w:rsidRDefault="0031789E" w:rsidP="001421A4">
      <w:pPr>
        <w:rPr>
          <w:lang w:val="en-US"/>
        </w:rPr>
      </w:pPr>
    </w:p>
    <w:p w:rsidR="00A369C3" w:rsidRPr="002545B5" w:rsidRDefault="008157BD" w:rsidP="00A369C3">
      <w:pPr>
        <w:pStyle w:val="Kop2"/>
        <w:numPr>
          <w:ilvl w:val="0"/>
          <w:numId w:val="0"/>
        </w:numPr>
        <w:spacing w:line="360" w:lineRule="auto"/>
        <w:ind w:left="576" w:hanging="576"/>
        <w:jc w:val="both"/>
        <w:rPr>
          <w:rStyle w:val="Nadruk"/>
          <w:rFonts w:ascii="Times New Roman" w:hAnsi="Times New Roman"/>
          <w:iCs/>
          <w:sz w:val="24"/>
          <w:szCs w:val="24"/>
          <w:lang w:val="en-US"/>
        </w:rPr>
      </w:pPr>
      <w:bookmarkStart w:id="38" w:name="_Toc355387291"/>
      <w:r>
        <w:rPr>
          <w:rStyle w:val="Nadruk"/>
          <w:rFonts w:ascii="Times New Roman" w:hAnsi="Times New Roman"/>
          <w:b/>
          <w:sz w:val="24"/>
          <w:szCs w:val="24"/>
          <w:lang w:val="en-US"/>
        </w:rPr>
        <w:t>2.7</w:t>
      </w:r>
      <w:r w:rsidR="00A369C3" w:rsidRPr="00067EF2">
        <w:rPr>
          <w:rStyle w:val="Nadruk"/>
          <w:rFonts w:ascii="Times New Roman" w:hAnsi="Times New Roman"/>
          <w:b/>
          <w:sz w:val="24"/>
          <w:szCs w:val="24"/>
          <w:lang w:val="en-US"/>
        </w:rPr>
        <w:t>.</w:t>
      </w:r>
      <w:r w:rsidR="00A369C3">
        <w:rPr>
          <w:rStyle w:val="Nadruk"/>
          <w:rFonts w:ascii="Times New Roman" w:hAnsi="Times New Roman"/>
          <w:b/>
          <w:sz w:val="24"/>
          <w:szCs w:val="24"/>
          <w:lang w:val="en-US"/>
        </w:rPr>
        <w:t>3</w:t>
      </w:r>
      <w:r w:rsidR="00A369C3" w:rsidRPr="00067EF2">
        <w:rPr>
          <w:rStyle w:val="Nadruk"/>
          <w:rFonts w:ascii="Times New Roman" w:hAnsi="Times New Roman"/>
          <w:b/>
          <w:sz w:val="24"/>
          <w:szCs w:val="24"/>
          <w:lang w:val="en-US"/>
        </w:rPr>
        <w:tab/>
      </w:r>
      <w:r w:rsidR="00A369C3">
        <w:rPr>
          <w:rStyle w:val="Nadruk"/>
          <w:rFonts w:ascii="Times New Roman" w:hAnsi="Times New Roman"/>
          <w:b/>
          <w:sz w:val="24"/>
          <w:szCs w:val="24"/>
          <w:lang w:val="en-US"/>
        </w:rPr>
        <w:t>Content analysis</w:t>
      </w:r>
      <w:bookmarkEnd w:id="38"/>
    </w:p>
    <w:p w:rsidR="000E0EE8" w:rsidRPr="000E0EE8" w:rsidRDefault="000E0EE8" w:rsidP="000E0EE8">
      <w:pPr>
        <w:spacing w:line="360" w:lineRule="auto"/>
        <w:rPr>
          <w:b/>
          <w:i/>
        </w:rPr>
      </w:pPr>
      <w:r w:rsidRPr="000E0EE8">
        <w:rPr>
          <w:b/>
          <w:i/>
        </w:rPr>
        <w:t>General description</w:t>
      </w:r>
    </w:p>
    <w:p w:rsidR="00DF41FB" w:rsidRDefault="00DF41FB" w:rsidP="003F31A3">
      <w:pPr>
        <w:spacing w:line="360" w:lineRule="auto"/>
        <w:jc w:val="both"/>
      </w:pPr>
      <w:proofErr w:type="spellStart"/>
      <w:r>
        <w:t>Krippendorf</w:t>
      </w:r>
      <w:proofErr w:type="spellEnd"/>
      <w:r>
        <w:t xml:space="preserve"> (1980)</w:t>
      </w:r>
      <w:r w:rsidR="00C653A3">
        <w:t xml:space="preserve"> defines content analysis as </w:t>
      </w:r>
      <w:r w:rsidR="00C653A3" w:rsidRPr="00C653A3">
        <w:rPr>
          <w:i/>
        </w:rPr>
        <w:t>“</w:t>
      </w:r>
      <w:r w:rsidRPr="00C653A3">
        <w:rPr>
          <w:i/>
        </w:rPr>
        <w:t>a research technique for making replicable and valid inferences from data to their context</w:t>
      </w:r>
      <w:r w:rsidR="00C653A3" w:rsidRPr="00C653A3">
        <w:rPr>
          <w:i/>
        </w:rPr>
        <w:t>”</w:t>
      </w:r>
      <w:r>
        <w:t xml:space="preserve">. </w:t>
      </w:r>
    </w:p>
    <w:p w:rsidR="00DF41FB" w:rsidRDefault="00DF41FB" w:rsidP="003F31A3">
      <w:pPr>
        <w:spacing w:line="360" w:lineRule="auto"/>
        <w:jc w:val="both"/>
      </w:pPr>
    </w:p>
    <w:p w:rsidR="00DF41FB" w:rsidRDefault="00DF41FB" w:rsidP="003F31A3">
      <w:pPr>
        <w:spacing w:line="360" w:lineRule="auto"/>
        <w:jc w:val="both"/>
      </w:pPr>
      <w:r>
        <w:t xml:space="preserve">Hassan and Marston (2010) distinguish between conceptual and relational content analysis. Conceptual content analysis is used for the determination of the occurrence of the frequency of certain concepts or key words in texts of fragments of texts. Relational content analysis goes further than conceptual content analysis. As the term already conveys, relational content analysis examines also the </w:t>
      </w:r>
      <w:r w:rsidR="00BE0F47">
        <w:t>relation</w:t>
      </w:r>
      <w:r>
        <w:t>s between the concepts.</w:t>
      </w:r>
    </w:p>
    <w:p w:rsidR="00DF41FB" w:rsidRDefault="00DF41FB" w:rsidP="003F31A3">
      <w:pPr>
        <w:spacing w:line="360" w:lineRule="auto"/>
        <w:jc w:val="both"/>
      </w:pPr>
      <w:r>
        <w:t>Beattie et al. (2004) distinguish between partial and comprehensive content analysis. Partial content analysis examines only parts of the document or is restricted to selected keywords or items of information. Comprehensive content analysis, also referred to as holistic content analysis, examines the document as a whole.</w:t>
      </w:r>
    </w:p>
    <w:p w:rsidR="000E0EE8" w:rsidRDefault="000E0EE8" w:rsidP="003F31A3">
      <w:pPr>
        <w:spacing w:line="360" w:lineRule="auto"/>
        <w:jc w:val="both"/>
        <w:rPr>
          <w:b/>
          <w:i/>
        </w:rPr>
      </w:pPr>
    </w:p>
    <w:p w:rsidR="000E0EE8" w:rsidRDefault="000E0EE8" w:rsidP="003F31A3">
      <w:pPr>
        <w:spacing w:line="360" w:lineRule="auto"/>
        <w:jc w:val="both"/>
      </w:pPr>
      <w:r>
        <w:rPr>
          <w:b/>
          <w:i/>
        </w:rPr>
        <w:t>Advantages and disadvantages</w:t>
      </w:r>
    </w:p>
    <w:p w:rsidR="00DF41FB" w:rsidRDefault="00DF41FB" w:rsidP="003F31A3">
      <w:pPr>
        <w:spacing w:line="360" w:lineRule="auto"/>
        <w:jc w:val="both"/>
      </w:pPr>
      <w:proofErr w:type="spellStart"/>
      <w:r>
        <w:t>Babbie</w:t>
      </w:r>
      <w:proofErr w:type="spellEnd"/>
      <w:r>
        <w:t xml:space="preserve"> (2007)</w:t>
      </w:r>
      <w:r w:rsidR="00921240">
        <w:t xml:space="preserve"> describes advantages in time and money </w:t>
      </w:r>
      <w:r w:rsidR="00CE3B7F">
        <w:t xml:space="preserve">of content analysis </w:t>
      </w:r>
      <w:r w:rsidR="00921240">
        <w:t>as</w:t>
      </w:r>
      <w:r>
        <w:t xml:space="preserve"> maj</w:t>
      </w:r>
      <w:r w:rsidR="00CE3B7F">
        <w:t>or advantage compared to for example surveys</w:t>
      </w:r>
      <w:r w:rsidR="00921240">
        <w:t xml:space="preserve">. </w:t>
      </w:r>
      <w:proofErr w:type="spellStart"/>
      <w:r w:rsidR="00921240">
        <w:t>Babbie</w:t>
      </w:r>
      <w:proofErr w:type="spellEnd"/>
      <w:r w:rsidR="00921240">
        <w:t xml:space="preserve"> (2007) continues that a</w:t>
      </w:r>
      <w:r>
        <w:t>n extensive research group is not necessary</w:t>
      </w:r>
      <w:r w:rsidR="00921240">
        <w:t xml:space="preserve">, </w:t>
      </w:r>
      <w:r>
        <w:t>special research tools are not needed</w:t>
      </w:r>
      <w:r w:rsidR="00921240">
        <w:t xml:space="preserve"> and that in</w:t>
      </w:r>
      <w:r>
        <w:t xml:space="preserve"> most cases, content analysis does not have impact on the subject under study. </w:t>
      </w:r>
    </w:p>
    <w:p w:rsidR="00CE3B7F" w:rsidRDefault="00DF41FB" w:rsidP="00CE3B7F">
      <w:pPr>
        <w:spacing w:line="360" w:lineRule="auto"/>
        <w:jc w:val="both"/>
      </w:pPr>
      <w:r>
        <w:t>However, content analysis has also disadvantages. Blumberg et al. (2011) state that content analysis depends heavily on the quality of the input</w:t>
      </w:r>
      <w:r w:rsidR="00CE3B7F">
        <w:t xml:space="preserve"> and that </w:t>
      </w:r>
      <w:r>
        <w:t xml:space="preserve">the procedures for coding the information that have been established may lead to interpretation biases. </w:t>
      </w:r>
    </w:p>
    <w:p w:rsidR="00DF41FB" w:rsidRDefault="00DF41FB" w:rsidP="003F31A3">
      <w:pPr>
        <w:spacing w:line="360" w:lineRule="auto"/>
        <w:jc w:val="both"/>
      </w:pPr>
    </w:p>
    <w:p w:rsidR="000E0EE8" w:rsidRPr="000E0EE8" w:rsidRDefault="000E0EE8" w:rsidP="003F31A3">
      <w:pPr>
        <w:spacing w:line="360" w:lineRule="auto"/>
        <w:jc w:val="both"/>
        <w:rPr>
          <w:i/>
          <w:iCs/>
        </w:rPr>
      </w:pPr>
      <w:r>
        <w:rPr>
          <w:b/>
          <w:i/>
        </w:rPr>
        <w:t>Previous research</w:t>
      </w:r>
    </w:p>
    <w:p w:rsidR="000E0EE8" w:rsidRPr="00363316" w:rsidRDefault="000E0EE8" w:rsidP="003F31A3">
      <w:pPr>
        <w:spacing w:line="360" w:lineRule="auto"/>
        <w:jc w:val="both"/>
        <w:rPr>
          <w:rStyle w:val="Nadruk"/>
          <w:i w:val="0"/>
          <w:lang w:val="en-US"/>
        </w:rPr>
      </w:pPr>
      <w:proofErr w:type="spellStart"/>
      <w:r w:rsidRPr="00363316">
        <w:rPr>
          <w:rStyle w:val="Nadruk"/>
          <w:i w:val="0"/>
          <w:lang w:val="en-US"/>
        </w:rPr>
        <w:t>Linsley</w:t>
      </w:r>
      <w:proofErr w:type="spellEnd"/>
      <w:r w:rsidRPr="00363316">
        <w:rPr>
          <w:rStyle w:val="Nadruk"/>
          <w:i w:val="0"/>
          <w:lang w:val="en-US"/>
        </w:rPr>
        <w:t xml:space="preserve"> and Shrives (2006)</w:t>
      </w:r>
    </w:p>
    <w:p w:rsidR="000E0EE8" w:rsidRDefault="000E0EE8" w:rsidP="003F31A3">
      <w:pPr>
        <w:spacing w:line="360" w:lineRule="auto"/>
        <w:jc w:val="both"/>
        <w:rPr>
          <w:bCs/>
        </w:rPr>
      </w:pPr>
      <w:proofErr w:type="spellStart"/>
      <w:r w:rsidRPr="005C4F66">
        <w:rPr>
          <w:bCs/>
        </w:rPr>
        <w:t>Linsley</w:t>
      </w:r>
      <w:proofErr w:type="spellEnd"/>
      <w:r w:rsidRPr="005C4F66">
        <w:rPr>
          <w:bCs/>
        </w:rPr>
        <w:t xml:space="preserve"> and Shrives (2006) </w:t>
      </w:r>
      <w:r>
        <w:rPr>
          <w:bCs/>
        </w:rPr>
        <w:t xml:space="preserve">noticed that not much empirical research had been applied to study the risk disclosures of companies. </w:t>
      </w:r>
      <w:proofErr w:type="spellStart"/>
      <w:r>
        <w:rPr>
          <w:bCs/>
        </w:rPr>
        <w:t>Linsley</w:t>
      </w:r>
      <w:proofErr w:type="spellEnd"/>
      <w:r>
        <w:rPr>
          <w:bCs/>
        </w:rPr>
        <w:t xml:space="preserve"> and Shrives (2006) aimed to contribute to further empirical literature on this topic.</w:t>
      </w:r>
    </w:p>
    <w:p w:rsidR="00F43DED" w:rsidRDefault="00F43DED" w:rsidP="003F31A3">
      <w:pPr>
        <w:spacing w:line="360" w:lineRule="auto"/>
        <w:jc w:val="both"/>
        <w:rPr>
          <w:bCs/>
        </w:rPr>
      </w:pPr>
    </w:p>
    <w:p w:rsidR="00C208F8" w:rsidRDefault="000E0EE8" w:rsidP="003F31A3">
      <w:pPr>
        <w:spacing w:line="360" w:lineRule="auto"/>
        <w:jc w:val="both"/>
        <w:rPr>
          <w:bCs/>
        </w:rPr>
      </w:pPr>
      <w:r>
        <w:rPr>
          <w:bCs/>
        </w:rPr>
        <w:t xml:space="preserve">The researchers </w:t>
      </w:r>
      <w:r w:rsidR="008C4CB6">
        <w:rPr>
          <w:bCs/>
        </w:rPr>
        <w:t xml:space="preserve">have applied a content analysis to </w:t>
      </w:r>
      <w:r>
        <w:rPr>
          <w:bCs/>
        </w:rPr>
        <w:t xml:space="preserve">the annual reports of 79 non-financial companies that are listed on the FTSE 100 Index of the London Stock Exchange. </w:t>
      </w:r>
      <w:r w:rsidR="00C208F8">
        <w:rPr>
          <w:bCs/>
        </w:rPr>
        <w:t xml:space="preserve">One single coder collected the data, however, the authors supported in composing a coding sample. </w:t>
      </w:r>
    </w:p>
    <w:p w:rsidR="00C208F8" w:rsidRDefault="00C208F8" w:rsidP="003F31A3">
      <w:pPr>
        <w:spacing w:line="360" w:lineRule="auto"/>
        <w:jc w:val="both"/>
        <w:rPr>
          <w:bCs/>
        </w:rPr>
      </w:pPr>
    </w:p>
    <w:p w:rsidR="000E0EE8" w:rsidRDefault="000E0EE8" w:rsidP="003F31A3">
      <w:pPr>
        <w:spacing w:line="360" w:lineRule="auto"/>
        <w:jc w:val="both"/>
        <w:rPr>
          <w:bCs/>
        </w:rPr>
      </w:pPr>
      <w:r>
        <w:rPr>
          <w:bCs/>
        </w:rPr>
        <w:t xml:space="preserve">The research confirmed the hypothesis of </w:t>
      </w:r>
      <w:proofErr w:type="spellStart"/>
      <w:r>
        <w:rPr>
          <w:bCs/>
        </w:rPr>
        <w:t>Linsley</w:t>
      </w:r>
      <w:proofErr w:type="spellEnd"/>
      <w:r>
        <w:rPr>
          <w:bCs/>
        </w:rPr>
        <w:t xml:space="preserve"> and Shrives (2006) of the existence of a positive correlation between volumes of risk disclosure and company</w:t>
      </w:r>
      <w:r w:rsidR="00106CAA">
        <w:rPr>
          <w:bCs/>
        </w:rPr>
        <w:t xml:space="preserve"> size</w:t>
      </w:r>
      <w:r>
        <w:rPr>
          <w:bCs/>
        </w:rPr>
        <w:t xml:space="preserve">. The researchers state that they have succeeded in providing more empirical literature. However, </w:t>
      </w:r>
      <w:proofErr w:type="spellStart"/>
      <w:r>
        <w:rPr>
          <w:bCs/>
        </w:rPr>
        <w:t>Linsley</w:t>
      </w:r>
      <w:proofErr w:type="spellEnd"/>
      <w:r>
        <w:rPr>
          <w:bCs/>
        </w:rPr>
        <w:t xml:space="preserve"> and Shrives (2006) emphasize that more industry-specific and cross-country r</w:t>
      </w:r>
      <w:r w:rsidR="00752B40">
        <w:rPr>
          <w:bCs/>
        </w:rPr>
        <w:t>esearch regard</w:t>
      </w:r>
      <w:r w:rsidR="00106CAA">
        <w:rPr>
          <w:bCs/>
        </w:rPr>
        <w:t>ing</w:t>
      </w:r>
      <w:r w:rsidR="00752B40">
        <w:rPr>
          <w:bCs/>
        </w:rPr>
        <w:t xml:space="preserve"> risk dis</w:t>
      </w:r>
      <w:r w:rsidR="00106CAA">
        <w:rPr>
          <w:bCs/>
        </w:rPr>
        <w:t>closures has</w:t>
      </w:r>
      <w:r>
        <w:rPr>
          <w:bCs/>
        </w:rPr>
        <w:t xml:space="preserve"> to be conducted to further extend the knowledge of this research topic.</w:t>
      </w:r>
    </w:p>
    <w:p w:rsidR="00A369C3" w:rsidRPr="002545B5" w:rsidRDefault="008157BD" w:rsidP="003F31A3">
      <w:pPr>
        <w:pStyle w:val="Kop2"/>
        <w:numPr>
          <w:ilvl w:val="0"/>
          <w:numId w:val="0"/>
        </w:numPr>
        <w:spacing w:line="360" w:lineRule="auto"/>
        <w:ind w:left="576" w:hanging="576"/>
        <w:jc w:val="both"/>
        <w:rPr>
          <w:rStyle w:val="Nadruk"/>
          <w:rFonts w:ascii="Times New Roman" w:hAnsi="Times New Roman"/>
          <w:iCs/>
          <w:sz w:val="24"/>
          <w:szCs w:val="24"/>
          <w:lang w:val="en-US"/>
        </w:rPr>
      </w:pPr>
      <w:bookmarkStart w:id="39" w:name="_Toc355387292"/>
      <w:r>
        <w:rPr>
          <w:rStyle w:val="Nadruk"/>
          <w:rFonts w:ascii="Times New Roman" w:hAnsi="Times New Roman"/>
          <w:b/>
          <w:sz w:val="24"/>
          <w:szCs w:val="24"/>
          <w:lang w:val="en-US"/>
        </w:rPr>
        <w:t>2.7</w:t>
      </w:r>
      <w:r w:rsidR="00A369C3" w:rsidRPr="00067EF2">
        <w:rPr>
          <w:rStyle w:val="Nadruk"/>
          <w:rFonts w:ascii="Times New Roman" w:hAnsi="Times New Roman"/>
          <w:b/>
          <w:sz w:val="24"/>
          <w:szCs w:val="24"/>
          <w:lang w:val="en-US"/>
        </w:rPr>
        <w:t>.</w:t>
      </w:r>
      <w:r w:rsidR="003D4F9C">
        <w:rPr>
          <w:rStyle w:val="Nadruk"/>
          <w:rFonts w:ascii="Times New Roman" w:hAnsi="Times New Roman"/>
          <w:b/>
          <w:sz w:val="24"/>
          <w:szCs w:val="24"/>
          <w:lang w:val="en-US"/>
        </w:rPr>
        <w:t>4</w:t>
      </w:r>
      <w:r w:rsidR="00A369C3" w:rsidRPr="00067EF2">
        <w:rPr>
          <w:rStyle w:val="Nadruk"/>
          <w:rFonts w:ascii="Times New Roman" w:hAnsi="Times New Roman"/>
          <w:b/>
          <w:sz w:val="24"/>
          <w:szCs w:val="24"/>
          <w:lang w:val="en-US"/>
        </w:rPr>
        <w:tab/>
      </w:r>
      <w:r w:rsidR="00A369C3">
        <w:rPr>
          <w:rStyle w:val="Nadruk"/>
          <w:rFonts w:ascii="Times New Roman" w:hAnsi="Times New Roman"/>
          <w:b/>
          <w:sz w:val="24"/>
          <w:szCs w:val="24"/>
          <w:lang w:val="en-US"/>
        </w:rPr>
        <w:t>Readability studies</w:t>
      </w:r>
      <w:bookmarkEnd w:id="39"/>
    </w:p>
    <w:p w:rsidR="00267BD1" w:rsidRPr="004F4B1E" w:rsidRDefault="00267BD1" w:rsidP="003F31A3">
      <w:pPr>
        <w:spacing w:line="360" w:lineRule="auto"/>
        <w:jc w:val="both"/>
        <w:rPr>
          <w:b/>
          <w:i/>
          <w:iCs/>
          <w:lang w:val="en-US"/>
        </w:rPr>
      </w:pPr>
      <w:r w:rsidRPr="004F4B1E">
        <w:rPr>
          <w:b/>
          <w:i/>
          <w:iCs/>
          <w:lang w:val="en-US"/>
        </w:rPr>
        <w:t>General description</w:t>
      </w:r>
    </w:p>
    <w:p w:rsidR="00DF41FB" w:rsidRDefault="00DF41FB" w:rsidP="003F31A3">
      <w:pPr>
        <w:spacing w:line="360" w:lineRule="auto"/>
        <w:jc w:val="both"/>
        <w:rPr>
          <w:bCs/>
          <w:lang w:val="en-US"/>
        </w:rPr>
      </w:pPr>
      <w:r w:rsidRPr="004F4B1E">
        <w:rPr>
          <w:bCs/>
          <w:lang w:val="en-US"/>
        </w:rPr>
        <w:t xml:space="preserve">Beattie et al. </w:t>
      </w:r>
      <w:r w:rsidRPr="00F56368">
        <w:rPr>
          <w:bCs/>
          <w:lang w:val="en-US"/>
        </w:rPr>
        <w:t xml:space="preserve">(2004) describe that readability </w:t>
      </w:r>
      <w:r>
        <w:rPr>
          <w:bCs/>
          <w:lang w:val="en-US"/>
        </w:rPr>
        <w:t xml:space="preserve">studies have been developed to express as a quantity </w:t>
      </w:r>
      <w:r w:rsidRPr="00F96E31">
        <w:rPr>
          <w:bCs/>
          <w:i/>
          <w:lang w:val="en-US"/>
        </w:rPr>
        <w:t>“the cognitive difficulty of text”</w:t>
      </w:r>
      <w:r>
        <w:rPr>
          <w:bCs/>
          <w:lang w:val="en-US"/>
        </w:rPr>
        <w:t xml:space="preserve">. To measure the level of difficulty of material that has been written, readability indexes can be used. The </w:t>
      </w:r>
      <w:proofErr w:type="spellStart"/>
      <w:r>
        <w:rPr>
          <w:bCs/>
          <w:lang w:val="en-US"/>
        </w:rPr>
        <w:t>Flesch</w:t>
      </w:r>
      <w:proofErr w:type="spellEnd"/>
      <w:r>
        <w:rPr>
          <w:bCs/>
          <w:lang w:val="en-US"/>
        </w:rPr>
        <w:t xml:space="preserve"> Reading Ease Score, </w:t>
      </w:r>
      <w:proofErr w:type="spellStart"/>
      <w:r>
        <w:rPr>
          <w:bCs/>
          <w:lang w:val="en-US"/>
        </w:rPr>
        <w:t>Flesch</w:t>
      </w:r>
      <w:proofErr w:type="spellEnd"/>
      <w:r>
        <w:rPr>
          <w:bCs/>
          <w:lang w:val="en-US"/>
        </w:rPr>
        <w:t xml:space="preserve"> Kincaid Grade Level and Gunning’s Fog Index are three examples of readability indexes (Blumberg et al., 2011). Subsequently, the calculated scores will be compared with a benchmark to assess the readability.</w:t>
      </w:r>
    </w:p>
    <w:p w:rsidR="00DF41FB" w:rsidRDefault="00DF41FB" w:rsidP="003F31A3">
      <w:pPr>
        <w:spacing w:line="360" w:lineRule="auto"/>
        <w:jc w:val="both"/>
        <w:rPr>
          <w:bCs/>
          <w:lang w:val="en-US"/>
        </w:rPr>
      </w:pPr>
      <w:r>
        <w:rPr>
          <w:bCs/>
          <w:lang w:val="en-US"/>
        </w:rPr>
        <w:t xml:space="preserve"> </w:t>
      </w:r>
    </w:p>
    <w:p w:rsidR="00267BD1" w:rsidRPr="00267BD1" w:rsidRDefault="00267BD1" w:rsidP="003F31A3">
      <w:pPr>
        <w:spacing w:line="360" w:lineRule="auto"/>
        <w:jc w:val="both"/>
        <w:rPr>
          <w:b/>
          <w:bCs/>
          <w:i/>
        </w:rPr>
      </w:pPr>
      <w:r>
        <w:rPr>
          <w:b/>
          <w:bCs/>
          <w:i/>
        </w:rPr>
        <w:t>Advantages and disadvantages</w:t>
      </w:r>
    </w:p>
    <w:p w:rsidR="00DF41FB" w:rsidRDefault="00DF41FB" w:rsidP="003F31A3">
      <w:pPr>
        <w:spacing w:line="360" w:lineRule="auto"/>
        <w:jc w:val="both"/>
        <w:rPr>
          <w:bCs/>
        </w:rPr>
      </w:pPr>
      <w:r>
        <w:rPr>
          <w:bCs/>
        </w:rPr>
        <w:t>The objectivity is, according to Beattie et al. (2004) a major advantage of this research method.</w:t>
      </w:r>
      <w:r w:rsidR="00603631">
        <w:rPr>
          <w:bCs/>
        </w:rPr>
        <w:t xml:space="preserve"> Blumberg et al. (2011) continue that readability indexes are relatively easy to apply.</w:t>
      </w:r>
    </w:p>
    <w:p w:rsidR="00DF41FB" w:rsidRDefault="00DF41FB" w:rsidP="003F31A3">
      <w:pPr>
        <w:spacing w:line="360" w:lineRule="auto"/>
        <w:jc w:val="both"/>
        <w:rPr>
          <w:bCs/>
          <w:lang w:val="en-US"/>
        </w:rPr>
      </w:pPr>
      <w:r w:rsidRPr="00AB5E03">
        <w:rPr>
          <w:bCs/>
          <w:lang w:val="en-US"/>
        </w:rPr>
        <w:t xml:space="preserve">Beattie et al. </w:t>
      </w:r>
      <w:r w:rsidRPr="00764F7E">
        <w:rPr>
          <w:bCs/>
          <w:lang w:val="en-US"/>
        </w:rPr>
        <w:t xml:space="preserve">(2004) </w:t>
      </w:r>
      <w:r w:rsidR="00603631">
        <w:rPr>
          <w:bCs/>
          <w:lang w:val="en-US"/>
        </w:rPr>
        <w:t>give as a disadvantage that the method is</w:t>
      </w:r>
      <w:r>
        <w:rPr>
          <w:bCs/>
          <w:lang w:val="en-US"/>
        </w:rPr>
        <w:t xml:space="preserve"> less appropriate for texts that are more technical, like annual reports.</w:t>
      </w:r>
      <w:r w:rsidR="00603631">
        <w:rPr>
          <w:bCs/>
          <w:lang w:val="en-US"/>
        </w:rPr>
        <w:t xml:space="preserve"> Beattie et al. (2004) continue that readability studies </w:t>
      </w:r>
      <w:r>
        <w:rPr>
          <w:bCs/>
          <w:lang w:val="en-US"/>
        </w:rPr>
        <w:t>overlook aspects of the whole text</w:t>
      </w:r>
      <w:r w:rsidR="00603631">
        <w:rPr>
          <w:bCs/>
          <w:lang w:val="en-US"/>
        </w:rPr>
        <w:t xml:space="preserve"> and </w:t>
      </w:r>
      <w:r>
        <w:rPr>
          <w:bCs/>
          <w:lang w:val="en-US"/>
        </w:rPr>
        <w:t xml:space="preserve">are more focused on features on sentence- and word-level. Moreover, </w:t>
      </w:r>
      <w:r w:rsidR="00603631">
        <w:rPr>
          <w:bCs/>
          <w:lang w:val="en-US"/>
        </w:rPr>
        <w:t xml:space="preserve">according to Beattie et al. (2004), </w:t>
      </w:r>
      <w:r>
        <w:rPr>
          <w:bCs/>
          <w:lang w:val="en-US"/>
        </w:rPr>
        <w:t>this research method does not sufficiently take the motivations and interests of the reader into consideration.</w:t>
      </w:r>
    </w:p>
    <w:p w:rsidR="006242FD" w:rsidRDefault="006242FD" w:rsidP="003F31A3">
      <w:pPr>
        <w:spacing w:line="360" w:lineRule="auto"/>
        <w:jc w:val="both"/>
        <w:rPr>
          <w:b/>
          <w:bCs/>
          <w:u w:val="single"/>
        </w:rPr>
      </w:pPr>
    </w:p>
    <w:p w:rsidR="006242FD" w:rsidRDefault="006242FD" w:rsidP="003F31A3">
      <w:pPr>
        <w:spacing w:line="360" w:lineRule="auto"/>
        <w:jc w:val="both"/>
        <w:rPr>
          <w:b/>
          <w:bCs/>
          <w:i/>
        </w:rPr>
      </w:pPr>
      <w:r>
        <w:rPr>
          <w:b/>
          <w:bCs/>
          <w:i/>
        </w:rPr>
        <w:t>Previous research</w:t>
      </w:r>
    </w:p>
    <w:p w:rsidR="006242FD" w:rsidRDefault="006242FD" w:rsidP="003F31A3">
      <w:pPr>
        <w:spacing w:line="360" w:lineRule="auto"/>
        <w:jc w:val="both"/>
        <w:rPr>
          <w:bCs/>
        </w:rPr>
      </w:pPr>
      <w:r>
        <w:rPr>
          <w:bCs/>
        </w:rPr>
        <w:t>No previous research will be further elaborated, because this research method is not appropriate for researching annual reports, an important part of this thesis.</w:t>
      </w:r>
    </w:p>
    <w:p w:rsidR="006242FD" w:rsidRPr="006242FD" w:rsidRDefault="006242FD" w:rsidP="00901897">
      <w:pPr>
        <w:jc w:val="both"/>
        <w:rPr>
          <w:bCs/>
        </w:rPr>
      </w:pPr>
      <w:r>
        <w:rPr>
          <w:bCs/>
        </w:rPr>
        <w:t xml:space="preserve"> </w:t>
      </w:r>
    </w:p>
    <w:p w:rsidR="003D4F9C" w:rsidRPr="002545B5" w:rsidRDefault="008157BD" w:rsidP="003F31A3">
      <w:pPr>
        <w:pStyle w:val="Kop2"/>
        <w:numPr>
          <w:ilvl w:val="0"/>
          <w:numId w:val="0"/>
        </w:numPr>
        <w:spacing w:line="360" w:lineRule="auto"/>
        <w:ind w:left="576" w:hanging="576"/>
        <w:jc w:val="both"/>
        <w:rPr>
          <w:rStyle w:val="Nadruk"/>
          <w:rFonts w:ascii="Times New Roman" w:hAnsi="Times New Roman"/>
          <w:iCs/>
          <w:sz w:val="24"/>
          <w:szCs w:val="24"/>
          <w:lang w:val="en-US"/>
        </w:rPr>
      </w:pPr>
      <w:bookmarkStart w:id="40" w:name="_Toc355387293"/>
      <w:r>
        <w:rPr>
          <w:rStyle w:val="Nadruk"/>
          <w:rFonts w:ascii="Times New Roman" w:hAnsi="Times New Roman"/>
          <w:b/>
          <w:sz w:val="24"/>
          <w:szCs w:val="24"/>
          <w:lang w:val="en-US"/>
        </w:rPr>
        <w:t>2.7</w:t>
      </w:r>
      <w:r w:rsidR="003D4F9C" w:rsidRPr="00067EF2">
        <w:rPr>
          <w:rStyle w:val="Nadruk"/>
          <w:rFonts w:ascii="Times New Roman" w:hAnsi="Times New Roman"/>
          <w:b/>
          <w:sz w:val="24"/>
          <w:szCs w:val="24"/>
          <w:lang w:val="en-US"/>
        </w:rPr>
        <w:t>.</w:t>
      </w:r>
      <w:r w:rsidR="003D4F9C">
        <w:rPr>
          <w:rStyle w:val="Nadruk"/>
          <w:rFonts w:ascii="Times New Roman" w:hAnsi="Times New Roman"/>
          <w:b/>
          <w:sz w:val="24"/>
          <w:szCs w:val="24"/>
          <w:lang w:val="en-US"/>
        </w:rPr>
        <w:t>5</w:t>
      </w:r>
      <w:r w:rsidR="003D4F9C" w:rsidRPr="00067EF2">
        <w:rPr>
          <w:rStyle w:val="Nadruk"/>
          <w:rFonts w:ascii="Times New Roman" w:hAnsi="Times New Roman"/>
          <w:b/>
          <w:sz w:val="24"/>
          <w:szCs w:val="24"/>
          <w:lang w:val="en-US"/>
        </w:rPr>
        <w:tab/>
      </w:r>
      <w:r w:rsidR="003D4F9C">
        <w:rPr>
          <w:rStyle w:val="Nadruk"/>
          <w:rFonts w:ascii="Times New Roman" w:hAnsi="Times New Roman"/>
          <w:b/>
          <w:sz w:val="24"/>
          <w:szCs w:val="24"/>
          <w:lang w:val="en-US"/>
        </w:rPr>
        <w:t>Linguistic analysis</w:t>
      </w:r>
      <w:bookmarkEnd w:id="40"/>
    </w:p>
    <w:p w:rsidR="00267BD1" w:rsidRPr="004F4B1E" w:rsidRDefault="00267BD1" w:rsidP="003F31A3">
      <w:pPr>
        <w:spacing w:line="360" w:lineRule="auto"/>
        <w:jc w:val="both"/>
        <w:rPr>
          <w:b/>
          <w:bCs/>
          <w:i/>
          <w:lang w:val="en-US"/>
        </w:rPr>
      </w:pPr>
      <w:r w:rsidRPr="004F4B1E">
        <w:rPr>
          <w:b/>
          <w:bCs/>
          <w:i/>
          <w:lang w:val="en-US"/>
        </w:rPr>
        <w:t>General description</w:t>
      </w:r>
    </w:p>
    <w:p w:rsidR="00DF41FB" w:rsidRDefault="00DF41FB" w:rsidP="003F31A3">
      <w:pPr>
        <w:spacing w:line="360" w:lineRule="auto"/>
        <w:jc w:val="both"/>
        <w:rPr>
          <w:bCs/>
        </w:rPr>
      </w:pPr>
      <w:r w:rsidRPr="004F4B1E">
        <w:rPr>
          <w:bCs/>
          <w:lang w:val="en-US"/>
        </w:rPr>
        <w:t xml:space="preserve">Beattie et al. </w:t>
      </w:r>
      <w:r>
        <w:rPr>
          <w:bCs/>
        </w:rPr>
        <w:t xml:space="preserve">(2004) have added linguistic analysis as a separate research method to assess disclosure quality, although this research method is on certain parts similar to readability studies. </w:t>
      </w:r>
      <w:proofErr w:type="spellStart"/>
      <w:r>
        <w:rPr>
          <w:bCs/>
        </w:rPr>
        <w:t>Sydserff</w:t>
      </w:r>
      <w:proofErr w:type="spellEnd"/>
      <w:r>
        <w:rPr>
          <w:bCs/>
        </w:rPr>
        <w:t xml:space="preserve"> and </w:t>
      </w:r>
      <w:proofErr w:type="spellStart"/>
      <w:r>
        <w:rPr>
          <w:bCs/>
        </w:rPr>
        <w:t>Weetman</w:t>
      </w:r>
      <w:proofErr w:type="spellEnd"/>
      <w:r>
        <w:rPr>
          <w:bCs/>
        </w:rPr>
        <w:t xml:space="preserve"> (1999) have developed a research method with a more extensive collection of text characteristics. The research method moves further than word- or sentence level as applied in readability studies. The texture index that has been developed by </w:t>
      </w:r>
      <w:proofErr w:type="spellStart"/>
      <w:r>
        <w:rPr>
          <w:bCs/>
        </w:rPr>
        <w:t>Sydserff</w:t>
      </w:r>
      <w:proofErr w:type="spellEnd"/>
      <w:r>
        <w:rPr>
          <w:bCs/>
        </w:rPr>
        <w:t xml:space="preserve"> an</w:t>
      </w:r>
      <w:r w:rsidR="00D37D40">
        <w:rPr>
          <w:bCs/>
        </w:rPr>
        <w:t>d</w:t>
      </w:r>
      <w:r>
        <w:rPr>
          <w:bCs/>
        </w:rPr>
        <w:t xml:space="preserve"> </w:t>
      </w:r>
      <w:proofErr w:type="spellStart"/>
      <w:r>
        <w:rPr>
          <w:bCs/>
        </w:rPr>
        <w:t>Weetman</w:t>
      </w:r>
      <w:proofErr w:type="spellEnd"/>
      <w:r>
        <w:rPr>
          <w:bCs/>
        </w:rPr>
        <w:t xml:space="preserve"> (1999) makes it possible to consider the whole text of annual reports.</w:t>
      </w:r>
    </w:p>
    <w:p w:rsidR="00DF41FB" w:rsidRDefault="00DF41FB" w:rsidP="003F31A3">
      <w:pPr>
        <w:spacing w:line="360" w:lineRule="auto"/>
        <w:jc w:val="both"/>
        <w:rPr>
          <w:bCs/>
        </w:rPr>
      </w:pPr>
    </w:p>
    <w:p w:rsidR="00267BD1" w:rsidRPr="00267BD1" w:rsidRDefault="00267BD1" w:rsidP="003F31A3">
      <w:pPr>
        <w:spacing w:line="360" w:lineRule="auto"/>
        <w:jc w:val="both"/>
        <w:rPr>
          <w:b/>
          <w:bCs/>
          <w:i/>
          <w:lang w:val="en-US"/>
        </w:rPr>
      </w:pPr>
      <w:r>
        <w:rPr>
          <w:b/>
          <w:bCs/>
          <w:i/>
          <w:lang w:val="en-US"/>
        </w:rPr>
        <w:t>Advantages and disadvantages</w:t>
      </w:r>
    </w:p>
    <w:p w:rsidR="00DF41FB" w:rsidRDefault="00DF41FB" w:rsidP="003F31A3">
      <w:pPr>
        <w:spacing w:line="360" w:lineRule="auto"/>
        <w:jc w:val="both"/>
        <w:rPr>
          <w:bCs/>
        </w:rPr>
      </w:pPr>
      <w:r>
        <w:rPr>
          <w:bCs/>
        </w:rPr>
        <w:t>Objectivity is a major advantage that is also applicable to linguistic analysis. Moreover, the disadvantages of readability studies are solved with this method.</w:t>
      </w:r>
      <w:r w:rsidR="0007513E">
        <w:rPr>
          <w:bCs/>
        </w:rPr>
        <w:t xml:space="preserve"> </w:t>
      </w:r>
      <w:r>
        <w:rPr>
          <w:bCs/>
        </w:rPr>
        <w:t>Unfortunately, it takes much more time to perform linguistic analyses than to perform a readability study. In the latter research method, computer-based formulas can be applied. Furthermore, as this research method is relatively new, appropriate benchmarks still have to be developed.</w:t>
      </w:r>
    </w:p>
    <w:p w:rsidR="00CB21E6" w:rsidRDefault="00CB21E6" w:rsidP="003F31A3">
      <w:pPr>
        <w:spacing w:line="360" w:lineRule="auto"/>
        <w:jc w:val="both"/>
        <w:rPr>
          <w:bCs/>
        </w:rPr>
      </w:pPr>
    </w:p>
    <w:p w:rsidR="006242FD" w:rsidRDefault="006242FD" w:rsidP="003F31A3">
      <w:pPr>
        <w:spacing w:line="360" w:lineRule="auto"/>
        <w:jc w:val="both"/>
        <w:rPr>
          <w:b/>
          <w:bCs/>
          <w:i/>
        </w:rPr>
      </w:pPr>
      <w:r>
        <w:rPr>
          <w:b/>
          <w:bCs/>
          <w:i/>
        </w:rPr>
        <w:t>Previous research</w:t>
      </w:r>
    </w:p>
    <w:p w:rsidR="006242FD" w:rsidRPr="006242FD" w:rsidRDefault="006242FD" w:rsidP="003F31A3">
      <w:pPr>
        <w:spacing w:line="360" w:lineRule="auto"/>
        <w:jc w:val="both"/>
        <w:rPr>
          <w:bCs/>
        </w:rPr>
      </w:pPr>
      <w:r>
        <w:rPr>
          <w:bCs/>
        </w:rPr>
        <w:t>This research method will not be accompanied by an example of research, because unfortunately, appropriate benchmarks are still not available.</w:t>
      </w:r>
    </w:p>
    <w:p w:rsidR="000420E7" w:rsidRDefault="008157BD" w:rsidP="003F31A3">
      <w:pPr>
        <w:pStyle w:val="Kop2"/>
        <w:numPr>
          <w:ilvl w:val="0"/>
          <w:numId w:val="0"/>
        </w:numPr>
        <w:spacing w:line="360" w:lineRule="auto"/>
        <w:ind w:left="576" w:hanging="576"/>
        <w:jc w:val="both"/>
        <w:rPr>
          <w:rStyle w:val="Nadruk"/>
          <w:rFonts w:ascii="Times New Roman" w:hAnsi="Times New Roman"/>
          <w:b/>
          <w:sz w:val="24"/>
          <w:szCs w:val="24"/>
          <w:lang w:val="en-US"/>
        </w:rPr>
      </w:pPr>
      <w:bookmarkStart w:id="41" w:name="_Toc355387294"/>
      <w:r>
        <w:rPr>
          <w:rStyle w:val="Nadruk"/>
          <w:rFonts w:ascii="Times New Roman" w:hAnsi="Times New Roman"/>
          <w:b/>
          <w:sz w:val="24"/>
          <w:szCs w:val="24"/>
          <w:lang w:val="en-US"/>
        </w:rPr>
        <w:t>2.8</w:t>
      </w:r>
      <w:r w:rsidR="000420E7" w:rsidRPr="00067EF2">
        <w:rPr>
          <w:rStyle w:val="Nadruk"/>
          <w:rFonts w:ascii="Times New Roman" w:hAnsi="Times New Roman"/>
          <w:b/>
          <w:sz w:val="24"/>
          <w:szCs w:val="24"/>
          <w:lang w:val="en-US"/>
        </w:rPr>
        <w:tab/>
      </w:r>
      <w:r w:rsidR="00DC6A19">
        <w:rPr>
          <w:rStyle w:val="Nadruk"/>
          <w:rFonts w:ascii="Times New Roman" w:hAnsi="Times New Roman"/>
          <w:b/>
          <w:sz w:val="24"/>
          <w:szCs w:val="24"/>
          <w:lang w:val="en-US"/>
        </w:rPr>
        <w:t>D</w:t>
      </w:r>
      <w:r w:rsidR="000420E7">
        <w:rPr>
          <w:rStyle w:val="Nadruk"/>
          <w:rFonts w:ascii="Times New Roman" w:hAnsi="Times New Roman"/>
          <w:b/>
          <w:sz w:val="24"/>
          <w:szCs w:val="24"/>
          <w:lang w:val="en-US"/>
        </w:rPr>
        <w:t xml:space="preserve">isclosure </w:t>
      </w:r>
      <w:r w:rsidR="00F47D71">
        <w:rPr>
          <w:rStyle w:val="Nadruk"/>
          <w:rFonts w:ascii="Times New Roman" w:hAnsi="Times New Roman"/>
          <w:b/>
          <w:sz w:val="24"/>
          <w:szCs w:val="24"/>
          <w:lang w:val="en-US"/>
        </w:rPr>
        <w:t>quality</w:t>
      </w:r>
      <w:r w:rsidR="003D4F9C">
        <w:rPr>
          <w:rStyle w:val="Nadruk"/>
          <w:rFonts w:ascii="Times New Roman" w:hAnsi="Times New Roman"/>
          <w:b/>
          <w:sz w:val="24"/>
          <w:szCs w:val="24"/>
          <w:lang w:val="en-US"/>
        </w:rPr>
        <w:t xml:space="preserve"> </w:t>
      </w:r>
      <w:r w:rsidR="000420E7">
        <w:rPr>
          <w:rStyle w:val="Nadruk"/>
          <w:rFonts w:ascii="Times New Roman" w:hAnsi="Times New Roman"/>
          <w:b/>
          <w:sz w:val="24"/>
          <w:szCs w:val="24"/>
          <w:lang w:val="en-US"/>
        </w:rPr>
        <w:t>and company size</w:t>
      </w:r>
      <w:bookmarkEnd w:id="41"/>
    </w:p>
    <w:p w:rsidR="000420E7" w:rsidRDefault="000420E7" w:rsidP="003F31A3">
      <w:pPr>
        <w:spacing w:line="360" w:lineRule="auto"/>
        <w:jc w:val="both"/>
        <w:rPr>
          <w:bCs/>
        </w:rPr>
      </w:pPr>
      <w:proofErr w:type="spellStart"/>
      <w:r>
        <w:rPr>
          <w:bCs/>
        </w:rPr>
        <w:t>Buzby</w:t>
      </w:r>
      <w:proofErr w:type="spellEnd"/>
      <w:r>
        <w:rPr>
          <w:bCs/>
        </w:rPr>
        <w:t xml:space="preserve"> (1975) has conducted research on the as</w:t>
      </w:r>
      <w:r w:rsidR="004A36E3">
        <w:rPr>
          <w:bCs/>
        </w:rPr>
        <w:t xml:space="preserve">sociation between </w:t>
      </w:r>
      <w:r>
        <w:rPr>
          <w:bCs/>
        </w:rPr>
        <w:t xml:space="preserve">company </w:t>
      </w:r>
      <w:r w:rsidR="004A36E3">
        <w:rPr>
          <w:bCs/>
        </w:rPr>
        <w:t xml:space="preserve">size </w:t>
      </w:r>
      <w:r>
        <w:rPr>
          <w:bCs/>
        </w:rPr>
        <w:t xml:space="preserve">and the extent of disclosure and describes reasons for a positive association between the two. </w:t>
      </w:r>
      <w:proofErr w:type="spellStart"/>
      <w:r w:rsidR="00E57A9B">
        <w:rPr>
          <w:bCs/>
        </w:rPr>
        <w:t>Buzby</w:t>
      </w:r>
      <w:proofErr w:type="spellEnd"/>
      <w:r w:rsidR="00E57A9B">
        <w:rPr>
          <w:bCs/>
        </w:rPr>
        <w:t xml:space="preserve"> (1975) states that gathering and presenti</w:t>
      </w:r>
      <w:r>
        <w:rPr>
          <w:bCs/>
        </w:rPr>
        <w:t>n</w:t>
      </w:r>
      <w:r w:rsidR="00E57A9B">
        <w:rPr>
          <w:bCs/>
        </w:rPr>
        <w:t xml:space="preserve">g </w:t>
      </w:r>
      <w:r>
        <w:rPr>
          <w:bCs/>
        </w:rPr>
        <w:t xml:space="preserve">information can be costly. According to </w:t>
      </w:r>
      <w:proofErr w:type="spellStart"/>
      <w:r>
        <w:rPr>
          <w:bCs/>
        </w:rPr>
        <w:t>Buzby</w:t>
      </w:r>
      <w:proofErr w:type="spellEnd"/>
      <w:r>
        <w:rPr>
          <w:bCs/>
        </w:rPr>
        <w:t xml:space="preserve"> (1975), smaller companies might not have the resources that are necessary to be able to collect and subsequently present a broader range of information. Cooke (1989) adds that the size of a company makes it possible to increase disclosure quality. According to Cooke (1989), to establish high disclosure quality,</w:t>
      </w:r>
      <w:r w:rsidR="00737740">
        <w:rPr>
          <w:bCs/>
        </w:rPr>
        <w:t xml:space="preserve"> a company should employ a broad range of employees that are highly skilled. Cooke (1989) continues that </w:t>
      </w:r>
      <w:r w:rsidR="006F04D1">
        <w:rPr>
          <w:bCs/>
        </w:rPr>
        <w:t>the larger a company is, the larger the possibilities to attract those skilled employees.</w:t>
      </w:r>
    </w:p>
    <w:p w:rsidR="00737740" w:rsidRDefault="00737740" w:rsidP="003F31A3">
      <w:pPr>
        <w:spacing w:line="360" w:lineRule="auto"/>
        <w:jc w:val="both"/>
        <w:rPr>
          <w:bCs/>
        </w:rPr>
      </w:pPr>
    </w:p>
    <w:p w:rsidR="00B310F9" w:rsidRDefault="000420E7" w:rsidP="003F31A3">
      <w:pPr>
        <w:spacing w:line="360" w:lineRule="auto"/>
        <w:jc w:val="both"/>
        <w:rPr>
          <w:bCs/>
        </w:rPr>
      </w:pPr>
      <w:r>
        <w:rPr>
          <w:bCs/>
        </w:rPr>
        <w:t xml:space="preserve">Furthermore </w:t>
      </w:r>
      <w:proofErr w:type="spellStart"/>
      <w:r>
        <w:rPr>
          <w:bCs/>
        </w:rPr>
        <w:t>Buzby</w:t>
      </w:r>
      <w:proofErr w:type="spellEnd"/>
      <w:r>
        <w:rPr>
          <w:bCs/>
        </w:rPr>
        <w:t xml:space="preserve"> (1975) describes that larger firms are possibly monitored more strictly by the government. </w:t>
      </w:r>
      <w:proofErr w:type="spellStart"/>
      <w:r>
        <w:rPr>
          <w:bCs/>
        </w:rPr>
        <w:t>Buzby</w:t>
      </w:r>
      <w:proofErr w:type="spellEnd"/>
      <w:r>
        <w:rPr>
          <w:bCs/>
        </w:rPr>
        <w:t xml:space="preserve"> (1975) states that larger firms might assume that ‘fuller’ and ‘better’ disclosures might lead to less government pressure.</w:t>
      </w:r>
    </w:p>
    <w:p w:rsidR="00B310F9" w:rsidRDefault="00B310F9" w:rsidP="003F31A3">
      <w:pPr>
        <w:spacing w:line="360" w:lineRule="auto"/>
        <w:jc w:val="both"/>
        <w:rPr>
          <w:bCs/>
        </w:rPr>
      </w:pPr>
    </w:p>
    <w:p w:rsidR="000420E7" w:rsidRDefault="002235BD" w:rsidP="003F31A3">
      <w:pPr>
        <w:spacing w:line="360" w:lineRule="auto"/>
        <w:jc w:val="both"/>
        <w:rPr>
          <w:bCs/>
        </w:rPr>
      </w:pPr>
      <w:r>
        <w:rPr>
          <w:bCs/>
        </w:rPr>
        <w:t xml:space="preserve">Cooke (1989) describes that there are various ways to measure the size of an enterprise. </w:t>
      </w:r>
      <w:r w:rsidR="008626BE">
        <w:rPr>
          <w:bCs/>
        </w:rPr>
        <w:t>During his research, Cooke (1989) appli</w:t>
      </w:r>
      <w:r w:rsidR="00DA16E3">
        <w:rPr>
          <w:bCs/>
        </w:rPr>
        <w:t>ed total assets, number of shareholders and annual sales as measures of company size. Cooke (1989) described that he had no preference for one of the size criteria.</w:t>
      </w:r>
      <w:r w:rsidR="000420E7">
        <w:rPr>
          <w:bCs/>
        </w:rPr>
        <w:t xml:space="preserve">    </w:t>
      </w:r>
    </w:p>
    <w:p w:rsidR="000420E7" w:rsidRPr="00430D93" w:rsidRDefault="000420E7" w:rsidP="003F31A3">
      <w:pPr>
        <w:jc w:val="both"/>
      </w:pPr>
    </w:p>
    <w:p w:rsidR="00D05141" w:rsidRPr="00EE72EA" w:rsidRDefault="008157BD" w:rsidP="003F31A3">
      <w:pPr>
        <w:pStyle w:val="Kop2"/>
        <w:numPr>
          <w:ilvl w:val="0"/>
          <w:numId w:val="0"/>
        </w:numPr>
        <w:spacing w:line="360" w:lineRule="auto"/>
        <w:ind w:left="576" w:hanging="576"/>
        <w:jc w:val="both"/>
        <w:rPr>
          <w:rStyle w:val="Nadruk"/>
          <w:rFonts w:ascii="Times New Roman" w:hAnsi="Times New Roman"/>
          <w:b/>
          <w:color w:val="000000"/>
          <w:sz w:val="24"/>
          <w:szCs w:val="24"/>
          <w:lang w:val="en-US"/>
        </w:rPr>
      </w:pPr>
      <w:bookmarkStart w:id="42" w:name="_Toc355387295"/>
      <w:r>
        <w:rPr>
          <w:rStyle w:val="Nadruk"/>
          <w:rFonts w:ascii="Times New Roman" w:hAnsi="Times New Roman"/>
          <w:b/>
          <w:sz w:val="24"/>
          <w:szCs w:val="24"/>
          <w:lang w:val="en-US"/>
        </w:rPr>
        <w:t>2.9</w:t>
      </w:r>
      <w:r w:rsidR="00D05141" w:rsidRPr="00EE72EA">
        <w:rPr>
          <w:rStyle w:val="Nadruk"/>
          <w:rFonts w:ascii="Times New Roman" w:hAnsi="Times New Roman"/>
          <w:b/>
          <w:sz w:val="24"/>
          <w:szCs w:val="24"/>
          <w:lang w:val="en-US"/>
        </w:rPr>
        <w:tab/>
      </w:r>
      <w:r w:rsidR="00D05141" w:rsidRPr="00EE72EA">
        <w:rPr>
          <w:rStyle w:val="Nadruk"/>
          <w:rFonts w:ascii="Times New Roman" w:hAnsi="Times New Roman"/>
          <w:b/>
          <w:color w:val="000000"/>
          <w:sz w:val="24"/>
          <w:szCs w:val="24"/>
          <w:lang w:val="en-US"/>
        </w:rPr>
        <w:t>Further research</w:t>
      </w:r>
      <w:bookmarkEnd w:id="42"/>
    </w:p>
    <w:p w:rsidR="003A0000" w:rsidRDefault="004C6269" w:rsidP="003F31A3">
      <w:pPr>
        <w:spacing w:line="360" w:lineRule="auto"/>
        <w:jc w:val="both"/>
        <w:rPr>
          <w:lang w:val="en-US"/>
        </w:rPr>
      </w:pPr>
      <w:r w:rsidRPr="002462DA">
        <w:rPr>
          <w:lang w:val="en-US"/>
        </w:rPr>
        <w:t>In the previous paragraph</w:t>
      </w:r>
      <w:r w:rsidR="00DC6A19">
        <w:rPr>
          <w:lang w:val="en-US"/>
        </w:rPr>
        <w:t>s</w:t>
      </w:r>
      <w:r w:rsidRPr="002462DA">
        <w:rPr>
          <w:lang w:val="en-US"/>
        </w:rPr>
        <w:t>, different papers and article</w:t>
      </w:r>
      <w:r w:rsidR="00D945E2" w:rsidRPr="002462DA">
        <w:rPr>
          <w:lang w:val="en-US"/>
        </w:rPr>
        <w:t>s</w:t>
      </w:r>
      <w:r w:rsidRPr="002462DA">
        <w:rPr>
          <w:lang w:val="en-US"/>
        </w:rPr>
        <w:t xml:space="preserve"> have</w:t>
      </w:r>
      <w:r w:rsidR="003D4F9C">
        <w:rPr>
          <w:lang w:val="en-US"/>
        </w:rPr>
        <w:t xml:space="preserve"> already</w:t>
      </w:r>
      <w:r w:rsidRPr="002462DA">
        <w:rPr>
          <w:lang w:val="en-US"/>
        </w:rPr>
        <w:t xml:space="preserve"> been described, </w:t>
      </w:r>
      <w:r w:rsidR="00090A00">
        <w:rPr>
          <w:lang w:val="en-US"/>
        </w:rPr>
        <w:t>which could be categorized as one of the</w:t>
      </w:r>
      <w:r w:rsidR="00D945E2" w:rsidRPr="002462DA">
        <w:rPr>
          <w:lang w:val="en-US"/>
        </w:rPr>
        <w:t xml:space="preserve"> measurement method</w:t>
      </w:r>
      <w:r w:rsidR="00090A00">
        <w:rPr>
          <w:lang w:val="en-US"/>
        </w:rPr>
        <w:t>s</w:t>
      </w:r>
      <w:r w:rsidR="00D945E2" w:rsidRPr="002462DA">
        <w:rPr>
          <w:lang w:val="en-US"/>
        </w:rPr>
        <w:t xml:space="preserve"> of disclosure quality</w:t>
      </w:r>
      <w:r w:rsidR="00090A00">
        <w:rPr>
          <w:lang w:val="en-US"/>
        </w:rPr>
        <w:t xml:space="preserve"> as described in paragraph 2.7</w:t>
      </w:r>
      <w:r w:rsidR="003A0000">
        <w:rPr>
          <w:lang w:val="en-US"/>
        </w:rPr>
        <w:t xml:space="preserve"> or concerned the association between disclosure quality and company size.</w:t>
      </w:r>
      <w:r w:rsidR="009E5E7A" w:rsidRPr="002462DA">
        <w:rPr>
          <w:lang w:val="en-US"/>
        </w:rPr>
        <w:t xml:space="preserve"> </w:t>
      </w:r>
      <w:r w:rsidR="00B16335">
        <w:rPr>
          <w:lang w:val="en-US"/>
        </w:rPr>
        <w:t xml:space="preserve">However, there has been conducted also other empirical research that cannot be categorized </w:t>
      </w:r>
      <w:r w:rsidR="00BA3FA9">
        <w:rPr>
          <w:lang w:val="en-US"/>
        </w:rPr>
        <w:t xml:space="preserve">directly as one of the measurement </w:t>
      </w:r>
      <w:r w:rsidR="003D4F9C">
        <w:rPr>
          <w:lang w:val="en-US"/>
        </w:rPr>
        <w:t xml:space="preserve">methods </w:t>
      </w:r>
      <w:r w:rsidR="00090A00">
        <w:rPr>
          <w:lang w:val="en-US"/>
        </w:rPr>
        <w:t>as depicted in appendix 4</w:t>
      </w:r>
      <w:r w:rsidR="00D945E2" w:rsidRPr="002462DA">
        <w:rPr>
          <w:lang w:val="en-US"/>
        </w:rPr>
        <w:t xml:space="preserve">. </w:t>
      </w:r>
      <w:r w:rsidR="003A0000">
        <w:rPr>
          <w:lang w:val="en-US"/>
        </w:rPr>
        <w:t xml:space="preserve">Nevertheless, other research can also be useful as input for the research which will be conducted within the context of this thesis. </w:t>
      </w:r>
      <w:r w:rsidR="00D945E2" w:rsidRPr="002462DA">
        <w:rPr>
          <w:lang w:val="en-US"/>
        </w:rPr>
        <w:t xml:space="preserve">For this reason, these researches will be described in this paragraph. </w:t>
      </w:r>
    </w:p>
    <w:p w:rsidR="003A0000" w:rsidRDefault="003A0000" w:rsidP="003F31A3">
      <w:pPr>
        <w:spacing w:line="360" w:lineRule="auto"/>
        <w:jc w:val="both"/>
        <w:rPr>
          <w:lang w:val="en-US"/>
        </w:rPr>
      </w:pPr>
    </w:p>
    <w:p w:rsidR="009E5E7A" w:rsidRDefault="00BA3FA9" w:rsidP="003F31A3">
      <w:pPr>
        <w:spacing w:line="360" w:lineRule="auto"/>
        <w:jc w:val="both"/>
        <w:rPr>
          <w:lang w:val="en-US"/>
        </w:rPr>
      </w:pPr>
      <w:r>
        <w:rPr>
          <w:lang w:val="en-US"/>
        </w:rPr>
        <w:t xml:space="preserve">The research of Beretta and </w:t>
      </w:r>
      <w:proofErr w:type="spellStart"/>
      <w:r>
        <w:rPr>
          <w:lang w:val="en-US"/>
        </w:rPr>
        <w:t>Bozzolan</w:t>
      </w:r>
      <w:proofErr w:type="spellEnd"/>
      <w:r>
        <w:rPr>
          <w:lang w:val="en-US"/>
        </w:rPr>
        <w:t xml:space="preserve"> </w:t>
      </w:r>
      <w:r w:rsidR="00172D07">
        <w:rPr>
          <w:lang w:val="en-US"/>
        </w:rPr>
        <w:t xml:space="preserve">(2004) </w:t>
      </w:r>
      <w:r>
        <w:rPr>
          <w:lang w:val="en-US"/>
        </w:rPr>
        <w:t>further examines the difference between disclosure quality and quantity. T</w:t>
      </w:r>
      <w:r w:rsidR="002462DA" w:rsidRPr="00EE72EA">
        <w:rPr>
          <w:lang w:val="en-US"/>
        </w:rPr>
        <w:t xml:space="preserve">he </w:t>
      </w:r>
      <w:r>
        <w:rPr>
          <w:lang w:val="en-US"/>
        </w:rPr>
        <w:t xml:space="preserve">remaining articles and papers concern empirical research that is </w:t>
      </w:r>
      <w:r w:rsidR="002462DA" w:rsidRPr="00EE72EA">
        <w:rPr>
          <w:lang w:val="en-US"/>
        </w:rPr>
        <w:t>focused o</w:t>
      </w:r>
      <w:r w:rsidR="003A0000">
        <w:rPr>
          <w:lang w:val="en-US"/>
        </w:rPr>
        <w:t>n Dutch sectors.</w:t>
      </w:r>
    </w:p>
    <w:p w:rsidR="00BA3FA9" w:rsidRDefault="00BA3FA9" w:rsidP="003F31A3">
      <w:pPr>
        <w:spacing w:line="360" w:lineRule="auto"/>
        <w:jc w:val="both"/>
        <w:rPr>
          <w:lang w:val="en-US"/>
        </w:rPr>
      </w:pPr>
    </w:p>
    <w:p w:rsidR="00BA3FA9" w:rsidRPr="00BA3FA9" w:rsidRDefault="00BA3FA9" w:rsidP="003F31A3">
      <w:pPr>
        <w:spacing w:line="360" w:lineRule="auto"/>
        <w:jc w:val="both"/>
        <w:rPr>
          <w:b/>
          <w:lang w:val="en-US"/>
        </w:rPr>
      </w:pPr>
      <w:r w:rsidRPr="00BA3FA9">
        <w:rPr>
          <w:b/>
          <w:lang w:val="en-US"/>
        </w:rPr>
        <w:t xml:space="preserve">Beretta and </w:t>
      </w:r>
      <w:proofErr w:type="spellStart"/>
      <w:r w:rsidRPr="00BA3FA9">
        <w:rPr>
          <w:b/>
          <w:lang w:val="en-US"/>
        </w:rPr>
        <w:t>Bozzolan</w:t>
      </w:r>
      <w:proofErr w:type="spellEnd"/>
      <w:r w:rsidRPr="00BA3FA9">
        <w:rPr>
          <w:b/>
          <w:lang w:val="en-US"/>
        </w:rPr>
        <w:t xml:space="preserve"> (2004)</w:t>
      </w:r>
    </w:p>
    <w:p w:rsidR="00BA3FA9" w:rsidRDefault="00BA3FA9" w:rsidP="003F31A3">
      <w:pPr>
        <w:spacing w:line="360" w:lineRule="auto"/>
        <w:jc w:val="both"/>
        <w:rPr>
          <w:lang w:val="en-US"/>
        </w:rPr>
      </w:pPr>
      <w:r>
        <w:rPr>
          <w:lang w:val="en-US"/>
        </w:rPr>
        <w:t xml:space="preserve">Beretta and </w:t>
      </w:r>
      <w:proofErr w:type="spellStart"/>
      <w:r>
        <w:rPr>
          <w:lang w:val="en-US"/>
        </w:rPr>
        <w:t>Bozzolan</w:t>
      </w:r>
      <w:proofErr w:type="spellEnd"/>
      <w:r>
        <w:rPr>
          <w:lang w:val="en-US"/>
        </w:rPr>
        <w:t xml:space="preserve"> (2004) have written a paper </w:t>
      </w:r>
      <w:r w:rsidR="0073676E">
        <w:rPr>
          <w:lang w:val="en-US"/>
        </w:rPr>
        <w:t xml:space="preserve">regarding disclosure and state that the quantity of disclosure is not sufficient to measure disclosure quality. Beretta and </w:t>
      </w:r>
      <w:proofErr w:type="spellStart"/>
      <w:r w:rsidR="0073676E">
        <w:rPr>
          <w:lang w:val="en-US"/>
        </w:rPr>
        <w:t>Bozzolan</w:t>
      </w:r>
      <w:proofErr w:type="spellEnd"/>
      <w:r w:rsidR="0073676E">
        <w:rPr>
          <w:lang w:val="en-US"/>
        </w:rPr>
        <w:t xml:space="preserve"> (2004) describe that not only “how much” is disclosed has to be taken into account, but also “what” and “in which way”. The researchers </w:t>
      </w:r>
      <w:r w:rsidR="00AB63DA">
        <w:rPr>
          <w:lang w:val="en-US"/>
        </w:rPr>
        <w:t xml:space="preserve">aimed to contribute to this research field by creating </w:t>
      </w:r>
      <w:r>
        <w:rPr>
          <w:lang w:val="en-US"/>
        </w:rPr>
        <w:t>a framework to analyze the com</w:t>
      </w:r>
      <w:r w:rsidR="00AB63DA">
        <w:rPr>
          <w:lang w:val="en-US"/>
        </w:rPr>
        <w:t>munication of risk and developing</w:t>
      </w:r>
      <w:r>
        <w:rPr>
          <w:lang w:val="en-US"/>
        </w:rPr>
        <w:t xml:space="preserve"> an index that measures the quality of risk disclosures.  </w:t>
      </w:r>
    </w:p>
    <w:p w:rsidR="00BA3FA9" w:rsidRDefault="00AB63DA" w:rsidP="003F31A3">
      <w:pPr>
        <w:spacing w:line="360" w:lineRule="auto"/>
        <w:jc w:val="both"/>
        <w:rPr>
          <w:lang w:val="en-US"/>
        </w:rPr>
      </w:pPr>
      <w:r>
        <w:rPr>
          <w:lang w:val="en-US"/>
        </w:rPr>
        <w:t xml:space="preserve">Beretta and </w:t>
      </w:r>
      <w:proofErr w:type="spellStart"/>
      <w:r>
        <w:rPr>
          <w:lang w:val="en-US"/>
        </w:rPr>
        <w:t>Bozzolan</w:t>
      </w:r>
      <w:proofErr w:type="spellEnd"/>
      <w:r>
        <w:rPr>
          <w:lang w:val="en-US"/>
        </w:rPr>
        <w:t xml:space="preserve"> (</w:t>
      </w:r>
      <w:r w:rsidR="001110F4">
        <w:rPr>
          <w:lang w:val="en-US"/>
        </w:rPr>
        <w:t xml:space="preserve">2004) drew a sample from enterprises that are active in non-financial sectors and are listed on the Italian Stock Exchange. </w:t>
      </w:r>
      <w:r w:rsidR="00BA3FA9">
        <w:rPr>
          <w:lang w:val="en-US"/>
        </w:rPr>
        <w:t>In the framework that the authors propose, disclosure quality is dependent o</w:t>
      </w:r>
      <w:r w:rsidR="00172D07">
        <w:rPr>
          <w:lang w:val="en-US"/>
        </w:rPr>
        <w:t>n</w:t>
      </w:r>
      <w:r w:rsidR="00BA3FA9">
        <w:rPr>
          <w:lang w:val="en-US"/>
        </w:rPr>
        <w:t xml:space="preserve"> the quantity of the provided information as well as the </w:t>
      </w:r>
      <w:r w:rsidR="00BA3FA9">
        <w:rPr>
          <w:i/>
          <w:lang w:val="en-US"/>
        </w:rPr>
        <w:t xml:space="preserve">“richness” </w:t>
      </w:r>
      <w:r w:rsidR="00BA3FA9">
        <w:rPr>
          <w:lang w:val="en-US"/>
        </w:rPr>
        <w:t xml:space="preserve">that is provided by supplemental information. Beretta and </w:t>
      </w:r>
      <w:proofErr w:type="spellStart"/>
      <w:r w:rsidR="00BA3FA9">
        <w:rPr>
          <w:lang w:val="en-US"/>
        </w:rPr>
        <w:t>Bozzolan</w:t>
      </w:r>
      <w:proofErr w:type="spellEnd"/>
      <w:r w:rsidR="00BA3FA9">
        <w:rPr>
          <w:lang w:val="en-US"/>
        </w:rPr>
        <w:t xml:space="preserve"> measure “richness” as a function of indices of the kind of content that has been disclosed (the risk</w:t>
      </w:r>
      <w:r w:rsidR="00E54DF8">
        <w:rPr>
          <w:lang w:val="en-US"/>
        </w:rPr>
        <w:t xml:space="preserve"> factors) and </w:t>
      </w:r>
      <w:r w:rsidR="00BA3FA9">
        <w:rPr>
          <w:lang w:val="en-US"/>
        </w:rPr>
        <w:t>semantic properties</w:t>
      </w:r>
      <w:r w:rsidR="00E54DF8">
        <w:rPr>
          <w:lang w:val="en-US"/>
        </w:rPr>
        <w:t xml:space="preserve"> such as </w:t>
      </w:r>
      <w:r w:rsidR="00BA3FA9">
        <w:rPr>
          <w:lang w:val="en-US"/>
        </w:rPr>
        <w:t>the economic sign</w:t>
      </w:r>
      <w:r w:rsidR="00E54DF8">
        <w:rPr>
          <w:lang w:val="en-US"/>
        </w:rPr>
        <w:t xml:space="preserve">. </w:t>
      </w:r>
      <w:r w:rsidR="00BA3FA9">
        <w:rPr>
          <w:lang w:val="en-US"/>
        </w:rPr>
        <w:t xml:space="preserve">Beretta and </w:t>
      </w:r>
      <w:proofErr w:type="spellStart"/>
      <w:r w:rsidR="00BA3FA9">
        <w:rPr>
          <w:lang w:val="en-US"/>
        </w:rPr>
        <w:t>Bozzolan</w:t>
      </w:r>
      <w:proofErr w:type="spellEnd"/>
      <w:r w:rsidR="00BA3FA9">
        <w:rPr>
          <w:lang w:val="en-US"/>
        </w:rPr>
        <w:t xml:space="preserve"> (2004) depict</w:t>
      </w:r>
      <w:r w:rsidR="00E54DF8">
        <w:rPr>
          <w:lang w:val="en-US"/>
        </w:rPr>
        <w:t>ed</w:t>
      </w:r>
      <w:r w:rsidR="00BA3FA9">
        <w:rPr>
          <w:lang w:val="en-US"/>
        </w:rPr>
        <w:t xml:space="preserve"> the indices for several companies in a diagram and rank</w:t>
      </w:r>
      <w:r w:rsidR="00E54DF8">
        <w:rPr>
          <w:lang w:val="en-US"/>
        </w:rPr>
        <w:t>ed</w:t>
      </w:r>
      <w:r w:rsidR="00BA3FA9">
        <w:rPr>
          <w:lang w:val="en-US"/>
        </w:rPr>
        <w:t xml:space="preserve"> the risk disclosure quality in a comprehensive index.</w:t>
      </w:r>
    </w:p>
    <w:p w:rsidR="00BA3FA9" w:rsidRDefault="00BA3FA9" w:rsidP="003F31A3">
      <w:pPr>
        <w:spacing w:line="360" w:lineRule="auto"/>
        <w:jc w:val="both"/>
        <w:rPr>
          <w:lang w:val="en-US"/>
        </w:rPr>
      </w:pPr>
    </w:p>
    <w:p w:rsidR="001110F4" w:rsidRPr="001110F4" w:rsidRDefault="001110F4" w:rsidP="003F31A3">
      <w:pPr>
        <w:spacing w:line="360" w:lineRule="auto"/>
        <w:jc w:val="both"/>
        <w:rPr>
          <w:rStyle w:val="Nadruk"/>
          <w:b w:val="0"/>
          <w:i w:val="0"/>
        </w:rPr>
      </w:pPr>
      <w:r>
        <w:rPr>
          <w:rStyle w:val="Nadruk"/>
          <w:b w:val="0"/>
          <w:i w:val="0"/>
        </w:rPr>
        <w:t xml:space="preserve">In their concluding remarks, Beretta and </w:t>
      </w:r>
      <w:proofErr w:type="spellStart"/>
      <w:r>
        <w:rPr>
          <w:rStyle w:val="Nadruk"/>
          <w:b w:val="0"/>
          <w:i w:val="0"/>
        </w:rPr>
        <w:t>Bozzolan</w:t>
      </w:r>
      <w:proofErr w:type="spellEnd"/>
      <w:r>
        <w:rPr>
          <w:rStyle w:val="Nadruk"/>
          <w:b w:val="0"/>
          <w:i w:val="0"/>
        </w:rPr>
        <w:t xml:space="preserve"> (2004) emphasize that their framework should be considered as one of the first efforts to take more than only disclosure quantity into account. </w:t>
      </w:r>
      <w:r w:rsidR="00D236A2">
        <w:rPr>
          <w:rStyle w:val="Nadruk"/>
          <w:b w:val="0"/>
          <w:i w:val="0"/>
        </w:rPr>
        <w:t xml:space="preserve">Beretta and </w:t>
      </w:r>
      <w:proofErr w:type="spellStart"/>
      <w:r w:rsidR="00D236A2">
        <w:rPr>
          <w:rStyle w:val="Nadruk"/>
          <w:b w:val="0"/>
          <w:i w:val="0"/>
        </w:rPr>
        <w:t>Bozzolan</w:t>
      </w:r>
      <w:proofErr w:type="spellEnd"/>
      <w:r w:rsidR="00D236A2">
        <w:rPr>
          <w:rStyle w:val="Nadruk"/>
          <w:b w:val="0"/>
          <w:i w:val="0"/>
        </w:rPr>
        <w:t xml:space="preserve"> (2004) acknowledge that </w:t>
      </w:r>
      <w:r w:rsidR="004E454B">
        <w:rPr>
          <w:rStyle w:val="Nadruk"/>
          <w:b w:val="0"/>
          <w:i w:val="0"/>
        </w:rPr>
        <w:t xml:space="preserve">additional </w:t>
      </w:r>
      <w:r w:rsidR="00D236A2">
        <w:rPr>
          <w:rStyle w:val="Nadruk"/>
          <w:b w:val="0"/>
          <w:i w:val="0"/>
        </w:rPr>
        <w:t>future research is necessary</w:t>
      </w:r>
      <w:r w:rsidR="004E454B">
        <w:rPr>
          <w:rStyle w:val="Nadruk"/>
          <w:b w:val="0"/>
          <w:i w:val="0"/>
        </w:rPr>
        <w:t>.</w:t>
      </w:r>
    </w:p>
    <w:p w:rsidR="00CB21E6" w:rsidRDefault="00CB21E6" w:rsidP="003F31A3">
      <w:pPr>
        <w:spacing w:line="360" w:lineRule="auto"/>
        <w:jc w:val="both"/>
        <w:rPr>
          <w:rStyle w:val="Nadruk"/>
          <w:i w:val="0"/>
        </w:rPr>
      </w:pPr>
    </w:p>
    <w:p w:rsidR="00D05141" w:rsidRPr="004F4B1E" w:rsidRDefault="00D05141" w:rsidP="003F31A3">
      <w:pPr>
        <w:spacing w:line="360" w:lineRule="auto"/>
        <w:jc w:val="both"/>
        <w:rPr>
          <w:rStyle w:val="Nadruk"/>
          <w:i w:val="0"/>
        </w:rPr>
      </w:pPr>
      <w:proofErr w:type="spellStart"/>
      <w:r w:rsidRPr="004F4B1E">
        <w:rPr>
          <w:rStyle w:val="Nadruk"/>
          <w:i w:val="0"/>
        </w:rPr>
        <w:t>Blij</w:t>
      </w:r>
      <w:proofErr w:type="spellEnd"/>
      <w:r w:rsidRPr="004F4B1E">
        <w:rPr>
          <w:rStyle w:val="Nadruk"/>
          <w:i w:val="0"/>
        </w:rPr>
        <w:t xml:space="preserve"> and </w:t>
      </w:r>
      <w:proofErr w:type="spellStart"/>
      <w:r w:rsidRPr="004F4B1E">
        <w:rPr>
          <w:rStyle w:val="Nadruk"/>
          <w:i w:val="0"/>
        </w:rPr>
        <w:t>Mertens</w:t>
      </w:r>
      <w:proofErr w:type="spellEnd"/>
      <w:r w:rsidRPr="004F4B1E">
        <w:rPr>
          <w:rStyle w:val="Nadruk"/>
          <w:i w:val="0"/>
        </w:rPr>
        <w:t xml:space="preserve"> (2008)</w:t>
      </w:r>
    </w:p>
    <w:p w:rsidR="00D05141" w:rsidRDefault="00D05141" w:rsidP="003F31A3">
      <w:pPr>
        <w:spacing w:line="360" w:lineRule="auto"/>
        <w:jc w:val="both"/>
        <w:rPr>
          <w:lang w:val="en-US"/>
        </w:rPr>
      </w:pPr>
      <w:proofErr w:type="spellStart"/>
      <w:r w:rsidRPr="009D185A">
        <w:rPr>
          <w:lang w:val="en-US"/>
        </w:rPr>
        <w:t>Blij</w:t>
      </w:r>
      <w:proofErr w:type="spellEnd"/>
      <w:r w:rsidRPr="009D185A">
        <w:rPr>
          <w:lang w:val="en-US"/>
        </w:rPr>
        <w:t xml:space="preserve"> and </w:t>
      </w:r>
      <w:proofErr w:type="spellStart"/>
      <w:r w:rsidRPr="009D185A">
        <w:rPr>
          <w:lang w:val="en-US"/>
        </w:rPr>
        <w:t>Mertens</w:t>
      </w:r>
      <w:proofErr w:type="spellEnd"/>
      <w:r w:rsidRPr="009D185A">
        <w:rPr>
          <w:lang w:val="en-US"/>
        </w:rPr>
        <w:t xml:space="preserve"> (2008) </w:t>
      </w:r>
      <w:r>
        <w:rPr>
          <w:lang w:val="en-US"/>
        </w:rPr>
        <w:t>aim to provide insight in risks and risk control of Dutch listed companies by highlighting the annual reports of the financial year 2007</w:t>
      </w:r>
      <w:r w:rsidR="007B4361">
        <w:rPr>
          <w:lang w:val="en-US"/>
        </w:rPr>
        <w:t xml:space="preserve"> with their research</w:t>
      </w:r>
      <w:r>
        <w:rPr>
          <w:lang w:val="en-US"/>
        </w:rPr>
        <w:t xml:space="preserve">. Based on the required insights of the research, the researchers aim to contribute to the improvement of the reporting and transparency concerning risk management.  </w:t>
      </w:r>
    </w:p>
    <w:p w:rsidR="00D05141" w:rsidRDefault="00D05141" w:rsidP="003F31A3">
      <w:pPr>
        <w:spacing w:line="360" w:lineRule="auto"/>
        <w:jc w:val="both"/>
        <w:rPr>
          <w:lang w:val="en-US"/>
        </w:rPr>
      </w:pPr>
    </w:p>
    <w:p w:rsidR="00D05141" w:rsidRDefault="00D05141" w:rsidP="003F31A3">
      <w:pPr>
        <w:spacing w:line="360" w:lineRule="auto"/>
        <w:jc w:val="both"/>
        <w:rPr>
          <w:lang w:val="en-US"/>
        </w:rPr>
      </w:pPr>
      <w:r>
        <w:rPr>
          <w:lang w:val="en-US"/>
        </w:rPr>
        <w:t>The researchers have conducted their research with a questionnaire</w:t>
      </w:r>
      <w:r w:rsidR="007B4361">
        <w:rPr>
          <w:lang w:val="en-US"/>
        </w:rPr>
        <w:t xml:space="preserve"> that has been applied to</w:t>
      </w:r>
      <w:r>
        <w:rPr>
          <w:lang w:val="en-US"/>
        </w:rPr>
        <w:t xml:space="preserve"> 110 Dutch listed companies. The questionnaire enabled the research team to study the annual reports and websites of the companies unambiguously and record the information in a uniform way. </w:t>
      </w:r>
    </w:p>
    <w:p w:rsidR="00D05141" w:rsidRDefault="00D05141" w:rsidP="003F31A3">
      <w:pPr>
        <w:spacing w:line="360" w:lineRule="auto"/>
        <w:jc w:val="both"/>
        <w:rPr>
          <w:lang w:val="en-US"/>
        </w:rPr>
      </w:pPr>
    </w:p>
    <w:p w:rsidR="007B4361" w:rsidRDefault="00D05141" w:rsidP="003F31A3">
      <w:pPr>
        <w:spacing w:line="360" w:lineRule="auto"/>
        <w:jc w:val="both"/>
        <w:rPr>
          <w:iCs/>
        </w:rPr>
      </w:pPr>
      <w:proofErr w:type="spellStart"/>
      <w:r w:rsidRPr="009D185A">
        <w:rPr>
          <w:lang w:val="en-US"/>
        </w:rPr>
        <w:t>Blij</w:t>
      </w:r>
      <w:proofErr w:type="spellEnd"/>
      <w:r w:rsidRPr="009D185A">
        <w:rPr>
          <w:lang w:val="en-US"/>
        </w:rPr>
        <w:t xml:space="preserve"> and </w:t>
      </w:r>
      <w:proofErr w:type="spellStart"/>
      <w:r w:rsidRPr="009D185A">
        <w:rPr>
          <w:lang w:val="en-US"/>
        </w:rPr>
        <w:t>Mertens</w:t>
      </w:r>
      <w:proofErr w:type="spellEnd"/>
      <w:r w:rsidRPr="009D185A">
        <w:rPr>
          <w:lang w:val="en-US"/>
        </w:rPr>
        <w:t xml:space="preserve"> (2008) </w:t>
      </w:r>
      <w:r>
        <w:rPr>
          <w:lang w:val="en-US"/>
        </w:rPr>
        <w:t xml:space="preserve">noticed that operational and financial risks are presented frequently. Reporting and compliance risks, other risks distinguished by COSO (2004) have apparently been presented less frequently. Furthermore, the researchers concluded that the number of risk disclosures decreased the smaller the companies. </w:t>
      </w:r>
    </w:p>
    <w:p w:rsidR="007B4361" w:rsidRDefault="007B4361" w:rsidP="003F31A3">
      <w:pPr>
        <w:spacing w:line="360" w:lineRule="auto"/>
        <w:jc w:val="both"/>
        <w:rPr>
          <w:iCs/>
        </w:rPr>
      </w:pPr>
    </w:p>
    <w:p w:rsidR="00957EF7" w:rsidRDefault="00957EF7" w:rsidP="003F31A3">
      <w:pPr>
        <w:spacing w:line="360" w:lineRule="auto"/>
        <w:jc w:val="both"/>
        <w:rPr>
          <w:b/>
          <w:iCs/>
        </w:rPr>
      </w:pPr>
    </w:p>
    <w:p w:rsidR="00957EF7" w:rsidRDefault="00957EF7" w:rsidP="003F31A3">
      <w:pPr>
        <w:spacing w:line="360" w:lineRule="auto"/>
        <w:jc w:val="both"/>
        <w:rPr>
          <w:b/>
          <w:iCs/>
        </w:rPr>
      </w:pPr>
    </w:p>
    <w:p w:rsidR="00D05141" w:rsidRPr="004F4B1E" w:rsidRDefault="00D05141" w:rsidP="003F31A3">
      <w:pPr>
        <w:spacing w:line="360" w:lineRule="auto"/>
        <w:jc w:val="both"/>
        <w:rPr>
          <w:b/>
          <w:iCs/>
        </w:rPr>
      </w:pPr>
      <w:r w:rsidRPr="004F4B1E">
        <w:rPr>
          <w:b/>
          <w:iCs/>
        </w:rPr>
        <w:t>NIVRA (2010)</w:t>
      </w:r>
    </w:p>
    <w:p w:rsidR="00D05141" w:rsidRDefault="00D05141" w:rsidP="003F31A3">
      <w:pPr>
        <w:spacing w:line="360" w:lineRule="auto"/>
        <w:jc w:val="both"/>
        <w:rPr>
          <w:lang w:val="en-US"/>
        </w:rPr>
      </w:pPr>
      <w:r>
        <w:rPr>
          <w:lang w:val="en-US"/>
        </w:rPr>
        <w:t>T</w:t>
      </w:r>
      <w:r w:rsidRPr="00811701">
        <w:rPr>
          <w:lang w:val="en-US"/>
        </w:rPr>
        <w:t xml:space="preserve">he Royal Dutch Institute for Certified Public Accountants (NIVRA) has conducted subsequent research to the </w:t>
      </w:r>
      <w:r>
        <w:rPr>
          <w:lang w:val="en-US"/>
        </w:rPr>
        <w:t xml:space="preserve">research conducted by </w:t>
      </w:r>
      <w:proofErr w:type="spellStart"/>
      <w:r>
        <w:rPr>
          <w:lang w:val="en-US"/>
        </w:rPr>
        <w:t>Blij</w:t>
      </w:r>
      <w:proofErr w:type="spellEnd"/>
      <w:r>
        <w:rPr>
          <w:lang w:val="en-US"/>
        </w:rPr>
        <w:t xml:space="preserve"> and </w:t>
      </w:r>
      <w:proofErr w:type="spellStart"/>
      <w:r>
        <w:rPr>
          <w:lang w:val="en-US"/>
        </w:rPr>
        <w:t>Mertens</w:t>
      </w:r>
      <w:proofErr w:type="spellEnd"/>
      <w:r>
        <w:rPr>
          <w:lang w:val="en-US"/>
        </w:rPr>
        <w:t xml:space="preserve"> (2008). According to the NIVRA research</w:t>
      </w:r>
      <w:r w:rsidR="007B4361">
        <w:rPr>
          <w:lang w:val="en-US"/>
        </w:rPr>
        <w:t>ers</w:t>
      </w:r>
      <w:r>
        <w:rPr>
          <w:lang w:val="en-US"/>
        </w:rPr>
        <w:t>, the financial crisis revealed that risk control is very important. For that reason, the NIVRA researchers decided to conduct their follow-up research.</w:t>
      </w:r>
    </w:p>
    <w:p w:rsidR="00D05141" w:rsidRDefault="00D05141" w:rsidP="003F31A3">
      <w:pPr>
        <w:spacing w:line="360" w:lineRule="auto"/>
        <w:jc w:val="both"/>
        <w:rPr>
          <w:lang w:val="en-US"/>
        </w:rPr>
      </w:pPr>
    </w:p>
    <w:p w:rsidR="00D05141" w:rsidRDefault="00D05141" w:rsidP="003F31A3">
      <w:pPr>
        <w:spacing w:line="360" w:lineRule="auto"/>
        <w:jc w:val="both"/>
        <w:rPr>
          <w:lang w:val="en-US"/>
        </w:rPr>
      </w:pPr>
      <w:r>
        <w:rPr>
          <w:lang w:val="en-US"/>
        </w:rPr>
        <w:t xml:space="preserve">During the research, the </w:t>
      </w:r>
      <w:r w:rsidR="00957EF7">
        <w:rPr>
          <w:lang w:val="en-US"/>
        </w:rPr>
        <w:t xml:space="preserve">2009 annual reports </w:t>
      </w:r>
      <w:r>
        <w:rPr>
          <w:lang w:val="en-US"/>
        </w:rPr>
        <w:t xml:space="preserve">of 63 Dutch listed companies have been examined. The research results have been compared as much as possible with the results of the research conducted by </w:t>
      </w:r>
      <w:proofErr w:type="spellStart"/>
      <w:r>
        <w:rPr>
          <w:lang w:val="en-US"/>
        </w:rPr>
        <w:t>Blij</w:t>
      </w:r>
      <w:proofErr w:type="spellEnd"/>
      <w:r>
        <w:rPr>
          <w:lang w:val="en-US"/>
        </w:rPr>
        <w:t xml:space="preserve"> and </w:t>
      </w:r>
      <w:proofErr w:type="spellStart"/>
      <w:r>
        <w:rPr>
          <w:lang w:val="en-US"/>
        </w:rPr>
        <w:t>Mertens</w:t>
      </w:r>
      <w:proofErr w:type="spellEnd"/>
      <w:r>
        <w:rPr>
          <w:lang w:val="en-US"/>
        </w:rPr>
        <w:t xml:space="preserve"> (2008). A detailed questionnaire has been applied, based on the questionnaire in the previous research of </w:t>
      </w:r>
      <w:proofErr w:type="spellStart"/>
      <w:r>
        <w:rPr>
          <w:lang w:val="en-US"/>
        </w:rPr>
        <w:t>Blij</w:t>
      </w:r>
      <w:proofErr w:type="spellEnd"/>
      <w:r>
        <w:rPr>
          <w:lang w:val="en-US"/>
        </w:rPr>
        <w:t xml:space="preserve"> and </w:t>
      </w:r>
      <w:proofErr w:type="spellStart"/>
      <w:r>
        <w:rPr>
          <w:lang w:val="en-US"/>
        </w:rPr>
        <w:t>Mertens</w:t>
      </w:r>
      <w:proofErr w:type="spellEnd"/>
      <w:r>
        <w:rPr>
          <w:lang w:val="en-US"/>
        </w:rPr>
        <w:t xml:space="preserve"> (2008). The NIVRA researchers concentrated on the Reports of the Executive Board, no attention was paid to the annual accounts.</w:t>
      </w:r>
    </w:p>
    <w:p w:rsidR="00D05141" w:rsidRDefault="00D05141" w:rsidP="003F31A3">
      <w:pPr>
        <w:spacing w:line="360" w:lineRule="auto"/>
        <w:jc w:val="both"/>
        <w:rPr>
          <w:lang w:val="en-US"/>
        </w:rPr>
      </w:pPr>
    </w:p>
    <w:p w:rsidR="00B75D8A" w:rsidRDefault="00D05141" w:rsidP="003F31A3">
      <w:pPr>
        <w:spacing w:line="360" w:lineRule="auto"/>
        <w:jc w:val="both"/>
        <w:rPr>
          <w:lang w:val="en-US"/>
        </w:rPr>
      </w:pPr>
      <w:r>
        <w:rPr>
          <w:lang w:val="en-US"/>
        </w:rPr>
        <w:t xml:space="preserve">The researchers have concluded that compared to the research of </w:t>
      </w:r>
      <w:proofErr w:type="spellStart"/>
      <w:r>
        <w:rPr>
          <w:lang w:val="en-US"/>
        </w:rPr>
        <w:t>Blij</w:t>
      </w:r>
      <w:proofErr w:type="spellEnd"/>
      <w:r>
        <w:rPr>
          <w:lang w:val="en-US"/>
        </w:rPr>
        <w:t xml:space="preserve"> and </w:t>
      </w:r>
      <w:proofErr w:type="spellStart"/>
      <w:r>
        <w:rPr>
          <w:lang w:val="en-US"/>
        </w:rPr>
        <w:t>Mertens</w:t>
      </w:r>
      <w:proofErr w:type="spellEnd"/>
      <w:r>
        <w:rPr>
          <w:lang w:val="en-US"/>
        </w:rPr>
        <w:t xml:space="preserve"> (2008) two years earlier, the quality of the risk paragraphs had increased. However, with regard to the presentation as well as the contents, the researchers concluded that the risk paragraphs allowed for further improvement. Moreover, the research indicated that it is difficult for a lot of companies to stick to the most important risks.</w:t>
      </w:r>
    </w:p>
    <w:p w:rsidR="009E5E7A" w:rsidRPr="003228B8" w:rsidRDefault="009E5E7A" w:rsidP="003F31A3">
      <w:pPr>
        <w:spacing w:line="360" w:lineRule="auto"/>
        <w:jc w:val="both"/>
        <w:rPr>
          <w:lang w:val="en-US"/>
        </w:rPr>
      </w:pPr>
    </w:p>
    <w:p w:rsidR="002462DA" w:rsidRDefault="009E5E7A" w:rsidP="003F31A3">
      <w:pPr>
        <w:spacing w:line="360" w:lineRule="auto"/>
        <w:jc w:val="both"/>
        <w:rPr>
          <w:b/>
          <w:lang w:val="en-US"/>
        </w:rPr>
      </w:pPr>
      <w:r w:rsidRPr="00651F18">
        <w:rPr>
          <w:b/>
          <w:lang w:val="en-US"/>
        </w:rPr>
        <w:t>AFM (2012)</w:t>
      </w:r>
    </w:p>
    <w:p w:rsidR="0088129E" w:rsidRDefault="005844EA" w:rsidP="003F31A3">
      <w:pPr>
        <w:spacing w:line="360" w:lineRule="auto"/>
        <w:jc w:val="both"/>
        <w:rPr>
          <w:lang w:val="en-US"/>
        </w:rPr>
      </w:pPr>
      <w:r>
        <w:rPr>
          <w:lang w:val="en-US"/>
        </w:rPr>
        <w:t xml:space="preserve">The </w:t>
      </w:r>
      <w:r w:rsidR="00D72ADB" w:rsidRPr="00651F18">
        <w:rPr>
          <w:lang w:val="en-US"/>
        </w:rPr>
        <w:t>Dutch Authority of Financial Markets (AFM)</w:t>
      </w:r>
      <w:r>
        <w:rPr>
          <w:lang w:val="en-US"/>
        </w:rPr>
        <w:t xml:space="preserve"> conducted </w:t>
      </w:r>
      <w:r w:rsidR="00D72ADB">
        <w:rPr>
          <w:lang w:val="en-US"/>
        </w:rPr>
        <w:t xml:space="preserve">in 2012 </w:t>
      </w:r>
      <w:r>
        <w:rPr>
          <w:lang w:val="en-US"/>
        </w:rPr>
        <w:t>a themat</w:t>
      </w:r>
      <w:r w:rsidR="004B74E3">
        <w:rPr>
          <w:lang w:val="en-US"/>
        </w:rPr>
        <w:t xml:space="preserve">ic research regarding the financial crisis and the increased risk exposure to government bonds. The AFM (2012) </w:t>
      </w:r>
      <w:r>
        <w:rPr>
          <w:lang w:val="en-US"/>
        </w:rPr>
        <w:t>aimed to encourage financial institutions to improve the quality and transparency of financial disclosure.</w:t>
      </w:r>
    </w:p>
    <w:p w:rsidR="005844EA" w:rsidRDefault="005844EA" w:rsidP="003F31A3">
      <w:pPr>
        <w:spacing w:line="360" w:lineRule="auto"/>
        <w:jc w:val="both"/>
        <w:rPr>
          <w:lang w:val="en-US"/>
        </w:rPr>
      </w:pPr>
    </w:p>
    <w:p w:rsidR="005844EA" w:rsidRDefault="005844EA" w:rsidP="003F31A3">
      <w:pPr>
        <w:spacing w:line="360" w:lineRule="auto"/>
        <w:jc w:val="both"/>
        <w:rPr>
          <w:lang w:val="en-US"/>
        </w:rPr>
      </w:pPr>
      <w:r>
        <w:rPr>
          <w:lang w:val="en-US"/>
        </w:rPr>
        <w:t xml:space="preserve">The AFM (2012) did research on the </w:t>
      </w:r>
      <w:r w:rsidR="00CB21E6">
        <w:rPr>
          <w:lang w:val="en-US"/>
        </w:rPr>
        <w:t xml:space="preserve">2011 </w:t>
      </w:r>
      <w:r>
        <w:rPr>
          <w:lang w:val="en-US"/>
        </w:rPr>
        <w:t>financial statements of t</w:t>
      </w:r>
      <w:r w:rsidR="000174D6">
        <w:rPr>
          <w:lang w:val="en-US"/>
        </w:rPr>
        <w:t>en financial institutions. The main focus was on the exposure to the risks of the GIIPS countries, the countries Greece, Ireland, Italy, Portugal and Spain. The AFM (2012) researched how the government bonds of these countries have been valued and processed in the financial statements.</w:t>
      </w:r>
    </w:p>
    <w:p w:rsidR="000542DB" w:rsidRDefault="000542DB" w:rsidP="003F31A3">
      <w:pPr>
        <w:spacing w:line="360" w:lineRule="auto"/>
        <w:jc w:val="both"/>
        <w:rPr>
          <w:lang w:val="en-US"/>
        </w:rPr>
      </w:pPr>
    </w:p>
    <w:p w:rsidR="000542DB" w:rsidRDefault="000542DB" w:rsidP="003F31A3">
      <w:pPr>
        <w:spacing w:line="360" w:lineRule="auto"/>
        <w:jc w:val="both"/>
        <w:rPr>
          <w:lang w:val="en-US"/>
        </w:rPr>
      </w:pPr>
      <w:r>
        <w:rPr>
          <w:lang w:val="en-US"/>
        </w:rPr>
        <w:t xml:space="preserve">The AFM </w:t>
      </w:r>
      <w:r w:rsidR="00286978">
        <w:rPr>
          <w:lang w:val="en-US"/>
        </w:rPr>
        <w:t xml:space="preserve">(2012) </w:t>
      </w:r>
      <w:r>
        <w:rPr>
          <w:lang w:val="en-US"/>
        </w:rPr>
        <w:t xml:space="preserve">noticed that, unlike the situation in the financial statements of 2010, all ten financial institutions had disclosed additional information about direct positions in government bonds as per GIIPS country. </w:t>
      </w:r>
      <w:r w:rsidR="00833977">
        <w:rPr>
          <w:lang w:val="en-US"/>
        </w:rPr>
        <w:t>However, t</w:t>
      </w:r>
      <w:r w:rsidR="00286978">
        <w:rPr>
          <w:lang w:val="en-US"/>
        </w:rPr>
        <w:t>he AFM (2012) concluded that further impr</w:t>
      </w:r>
      <w:r w:rsidR="005B4C8D">
        <w:rPr>
          <w:lang w:val="en-US"/>
        </w:rPr>
        <w:t xml:space="preserve">ovement of the </w:t>
      </w:r>
      <w:r w:rsidR="00286978">
        <w:rPr>
          <w:lang w:val="en-US"/>
        </w:rPr>
        <w:t>disclosures is possible</w:t>
      </w:r>
      <w:r w:rsidR="00E80770">
        <w:rPr>
          <w:lang w:val="en-US"/>
        </w:rPr>
        <w:t>. The researchers describe improvements such as</w:t>
      </w:r>
      <w:r w:rsidR="00286978">
        <w:rPr>
          <w:lang w:val="en-US"/>
        </w:rPr>
        <w:t xml:space="preserve"> </w:t>
      </w:r>
      <w:r w:rsidR="00E80770">
        <w:rPr>
          <w:lang w:val="en-US"/>
        </w:rPr>
        <w:t>providin</w:t>
      </w:r>
      <w:r w:rsidR="005B4C8D">
        <w:rPr>
          <w:lang w:val="en-US"/>
        </w:rPr>
        <w:t xml:space="preserve">g further information about the </w:t>
      </w:r>
      <w:r w:rsidR="00E80770">
        <w:rPr>
          <w:lang w:val="en-US"/>
        </w:rPr>
        <w:t>duration and gross and net amounts of government bond positions and providing further details regarding the strategy of institutions towards risk exposures.</w:t>
      </w:r>
    </w:p>
    <w:p w:rsidR="00035437" w:rsidRDefault="00035437" w:rsidP="003F31A3">
      <w:pPr>
        <w:spacing w:line="360" w:lineRule="auto"/>
        <w:jc w:val="both"/>
        <w:rPr>
          <w:lang w:val="en-US"/>
        </w:rPr>
      </w:pPr>
    </w:p>
    <w:p w:rsidR="00EE4348" w:rsidRPr="00363316" w:rsidRDefault="00EE4348" w:rsidP="00EE4348">
      <w:pPr>
        <w:spacing w:line="360" w:lineRule="auto"/>
        <w:jc w:val="both"/>
        <w:rPr>
          <w:rStyle w:val="Nadruk"/>
          <w:i w:val="0"/>
          <w:lang w:val="en-US"/>
        </w:rPr>
      </w:pPr>
      <w:r>
        <w:rPr>
          <w:rStyle w:val="Nadruk"/>
          <w:i w:val="0"/>
          <w:lang w:val="en-US"/>
        </w:rPr>
        <w:t>Meijer (2011</w:t>
      </w:r>
      <w:r w:rsidRPr="00363316">
        <w:rPr>
          <w:rStyle w:val="Nadruk"/>
          <w:i w:val="0"/>
          <w:lang w:val="en-US"/>
        </w:rPr>
        <w:t>)</w:t>
      </w:r>
    </w:p>
    <w:p w:rsidR="00EE4348" w:rsidRDefault="00EE4348" w:rsidP="00EE4348">
      <w:pPr>
        <w:spacing w:line="360" w:lineRule="auto"/>
        <w:jc w:val="both"/>
        <w:rPr>
          <w:bCs/>
        </w:rPr>
      </w:pPr>
      <w:r>
        <w:rPr>
          <w:bCs/>
        </w:rPr>
        <w:t>Meijer (2011) describes that the financial crisis is one of the reasons for more attention to the reporting of risks. In his thesis, Meijer (2011) conducts research on the nature and type of the risk information that is disclosed in the annual report of companies.</w:t>
      </w:r>
    </w:p>
    <w:p w:rsidR="00EE4348" w:rsidRDefault="00EE4348" w:rsidP="00EE4348">
      <w:pPr>
        <w:spacing w:line="360" w:lineRule="auto"/>
        <w:jc w:val="both"/>
        <w:rPr>
          <w:bCs/>
        </w:rPr>
      </w:pPr>
    </w:p>
    <w:p w:rsidR="00ED254E" w:rsidRDefault="00EE4348" w:rsidP="00EE4348">
      <w:pPr>
        <w:spacing w:line="360" w:lineRule="auto"/>
        <w:jc w:val="both"/>
        <w:rPr>
          <w:bCs/>
        </w:rPr>
      </w:pPr>
      <w:r>
        <w:rPr>
          <w:bCs/>
        </w:rPr>
        <w:t>Meijer (2011) has examined the annual reports of 21 AEX and 20 AMX listed companies</w:t>
      </w:r>
      <w:r w:rsidR="004D70FF">
        <w:rPr>
          <w:bCs/>
        </w:rPr>
        <w:t xml:space="preserve"> and applied a combination of </w:t>
      </w:r>
      <w:r w:rsidR="00ED254E">
        <w:rPr>
          <w:bCs/>
        </w:rPr>
        <w:t>content analysis and disclosure index study to measure mutations in disclo</w:t>
      </w:r>
      <w:r w:rsidR="004D70FF">
        <w:rPr>
          <w:bCs/>
        </w:rPr>
        <w:t>sure quantity and quality in</w:t>
      </w:r>
      <w:r w:rsidR="00ED254E">
        <w:rPr>
          <w:bCs/>
        </w:rPr>
        <w:t xml:space="preserve"> the period 2005-2008.</w:t>
      </w:r>
      <w:r w:rsidR="007556E8">
        <w:rPr>
          <w:bCs/>
        </w:rPr>
        <w:t xml:space="preserve"> The </w:t>
      </w:r>
      <w:r w:rsidR="004D70FF">
        <w:rPr>
          <w:bCs/>
        </w:rPr>
        <w:t>research focuses on all possibly</w:t>
      </w:r>
      <w:r w:rsidR="007556E8">
        <w:rPr>
          <w:bCs/>
        </w:rPr>
        <w:t xml:space="preserve"> </w:t>
      </w:r>
      <w:r w:rsidR="004D70FF">
        <w:rPr>
          <w:bCs/>
        </w:rPr>
        <w:t xml:space="preserve">disclosed </w:t>
      </w:r>
      <w:r w:rsidR="007556E8">
        <w:rPr>
          <w:bCs/>
        </w:rPr>
        <w:t>risk categories</w:t>
      </w:r>
      <w:r w:rsidR="004D70FF">
        <w:rPr>
          <w:bCs/>
        </w:rPr>
        <w:t>. D</w:t>
      </w:r>
      <w:r w:rsidR="00817E11">
        <w:rPr>
          <w:bCs/>
        </w:rPr>
        <w:t>uring the research, company size has been</w:t>
      </w:r>
      <w:r w:rsidR="004D70FF">
        <w:rPr>
          <w:bCs/>
        </w:rPr>
        <w:t xml:space="preserve"> taken into account and has been</w:t>
      </w:r>
      <w:r w:rsidR="00817E11">
        <w:rPr>
          <w:bCs/>
        </w:rPr>
        <w:t xml:space="preserve"> measured by means of market capitalization, total assets and market turnover.</w:t>
      </w:r>
      <w:r w:rsidR="00ED254E">
        <w:rPr>
          <w:bCs/>
        </w:rPr>
        <w:t xml:space="preserve"> </w:t>
      </w:r>
    </w:p>
    <w:p w:rsidR="00ED254E" w:rsidRDefault="00ED254E" w:rsidP="00EE4348">
      <w:pPr>
        <w:spacing w:line="360" w:lineRule="auto"/>
        <w:jc w:val="both"/>
        <w:rPr>
          <w:bCs/>
        </w:rPr>
      </w:pPr>
    </w:p>
    <w:p w:rsidR="00EE4348" w:rsidRDefault="00ED254E" w:rsidP="003F31A3">
      <w:pPr>
        <w:spacing w:line="360" w:lineRule="auto"/>
        <w:jc w:val="both"/>
        <w:rPr>
          <w:lang w:val="en-US"/>
        </w:rPr>
      </w:pPr>
      <w:r>
        <w:rPr>
          <w:bCs/>
        </w:rPr>
        <w:t xml:space="preserve">Meijer (2011) </w:t>
      </w:r>
      <w:r w:rsidR="007556E8">
        <w:rPr>
          <w:bCs/>
        </w:rPr>
        <w:t xml:space="preserve">concludes that the quantity and quality of risk disclosures have increased significantly in the years 2005-2006 and 2007-2008. </w:t>
      </w:r>
      <w:r w:rsidR="00817E11">
        <w:rPr>
          <w:bCs/>
        </w:rPr>
        <w:t xml:space="preserve">Furthermore, Meijer (2011) concludes </w:t>
      </w:r>
      <w:r w:rsidR="007556E8">
        <w:rPr>
          <w:bCs/>
        </w:rPr>
        <w:t xml:space="preserve">that in the same period, the number of </w:t>
      </w:r>
      <w:r w:rsidR="00817E11">
        <w:rPr>
          <w:bCs/>
        </w:rPr>
        <w:t xml:space="preserve">categories </w:t>
      </w:r>
      <w:r w:rsidR="003B7A24">
        <w:rPr>
          <w:bCs/>
        </w:rPr>
        <w:t>of risk that have</w:t>
      </w:r>
      <w:r w:rsidR="00817E11">
        <w:rPr>
          <w:bCs/>
        </w:rPr>
        <w:t xml:space="preserve"> been disclosed has also increased. The research reveals that there is a positive relation between the quantity and quality of risk disclosures and company size.</w:t>
      </w:r>
    </w:p>
    <w:p w:rsidR="00EE4348" w:rsidRDefault="00EE4348" w:rsidP="003F31A3">
      <w:pPr>
        <w:spacing w:line="360" w:lineRule="auto"/>
        <w:jc w:val="both"/>
        <w:rPr>
          <w:lang w:val="en-US"/>
        </w:rPr>
      </w:pPr>
    </w:p>
    <w:p w:rsidR="00926DB2" w:rsidRDefault="00013E45" w:rsidP="003F31A3">
      <w:pPr>
        <w:pStyle w:val="Kop2"/>
        <w:numPr>
          <w:ilvl w:val="0"/>
          <w:numId w:val="0"/>
        </w:numPr>
        <w:spacing w:line="360" w:lineRule="auto"/>
        <w:ind w:left="576" w:hanging="576"/>
        <w:jc w:val="both"/>
        <w:rPr>
          <w:rFonts w:ascii="Times New Roman" w:hAnsi="Times New Roman" w:cs="Times New Roman"/>
          <w:i w:val="0"/>
          <w:iCs w:val="0"/>
          <w:sz w:val="24"/>
          <w:szCs w:val="24"/>
        </w:rPr>
      </w:pPr>
      <w:bookmarkStart w:id="43" w:name="_Toc355387296"/>
      <w:r>
        <w:rPr>
          <w:rFonts w:ascii="Times New Roman" w:hAnsi="Times New Roman" w:cs="Times New Roman"/>
          <w:i w:val="0"/>
          <w:iCs w:val="0"/>
          <w:sz w:val="24"/>
          <w:szCs w:val="24"/>
        </w:rPr>
        <w:t>2</w:t>
      </w:r>
      <w:r w:rsidR="00B85E08">
        <w:rPr>
          <w:rFonts w:ascii="Times New Roman" w:hAnsi="Times New Roman" w:cs="Times New Roman"/>
          <w:i w:val="0"/>
          <w:iCs w:val="0"/>
          <w:sz w:val="24"/>
          <w:szCs w:val="24"/>
        </w:rPr>
        <w:t>.</w:t>
      </w:r>
      <w:r w:rsidR="003A0000">
        <w:rPr>
          <w:rFonts w:ascii="Times New Roman" w:hAnsi="Times New Roman" w:cs="Times New Roman"/>
          <w:i w:val="0"/>
          <w:iCs w:val="0"/>
          <w:sz w:val="24"/>
          <w:szCs w:val="24"/>
        </w:rPr>
        <w:t>10</w:t>
      </w:r>
      <w:r w:rsidR="00CE55F0">
        <w:rPr>
          <w:rFonts w:ascii="Times New Roman" w:hAnsi="Times New Roman" w:cs="Times New Roman"/>
          <w:i w:val="0"/>
          <w:iCs w:val="0"/>
          <w:sz w:val="24"/>
          <w:szCs w:val="24"/>
        </w:rPr>
        <w:tab/>
      </w:r>
      <w:r w:rsidR="00926DB2" w:rsidRPr="00A84EFB">
        <w:rPr>
          <w:rFonts w:ascii="Times New Roman" w:hAnsi="Times New Roman" w:cs="Times New Roman"/>
          <w:i w:val="0"/>
          <w:iCs w:val="0"/>
          <w:sz w:val="24"/>
          <w:szCs w:val="24"/>
        </w:rPr>
        <w:t>Summary</w:t>
      </w:r>
      <w:bookmarkEnd w:id="43"/>
    </w:p>
    <w:p w:rsidR="00EE0482" w:rsidRDefault="00EE0482" w:rsidP="003F31A3">
      <w:pPr>
        <w:spacing w:line="360" w:lineRule="auto"/>
        <w:jc w:val="both"/>
      </w:pPr>
      <w:r>
        <w:t xml:space="preserve">As in other sectors, </w:t>
      </w:r>
      <w:r w:rsidR="00DC0E6F">
        <w:t xml:space="preserve">problems of </w:t>
      </w:r>
      <w:r>
        <w:t xml:space="preserve">information asymmetry and agency conflicts occur also in the pension sector. Some parties have more information than other parties and conflicts of interest exist in the </w:t>
      </w:r>
      <w:r w:rsidR="00BE0F47">
        <w:t>relation</w:t>
      </w:r>
      <w:r>
        <w:t xml:space="preserve"> between the principals and agents. Financial reporting and disclosures are important to decrease these problems (Healy and </w:t>
      </w:r>
      <w:proofErr w:type="spellStart"/>
      <w:r>
        <w:t>Palepu</w:t>
      </w:r>
      <w:proofErr w:type="spellEnd"/>
      <w:r>
        <w:t>, 2001). Research from a positive accounting perspective can focus on particular characteristic</w:t>
      </w:r>
      <w:r w:rsidR="00CB21E6">
        <w:t>s</w:t>
      </w:r>
      <w:r>
        <w:t xml:space="preserve"> of a company such like the company size to explain how management behaves regarding disclosures.</w:t>
      </w:r>
    </w:p>
    <w:p w:rsidR="00DC0E6F" w:rsidRDefault="003E6AA1" w:rsidP="003F31A3">
      <w:pPr>
        <w:spacing w:line="360" w:lineRule="auto"/>
        <w:jc w:val="both"/>
      </w:pPr>
      <w:r>
        <w:t xml:space="preserve">The Dutch pension sector is a dynamic sector. </w:t>
      </w:r>
      <w:r w:rsidR="00916937">
        <w:t>The number of pension funds</w:t>
      </w:r>
      <w:r>
        <w:t xml:space="preserve"> has decreased considerably during the past decade. </w:t>
      </w:r>
      <w:r w:rsidR="00916937">
        <w:t xml:space="preserve"> </w:t>
      </w:r>
      <w:r w:rsidR="0086506D">
        <w:t xml:space="preserve">The Commissions </w:t>
      </w:r>
      <w:proofErr w:type="spellStart"/>
      <w:r w:rsidR="0086506D">
        <w:t>Frijns</w:t>
      </w:r>
      <w:proofErr w:type="spellEnd"/>
      <w:r w:rsidR="0086506D">
        <w:t xml:space="preserve"> (2010) and </w:t>
      </w:r>
      <w:proofErr w:type="spellStart"/>
      <w:r w:rsidR="0086506D">
        <w:t>Goudswaard</w:t>
      </w:r>
      <w:proofErr w:type="spellEnd"/>
      <w:r w:rsidR="0086506D">
        <w:t xml:space="preserve"> (2010) have conducted research within the pension sector and were </w:t>
      </w:r>
      <w:r w:rsidR="006149B4">
        <w:t>very critical regarding the disclosures of risks and uncertainties</w:t>
      </w:r>
      <w:r w:rsidR="0086506D">
        <w:t xml:space="preserve">. </w:t>
      </w:r>
      <w:proofErr w:type="spellStart"/>
      <w:r w:rsidR="0086506D">
        <w:t>Frijns</w:t>
      </w:r>
      <w:proofErr w:type="spellEnd"/>
      <w:r w:rsidR="0086506D">
        <w:t xml:space="preserve"> et al. (2010) </w:t>
      </w:r>
      <w:r w:rsidR="00DC0E6F">
        <w:t xml:space="preserve">even </w:t>
      </w:r>
      <w:r w:rsidR="006149B4">
        <w:t xml:space="preserve">questioned if small pension funds are able to provide clear information regarding risk. </w:t>
      </w:r>
    </w:p>
    <w:p w:rsidR="003D0F22" w:rsidRDefault="00F67A6F" w:rsidP="003F31A3">
      <w:pPr>
        <w:spacing w:line="360" w:lineRule="auto"/>
        <w:jc w:val="both"/>
      </w:pPr>
      <w:r>
        <w:t>The financial crisis started in the summer of 2007 (</w:t>
      </w:r>
      <w:proofErr w:type="spellStart"/>
      <w:r>
        <w:t>Mishkin</w:t>
      </w:r>
      <w:proofErr w:type="spellEnd"/>
      <w:r>
        <w:t xml:space="preserve">, 2009) and subsequently </w:t>
      </w:r>
      <w:r w:rsidR="00E750CD">
        <w:t xml:space="preserve">spread </w:t>
      </w:r>
      <w:r>
        <w:t>all over the world, including Europe in 2008 (</w:t>
      </w:r>
      <w:proofErr w:type="spellStart"/>
      <w:r>
        <w:t>Dabrowski</w:t>
      </w:r>
      <w:proofErr w:type="spellEnd"/>
      <w:r>
        <w:t xml:space="preserve">, 2010). </w:t>
      </w:r>
      <w:r w:rsidR="003D0F22">
        <w:t xml:space="preserve">There is no unequivocal definition of risk, however, </w:t>
      </w:r>
      <w:proofErr w:type="spellStart"/>
      <w:r w:rsidR="003D0F22">
        <w:t>Linsley</w:t>
      </w:r>
      <w:proofErr w:type="spellEnd"/>
      <w:r w:rsidR="003D0F22">
        <w:t xml:space="preserve"> and Shrives (2006) emphasize that not only ‘bad risk’ but also ‘good risk</w:t>
      </w:r>
      <w:r w:rsidR="007E0933">
        <w:t>’ should be considered. The Dutch Guidelines distinguish different types of investment risks such as price risk, credit risk, liquidity risk and specific investment risks regarding alternative investments (RJ 610.403).</w:t>
      </w:r>
    </w:p>
    <w:p w:rsidR="007E0933" w:rsidRDefault="00001AF0" w:rsidP="003F31A3">
      <w:pPr>
        <w:spacing w:line="360" w:lineRule="auto"/>
        <w:jc w:val="both"/>
      </w:pPr>
      <w:r>
        <w:t>Disclosure</w:t>
      </w:r>
      <w:r w:rsidR="00F161A8">
        <w:t xml:space="preserve">s can be divided into mandatory and voluntary disclosures (Hassan and Marston, 2010). </w:t>
      </w:r>
      <w:r w:rsidR="00CE4566">
        <w:t>R</w:t>
      </w:r>
      <w:r w:rsidR="000D4939">
        <w:t>egard</w:t>
      </w:r>
      <w:r w:rsidR="00CE4566">
        <w:t>ing</w:t>
      </w:r>
      <w:r w:rsidR="000D4939">
        <w:t xml:space="preserve"> mand</w:t>
      </w:r>
      <w:r w:rsidR="0041584F">
        <w:t>atory disclosures</w:t>
      </w:r>
      <w:r w:rsidR="00CE4566">
        <w:t xml:space="preserve">, the Dutch Pension Law and </w:t>
      </w:r>
      <w:r w:rsidR="0041584F">
        <w:t>Guid</w:t>
      </w:r>
      <w:r w:rsidR="00CE4566">
        <w:t xml:space="preserve">elines </w:t>
      </w:r>
      <w:r w:rsidR="0041584F">
        <w:t>are applic</w:t>
      </w:r>
      <w:r w:rsidR="00CE4566">
        <w:t xml:space="preserve">able. Although not mandatory, </w:t>
      </w:r>
      <w:r w:rsidR="0041584F">
        <w:t>pension fund</w:t>
      </w:r>
      <w:r w:rsidR="00CE4566">
        <w:t>s</w:t>
      </w:r>
      <w:r w:rsidR="0041584F">
        <w:t xml:space="preserve"> coul</w:t>
      </w:r>
      <w:r w:rsidR="00CE4566">
        <w:t xml:space="preserve">d apply IFRS, in that case, </w:t>
      </w:r>
      <w:r w:rsidR="0041584F">
        <w:t xml:space="preserve">financial statements of a company could include voluntary elements. However, the boundary between voluntary and mandatory disclosures is not always crystal clear. </w:t>
      </w:r>
    </w:p>
    <w:p w:rsidR="00F079CB" w:rsidRDefault="00AF312E" w:rsidP="003F31A3">
      <w:pPr>
        <w:spacing w:line="360" w:lineRule="auto"/>
        <w:jc w:val="both"/>
      </w:pPr>
      <w:r>
        <w:t>S</w:t>
      </w:r>
      <w:r w:rsidR="00107581" w:rsidRPr="00581543">
        <w:t>ubjec</w:t>
      </w:r>
      <w:r w:rsidR="00107581">
        <w:t>tive ratings, disclosure index studies</w:t>
      </w:r>
      <w:r w:rsidR="00107581" w:rsidRPr="00581543">
        <w:t>, content analysis, readability studies and linguistic analysis</w:t>
      </w:r>
      <w:r w:rsidR="00107581">
        <w:t xml:space="preserve"> </w:t>
      </w:r>
      <w:r>
        <w:t>are different research methods to measure disclosure quantity and quality (</w:t>
      </w:r>
      <w:r w:rsidRPr="00581543">
        <w:t>Beattie et al. (2004)</w:t>
      </w:r>
      <w:r>
        <w:t>)</w:t>
      </w:r>
      <w:r w:rsidR="00107581" w:rsidRPr="00581543">
        <w:t>.</w:t>
      </w:r>
      <w:r w:rsidR="00107581">
        <w:t xml:space="preserve"> All of these measurement m</w:t>
      </w:r>
      <w:r w:rsidR="00FF5366">
        <w:t xml:space="preserve">ethods have </w:t>
      </w:r>
      <w:r w:rsidR="00107581">
        <w:t>their advantages and disadvantages</w:t>
      </w:r>
      <w:r w:rsidR="00FF5366">
        <w:t xml:space="preserve">. </w:t>
      </w:r>
      <w:proofErr w:type="spellStart"/>
      <w:r w:rsidR="00EC749A">
        <w:t>Buzby</w:t>
      </w:r>
      <w:proofErr w:type="spellEnd"/>
      <w:r w:rsidR="00EC749A">
        <w:t xml:space="preserve"> (1975) has conducted research on the association betwee</w:t>
      </w:r>
      <w:r w:rsidR="00ED67F5">
        <w:t xml:space="preserve">n the size of a company and </w:t>
      </w:r>
      <w:r w:rsidR="00EC749A">
        <w:t>disclosure quality.</w:t>
      </w:r>
      <w:r w:rsidR="00DE20EE">
        <w:t xml:space="preserve"> </w:t>
      </w:r>
      <w:r w:rsidR="00ED67F5">
        <w:t xml:space="preserve">Cooke (1989) </w:t>
      </w:r>
      <w:r w:rsidR="00DE20EE">
        <w:t>states that to establish higher disclosure quality, a company should employ a broad range of highly skilled employees. Cooke (1989) states that the</w:t>
      </w:r>
      <w:r w:rsidR="00F079CB">
        <w:t xml:space="preserve"> larger a company is, the larger are</w:t>
      </w:r>
      <w:r w:rsidR="00DE20EE">
        <w:t xml:space="preserve"> the possibilities to attract those skilled employees.</w:t>
      </w:r>
    </w:p>
    <w:p w:rsidR="00742155" w:rsidRDefault="00F079CB" w:rsidP="00DC0E6F">
      <w:pPr>
        <w:spacing w:line="360" w:lineRule="auto"/>
        <w:jc w:val="both"/>
      </w:pPr>
      <w:r>
        <w:t xml:space="preserve">Finally, papers and articles have been described that concern empirical research that cannot be categorized as part of the previous paragraph. Beretta and </w:t>
      </w:r>
      <w:proofErr w:type="spellStart"/>
      <w:r>
        <w:t>Bozolan</w:t>
      </w:r>
      <w:proofErr w:type="spellEnd"/>
      <w:r>
        <w:t xml:space="preserve"> (2004) have developed a framework that takes not only the quantity of disclosures but also the quality into account. Several other researchers (e.g. </w:t>
      </w:r>
      <w:proofErr w:type="spellStart"/>
      <w:r>
        <w:t>Blij</w:t>
      </w:r>
      <w:proofErr w:type="spellEnd"/>
      <w:r>
        <w:t xml:space="preserve"> and </w:t>
      </w:r>
      <w:proofErr w:type="spellStart"/>
      <w:r>
        <w:t>Mertens</w:t>
      </w:r>
      <w:proofErr w:type="spellEnd"/>
      <w:r>
        <w:t xml:space="preserve"> (2008), NIVRA (2010), </w:t>
      </w:r>
      <w:r w:rsidR="00A800EC">
        <w:t>Meijer (2011)</w:t>
      </w:r>
      <w:r w:rsidR="00817E11">
        <w:t xml:space="preserve"> </w:t>
      </w:r>
      <w:r w:rsidR="00074A6F">
        <w:t xml:space="preserve">and </w:t>
      </w:r>
      <w:r>
        <w:t>AFM (</w:t>
      </w:r>
      <w:r w:rsidR="00074A6F">
        <w:t>2012)</w:t>
      </w:r>
      <w:r>
        <w:t>) have conducted research regarding disclosures in the Netherlands. These researches will be used to answer the research question in the remainder of the thesis.</w:t>
      </w:r>
      <w:r w:rsidR="00D23AF7">
        <w:t xml:space="preserve"> Before conducting the research, the</w:t>
      </w:r>
      <w:r w:rsidR="007A07AC">
        <w:t xml:space="preserve"> next chapter will present the research design</w:t>
      </w:r>
      <w:r w:rsidR="00D23AF7">
        <w:t xml:space="preserve">. </w:t>
      </w:r>
      <w:bookmarkStart w:id="44" w:name="_Toc267323024"/>
      <w:r w:rsidR="00742155">
        <w:br w:type="page"/>
      </w:r>
    </w:p>
    <w:p w:rsidR="000C460E" w:rsidRDefault="001552A7" w:rsidP="000C460E">
      <w:pPr>
        <w:pStyle w:val="Kop1"/>
        <w:numPr>
          <w:ilvl w:val="0"/>
          <w:numId w:val="0"/>
        </w:numPr>
        <w:ind w:left="432" w:hanging="432"/>
      </w:pPr>
      <w:bookmarkStart w:id="45" w:name="_Toc355387297"/>
      <w:r>
        <w:rPr>
          <w:lang w:val="en-US"/>
        </w:rPr>
        <w:t>3</w:t>
      </w:r>
      <w:r w:rsidR="002919E5" w:rsidRPr="00DB346B">
        <w:rPr>
          <w:lang w:val="en-US"/>
        </w:rPr>
        <w:tab/>
      </w:r>
      <w:r w:rsidR="000C460E" w:rsidRPr="009146D9">
        <w:t>Research design</w:t>
      </w:r>
      <w:bookmarkEnd w:id="45"/>
    </w:p>
    <w:p w:rsidR="00573301" w:rsidRDefault="004D7EAF" w:rsidP="003F31A3">
      <w:pPr>
        <w:pStyle w:val="Normaalweb"/>
        <w:spacing w:line="360" w:lineRule="auto"/>
        <w:jc w:val="both"/>
      </w:pPr>
      <w:r>
        <w:t>The research design will be appli</w:t>
      </w:r>
      <w:r w:rsidR="00C6425E">
        <w:t xml:space="preserve">ed by use of </w:t>
      </w:r>
      <w:r w:rsidR="001F7089">
        <w:t xml:space="preserve">a number of key elements of </w:t>
      </w:r>
      <w:r w:rsidR="00C6425E">
        <w:t xml:space="preserve">the overview of the research process of </w:t>
      </w:r>
      <w:proofErr w:type="spellStart"/>
      <w:r w:rsidR="00C6425E">
        <w:t>Babbie</w:t>
      </w:r>
      <w:proofErr w:type="spellEnd"/>
      <w:r w:rsidR="00C6425E">
        <w:t xml:space="preserve"> (2007), as depicted</w:t>
      </w:r>
      <w:r>
        <w:t xml:space="preserve"> in appendix </w:t>
      </w:r>
      <w:r w:rsidR="002A3E26">
        <w:t>6</w:t>
      </w:r>
      <w:r>
        <w:t>.</w:t>
      </w:r>
      <w:r w:rsidR="00C6425E">
        <w:t xml:space="preserve"> </w:t>
      </w:r>
      <w:r w:rsidR="00CA07FA">
        <w:t>The d</w:t>
      </w:r>
      <w:r w:rsidR="00925FCF">
        <w:t xml:space="preserve">ifferent </w:t>
      </w:r>
      <w:r w:rsidR="00C6425E">
        <w:t xml:space="preserve">elements </w:t>
      </w:r>
      <w:r w:rsidR="00CA07FA">
        <w:t>of this research process</w:t>
      </w:r>
      <w:r w:rsidR="00C6425E">
        <w:t xml:space="preserve"> will be described in separate paragraphs.</w:t>
      </w:r>
      <w:r w:rsidR="00972523">
        <w:t xml:space="preserve"> First, the hypotheses will be presented</w:t>
      </w:r>
      <w:r w:rsidR="00925FCF">
        <w:t xml:space="preserve">. </w:t>
      </w:r>
      <w:r w:rsidR="00A774FE">
        <w:t>As made clear in the previous chapter, regarding several concepts no une</w:t>
      </w:r>
      <w:r w:rsidR="00CA07FA">
        <w:t>quivocal definition exists. T</w:t>
      </w:r>
      <w:r w:rsidR="00A774FE">
        <w:t xml:space="preserve">his chapter </w:t>
      </w:r>
      <w:r w:rsidR="00CA07FA">
        <w:t>describes</w:t>
      </w:r>
      <w:r w:rsidR="00A774FE">
        <w:t xml:space="preserve"> which definition will be </w:t>
      </w:r>
      <w:r w:rsidR="00742155">
        <w:t>a</w:t>
      </w:r>
      <w:r w:rsidR="00A774FE">
        <w:t>pplied for the p</w:t>
      </w:r>
      <w:r w:rsidR="00925FCF">
        <w:t>urpose of the thesis and how different</w:t>
      </w:r>
      <w:r w:rsidR="00CA07FA">
        <w:t xml:space="preserve"> concepts are</w:t>
      </w:r>
      <w:r w:rsidR="00A774FE">
        <w:t xml:space="preserve"> </w:t>
      </w:r>
      <w:proofErr w:type="spellStart"/>
      <w:r w:rsidR="00A774FE">
        <w:t>operationalized</w:t>
      </w:r>
      <w:proofErr w:type="spellEnd"/>
      <w:r w:rsidR="00A774FE">
        <w:t>. Furthermore, the most appropriate resear</w:t>
      </w:r>
      <w:r w:rsidR="003A5EBA">
        <w:t>ch method will be chosen out of</w:t>
      </w:r>
      <w:r w:rsidR="00A774FE">
        <w:t xml:space="preserve"> the </w:t>
      </w:r>
      <w:r w:rsidR="00CA07FA">
        <w:t xml:space="preserve">in paragraph 2.7 presented </w:t>
      </w:r>
      <w:r w:rsidR="00A774FE">
        <w:t>research methods</w:t>
      </w:r>
      <w:r w:rsidR="00CA07FA">
        <w:t xml:space="preserve">. Population and sampling, </w:t>
      </w:r>
      <w:r w:rsidR="00A774FE">
        <w:t>data collection and processing will also be described.</w:t>
      </w:r>
      <w:r w:rsidR="00573301">
        <w:t xml:space="preserve"> This chapter aims to explain why certain definitions and measurement methods have been chosen as well.</w:t>
      </w:r>
    </w:p>
    <w:p w:rsidR="00DA6D12" w:rsidRPr="005E4D34" w:rsidRDefault="001552A7" w:rsidP="003F31A3">
      <w:pPr>
        <w:pStyle w:val="Kop2"/>
        <w:numPr>
          <w:ilvl w:val="0"/>
          <w:numId w:val="0"/>
        </w:numPr>
        <w:spacing w:line="360" w:lineRule="auto"/>
        <w:ind w:left="576" w:hanging="576"/>
        <w:jc w:val="both"/>
        <w:rPr>
          <w:rStyle w:val="Nadruk"/>
          <w:rFonts w:ascii="Times New Roman" w:hAnsi="Times New Roman"/>
          <w:b/>
          <w:sz w:val="24"/>
          <w:szCs w:val="24"/>
          <w:lang w:val="en-US"/>
        </w:rPr>
      </w:pPr>
      <w:bookmarkStart w:id="46" w:name="_Toc355387298"/>
      <w:r w:rsidRPr="005E4D34">
        <w:rPr>
          <w:rStyle w:val="Nadruk"/>
          <w:rFonts w:ascii="Times New Roman" w:hAnsi="Times New Roman"/>
          <w:b/>
          <w:sz w:val="24"/>
          <w:szCs w:val="24"/>
          <w:lang w:val="en-US"/>
        </w:rPr>
        <w:t>3</w:t>
      </w:r>
      <w:r w:rsidR="004D7EAF" w:rsidRPr="005E4D34">
        <w:rPr>
          <w:rStyle w:val="Nadruk"/>
          <w:rFonts w:ascii="Times New Roman" w:hAnsi="Times New Roman"/>
          <w:b/>
          <w:sz w:val="24"/>
          <w:szCs w:val="24"/>
          <w:lang w:val="en-US"/>
        </w:rPr>
        <w:t>.1</w:t>
      </w:r>
      <w:r w:rsidR="00CA647E" w:rsidRPr="005E4D34">
        <w:rPr>
          <w:rStyle w:val="Nadruk"/>
          <w:rFonts w:ascii="Times New Roman" w:hAnsi="Times New Roman"/>
          <w:b/>
          <w:sz w:val="24"/>
          <w:szCs w:val="24"/>
          <w:lang w:val="en-US"/>
        </w:rPr>
        <w:tab/>
      </w:r>
      <w:r w:rsidR="00925FCF">
        <w:rPr>
          <w:rStyle w:val="Nadruk"/>
          <w:rFonts w:ascii="Times New Roman" w:hAnsi="Times New Roman"/>
          <w:b/>
          <w:sz w:val="24"/>
          <w:szCs w:val="24"/>
          <w:lang w:val="en-US"/>
        </w:rPr>
        <w:t>Hypotheses</w:t>
      </w:r>
      <w:bookmarkEnd w:id="46"/>
      <w:r w:rsidR="00925FCF">
        <w:rPr>
          <w:rStyle w:val="Nadruk"/>
          <w:rFonts w:ascii="Times New Roman" w:hAnsi="Times New Roman"/>
          <w:b/>
          <w:sz w:val="24"/>
          <w:szCs w:val="24"/>
          <w:lang w:val="en-US"/>
        </w:rPr>
        <w:t xml:space="preserve"> </w:t>
      </w:r>
    </w:p>
    <w:p w:rsidR="001B13D0" w:rsidRDefault="001B13D0" w:rsidP="003F31A3">
      <w:pPr>
        <w:spacing w:line="360" w:lineRule="auto"/>
        <w:jc w:val="both"/>
        <w:rPr>
          <w:lang w:val="en-US"/>
        </w:rPr>
      </w:pPr>
      <w:r w:rsidRPr="009604D5">
        <w:rPr>
          <w:lang w:val="en-US"/>
        </w:rPr>
        <w:t xml:space="preserve">In the first </w:t>
      </w:r>
      <w:r>
        <w:rPr>
          <w:lang w:val="en-US"/>
        </w:rPr>
        <w:t>chapter, the main research question has been defined as:</w:t>
      </w:r>
    </w:p>
    <w:p w:rsidR="00102649" w:rsidRDefault="00102649" w:rsidP="003F31A3">
      <w:pPr>
        <w:spacing w:line="360" w:lineRule="auto"/>
        <w:jc w:val="both"/>
        <w:rPr>
          <w:lang w:val="en-US"/>
        </w:rPr>
      </w:pPr>
    </w:p>
    <w:p w:rsidR="001B13D0" w:rsidRDefault="001B13D0" w:rsidP="003F31A3">
      <w:pPr>
        <w:spacing w:line="360" w:lineRule="auto"/>
        <w:jc w:val="both"/>
        <w:rPr>
          <w:b/>
          <w:bCs/>
          <w:i/>
          <w:iCs/>
        </w:rPr>
      </w:pPr>
      <w:r w:rsidRPr="00DF0DB4">
        <w:rPr>
          <w:b/>
          <w:bCs/>
          <w:i/>
          <w:iCs/>
        </w:rPr>
        <w:t>“</w:t>
      </w:r>
      <w:r>
        <w:rPr>
          <w:b/>
          <w:bCs/>
          <w:i/>
          <w:iCs/>
        </w:rPr>
        <w:t xml:space="preserve">To what extent have the quantity and quality of investment risk disclosures in the </w:t>
      </w:r>
      <w:r w:rsidR="009513BE">
        <w:rPr>
          <w:b/>
          <w:bCs/>
          <w:i/>
          <w:iCs/>
        </w:rPr>
        <w:t xml:space="preserve">financial </w:t>
      </w:r>
      <w:r w:rsidR="009513BE" w:rsidRPr="0072082C">
        <w:rPr>
          <w:b/>
          <w:bCs/>
          <w:i/>
          <w:iCs/>
          <w:lang w:val="en-GB"/>
        </w:rPr>
        <w:t>statements</w:t>
      </w:r>
      <w:r>
        <w:rPr>
          <w:b/>
          <w:bCs/>
          <w:i/>
          <w:iCs/>
        </w:rPr>
        <w:t xml:space="preserve"> </w:t>
      </w:r>
      <w:r w:rsidR="0072082C">
        <w:rPr>
          <w:b/>
          <w:bCs/>
          <w:i/>
          <w:iCs/>
        </w:rPr>
        <w:t xml:space="preserve">of Dutch pension funds </w:t>
      </w:r>
      <w:r>
        <w:rPr>
          <w:b/>
          <w:bCs/>
          <w:i/>
          <w:iCs/>
        </w:rPr>
        <w:t>increased since the financial crisis</w:t>
      </w:r>
      <w:r w:rsidR="0072082C">
        <w:rPr>
          <w:b/>
          <w:bCs/>
          <w:i/>
          <w:iCs/>
        </w:rPr>
        <w:t xml:space="preserve"> and does pension fund size result in differences in disclosure quantity and quality</w:t>
      </w:r>
      <w:r>
        <w:rPr>
          <w:b/>
          <w:bCs/>
          <w:i/>
          <w:iCs/>
        </w:rPr>
        <w:t xml:space="preserve">?” </w:t>
      </w:r>
    </w:p>
    <w:p w:rsidR="00CF54CC" w:rsidRDefault="001B13D0" w:rsidP="003F31A3">
      <w:pPr>
        <w:spacing w:line="360" w:lineRule="auto"/>
        <w:jc w:val="both"/>
        <w:rPr>
          <w:b/>
          <w:bCs/>
        </w:rPr>
      </w:pPr>
      <w:r>
        <w:rPr>
          <w:lang w:val="en-US"/>
        </w:rPr>
        <w:t xml:space="preserve"> </w:t>
      </w:r>
    </w:p>
    <w:p w:rsidR="009604D5" w:rsidRDefault="009513BE" w:rsidP="003F31A3">
      <w:pPr>
        <w:spacing w:line="360" w:lineRule="auto"/>
        <w:jc w:val="both"/>
        <w:rPr>
          <w:bCs/>
        </w:rPr>
      </w:pPr>
      <w:r>
        <w:rPr>
          <w:bCs/>
        </w:rPr>
        <w:t>Six</w:t>
      </w:r>
      <w:r w:rsidR="001B13D0">
        <w:rPr>
          <w:bCs/>
        </w:rPr>
        <w:t xml:space="preserve"> hypotheses will be tested</w:t>
      </w:r>
      <w:r w:rsidR="009604D5">
        <w:rPr>
          <w:bCs/>
        </w:rPr>
        <w:t xml:space="preserve"> to answer the main research question</w:t>
      </w:r>
      <w:r w:rsidR="00B94D1D">
        <w:rPr>
          <w:bCs/>
        </w:rPr>
        <w:t>. T</w:t>
      </w:r>
      <w:r w:rsidR="002158E8">
        <w:rPr>
          <w:bCs/>
        </w:rPr>
        <w:t>hese hypotheses</w:t>
      </w:r>
      <w:r w:rsidR="009604D5">
        <w:rPr>
          <w:bCs/>
        </w:rPr>
        <w:t xml:space="preserve"> will be presented </w:t>
      </w:r>
      <w:r w:rsidR="00102649">
        <w:rPr>
          <w:bCs/>
        </w:rPr>
        <w:t xml:space="preserve">and explained </w:t>
      </w:r>
      <w:r w:rsidR="009604D5">
        <w:rPr>
          <w:bCs/>
        </w:rPr>
        <w:t>in the remainder of this paragraph.</w:t>
      </w:r>
    </w:p>
    <w:p w:rsidR="009513BE" w:rsidRDefault="009513BE" w:rsidP="00C226A9">
      <w:pPr>
        <w:spacing w:line="360" w:lineRule="auto"/>
        <w:rPr>
          <w:bCs/>
        </w:rPr>
      </w:pPr>
    </w:p>
    <w:p w:rsidR="009513BE" w:rsidRDefault="009513BE" w:rsidP="009513BE">
      <w:pPr>
        <w:spacing w:line="360" w:lineRule="auto"/>
        <w:rPr>
          <w:b/>
          <w:bCs/>
          <w:iCs/>
        </w:rPr>
      </w:pPr>
      <w:r w:rsidRPr="00DF0DB4">
        <w:rPr>
          <w:b/>
          <w:bCs/>
        </w:rPr>
        <w:t>H</w:t>
      </w:r>
      <w:r>
        <w:rPr>
          <w:b/>
          <w:bCs/>
        </w:rPr>
        <w:t>1</w:t>
      </w:r>
      <w:r w:rsidRPr="00DF0DB4">
        <w:rPr>
          <w:b/>
          <w:bCs/>
        </w:rPr>
        <w:t xml:space="preserve">: </w:t>
      </w:r>
      <w:r>
        <w:rPr>
          <w:b/>
          <w:bCs/>
          <w:iCs/>
        </w:rPr>
        <w:t xml:space="preserve">The </w:t>
      </w:r>
      <w:r w:rsidR="00A55E1B">
        <w:rPr>
          <w:b/>
          <w:bCs/>
          <w:iCs/>
        </w:rPr>
        <w:t>financial crisis is a topic in the financial statements of Dutch pension funds.</w:t>
      </w:r>
    </w:p>
    <w:p w:rsidR="00471402" w:rsidRPr="00DF0DB4" w:rsidRDefault="00471402" w:rsidP="009513BE">
      <w:pPr>
        <w:spacing w:line="360" w:lineRule="auto"/>
      </w:pPr>
    </w:p>
    <w:p w:rsidR="000E6B2E" w:rsidRDefault="005B4C8D" w:rsidP="003F31A3">
      <w:pPr>
        <w:spacing w:line="360" w:lineRule="auto"/>
        <w:jc w:val="both"/>
        <w:rPr>
          <w:bCs/>
        </w:rPr>
      </w:pPr>
      <w:r>
        <w:rPr>
          <w:bCs/>
        </w:rPr>
        <w:t xml:space="preserve">The first </w:t>
      </w:r>
      <w:r w:rsidR="00855092">
        <w:rPr>
          <w:bCs/>
        </w:rPr>
        <w:t xml:space="preserve">hypothesis </w:t>
      </w:r>
      <w:r w:rsidR="00471402">
        <w:rPr>
          <w:bCs/>
        </w:rPr>
        <w:t xml:space="preserve">assumes that the financial crisis is a topic within </w:t>
      </w:r>
      <w:r w:rsidR="00422238">
        <w:rPr>
          <w:bCs/>
        </w:rPr>
        <w:t xml:space="preserve">financial statements of </w:t>
      </w:r>
      <w:r w:rsidR="00F8046C">
        <w:rPr>
          <w:bCs/>
        </w:rPr>
        <w:t>Dutch pension funds. T</w:t>
      </w:r>
      <w:r w:rsidR="00471402">
        <w:rPr>
          <w:bCs/>
        </w:rPr>
        <w:t xml:space="preserve">he previous chapters already revealed that the financial crisis is frequently presented in literature (e.g. Van </w:t>
      </w:r>
      <w:proofErr w:type="spellStart"/>
      <w:r w:rsidR="00471402">
        <w:rPr>
          <w:bCs/>
        </w:rPr>
        <w:t>Ewijk</w:t>
      </w:r>
      <w:proofErr w:type="spellEnd"/>
      <w:r w:rsidR="00471402">
        <w:rPr>
          <w:bCs/>
        </w:rPr>
        <w:t xml:space="preserve">, 2009; </w:t>
      </w:r>
      <w:proofErr w:type="spellStart"/>
      <w:r w:rsidR="00F8046C">
        <w:rPr>
          <w:bCs/>
        </w:rPr>
        <w:t>Mishkin</w:t>
      </w:r>
      <w:proofErr w:type="spellEnd"/>
      <w:r w:rsidR="00F8046C">
        <w:rPr>
          <w:bCs/>
        </w:rPr>
        <w:t xml:space="preserve">, 2009; </w:t>
      </w:r>
      <w:proofErr w:type="spellStart"/>
      <w:r w:rsidR="00F8046C">
        <w:rPr>
          <w:bCs/>
        </w:rPr>
        <w:t>Dabrowski</w:t>
      </w:r>
      <w:proofErr w:type="spellEnd"/>
      <w:r w:rsidR="00F8046C">
        <w:rPr>
          <w:bCs/>
        </w:rPr>
        <w:t>, 2010)</w:t>
      </w:r>
      <w:r w:rsidR="000E6B2E">
        <w:rPr>
          <w:bCs/>
        </w:rPr>
        <w:t>.</w:t>
      </w:r>
      <w:r w:rsidR="000315DD">
        <w:rPr>
          <w:bCs/>
        </w:rPr>
        <w:t xml:space="preserve"> However, this does not necessarily mean that this also applies to </w:t>
      </w:r>
      <w:r w:rsidR="0018265C">
        <w:rPr>
          <w:bCs/>
        </w:rPr>
        <w:t>t</w:t>
      </w:r>
      <w:r w:rsidR="000315DD">
        <w:rPr>
          <w:bCs/>
        </w:rPr>
        <w:t>he financial statements.</w:t>
      </w:r>
    </w:p>
    <w:p w:rsidR="005B4C8D" w:rsidRDefault="005B4C8D" w:rsidP="003F31A3">
      <w:pPr>
        <w:spacing w:line="360" w:lineRule="auto"/>
        <w:jc w:val="both"/>
        <w:rPr>
          <w:bCs/>
        </w:rPr>
      </w:pPr>
    </w:p>
    <w:p w:rsidR="009513BE" w:rsidRDefault="000E6B2E" w:rsidP="003F31A3">
      <w:pPr>
        <w:spacing w:line="360" w:lineRule="auto"/>
        <w:jc w:val="both"/>
        <w:rPr>
          <w:bCs/>
        </w:rPr>
      </w:pPr>
      <w:r>
        <w:rPr>
          <w:bCs/>
        </w:rPr>
        <w:t>A</w:t>
      </w:r>
      <w:r w:rsidR="002959BD">
        <w:rPr>
          <w:bCs/>
        </w:rPr>
        <w:t xml:space="preserve">s described in paragraph 2.6.2, article 2:362 of the Dutch Civil Code prescribes that </w:t>
      </w:r>
      <w:r w:rsidR="00E208E1">
        <w:rPr>
          <w:bCs/>
        </w:rPr>
        <w:t xml:space="preserve">annual reports </w:t>
      </w:r>
      <w:r w:rsidR="002959BD">
        <w:rPr>
          <w:bCs/>
        </w:rPr>
        <w:t xml:space="preserve">provide that kind of insight that a sound judgment can be made about the capital and result. </w:t>
      </w:r>
      <w:r>
        <w:rPr>
          <w:bCs/>
        </w:rPr>
        <w:t>In addition, a</w:t>
      </w:r>
      <w:r w:rsidR="0018265C">
        <w:rPr>
          <w:bCs/>
        </w:rPr>
        <w:t xml:space="preserve">rticle 2:391 </w:t>
      </w:r>
      <w:r w:rsidR="002959BD">
        <w:rPr>
          <w:bCs/>
        </w:rPr>
        <w:t xml:space="preserve">prescribes that the annual report should provide a description of the main risks and uncertainties. </w:t>
      </w:r>
      <w:r>
        <w:rPr>
          <w:bCs/>
        </w:rPr>
        <w:t xml:space="preserve">Given the importance of the financial crisis, </w:t>
      </w:r>
      <w:r w:rsidR="003024FA">
        <w:rPr>
          <w:bCs/>
        </w:rPr>
        <w:t xml:space="preserve">I expect that the Dutch pension funds will not ignore the </w:t>
      </w:r>
      <w:r w:rsidR="00BD1600">
        <w:rPr>
          <w:bCs/>
        </w:rPr>
        <w:t xml:space="preserve">topic </w:t>
      </w:r>
      <w:r w:rsidR="003024FA">
        <w:rPr>
          <w:bCs/>
        </w:rPr>
        <w:t>fina</w:t>
      </w:r>
      <w:r w:rsidR="0018265C">
        <w:rPr>
          <w:bCs/>
        </w:rPr>
        <w:t xml:space="preserve">ncial crisis in the financial statements. </w:t>
      </w:r>
    </w:p>
    <w:p w:rsidR="009513BE" w:rsidRDefault="009513BE" w:rsidP="003F31A3">
      <w:pPr>
        <w:spacing w:line="360" w:lineRule="auto"/>
        <w:jc w:val="both"/>
        <w:rPr>
          <w:bCs/>
        </w:rPr>
      </w:pPr>
      <w:r w:rsidRPr="00DF0DB4">
        <w:rPr>
          <w:b/>
          <w:bCs/>
        </w:rPr>
        <w:t>H</w:t>
      </w:r>
      <w:r w:rsidR="00A55E1B">
        <w:rPr>
          <w:b/>
          <w:bCs/>
        </w:rPr>
        <w:t>2</w:t>
      </w:r>
      <w:r w:rsidRPr="00DF0DB4">
        <w:rPr>
          <w:b/>
          <w:bCs/>
        </w:rPr>
        <w:t xml:space="preserve">: </w:t>
      </w:r>
      <w:r w:rsidR="001E5B56">
        <w:rPr>
          <w:b/>
          <w:bCs/>
        </w:rPr>
        <w:t xml:space="preserve">The </w:t>
      </w:r>
      <w:r w:rsidR="00A55E1B">
        <w:rPr>
          <w:b/>
          <w:bCs/>
        </w:rPr>
        <w:t xml:space="preserve">disclosure </w:t>
      </w:r>
      <w:r w:rsidR="001E5B56">
        <w:rPr>
          <w:b/>
          <w:bCs/>
        </w:rPr>
        <w:t xml:space="preserve">quantity </w:t>
      </w:r>
      <w:r w:rsidR="00A55E1B">
        <w:rPr>
          <w:b/>
          <w:bCs/>
        </w:rPr>
        <w:t xml:space="preserve">of the financial crisis in the financial statements of Dutch pension funds </w:t>
      </w:r>
      <w:r w:rsidR="003024FA">
        <w:rPr>
          <w:b/>
          <w:bCs/>
        </w:rPr>
        <w:t>is larger</w:t>
      </w:r>
      <w:r w:rsidR="00DB71DE">
        <w:rPr>
          <w:b/>
          <w:bCs/>
        </w:rPr>
        <w:t xml:space="preserve"> </w:t>
      </w:r>
      <w:r w:rsidR="003024FA">
        <w:rPr>
          <w:b/>
          <w:bCs/>
        </w:rPr>
        <w:t>for bigger</w:t>
      </w:r>
      <w:r w:rsidR="00A55E1B">
        <w:rPr>
          <w:b/>
          <w:bCs/>
        </w:rPr>
        <w:t xml:space="preserve"> </w:t>
      </w:r>
      <w:r w:rsidR="00A55E1B">
        <w:rPr>
          <w:b/>
          <w:bCs/>
          <w:iCs/>
        </w:rPr>
        <w:t>Dutch pension funds</w:t>
      </w:r>
      <w:r w:rsidR="00A55E1B" w:rsidRPr="00DF0DB4">
        <w:rPr>
          <w:b/>
          <w:bCs/>
          <w:iCs/>
        </w:rPr>
        <w:t xml:space="preserve"> </w:t>
      </w:r>
      <w:r w:rsidR="00A55E1B">
        <w:rPr>
          <w:b/>
          <w:bCs/>
          <w:iCs/>
        </w:rPr>
        <w:t xml:space="preserve">than for smaller Dutch pension </w:t>
      </w:r>
      <w:r w:rsidR="00DB71DE">
        <w:rPr>
          <w:b/>
          <w:bCs/>
          <w:iCs/>
        </w:rPr>
        <w:t>funds</w:t>
      </w:r>
      <w:r w:rsidR="00A55E1B">
        <w:rPr>
          <w:b/>
          <w:bCs/>
          <w:iCs/>
        </w:rPr>
        <w:t>.</w:t>
      </w:r>
    </w:p>
    <w:p w:rsidR="009513BE" w:rsidRDefault="009513BE" w:rsidP="003F31A3">
      <w:pPr>
        <w:spacing w:line="360" w:lineRule="auto"/>
        <w:jc w:val="both"/>
        <w:rPr>
          <w:bCs/>
        </w:rPr>
      </w:pPr>
    </w:p>
    <w:p w:rsidR="003024FA" w:rsidRDefault="001E5B56" w:rsidP="003F31A3">
      <w:pPr>
        <w:spacing w:line="360" w:lineRule="auto"/>
        <w:jc w:val="both"/>
        <w:rPr>
          <w:bCs/>
        </w:rPr>
      </w:pPr>
      <w:proofErr w:type="spellStart"/>
      <w:r>
        <w:rPr>
          <w:bCs/>
        </w:rPr>
        <w:t>Buzby</w:t>
      </w:r>
      <w:proofErr w:type="spellEnd"/>
      <w:r>
        <w:rPr>
          <w:bCs/>
        </w:rPr>
        <w:t xml:space="preserve"> (1975) and Cooke (1989) have provided </w:t>
      </w:r>
      <w:r w:rsidR="00FB1007">
        <w:rPr>
          <w:bCs/>
        </w:rPr>
        <w:t>several reasons</w:t>
      </w:r>
      <w:r>
        <w:rPr>
          <w:bCs/>
        </w:rPr>
        <w:t xml:space="preserve"> </w:t>
      </w:r>
      <w:r w:rsidR="00FB1007">
        <w:rPr>
          <w:bCs/>
        </w:rPr>
        <w:t xml:space="preserve">for a positive </w:t>
      </w:r>
      <w:r w:rsidR="00BE0F47">
        <w:rPr>
          <w:bCs/>
        </w:rPr>
        <w:t>relation</w:t>
      </w:r>
      <w:r w:rsidR="00FB1007">
        <w:rPr>
          <w:bCs/>
        </w:rPr>
        <w:t xml:space="preserve"> between company size and the extent of disclosure</w:t>
      </w:r>
      <w:r w:rsidR="00F06927">
        <w:rPr>
          <w:bCs/>
        </w:rPr>
        <w:t>, as described in paragraph 2.8</w:t>
      </w:r>
      <w:r w:rsidR="00FB1007">
        <w:rPr>
          <w:bCs/>
        </w:rPr>
        <w:t>.</w:t>
      </w:r>
      <w:r>
        <w:rPr>
          <w:bCs/>
        </w:rPr>
        <w:t xml:space="preserve"> I assu</w:t>
      </w:r>
      <w:r w:rsidR="0018265C">
        <w:rPr>
          <w:bCs/>
        </w:rPr>
        <w:t>me that Dutch pension funds are</w:t>
      </w:r>
      <w:r>
        <w:rPr>
          <w:bCs/>
        </w:rPr>
        <w:t xml:space="preserve"> not different than the </w:t>
      </w:r>
      <w:r w:rsidR="0018265C">
        <w:rPr>
          <w:bCs/>
        </w:rPr>
        <w:t xml:space="preserve">companies </w:t>
      </w:r>
      <w:r>
        <w:rPr>
          <w:bCs/>
        </w:rPr>
        <w:t xml:space="preserve">that </w:t>
      </w:r>
      <w:proofErr w:type="spellStart"/>
      <w:r>
        <w:rPr>
          <w:bCs/>
        </w:rPr>
        <w:t>Buzby</w:t>
      </w:r>
      <w:proofErr w:type="spellEnd"/>
      <w:r>
        <w:rPr>
          <w:bCs/>
        </w:rPr>
        <w:t xml:space="preserve"> (1975) and Cooke (1989) have researched. Therefore, I expect a positive </w:t>
      </w:r>
      <w:r w:rsidR="00BE0F47">
        <w:rPr>
          <w:bCs/>
        </w:rPr>
        <w:t>relation</w:t>
      </w:r>
      <w:r>
        <w:rPr>
          <w:bCs/>
        </w:rPr>
        <w:t xml:space="preserve"> between the size of a Dutch pension fund and the disclosure quantity of the financial crisis.</w:t>
      </w:r>
    </w:p>
    <w:p w:rsidR="00EE2221" w:rsidRPr="009604D5" w:rsidRDefault="001B13D0" w:rsidP="003F31A3">
      <w:pPr>
        <w:spacing w:line="360" w:lineRule="auto"/>
        <w:jc w:val="both"/>
        <w:rPr>
          <w:bCs/>
        </w:rPr>
      </w:pPr>
      <w:r>
        <w:rPr>
          <w:bCs/>
        </w:rPr>
        <w:t xml:space="preserve"> </w:t>
      </w:r>
    </w:p>
    <w:p w:rsidR="00C226A9" w:rsidRPr="00DF0DB4" w:rsidRDefault="00C226A9" w:rsidP="003F31A3">
      <w:pPr>
        <w:spacing w:line="360" w:lineRule="auto"/>
        <w:jc w:val="both"/>
      </w:pPr>
      <w:r w:rsidRPr="00DF0DB4">
        <w:rPr>
          <w:b/>
          <w:bCs/>
        </w:rPr>
        <w:t>H</w:t>
      </w:r>
      <w:r w:rsidR="009513BE">
        <w:rPr>
          <w:b/>
          <w:bCs/>
        </w:rPr>
        <w:t>3</w:t>
      </w:r>
      <w:r w:rsidRPr="00DF0DB4">
        <w:rPr>
          <w:b/>
          <w:bCs/>
        </w:rPr>
        <w:t xml:space="preserve">: </w:t>
      </w:r>
      <w:r w:rsidR="00F9485D">
        <w:rPr>
          <w:b/>
          <w:bCs/>
          <w:iCs/>
        </w:rPr>
        <w:t>The</w:t>
      </w:r>
      <w:r w:rsidR="00BA2D35">
        <w:rPr>
          <w:b/>
          <w:bCs/>
          <w:iCs/>
        </w:rPr>
        <w:t xml:space="preserve"> </w:t>
      </w:r>
      <w:r w:rsidR="00CF54CC">
        <w:rPr>
          <w:b/>
          <w:bCs/>
          <w:iCs/>
        </w:rPr>
        <w:t>quant</w:t>
      </w:r>
      <w:r>
        <w:rPr>
          <w:b/>
          <w:bCs/>
          <w:iCs/>
        </w:rPr>
        <w:t>ity of investment risk di</w:t>
      </w:r>
      <w:r w:rsidR="00CF54CC">
        <w:rPr>
          <w:b/>
          <w:bCs/>
          <w:iCs/>
        </w:rPr>
        <w:t xml:space="preserve">sclosures in the </w:t>
      </w:r>
      <w:r w:rsidR="009513BE">
        <w:rPr>
          <w:b/>
          <w:bCs/>
          <w:iCs/>
        </w:rPr>
        <w:t>financial statements</w:t>
      </w:r>
      <w:r>
        <w:rPr>
          <w:b/>
          <w:bCs/>
          <w:iCs/>
        </w:rPr>
        <w:t xml:space="preserve"> of Dutch pension funds</w:t>
      </w:r>
      <w:r w:rsidRPr="00DF0DB4">
        <w:rPr>
          <w:b/>
          <w:bCs/>
          <w:iCs/>
        </w:rPr>
        <w:t xml:space="preserve"> </w:t>
      </w:r>
      <w:r>
        <w:rPr>
          <w:b/>
          <w:bCs/>
          <w:iCs/>
        </w:rPr>
        <w:t>has increased s</w:t>
      </w:r>
      <w:r w:rsidRPr="00DF0DB4">
        <w:rPr>
          <w:b/>
          <w:bCs/>
          <w:iCs/>
        </w:rPr>
        <w:t>ince the</w:t>
      </w:r>
      <w:r>
        <w:rPr>
          <w:b/>
          <w:bCs/>
          <w:iCs/>
        </w:rPr>
        <w:t xml:space="preserve"> financial crisis</w:t>
      </w:r>
      <w:r w:rsidRPr="00DF0DB4">
        <w:rPr>
          <w:b/>
          <w:bCs/>
          <w:iCs/>
        </w:rPr>
        <w:t>.</w:t>
      </w:r>
    </w:p>
    <w:p w:rsidR="00C226A9" w:rsidRDefault="00C226A9" w:rsidP="003F31A3">
      <w:pPr>
        <w:autoSpaceDE w:val="0"/>
        <w:autoSpaceDN w:val="0"/>
        <w:adjustRightInd w:val="0"/>
        <w:spacing w:line="360" w:lineRule="auto"/>
        <w:jc w:val="both"/>
        <w:rPr>
          <w:bCs/>
        </w:rPr>
      </w:pPr>
    </w:p>
    <w:p w:rsidR="002158E8" w:rsidRDefault="000132BD" w:rsidP="00F06927">
      <w:pPr>
        <w:autoSpaceDE w:val="0"/>
        <w:autoSpaceDN w:val="0"/>
        <w:adjustRightInd w:val="0"/>
        <w:spacing w:line="360" w:lineRule="auto"/>
        <w:jc w:val="both"/>
        <w:rPr>
          <w:bCs/>
        </w:rPr>
      </w:pPr>
      <w:r>
        <w:rPr>
          <w:bCs/>
        </w:rPr>
        <w:t>The</w:t>
      </w:r>
      <w:r w:rsidR="00C226A9">
        <w:rPr>
          <w:bCs/>
        </w:rPr>
        <w:t xml:space="preserve"> hypothesis presented above</w:t>
      </w:r>
      <w:r w:rsidR="00C226A9" w:rsidRPr="00DF0DB4">
        <w:rPr>
          <w:bCs/>
        </w:rPr>
        <w:t xml:space="preserve"> expresses the suspicion that </w:t>
      </w:r>
      <w:r w:rsidR="00C226A9">
        <w:rPr>
          <w:bCs/>
        </w:rPr>
        <w:t xml:space="preserve">the </w:t>
      </w:r>
      <w:r w:rsidR="00C2133E">
        <w:rPr>
          <w:bCs/>
        </w:rPr>
        <w:t>quantity</w:t>
      </w:r>
      <w:r w:rsidR="00C226A9">
        <w:rPr>
          <w:bCs/>
        </w:rPr>
        <w:t xml:space="preserve"> of investment risk di</w:t>
      </w:r>
      <w:r w:rsidR="00C40DB1">
        <w:rPr>
          <w:bCs/>
        </w:rPr>
        <w:t>sclosures in the financial statements</w:t>
      </w:r>
      <w:r w:rsidR="00C2133E">
        <w:rPr>
          <w:bCs/>
        </w:rPr>
        <w:t xml:space="preserve"> has </w:t>
      </w:r>
      <w:r w:rsidR="00C226A9" w:rsidRPr="00DF0DB4">
        <w:rPr>
          <w:bCs/>
        </w:rPr>
        <w:t>increased</w:t>
      </w:r>
      <w:r w:rsidR="00C226A9">
        <w:rPr>
          <w:bCs/>
        </w:rPr>
        <w:t xml:space="preserve"> since the financial crisis</w:t>
      </w:r>
      <w:r w:rsidR="00C226A9" w:rsidRPr="00DF0DB4">
        <w:rPr>
          <w:bCs/>
        </w:rPr>
        <w:t xml:space="preserve">. </w:t>
      </w:r>
    </w:p>
    <w:p w:rsidR="008E74C0" w:rsidRDefault="00830A23" w:rsidP="00F06927">
      <w:pPr>
        <w:autoSpaceDE w:val="0"/>
        <w:autoSpaceDN w:val="0"/>
        <w:adjustRightInd w:val="0"/>
        <w:spacing w:line="360" w:lineRule="auto"/>
        <w:jc w:val="both"/>
        <w:rPr>
          <w:bCs/>
        </w:rPr>
      </w:pPr>
      <w:r>
        <w:rPr>
          <w:bCs/>
        </w:rPr>
        <w:t xml:space="preserve">Since the financial crisis, the focus on risk has increased considerably. The reports of the Commission </w:t>
      </w:r>
      <w:proofErr w:type="spellStart"/>
      <w:r>
        <w:rPr>
          <w:bCs/>
        </w:rPr>
        <w:t>Frijns</w:t>
      </w:r>
      <w:proofErr w:type="spellEnd"/>
      <w:r>
        <w:rPr>
          <w:bCs/>
        </w:rPr>
        <w:t xml:space="preserve"> (2010) and Commission </w:t>
      </w:r>
      <w:proofErr w:type="spellStart"/>
      <w:r>
        <w:rPr>
          <w:bCs/>
        </w:rPr>
        <w:t>Goudswaard</w:t>
      </w:r>
      <w:proofErr w:type="spellEnd"/>
      <w:r>
        <w:rPr>
          <w:bCs/>
        </w:rPr>
        <w:t xml:space="preserve"> (2010) are only two of the many reports and articles that emphasize to focus more on risk and risk control. Moreover, the Dutch Guidelines of Annual Reporting </w:t>
      </w:r>
      <w:r w:rsidR="00EE58B7">
        <w:rPr>
          <w:bCs/>
        </w:rPr>
        <w:t xml:space="preserve">recommend to pay attention to the major risks that are important to the pension funds (RJ 610.404). The RJ further recommends to </w:t>
      </w:r>
      <w:r w:rsidR="000C46A1">
        <w:rPr>
          <w:bCs/>
        </w:rPr>
        <w:t>disclose</w:t>
      </w:r>
      <w:r w:rsidR="00EE58B7">
        <w:rPr>
          <w:bCs/>
        </w:rPr>
        <w:t xml:space="preserve"> the adapted</w:t>
      </w:r>
      <w:r w:rsidR="00C40DB1">
        <w:rPr>
          <w:bCs/>
        </w:rPr>
        <w:t xml:space="preserve"> policy regarding these risks (R</w:t>
      </w:r>
      <w:r w:rsidR="00EE58B7">
        <w:rPr>
          <w:bCs/>
        </w:rPr>
        <w:t xml:space="preserve">J 610.403). </w:t>
      </w:r>
    </w:p>
    <w:p w:rsidR="008E74C0" w:rsidRDefault="008E74C0" w:rsidP="003F31A3">
      <w:pPr>
        <w:autoSpaceDE w:val="0"/>
        <w:autoSpaceDN w:val="0"/>
        <w:adjustRightInd w:val="0"/>
        <w:spacing w:line="360" w:lineRule="auto"/>
        <w:jc w:val="both"/>
        <w:rPr>
          <w:bCs/>
        </w:rPr>
      </w:pPr>
    </w:p>
    <w:p w:rsidR="00C2133E" w:rsidRDefault="00EE58B7" w:rsidP="003F31A3">
      <w:pPr>
        <w:autoSpaceDE w:val="0"/>
        <w:autoSpaceDN w:val="0"/>
        <w:adjustRightInd w:val="0"/>
        <w:spacing w:line="360" w:lineRule="auto"/>
        <w:jc w:val="both"/>
      </w:pPr>
      <w:r>
        <w:rPr>
          <w:bCs/>
        </w:rPr>
        <w:t xml:space="preserve">I </w:t>
      </w:r>
      <w:r w:rsidR="008E74C0">
        <w:rPr>
          <w:bCs/>
        </w:rPr>
        <w:t xml:space="preserve">assume </w:t>
      </w:r>
      <w:r>
        <w:rPr>
          <w:bCs/>
        </w:rPr>
        <w:t xml:space="preserve">that the financial crisis </w:t>
      </w:r>
      <w:r w:rsidR="00EA36D5">
        <w:rPr>
          <w:bCs/>
        </w:rPr>
        <w:t>involves particular</w:t>
      </w:r>
      <w:r w:rsidR="008E74C0">
        <w:rPr>
          <w:bCs/>
        </w:rPr>
        <w:t xml:space="preserve"> </w:t>
      </w:r>
      <w:r w:rsidR="00EA36D5">
        <w:rPr>
          <w:bCs/>
        </w:rPr>
        <w:t xml:space="preserve">investment </w:t>
      </w:r>
      <w:r w:rsidR="008E74C0">
        <w:rPr>
          <w:bCs/>
        </w:rPr>
        <w:t xml:space="preserve">risks </w:t>
      </w:r>
      <w:r w:rsidR="000315DD">
        <w:rPr>
          <w:bCs/>
        </w:rPr>
        <w:t>to which Dutch pension funds are</w:t>
      </w:r>
      <w:r w:rsidR="00C40DB1">
        <w:rPr>
          <w:bCs/>
        </w:rPr>
        <w:t xml:space="preserve"> exposed. I expect that </w:t>
      </w:r>
      <w:r w:rsidR="008E74C0">
        <w:rPr>
          <w:bCs/>
        </w:rPr>
        <w:t xml:space="preserve">Dutch pension funds </w:t>
      </w:r>
      <w:r w:rsidR="00C40DB1">
        <w:rPr>
          <w:bCs/>
        </w:rPr>
        <w:t xml:space="preserve">describe investment risks </w:t>
      </w:r>
      <w:r w:rsidR="008E74C0">
        <w:rPr>
          <w:bCs/>
        </w:rPr>
        <w:t>and changes in risk policy</w:t>
      </w:r>
      <w:r w:rsidR="00EA36D5">
        <w:rPr>
          <w:bCs/>
        </w:rPr>
        <w:t xml:space="preserve"> </w:t>
      </w:r>
      <w:r w:rsidR="00C40DB1">
        <w:rPr>
          <w:bCs/>
        </w:rPr>
        <w:t xml:space="preserve">more frequently </w:t>
      </w:r>
      <w:r w:rsidR="00EA36D5">
        <w:rPr>
          <w:bCs/>
        </w:rPr>
        <w:t xml:space="preserve">in the </w:t>
      </w:r>
      <w:r w:rsidR="009513BE">
        <w:rPr>
          <w:bCs/>
        </w:rPr>
        <w:t>financial statements</w:t>
      </w:r>
      <w:r w:rsidR="00C40DB1">
        <w:rPr>
          <w:bCs/>
        </w:rPr>
        <w:t xml:space="preserve"> since the financial crisis</w:t>
      </w:r>
      <w:r w:rsidR="008E74C0">
        <w:rPr>
          <w:bCs/>
        </w:rPr>
        <w:t xml:space="preserve">. </w:t>
      </w:r>
      <w:r w:rsidR="002158E8">
        <w:rPr>
          <w:bCs/>
        </w:rPr>
        <w:t xml:space="preserve">Therefore, </w:t>
      </w:r>
      <w:r w:rsidR="00C226A9" w:rsidRPr="00DF0DB4">
        <w:t>I ass</w:t>
      </w:r>
      <w:r w:rsidR="00C226A9">
        <w:t xml:space="preserve">ume that, compared to the </w:t>
      </w:r>
      <w:r w:rsidR="006B726C">
        <w:t>financial statements</w:t>
      </w:r>
      <w:r w:rsidR="00BB3D40">
        <w:t xml:space="preserve"> of 2006</w:t>
      </w:r>
      <w:r w:rsidR="00C226A9">
        <w:t xml:space="preserve">, in the </w:t>
      </w:r>
      <w:r w:rsidR="006B726C">
        <w:t>financial statements</w:t>
      </w:r>
      <w:r w:rsidR="00C226A9">
        <w:t xml:space="preserve"> of </w:t>
      </w:r>
      <w:r w:rsidR="00BB3D40">
        <w:t xml:space="preserve">2007 and </w:t>
      </w:r>
      <w:r w:rsidR="00C226A9">
        <w:t>2</w:t>
      </w:r>
      <w:r w:rsidR="00C226A9" w:rsidRPr="00DF0DB4">
        <w:t xml:space="preserve">011, an increase of </w:t>
      </w:r>
      <w:r w:rsidR="00C2133E">
        <w:t>disclosure quantit</w:t>
      </w:r>
      <w:r w:rsidR="00C226A9">
        <w:t>y</w:t>
      </w:r>
      <w:r w:rsidR="00C226A9" w:rsidRPr="00DF0DB4">
        <w:t xml:space="preserve"> </w:t>
      </w:r>
      <w:r w:rsidR="00C226A9">
        <w:t xml:space="preserve">of investments risks </w:t>
      </w:r>
      <w:r w:rsidR="00C226A9" w:rsidRPr="00DF0DB4">
        <w:t>will be visible</w:t>
      </w:r>
      <w:r w:rsidR="00C226A9">
        <w:t xml:space="preserve">. </w:t>
      </w:r>
    </w:p>
    <w:p w:rsidR="00C2133E" w:rsidRDefault="00C2133E" w:rsidP="003F31A3">
      <w:pPr>
        <w:autoSpaceDE w:val="0"/>
        <w:autoSpaceDN w:val="0"/>
        <w:adjustRightInd w:val="0"/>
        <w:spacing w:line="360" w:lineRule="auto"/>
        <w:jc w:val="both"/>
      </w:pPr>
    </w:p>
    <w:p w:rsidR="00C226A9" w:rsidRPr="00DF0DB4" w:rsidRDefault="00C226A9" w:rsidP="003F31A3">
      <w:pPr>
        <w:spacing w:line="360" w:lineRule="auto"/>
        <w:jc w:val="both"/>
      </w:pPr>
      <w:r w:rsidRPr="00DF0DB4">
        <w:rPr>
          <w:b/>
          <w:bCs/>
        </w:rPr>
        <w:t>H</w:t>
      </w:r>
      <w:r w:rsidR="009513BE">
        <w:rPr>
          <w:b/>
          <w:bCs/>
        </w:rPr>
        <w:t>4</w:t>
      </w:r>
      <w:r>
        <w:rPr>
          <w:b/>
          <w:bCs/>
        </w:rPr>
        <w:t xml:space="preserve">: </w:t>
      </w:r>
      <w:r>
        <w:rPr>
          <w:b/>
          <w:bCs/>
          <w:iCs/>
        </w:rPr>
        <w:t>The qua</w:t>
      </w:r>
      <w:r w:rsidR="000A0EDF">
        <w:rPr>
          <w:b/>
          <w:bCs/>
          <w:iCs/>
        </w:rPr>
        <w:t>nti</w:t>
      </w:r>
      <w:r>
        <w:rPr>
          <w:b/>
          <w:bCs/>
          <w:iCs/>
        </w:rPr>
        <w:t xml:space="preserve">ty of </w:t>
      </w:r>
      <w:r w:rsidR="00CF54CC">
        <w:rPr>
          <w:b/>
          <w:bCs/>
          <w:iCs/>
        </w:rPr>
        <w:t xml:space="preserve">investment </w:t>
      </w:r>
      <w:r>
        <w:rPr>
          <w:b/>
          <w:bCs/>
          <w:iCs/>
        </w:rPr>
        <w:t xml:space="preserve">risk disclosures </w:t>
      </w:r>
      <w:r w:rsidR="00CF54CC">
        <w:rPr>
          <w:b/>
          <w:bCs/>
          <w:iCs/>
        </w:rPr>
        <w:t xml:space="preserve">in the </w:t>
      </w:r>
      <w:r w:rsidR="009513BE">
        <w:rPr>
          <w:b/>
          <w:bCs/>
          <w:iCs/>
        </w:rPr>
        <w:t>financial statements</w:t>
      </w:r>
      <w:r w:rsidR="00CF54CC">
        <w:rPr>
          <w:b/>
          <w:bCs/>
          <w:iCs/>
        </w:rPr>
        <w:t xml:space="preserve"> of </w:t>
      </w:r>
      <w:r>
        <w:rPr>
          <w:b/>
          <w:bCs/>
          <w:iCs/>
        </w:rPr>
        <w:t>Dutch pension funds</w:t>
      </w:r>
      <w:r w:rsidRPr="00DF0DB4">
        <w:rPr>
          <w:b/>
          <w:bCs/>
          <w:iCs/>
        </w:rPr>
        <w:t xml:space="preserve"> </w:t>
      </w:r>
      <w:r w:rsidR="000A0EDF">
        <w:rPr>
          <w:b/>
          <w:bCs/>
          <w:iCs/>
        </w:rPr>
        <w:t xml:space="preserve">is bigger for larger Dutch pension funds than for smaller Dutch pension funds before and after the start of </w:t>
      </w:r>
      <w:r w:rsidRPr="00DF0DB4">
        <w:rPr>
          <w:b/>
          <w:bCs/>
          <w:iCs/>
        </w:rPr>
        <w:t>the</w:t>
      </w:r>
      <w:r>
        <w:rPr>
          <w:b/>
          <w:bCs/>
          <w:iCs/>
        </w:rPr>
        <w:t xml:space="preserve"> financial crisis</w:t>
      </w:r>
      <w:r w:rsidRPr="00DF0DB4">
        <w:rPr>
          <w:b/>
          <w:bCs/>
          <w:iCs/>
        </w:rPr>
        <w:t>.</w:t>
      </w:r>
    </w:p>
    <w:p w:rsidR="00C226A9" w:rsidRDefault="00C226A9" w:rsidP="003F31A3">
      <w:pPr>
        <w:spacing w:line="360" w:lineRule="auto"/>
        <w:jc w:val="both"/>
        <w:rPr>
          <w:highlight w:val="yellow"/>
        </w:rPr>
      </w:pPr>
    </w:p>
    <w:p w:rsidR="000A0EDF" w:rsidRDefault="000A0EDF" w:rsidP="003F31A3">
      <w:pPr>
        <w:autoSpaceDE w:val="0"/>
        <w:autoSpaceDN w:val="0"/>
        <w:adjustRightInd w:val="0"/>
        <w:spacing w:line="360" w:lineRule="auto"/>
        <w:jc w:val="both"/>
        <w:rPr>
          <w:bCs/>
          <w:lang w:val="en-US"/>
        </w:rPr>
      </w:pPr>
      <w:r>
        <w:rPr>
          <w:bCs/>
        </w:rPr>
        <w:t>This</w:t>
      </w:r>
      <w:r w:rsidR="00EA7A8D">
        <w:rPr>
          <w:bCs/>
        </w:rPr>
        <w:t xml:space="preserve"> </w:t>
      </w:r>
      <w:r>
        <w:rPr>
          <w:bCs/>
        </w:rPr>
        <w:t xml:space="preserve">hypothesis suggests that before and after the beginning of the financial crisis the quantity of investment </w:t>
      </w:r>
      <w:r w:rsidR="00F06927">
        <w:rPr>
          <w:bCs/>
        </w:rPr>
        <w:t xml:space="preserve">risk disclosures depends on the </w:t>
      </w:r>
      <w:r>
        <w:rPr>
          <w:bCs/>
        </w:rPr>
        <w:t>pension fund</w:t>
      </w:r>
      <w:r w:rsidR="00F06927">
        <w:rPr>
          <w:bCs/>
        </w:rPr>
        <w:t xml:space="preserve"> size</w:t>
      </w:r>
      <w:r w:rsidRPr="00DF0DB4">
        <w:rPr>
          <w:bCs/>
        </w:rPr>
        <w:t xml:space="preserve">. </w:t>
      </w:r>
      <w:proofErr w:type="spellStart"/>
      <w:r w:rsidRPr="00CE4964">
        <w:rPr>
          <w:bCs/>
          <w:lang w:val="en-US"/>
        </w:rPr>
        <w:t>Buzby</w:t>
      </w:r>
      <w:proofErr w:type="spellEnd"/>
      <w:r w:rsidRPr="00CE4964">
        <w:rPr>
          <w:bCs/>
          <w:lang w:val="en-US"/>
        </w:rPr>
        <w:t xml:space="preserve"> (1975) suggests that smaller companies </w:t>
      </w:r>
      <w:r w:rsidR="00F06927">
        <w:rPr>
          <w:bCs/>
          <w:lang w:val="en-US"/>
        </w:rPr>
        <w:t xml:space="preserve">are not able </w:t>
      </w:r>
      <w:r>
        <w:rPr>
          <w:bCs/>
          <w:lang w:val="en-US"/>
        </w:rPr>
        <w:t xml:space="preserve">to collect and present a broader range of information. Furthermore, </w:t>
      </w:r>
      <w:proofErr w:type="spellStart"/>
      <w:r>
        <w:rPr>
          <w:bCs/>
          <w:lang w:val="en-US"/>
        </w:rPr>
        <w:t>Frijns</w:t>
      </w:r>
      <w:proofErr w:type="spellEnd"/>
      <w:r>
        <w:rPr>
          <w:bCs/>
          <w:lang w:val="en-US"/>
        </w:rPr>
        <w:t xml:space="preserve"> et al. (2010) question in their report if smaller Dutch pension funds can fulfill the high standards that are set on risk management. Therefore, I suspect that the bigger a Dutch pension fund, the more likely</w:t>
      </w:r>
      <w:r w:rsidR="00F06927">
        <w:rPr>
          <w:bCs/>
          <w:lang w:val="en-US"/>
        </w:rPr>
        <w:t xml:space="preserve"> that a pension fund is</w:t>
      </w:r>
      <w:r>
        <w:rPr>
          <w:bCs/>
          <w:lang w:val="en-US"/>
        </w:rPr>
        <w:t xml:space="preserve"> able to disclose a bigger quantity of investment risks. I suspect that smaller Dutch pension funds encounter</w:t>
      </w:r>
      <w:r w:rsidR="00F06927">
        <w:rPr>
          <w:bCs/>
          <w:lang w:val="en-US"/>
        </w:rPr>
        <w:t xml:space="preserve"> </w:t>
      </w:r>
      <w:r>
        <w:rPr>
          <w:bCs/>
          <w:lang w:val="en-US"/>
        </w:rPr>
        <w:t>more difficult</w:t>
      </w:r>
      <w:r w:rsidR="00F06927">
        <w:rPr>
          <w:bCs/>
          <w:lang w:val="en-US"/>
        </w:rPr>
        <w:t xml:space="preserve">ies to increase </w:t>
      </w:r>
      <w:r>
        <w:rPr>
          <w:bCs/>
          <w:lang w:val="en-US"/>
        </w:rPr>
        <w:t xml:space="preserve">investment risk disclosures </w:t>
      </w:r>
      <w:r w:rsidR="00F06927">
        <w:rPr>
          <w:bCs/>
          <w:lang w:val="en-US"/>
        </w:rPr>
        <w:t xml:space="preserve">quality </w:t>
      </w:r>
      <w:r>
        <w:rPr>
          <w:bCs/>
          <w:lang w:val="en-US"/>
        </w:rPr>
        <w:t xml:space="preserve">since the beginning of the financial crisis than bigger pension </w:t>
      </w:r>
      <w:r w:rsidR="00F06927">
        <w:rPr>
          <w:bCs/>
          <w:lang w:val="en-US"/>
        </w:rPr>
        <w:t>funds. Accordingly, I expect that</w:t>
      </w:r>
      <w:r>
        <w:rPr>
          <w:bCs/>
          <w:lang w:val="en-US"/>
        </w:rPr>
        <w:t xml:space="preserve"> stakeholders of smaller Dutch pension fund</w:t>
      </w:r>
      <w:r w:rsidR="00F06927">
        <w:rPr>
          <w:bCs/>
          <w:lang w:val="en-US"/>
        </w:rPr>
        <w:t xml:space="preserve">s </w:t>
      </w:r>
      <w:r>
        <w:rPr>
          <w:bCs/>
          <w:lang w:val="en-US"/>
        </w:rPr>
        <w:t xml:space="preserve">encounter more problems with information asymmetry than </w:t>
      </w:r>
      <w:r w:rsidR="005E39E2">
        <w:rPr>
          <w:bCs/>
          <w:lang w:val="en-US"/>
        </w:rPr>
        <w:t xml:space="preserve">stakeholders of </w:t>
      </w:r>
      <w:r>
        <w:rPr>
          <w:bCs/>
          <w:lang w:val="en-US"/>
        </w:rPr>
        <w:t>larger Dutch pension funds.</w:t>
      </w:r>
    </w:p>
    <w:p w:rsidR="000A0EDF" w:rsidRDefault="000A0EDF" w:rsidP="003F31A3">
      <w:pPr>
        <w:autoSpaceDE w:val="0"/>
        <w:autoSpaceDN w:val="0"/>
        <w:adjustRightInd w:val="0"/>
        <w:spacing w:line="360" w:lineRule="auto"/>
        <w:jc w:val="both"/>
        <w:rPr>
          <w:lang w:val="en-US"/>
        </w:rPr>
      </w:pPr>
    </w:p>
    <w:p w:rsidR="00C226A9" w:rsidRDefault="00C226A9" w:rsidP="003F31A3">
      <w:pPr>
        <w:spacing w:line="360" w:lineRule="auto"/>
        <w:jc w:val="both"/>
        <w:rPr>
          <w:b/>
          <w:bCs/>
          <w:iCs/>
        </w:rPr>
      </w:pPr>
      <w:r w:rsidRPr="00DF0DB4">
        <w:rPr>
          <w:b/>
          <w:bCs/>
        </w:rPr>
        <w:t>H</w:t>
      </w:r>
      <w:r w:rsidR="009513BE">
        <w:rPr>
          <w:b/>
          <w:bCs/>
        </w:rPr>
        <w:t>5</w:t>
      </w:r>
      <w:r w:rsidR="00CF54CC">
        <w:rPr>
          <w:b/>
          <w:bCs/>
        </w:rPr>
        <w:t>: The qua</w:t>
      </w:r>
      <w:r w:rsidR="000A0EDF">
        <w:rPr>
          <w:b/>
          <w:bCs/>
        </w:rPr>
        <w:t>l</w:t>
      </w:r>
      <w:r>
        <w:rPr>
          <w:b/>
          <w:bCs/>
        </w:rPr>
        <w:t xml:space="preserve">ity of investment </w:t>
      </w:r>
      <w:r w:rsidR="00CF54CC">
        <w:rPr>
          <w:b/>
          <w:bCs/>
        </w:rPr>
        <w:t xml:space="preserve">risk disclosures in the </w:t>
      </w:r>
      <w:r w:rsidR="009513BE">
        <w:rPr>
          <w:b/>
          <w:bCs/>
        </w:rPr>
        <w:t>financial statements</w:t>
      </w:r>
      <w:r>
        <w:rPr>
          <w:b/>
          <w:bCs/>
        </w:rPr>
        <w:t xml:space="preserve"> of Dutch pension funds </w:t>
      </w:r>
      <w:r w:rsidR="000A0EDF">
        <w:rPr>
          <w:b/>
          <w:bCs/>
        </w:rPr>
        <w:t>has increased since the financial crisis.</w:t>
      </w:r>
    </w:p>
    <w:p w:rsidR="000A0EDF" w:rsidRDefault="000A0EDF" w:rsidP="003F31A3">
      <w:pPr>
        <w:autoSpaceDE w:val="0"/>
        <w:autoSpaceDN w:val="0"/>
        <w:adjustRightInd w:val="0"/>
        <w:spacing w:line="360" w:lineRule="auto"/>
        <w:jc w:val="both"/>
      </w:pPr>
      <w:r>
        <w:t xml:space="preserve">Beretta and </w:t>
      </w:r>
      <w:proofErr w:type="spellStart"/>
      <w:r>
        <w:t>Bozzolan</w:t>
      </w:r>
      <w:proofErr w:type="spellEnd"/>
      <w:r>
        <w:t xml:space="preserve"> (2004) have emphasized that disclosures have to be researched not only on “how much” but also “what” and “in wh</w:t>
      </w:r>
      <w:r w:rsidR="00527D08">
        <w:t>ich way” is disclosed. The fourth</w:t>
      </w:r>
      <w:r>
        <w:t xml:space="preserve"> hypothesis focuses on </w:t>
      </w:r>
      <w:r w:rsidR="00527D08">
        <w:t xml:space="preserve">“how much”, whereas this </w:t>
      </w:r>
      <w:r>
        <w:t>hypothesis will focus on “what” and “in which way”.</w:t>
      </w:r>
    </w:p>
    <w:p w:rsidR="000A0EDF" w:rsidRDefault="000A0EDF" w:rsidP="003F31A3">
      <w:pPr>
        <w:autoSpaceDE w:val="0"/>
        <w:autoSpaceDN w:val="0"/>
        <w:adjustRightInd w:val="0"/>
        <w:spacing w:line="360" w:lineRule="auto"/>
        <w:jc w:val="both"/>
      </w:pPr>
    </w:p>
    <w:p w:rsidR="000A0EDF" w:rsidRDefault="000A0EDF" w:rsidP="003F31A3">
      <w:pPr>
        <w:spacing w:line="360" w:lineRule="auto"/>
        <w:jc w:val="both"/>
      </w:pPr>
      <w:r>
        <w:t xml:space="preserve">Regarding “what” is disclosed, for example </w:t>
      </w:r>
      <w:proofErr w:type="spellStart"/>
      <w:r w:rsidRPr="00E135FF">
        <w:t>Christoffersen</w:t>
      </w:r>
      <w:proofErr w:type="spellEnd"/>
      <w:r w:rsidRPr="00E135FF">
        <w:t xml:space="preserve"> (2012</w:t>
      </w:r>
      <w:r>
        <w:t>) states that the attention to liquidity risk has increased since the financial crisis. The disclosure quality with rega</w:t>
      </w:r>
      <w:r w:rsidR="00527D08">
        <w:t xml:space="preserve">rd to the asset categories real estate and </w:t>
      </w:r>
      <w:r>
        <w:t>bonds might also have been increased. The same applies to “in which way” the risks are disclosed. I expect additional tables that provide insight in the financial positions of the Dutch pension funds in the GIIPS countries (Greece, Italy, Ireland, Portugal and Spain) as described in the article of AFM (2012)</w:t>
      </w:r>
      <w:r w:rsidR="00C16791">
        <w:t>. However, I am also curious about</w:t>
      </w:r>
      <w:r>
        <w:t xml:space="preserve"> other ways of presenting investment risk disclosures in the financial statements.</w:t>
      </w:r>
      <w:r w:rsidR="00FA6B7D">
        <w:t xml:space="preserve"> </w:t>
      </w:r>
      <w:r>
        <w:t xml:space="preserve">Summarized, I assume that the disclosure quality of the investment risk disclosures has increased significantly since the financial crisis. Obviously, liquidity risk, </w:t>
      </w:r>
      <w:r w:rsidR="00C16791">
        <w:t>real estate,</w:t>
      </w:r>
      <w:r>
        <w:t xml:space="preserve"> bonds and </w:t>
      </w:r>
      <w:r w:rsidR="00C16791">
        <w:t xml:space="preserve">additional </w:t>
      </w:r>
      <w:r>
        <w:t xml:space="preserve">tables with GIIPS countries will be subject of research, but other risk types and asset categories will not be ignored during the research.  </w:t>
      </w:r>
    </w:p>
    <w:p w:rsidR="00885971" w:rsidRPr="00C16791" w:rsidRDefault="00885971" w:rsidP="003F31A3">
      <w:pPr>
        <w:spacing w:line="360" w:lineRule="auto"/>
        <w:jc w:val="both"/>
        <w:rPr>
          <w:b/>
          <w:bCs/>
        </w:rPr>
      </w:pPr>
    </w:p>
    <w:p w:rsidR="00885971" w:rsidRDefault="00885971" w:rsidP="003F31A3">
      <w:pPr>
        <w:spacing w:line="360" w:lineRule="auto"/>
        <w:jc w:val="both"/>
        <w:rPr>
          <w:b/>
          <w:bCs/>
          <w:iCs/>
        </w:rPr>
      </w:pPr>
      <w:r w:rsidRPr="00DF0DB4">
        <w:rPr>
          <w:b/>
          <w:bCs/>
        </w:rPr>
        <w:t>H</w:t>
      </w:r>
      <w:r w:rsidR="009513BE">
        <w:rPr>
          <w:b/>
          <w:bCs/>
        </w:rPr>
        <w:t>6</w:t>
      </w:r>
      <w:r>
        <w:rPr>
          <w:b/>
          <w:bCs/>
        </w:rPr>
        <w:t xml:space="preserve">: The quality of investment risk disclosures in the </w:t>
      </w:r>
      <w:r w:rsidR="009513BE">
        <w:rPr>
          <w:b/>
          <w:bCs/>
        </w:rPr>
        <w:t>financial statements</w:t>
      </w:r>
      <w:r>
        <w:rPr>
          <w:b/>
          <w:bCs/>
        </w:rPr>
        <w:t xml:space="preserve"> of Dutch pension funds </w:t>
      </w:r>
      <w:r w:rsidR="00773AF0">
        <w:rPr>
          <w:b/>
          <w:bCs/>
        </w:rPr>
        <w:t xml:space="preserve">is bigger </w:t>
      </w:r>
      <w:r>
        <w:rPr>
          <w:b/>
          <w:bCs/>
        </w:rPr>
        <w:t xml:space="preserve">for larger </w:t>
      </w:r>
      <w:r>
        <w:rPr>
          <w:b/>
          <w:bCs/>
          <w:iCs/>
        </w:rPr>
        <w:t>Dutch pension funds</w:t>
      </w:r>
      <w:r w:rsidRPr="00DF0DB4">
        <w:rPr>
          <w:b/>
          <w:bCs/>
          <w:iCs/>
        </w:rPr>
        <w:t xml:space="preserve"> </w:t>
      </w:r>
      <w:r>
        <w:rPr>
          <w:b/>
          <w:bCs/>
          <w:iCs/>
        </w:rPr>
        <w:t xml:space="preserve">than for smaller Dutch pension funds </w:t>
      </w:r>
      <w:r w:rsidR="00773AF0">
        <w:rPr>
          <w:b/>
          <w:bCs/>
          <w:iCs/>
        </w:rPr>
        <w:t xml:space="preserve">before and after the start of the </w:t>
      </w:r>
      <w:r>
        <w:rPr>
          <w:b/>
          <w:bCs/>
          <w:iCs/>
        </w:rPr>
        <w:t>financial crisis.</w:t>
      </w:r>
    </w:p>
    <w:p w:rsidR="00885971" w:rsidRDefault="00885971" w:rsidP="003F31A3">
      <w:pPr>
        <w:autoSpaceDE w:val="0"/>
        <w:autoSpaceDN w:val="0"/>
        <w:adjustRightInd w:val="0"/>
        <w:spacing w:line="360" w:lineRule="auto"/>
        <w:jc w:val="both"/>
        <w:rPr>
          <w:bCs/>
        </w:rPr>
      </w:pPr>
    </w:p>
    <w:p w:rsidR="00E336D3" w:rsidRPr="00885971" w:rsidRDefault="00E336D3" w:rsidP="003F31A3">
      <w:pPr>
        <w:autoSpaceDE w:val="0"/>
        <w:autoSpaceDN w:val="0"/>
        <w:adjustRightInd w:val="0"/>
        <w:spacing w:line="360" w:lineRule="auto"/>
        <w:jc w:val="both"/>
        <w:rPr>
          <w:bCs/>
        </w:rPr>
      </w:pPr>
      <w:r>
        <w:rPr>
          <w:bCs/>
        </w:rPr>
        <w:t>Regarding this hypothesis, the same arguments as</w:t>
      </w:r>
      <w:r w:rsidR="0022566A">
        <w:rPr>
          <w:bCs/>
        </w:rPr>
        <w:t xml:space="preserve"> described with hypothesis four</w:t>
      </w:r>
      <w:r>
        <w:rPr>
          <w:bCs/>
        </w:rPr>
        <w:t xml:space="preserve"> with regard to disclosure quantity </w:t>
      </w:r>
      <w:r w:rsidR="0022566A">
        <w:rPr>
          <w:bCs/>
        </w:rPr>
        <w:t xml:space="preserve">of investment risks </w:t>
      </w:r>
      <w:r>
        <w:rPr>
          <w:bCs/>
        </w:rPr>
        <w:t>are applicable.</w:t>
      </w:r>
    </w:p>
    <w:p w:rsidR="009A7993" w:rsidRDefault="001552A7" w:rsidP="003F31A3">
      <w:pPr>
        <w:pStyle w:val="Kop2"/>
        <w:numPr>
          <w:ilvl w:val="0"/>
          <w:numId w:val="0"/>
        </w:numPr>
        <w:spacing w:line="360" w:lineRule="auto"/>
        <w:ind w:left="576" w:hanging="576"/>
        <w:jc w:val="both"/>
        <w:rPr>
          <w:rStyle w:val="Nadruk"/>
          <w:rFonts w:ascii="Times New Roman" w:hAnsi="Times New Roman"/>
          <w:b/>
          <w:sz w:val="24"/>
          <w:szCs w:val="24"/>
        </w:rPr>
      </w:pPr>
      <w:bookmarkStart w:id="47" w:name="_Toc355387299"/>
      <w:r>
        <w:rPr>
          <w:rStyle w:val="Nadruk"/>
          <w:rFonts w:ascii="Times New Roman" w:hAnsi="Times New Roman"/>
          <w:b/>
          <w:sz w:val="24"/>
          <w:szCs w:val="24"/>
        </w:rPr>
        <w:t>3</w:t>
      </w:r>
      <w:r w:rsidR="009A7993">
        <w:rPr>
          <w:rStyle w:val="Nadruk"/>
          <w:rFonts w:ascii="Times New Roman" w:hAnsi="Times New Roman"/>
          <w:b/>
          <w:sz w:val="24"/>
          <w:szCs w:val="24"/>
        </w:rPr>
        <w:t>.2</w:t>
      </w:r>
      <w:r w:rsidR="009A7993">
        <w:rPr>
          <w:rStyle w:val="Nadruk"/>
          <w:rFonts w:ascii="Times New Roman" w:hAnsi="Times New Roman"/>
          <w:b/>
          <w:sz w:val="24"/>
          <w:szCs w:val="24"/>
        </w:rPr>
        <w:tab/>
        <w:t>Conceptualization</w:t>
      </w:r>
      <w:r w:rsidR="001A3137">
        <w:rPr>
          <w:rStyle w:val="Nadruk"/>
          <w:rFonts w:ascii="Times New Roman" w:hAnsi="Times New Roman"/>
          <w:b/>
          <w:sz w:val="24"/>
          <w:szCs w:val="24"/>
        </w:rPr>
        <w:t xml:space="preserve"> and </w:t>
      </w:r>
      <w:proofErr w:type="spellStart"/>
      <w:r w:rsidR="001A3137">
        <w:rPr>
          <w:rStyle w:val="Nadruk"/>
          <w:rFonts w:ascii="Times New Roman" w:hAnsi="Times New Roman"/>
          <w:b/>
          <w:sz w:val="24"/>
          <w:szCs w:val="24"/>
        </w:rPr>
        <w:t>operationalization</w:t>
      </w:r>
      <w:bookmarkEnd w:id="47"/>
      <w:proofErr w:type="spellEnd"/>
    </w:p>
    <w:p w:rsidR="000315DD" w:rsidRDefault="00640663" w:rsidP="003F31A3">
      <w:pPr>
        <w:spacing w:line="360" w:lineRule="auto"/>
        <w:jc w:val="both"/>
      </w:pPr>
      <w:proofErr w:type="spellStart"/>
      <w:r>
        <w:t>Babbie</w:t>
      </w:r>
      <w:proofErr w:type="spellEnd"/>
      <w:r>
        <w:t xml:space="preserve"> (2007) defines conceptualization as</w:t>
      </w:r>
      <w:r>
        <w:rPr>
          <w:i/>
        </w:rPr>
        <w:t xml:space="preserve"> “a process in which the researcher specifies what is meant with particular terms in the research”</w:t>
      </w:r>
      <w:r w:rsidR="005F7302">
        <w:t>.</w:t>
      </w:r>
      <w:r w:rsidR="000315DD">
        <w:t xml:space="preserve"> During the literature research, several definitions have already come across, however, in this paragraph will be described what is exactly </w:t>
      </w:r>
      <w:r w:rsidR="00872EF4">
        <w:t>meant with specific</w:t>
      </w:r>
      <w:r w:rsidR="000315DD">
        <w:t xml:space="preserve"> terms w</w:t>
      </w:r>
      <w:r w:rsidR="009E19A4">
        <w:t>ithin the scope of this thesis.</w:t>
      </w:r>
    </w:p>
    <w:p w:rsidR="005B26E9" w:rsidRDefault="005B26E9" w:rsidP="003F31A3">
      <w:pPr>
        <w:spacing w:line="360" w:lineRule="auto"/>
        <w:jc w:val="both"/>
        <w:rPr>
          <w:lang w:val="en-US"/>
        </w:rPr>
      </w:pPr>
    </w:p>
    <w:p w:rsidR="00640663" w:rsidRPr="00724602" w:rsidRDefault="005F7302" w:rsidP="003F31A3">
      <w:pPr>
        <w:spacing w:line="360" w:lineRule="auto"/>
        <w:jc w:val="both"/>
        <w:rPr>
          <w:lang w:val="en-US"/>
        </w:rPr>
      </w:pPr>
      <w:r w:rsidRPr="00C226A9">
        <w:rPr>
          <w:lang w:val="en-US"/>
        </w:rPr>
        <w:t xml:space="preserve">Blumberg et al. </w:t>
      </w:r>
      <w:r w:rsidRPr="002C4BD3">
        <w:rPr>
          <w:lang w:val="en-US"/>
        </w:rPr>
        <w:t xml:space="preserve">(2011) define </w:t>
      </w:r>
      <w:proofErr w:type="spellStart"/>
      <w:r w:rsidRPr="002C4BD3">
        <w:rPr>
          <w:lang w:val="en-US"/>
        </w:rPr>
        <w:t>operationalization</w:t>
      </w:r>
      <w:proofErr w:type="spellEnd"/>
      <w:r w:rsidRPr="002C4BD3">
        <w:rPr>
          <w:lang w:val="en-US"/>
        </w:rPr>
        <w:t xml:space="preserve"> as</w:t>
      </w:r>
      <w:r>
        <w:rPr>
          <w:lang w:val="en-US"/>
        </w:rPr>
        <w:t xml:space="preserve"> </w:t>
      </w:r>
      <w:r w:rsidR="00136D6B">
        <w:rPr>
          <w:lang w:val="en-US"/>
        </w:rPr>
        <w:t>“</w:t>
      </w:r>
      <w:r w:rsidRPr="00136D6B">
        <w:rPr>
          <w:i/>
          <w:lang w:val="en-US"/>
        </w:rPr>
        <w:t>a</w:t>
      </w:r>
      <w:r w:rsidR="00872EF4" w:rsidRPr="00136D6B">
        <w:rPr>
          <w:i/>
          <w:lang w:val="en-US"/>
        </w:rPr>
        <w:t xml:space="preserve"> process in which </w:t>
      </w:r>
      <w:r w:rsidR="00A05C35" w:rsidRPr="00136D6B">
        <w:rPr>
          <w:i/>
          <w:lang w:val="en-US"/>
        </w:rPr>
        <w:t xml:space="preserve">concepts </w:t>
      </w:r>
      <w:r w:rsidRPr="00136D6B">
        <w:rPr>
          <w:i/>
          <w:lang w:val="en-US"/>
        </w:rPr>
        <w:t>are turned into variables that can be measured and that are appropriate to test</w:t>
      </w:r>
      <w:r w:rsidR="00136D6B">
        <w:rPr>
          <w:i/>
          <w:lang w:val="en-US"/>
        </w:rPr>
        <w:t>”</w:t>
      </w:r>
      <w:r>
        <w:rPr>
          <w:lang w:val="en-US"/>
        </w:rPr>
        <w:t xml:space="preserve">. With other words, in this paragraph will be decided how concepts will be measured. For a number of concepts, it will be obvious </w:t>
      </w:r>
      <w:r w:rsidR="00772A31">
        <w:rPr>
          <w:lang w:val="en-US"/>
        </w:rPr>
        <w:t xml:space="preserve">how </w:t>
      </w:r>
      <w:r>
        <w:rPr>
          <w:lang w:val="en-US"/>
        </w:rPr>
        <w:t xml:space="preserve">to measure, </w:t>
      </w:r>
      <w:r w:rsidR="000315DD">
        <w:rPr>
          <w:lang w:val="en-US"/>
        </w:rPr>
        <w:t>however</w:t>
      </w:r>
      <w:r w:rsidR="009D74EB">
        <w:rPr>
          <w:lang w:val="en-US"/>
        </w:rPr>
        <w:t xml:space="preserve"> this </w:t>
      </w:r>
      <w:r w:rsidR="00D4397A">
        <w:rPr>
          <w:lang w:val="en-US"/>
        </w:rPr>
        <w:t>is</w:t>
      </w:r>
      <w:r w:rsidR="009D74EB">
        <w:rPr>
          <w:lang w:val="en-US"/>
        </w:rPr>
        <w:t xml:space="preserve"> not the case for all concepts. The</w:t>
      </w:r>
      <w:r>
        <w:rPr>
          <w:lang w:val="en-US"/>
        </w:rPr>
        <w:t>refore, measuremen</w:t>
      </w:r>
      <w:r w:rsidR="00D4397A">
        <w:rPr>
          <w:lang w:val="en-US"/>
        </w:rPr>
        <w:t>t of a number of</w:t>
      </w:r>
      <w:r>
        <w:rPr>
          <w:lang w:val="en-US"/>
        </w:rPr>
        <w:t xml:space="preserve"> concepts will be further elaborated.</w:t>
      </w:r>
    </w:p>
    <w:p w:rsidR="008C0CC0" w:rsidRPr="009B00D6" w:rsidRDefault="008C0CC0" w:rsidP="003F31A3">
      <w:pPr>
        <w:spacing w:line="360" w:lineRule="auto"/>
        <w:jc w:val="both"/>
        <w:rPr>
          <w:lang w:val="en-US"/>
        </w:rPr>
      </w:pPr>
    </w:p>
    <w:p w:rsidR="00CB5058" w:rsidRDefault="00CB5058" w:rsidP="003F31A3">
      <w:pPr>
        <w:spacing w:line="360" w:lineRule="auto"/>
        <w:jc w:val="both"/>
        <w:rPr>
          <w:b/>
          <w:i/>
        </w:rPr>
      </w:pPr>
      <w:r>
        <w:rPr>
          <w:b/>
          <w:i/>
        </w:rPr>
        <w:t>Financial statements</w:t>
      </w:r>
    </w:p>
    <w:p w:rsidR="00CB5058" w:rsidRDefault="00CB5058" w:rsidP="003F31A3">
      <w:pPr>
        <w:spacing w:line="360" w:lineRule="auto"/>
        <w:jc w:val="both"/>
        <w:rPr>
          <w:lang w:val="en-US"/>
        </w:rPr>
      </w:pPr>
      <w:r>
        <w:rPr>
          <w:lang w:val="en-US"/>
        </w:rPr>
        <w:t>In both the annual accounts and annual report is paid attention to the risks that the pension fund runs when performing his duties (RJ 610.401). For this reason, the financial statements, and in such way the annual accounts as well as the annual reports will be researched.</w:t>
      </w:r>
    </w:p>
    <w:p w:rsidR="00CB5058" w:rsidRDefault="00CB5058" w:rsidP="003F31A3">
      <w:pPr>
        <w:spacing w:line="360" w:lineRule="auto"/>
        <w:jc w:val="both"/>
        <w:rPr>
          <w:lang w:val="en-US"/>
        </w:rPr>
      </w:pPr>
    </w:p>
    <w:p w:rsidR="00CB5058" w:rsidRDefault="00CB5058" w:rsidP="003F31A3">
      <w:pPr>
        <w:spacing w:line="360" w:lineRule="auto"/>
        <w:jc w:val="both"/>
        <w:rPr>
          <w:lang w:val="en-US"/>
        </w:rPr>
      </w:pPr>
      <w:r>
        <w:rPr>
          <w:lang w:val="en-US"/>
        </w:rPr>
        <w:t xml:space="preserve">As described in paragraph 2.3, in Europe, the financial crisis started in 2008 (van </w:t>
      </w:r>
      <w:proofErr w:type="spellStart"/>
      <w:r>
        <w:rPr>
          <w:lang w:val="en-US"/>
        </w:rPr>
        <w:t>Ewijk</w:t>
      </w:r>
      <w:proofErr w:type="spellEnd"/>
      <w:r>
        <w:rPr>
          <w:lang w:val="en-US"/>
        </w:rPr>
        <w:t xml:space="preserve">, 2009). However, the financial crisis can be characterized as a global financial crisis which started already in the summer of 2007 </w:t>
      </w:r>
      <w:r w:rsidR="009B00D6">
        <w:rPr>
          <w:lang w:val="en-US"/>
        </w:rPr>
        <w:t xml:space="preserve">in the United States </w:t>
      </w:r>
      <w:r>
        <w:rPr>
          <w:lang w:val="en-US"/>
        </w:rPr>
        <w:t>(</w:t>
      </w:r>
      <w:proofErr w:type="spellStart"/>
      <w:r>
        <w:rPr>
          <w:lang w:val="en-US"/>
        </w:rPr>
        <w:t>Dabrowski</w:t>
      </w:r>
      <w:proofErr w:type="spellEnd"/>
      <w:r>
        <w:rPr>
          <w:lang w:val="en-US"/>
        </w:rPr>
        <w:t xml:space="preserve">, 2010). Although this research is focused on Dutch pension funds, the pension funds have invested their money worldwide, also in the United States. </w:t>
      </w:r>
    </w:p>
    <w:p w:rsidR="00CB5058" w:rsidRDefault="00136D6B" w:rsidP="003F31A3">
      <w:pPr>
        <w:spacing w:line="360" w:lineRule="auto"/>
        <w:jc w:val="both"/>
        <w:rPr>
          <w:lang w:val="en-US"/>
        </w:rPr>
      </w:pPr>
      <w:r>
        <w:rPr>
          <w:lang w:val="en-US"/>
        </w:rPr>
        <w:t>Therefore, d</w:t>
      </w:r>
      <w:r w:rsidR="00CB5058">
        <w:rPr>
          <w:lang w:val="en-US"/>
        </w:rPr>
        <w:t>uring the research, the financial statements of 2006, the year before</w:t>
      </w:r>
      <w:r w:rsidR="00C37489">
        <w:rPr>
          <w:lang w:val="en-US"/>
        </w:rPr>
        <w:t xml:space="preserve"> the crisis, will be researched and also t</w:t>
      </w:r>
      <w:r w:rsidR="00CB5058">
        <w:rPr>
          <w:lang w:val="en-US"/>
        </w:rPr>
        <w:t>he financial statements of 2007, the first year of the worldwide financial c</w:t>
      </w:r>
      <w:r>
        <w:rPr>
          <w:lang w:val="en-US"/>
        </w:rPr>
        <w:t>risis</w:t>
      </w:r>
      <w:r w:rsidR="00CB5058">
        <w:rPr>
          <w:lang w:val="en-US"/>
        </w:rPr>
        <w:t xml:space="preserve">. The 2011 financial statements will be subject of research as well, because these financial statements are the most recent available statements for this research. </w:t>
      </w:r>
    </w:p>
    <w:p w:rsidR="00CB5058" w:rsidRDefault="00CB5058" w:rsidP="003F31A3">
      <w:pPr>
        <w:spacing w:line="360" w:lineRule="auto"/>
        <w:jc w:val="both"/>
        <w:rPr>
          <w:lang w:val="en-US"/>
        </w:rPr>
      </w:pPr>
    </w:p>
    <w:p w:rsidR="0057724D" w:rsidRDefault="0057724D" w:rsidP="003F31A3">
      <w:pPr>
        <w:spacing w:line="360" w:lineRule="auto"/>
        <w:jc w:val="both"/>
        <w:rPr>
          <w:b/>
          <w:bCs/>
          <w:i/>
        </w:rPr>
      </w:pPr>
      <w:r>
        <w:rPr>
          <w:b/>
          <w:bCs/>
          <w:i/>
        </w:rPr>
        <w:t>Disclosure</w:t>
      </w:r>
      <w:r w:rsidR="00C96E89">
        <w:rPr>
          <w:b/>
          <w:bCs/>
          <w:i/>
        </w:rPr>
        <w:t>s</w:t>
      </w:r>
    </w:p>
    <w:p w:rsidR="00CB5058" w:rsidRDefault="00136D6B" w:rsidP="003F31A3">
      <w:pPr>
        <w:spacing w:line="360" w:lineRule="auto"/>
        <w:jc w:val="both"/>
        <w:rPr>
          <w:bCs/>
        </w:rPr>
      </w:pPr>
      <w:r>
        <w:rPr>
          <w:bCs/>
        </w:rPr>
        <w:t xml:space="preserve">During the research, </w:t>
      </w:r>
      <w:r w:rsidR="00F50DAE">
        <w:rPr>
          <w:bCs/>
        </w:rPr>
        <w:t xml:space="preserve">disclosures concern the </w:t>
      </w:r>
      <w:r w:rsidR="002C1FBC">
        <w:rPr>
          <w:bCs/>
        </w:rPr>
        <w:t xml:space="preserve">risk disclosures in the </w:t>
      </w:r>
      <w:r w:rsidR="00BF3492">
        <w:rPr>
          <w:bCs/>
        </w:rPr>
        <w:t>financial statement</w:t>
      </w:r>
      <w:r w:rsidR="003863E1">
        <w:rPr>
          <w:bCs/>
        </w:rPr>
        <w:t xml:space="preserve">s </w:t>
      </w:r>
      <w:r w:rsidR="00F50DAE">
        <w:rPr>
          <w:bCs/>
        </w:rPr>
        <w:t xml:space="preserve">of </w:t>
      </w:r>
      <w:r>
        <w:rPr>
          <w:bCs/>
        </w:rPr>
        <w:t>D</w:t>
      </w:r>
      <w:r w:rsidR="00F50DAE">
        <w:rPr>
          <w:bCs/>
        </w:rPr>
        <w:t>utch pension funds. In</w:t>
      </w:r>
      <w:r w:rsidR="00376BAF">
        <w:rPr>
          <w:bCs/>
        </w:rPr>
        <w:t xml:space="preserve"> </w:t>
      </w:r>
      <w:r w:rsidR="002C1FBC">
        <w:rPr>
          <w:bCs/>
        </w:rPr>
        <w:t xml:space="preserve">paragraph </w:t>
      </w:r>
      <w:r w:rsidR="002C1FBC" w:rsidRPr="00986A8B">
        <w:rPr>
          <w:bCs/>
        </w:rPr>
        <w:t>2.</w:t>
      </w:r>
      <w:r w:rsidR="008D5F7B" w:rsidRPr="00986A8B">
        <w:rPr>
          <w:bCs/>
        </w:rPr>
        <w:t>6</w:t>
      </w:r>
      <w:r w:rsidR="002C1FBC">
        <w:rPr>
          <w:bCs/>
        </w:rPr>
        <w:t xml:space="preserve">, a distinction between </w:t>
      </w:r>
      <w:r w:rsidR="00514C59">
        <w:rPr>
          <w:bCs/>
        </w:rPr>
        <w:t>voluntary and mandatory disclosure</w:t>
      </w:r>
      <w:r w:rsidR="002C1FBC">
        <w:rPr>
          <w:bCs/>
        </w:rPr>
        <w:t>s has been present</w:t>
      </w:r>
      <w:r w:rsidR="00514C59">
        <w:rPr>
          <w:bCs/>
        </w:rPr>
        <w:t>ed</w:t>
      </w:r>
      <w:r>
        <w:rPr>
          <w:bCs/>
        </w:rPr>
        <w:t>, both disclosure types will be included in the</w:t>
      </w:r>
      <w:r w:rsidR="00514C59">
        <w:rPr>
          <w:bCs/>
        </w:rPr>
        <w:t xml:space="preserve"> research</w:t>
      </w:r>
      <w:r>
        <w:rPr>
          <w:bCs/>
        </w:rPr>
        <w:t xml:space="preserve">. </w:t>
      </w:r>
    </w:p>
    <w:p w:rsidR="00136D6B" w:rsidRDefault="00136D6B" w:rsidP="003F31A3">
      <w:pPr>
        <w:spacing w:line="360" w:lineRule="auto"/>
        <w:jc w:val="both"/>
        <w:rPr>
          <w:b/>
          <w:i/>
        </w:rPr>
      </w:pPr>
    </w:p>
    <w:p w:rsidR="00136D6B" w:rsidRDefault="00136D6B" w:rsidP="003F31A3">
      <w:pPr>
        <w:spacing w:line="360" w:lineRule="auto"/>
        <w:jc w:val="both"/>
        <w:rPr>
          <w:b/>
          <w:i/>
        </w:rPr>
      </w:pPr>
    </w:p>
    <w:p w:rsidR="00136D6B" w:rsidRDefault="00136D6B" w:rsidP="003F31A3">
      <w:pPr>
        <w:spacing w:line="360" w:lineRule="auto"/>
        <w:jc w:val="both"/>
        <w:rPr>
          <w:b/>
          <w:i/>
        </w:rPr>
      </w:pPr>
    </w:p>
    <w:p w:rsidR="00CB5058" w:rsidRPr="00CB5058" w:rsidRDefault="00CB5058" w:rsidP="003F31A3">
      <w:pPr>
        <w:spacing w:line="360" w:lineRule="auto"/>
        <w:jc w:val="both"/>
        <w:rPr>
          <w:b/>
          <w:i/>
        </w:rPr>
      </w:pPr>
      <w:r>
        <w:rPr>
          <w:b/>
          <w:i/>
        </w:rPr>
        <w:t>Disclosure quantity and quality</w:t>
      </w:r>
    </w:p>
    <w:p w:rsidR="001C2982" w:rsidRDefault="00B03A78" w:rsidP="003F31A3">
      <w:pPr>
        <w:spacing w:line="360" w:lineRule="auto"/>
        <w:jc w:val="both"/>
        <w:rPr>
          <w:lang w:val="en-US"/>
        </w:rPr>
      </w:pPr>
      <w:r>
        <w:t xml:space="preserve">Beretta and </w:t>
      </w:r>
      <w:proofErr w:type="spellStart"/>
      <w:r>
        <w:t>Bozzolan</w:t>
      </w:r>
      <w:proofErr w:type="spellEnd"/>
      <w:r>
        <w:t xml:space="preserve"> (2004) have emphasized in their article that </w:t>
      </w:r>
      <w:r>
        <w:rPr>
          <w:lang w:val="en-US"/>
        </w:rPr>
        <w:t xml:space="preserve">not only “how much” is disclosed </w:t>
      </w:r>
      <w:r w:rsidR="00CB5058">
        <w:rPr>
          <w:lang w:val="en-US"/>
        </w:rPr>
        <w:t xml:space="preserve">(disclosure quantity) </w:t>
      </w:r>
      <w:r>
        <w:rPr>
          <w:lang w:val="en-US"/>
        </w:rPr>
        <w:t>has to be taken into account, but also “what” and “in which w</w:t>
      </w:r>
      <w:r w:rsidR="005C4BC3">
        <w:rPr>
          <w:lang w:val="en-US"/>
        </w:rPr>
        <w:t>ay”</w:t>
      </w:r>
      <w:r w:rsidR="00CB5058">
        <w:rPr>
          <w:lang w:val="en-US"/>
        </w:rPr>
        <w:t xml:space="preserve"> (disclosure quality)</w:t>
      </w:r>
      <w:r w:rsidR="00270C75">
        <w:rPr>
          <w:lang w:val="en-US"/>
        </w:rPr>
        <w:t>. In this thesis</w:t>
      </w:r>
      <w:r w:rsidR="005C4BC3">
        <w:rPr>
          <w:lang w:val="en-US"/>
        </w:rPr>
        <w:t>, both</w:t>
      </w:r>
      <w:r>
        <w:rPr>
          <w:lang w:val="en-US"/>
        </w:rPr>
        <w:t xml:space="preserve"> as</w:t>
      </w:r>
      <w:r w:rsidR="00270C75">
        <w:rPr>
          <w:lang w:val="en-US"/>
        </w:rPr>
        <w:t>pects will be researched</w:t>
      </w:r>
      <w:r>
        <w:rPr>
          <w:lang w:val="en-US"/>
        </w:rPr>
        <w:t>.</w:t>
      </w:r>
    </w:p>
    <w:p w:rsidR="00CB5058" w:rsidRDefault="00CB5058" w:rsidP="003F31A3">
      <w:pPr>
        <w:spacing w:line="360" w:lineRule="auto"/>
        <w:jc w:val="both"/>
        <w:rPr>
          <w:lang w:val="en-US"/>
        </w:rPr>
      </w:pPr>
    </w:p>
    <w:p w:rsidR="00CB5058" w:rsidRDefault="00CB5058" w:rsidP="003F31A3">
      <w:pPr>
        <w:spacing w:line="360" w:lineRule="auto"/>
        <w:jc w:val="both"/>
        <w:rPr>
          <w:lang w:val="en-US"/>
        </w:rPr>
      </w:pPr>
      <w:r>
        <w:rPr>
          <w:lang w:val="en-US"/>
        </w:rPr>
        <w:t xml:space="preserve">To measure the disclosure quantity, the frequency of the use of words regarding </w:t>
      </w:r>
      <w:r w:rsidR="00F85B9D">
        <w:rPr>
          <w:lang w:val="en-US"/>
        </w:rPr>
        <w:t xml:space="preserve">financial crisis and </w:t>
      </w:r>
      <w:r>
        <w:rPr>
          <w:lang w:val="en-US"/>
        </w:rPr>
        <w:t xml:space="preserve">investment risks will be counted throughout the financial statements. </w:t>
      </w:r>
    </w:p>
    <w:p w:rsidR="000315DD" w:rsidRDefault="00CB5058" w:rsidP="003F31A3">
      <w:pPr>
        <w:spacing w:line="360" w:lineRule="auto"/>
        <w:jc w:val="both"/>
        <w:rPr>
          <w:lang w:val="en-US"/>
        </w:rPr>
      </w:pPr>
      <w:r>
        <w:rPr>
          <w:lang w:val="en-US"/>
        </w:rPr>
        <w:t xml:space="preserve"> </w:t>
      </w:r>
    </w:p>
    <w:p w:rsidR="00CB5058" w:rsidRDefault="00CB5058" w:rsidP="003F31A3">
      <w:pPr>
        <w:spacing w:line="360" w:lineRule="auto"/>
        <w:jc w:val="both"/>
        <w:rPr>
          <w:lang w:val="en-US"/>
        </w:rPr>
      </w:pPr>
      <w:r>
        <w:rPr>
          <w:lang w:val="en-US"/>
        </w:rPr>
        <w:t xml:space="preserve">With regard to disclosure quality, it will be possible to conduct more in depth research. Considering the articles regarding the financial crisis (e.g. </w:t>
      </w:r>
      <w:proofErr w:type="spellStart"/>
      <w:r>
        <w:rPr>
          <w:lang w:val="en-US"/>
        </w:rPr>
        <w:t>Mishkin</w:t>
      </w:r>
      <w:proofErr w:type="spellEnd"/>
      <w:r>
        <w:rPr>
          <w:lang w:val="en-US"/>
        </w:rPr>
        <w:t xml:space="preserve"> (2009) and </w:t>
      </w:r>
      <w:proofErr w:type="spellStart"/>
      <w:r>
        <w:rPr>
          <w:lang w:val="en-US"/>
        </w:rPr>
        <w:t>Dabrowski</w:t>
      </w:r>
      <w:proofErr w:type="spellEnd"/>
      <w:r>
        <w:rPr>
          <w:lang w:val="en-US"/>
        </w:rPr>
        <w:t xml:space="preserve"> (2010)) and several financial statements of Dutch pension funds, disclosure quality will be measured in two frequently quoted asset categories that encountered the consequences of </w:t>
      </w:r>
      <w:r w:rsidR="00136D6B">
        <w:rPr>
          <w:lang w:val="en-US"/>
        </w:rPr>
        <w:t xml:space="preserve">the </w:t>
      </w:r>
      <w:r>
        <w:rPr>
          <w:lang w:val="en-US"/>
        </w:rPr>
        <w:t>financial crisis. These asset categories</w:t>
      </w:r>
      <w:r w:rsidR="00FB0D41">
        <w:rPr>
          <w:lang w:val="en-US"/>
        </w:rPr>
        <w:t xml:space="preserve"> are real estate and </w:t>
      </w:r>
      <w:r>
        <w:rPr>
          <w:lang w:val="en-US"/>
        </w:rPr>
        <w:t>bonds, as t</w:t>
      </w:r>
      <w:r>
        <w:rPr>
          <w:bCs/>
          <w:lang w:val="en-US"/>
        </w:rPr>
        <w:t>he financial crisis started within real estate with the subprime mortgage crisis and sub</w:t>
      </w:r>
      <w:r w:rsidR="00FB0D41">
        <w:rPr>
          <w:bCs/>
          <w:lang w:val="en-US"/>
        </w:rPr>
        <w:t xml:space="preserve">sequently strongly affected </w:t>
      </w:r>
      <w:r>
        <w:rPr>
          <w:bCs/>
          <w:lang w:val="en-US"/>
        </w:rPr>
        <w:t xml:space="preserve">bonds (e.g. </w:t>
      </w:r>
      <w:proofErr w:type="spellStart"/>
      <w:r>
        <w:rPr>
          <w:bCs/>
          <w:lang w:val="en-US"/>
        </w:rPr>
        <w:t>Dabrowski</w:t>
      </w:r>
      <w:proofErr w:type="spellEnd"/>
      <w:r>
        <w:rPr>
          <w:bCs/>
          <w:lang w:val="en-US"/>
        </w:rPr>
        <w:t xml:space="preserve">, 2010). Initially, the intention was to research the asset category loans at well. </w:t>
      </w:r>
      <w:r w:rsidRPr="006624EC">
        <w:rPr>
          <w:lang w:val="en-US"/>
        </w:rPr>
        <w:t xml:space="preserve">However, </w:t>
      </w:r>
      <w:r w:rsidR="00486633">
        <w:rPr>
          <w:lang w:val="en-US"/>
        </w:rPr>
        <w:t>an exploration of</w:t>
      </w:r>
      <w:r w:rsidRPr="006624EC">
        <w:rPr>
          <w:lang w:val="en-US"/>
        </w:rPr>
        <w:t xml:space="preserve"> the</w:t>
      </w:r>
      <w:r>
        <w:rPr>
          <w:lang w:val="en-US"/>
        </w:rPr>
        <w:t xml:space="preserve"> financial assets of the Dutch pension funds included in the sample, </w:t>
      </w:r>
      <w:r w:rsidR="00486633">
        <w:rPr>
          <w:lang w:val="en-US"/>
        </w:rPr>
        <w:t xml:space="preserve">made </w:t>
      </w:r>
      <w:r>
        <w:rPr>
          <w:lang w:val="en-US"/>
        </w:rPr>
        <w:t>clear that the vast majority of the smaller Dutch pension funds did not have a position in loans. Hence, a convincing comparison between smaller and larger Dutch pension funds regarding loans would not be possible. Therefore, further analysis on disclosure quality will be restricted to the asset catego</w:t>
      </w:r>
      <w:r w:rsidR="00FB0D41">
        <w:rPr>
          <w:lang w:val="en-US"/>
        </w:rPr>
        <w:t xml:space="preserve">ries real estate and </w:t>
      </w:r>
      <w:r>
        <w:rPr>
          <w:lang w:val="en-US"/>
        </w:rPr>
        <w:t>bonds.</w:t>
      </w:r>
    </w:p>
    <w:p w:rsidR="00F85B9D" w:rsidRDefault="00F85B9D" w:rsidP="003F31A3">
      <w:pPr>
        <w:spacing w:line="360" w:lineRule="auto"/>
        <w:jc w:val="both"/>
        <w:rPr>
          <w:lang w:val="en-US"/>
        </w:rPr>
      </w:pPr>
    </w:p>
    <w:p w:rsidR="000315DD" w:rsidRPr="006624EC" w:rsidRDefault="000315DD" w:rsidP="003F31A3">
      <w:pPr>
        <w:spacing w:line="360" w:lineRule="auto"/>
        <w:jc w:val="both"/>
        <w:rPr>
          <w:b/>
          <w:i/>
        </w:rPr>
      </w:pPr>
      <w:r w:rsidRPr="00B37A29">
        <w:rPr>
          <w:b/>
          <w:i/>
          <w:lang w:val="en-US"/>
        </w:rPr>
        <w:t>Investment risks</w:t>
      </w:r>
      <w:r w:rsidR="009E358F">
        <w:rPr>
          <w:b/>
          <w:i/>
        </w:rPr>
        <w:t xml:space="preserve"> </w:t>
      </w:r>
    </w:p>
    <w:p w:rsidR="00B37A29" w:rsidRPr="00B37A29" w:rsidRDefault="000315DD" w:rsidP="003F31A3">
      <w:pPr>
        <w:spacing w:line="360" w:lineRule="auto"/>
        <w:jc w:val="both"/>
        <w:rPr>
          <w:bCs/>
          <w:lang w:val="en-US"/>
        </w:rPr>
      </w:pPr>
      <w:r w:rsidRPr="00B37A29">
        <w:rPr>
          <w:bCs/>
          <w:lang w:val="en-US"/>
        </w:rPr>
        <w:t xml:space="preserve">In </w:t>
      </w:r>
      <w:r w:rsidR="00941BD3" w:rsidRPr="00B37A29">
        <w:rPr>
          <w:bCs/>
          <w:lang w:val="en-US"/>
        </w:rPr>
        <w:t>paragraph 2.5</w:t>
      </w:r>
      <w:r w:rsidR="00B37A29" w:rsidRPr="00B37A29">
        <w:rPr>
          <w:bCs/>
          <w:lang w:val="en-US"/>
        </w:rPr>
        <w:t xml:space="preserve">, the risk classifications of COSO (2004) and the RJ have been presented. During this research, the risk categorization of the RJ will be applied as presented in RJ 610.403 (see appendix </w:t>
      </w:r>
      <w:r w:rsidR="00F85B9D">
        <w:rPr>
          <w:bCs/>
          <w:lang w:val="en-US"/>
        </w:rPr>
        <w:t>5</w:t>
      </w:r>
      <w:r w:rsidR="00B37A29" w:rsidRPr="00B37A29">
        <w:rPr>
          <w:bCs/>
          <w:lang w:val="en-US"/>
        </w:rPr>
        <w:t>). This risk categorization specifically distinguishes investment risks as a separate category and</w:t>
      </w:r>
      <w:r w:rsidR="00B4514C">
        <w:rPr>
          <w:bCs/>
          <w:lang w:val="en-US"/>
        </w:rPr>
        <w:t>,</w:t>
      </w:r>
      <w:r w:rsidR="00B37A29" w:rsidRPr="00B37A29">
        <w:rPr>
          <w:bCs/>
          <w:lang w:val="en-US"/>
        </w:rPr>
        <w:t xml:space="preserve"> importantly, as described in paragraph 2.6.2, the financial statements of the Dutch pension funds have to be presented in accordance with the Dutch Guidelines of Annual Reporting.</w:t>
      </w:r>
    </w:p>
    <w:p w:rsidR="001735B9" w:rsidRDefault="00F85B9D" w:rsidP="003F31A3">
      <w:pPr>
        <w:spacing w:line="360" w:lineRule="auto"/>
        <w:jc w:val="both"/>
        <w:rPr>
          <w:bCs/>
          <w:lang w:val="en-US"/>
        </w:rPr>
      </w:pPr>
      <w:r>
        <w:rPr>
          <w:bCs/>
          <w:lang w:val="en-US"/>
        </w:rPr>
        <w:t>In RJ 610.403 (see appendix 5</w:t>
      </w:r>
      <w:r w:rsidR="00B4514C" w:rsidRPr="001735B9">
        <w:rPr>
          <w:bCs/>
          <w:lang w:val="en-US"/>
        </w:rPr>
        <w:t xml:space="preserve">), examples of five different investments risks have been described. </w:t>
      </w:r>
      <w:r w:rsidR="001735B9" w:rsidRPr="00717132">
        <w:rPr>
          <w:bCs/>
          <w:lang w:val="en-US"/>
        </w:rPr>
        <w:t xml:space="preserve">As presented in RJ 610.403, the RJ considers concentration risk as a separate risk category, apart from investment risks. However, RJ 610.402 recommends to apply RJ 290 Financial Instruments as well with regard to investment risks. RJ 290.934 recommends to   </w:t>
      </w:r>
      <w:r w:rsidR="00717132" w:rsidRPr="00717132">
        <w:rPr>
          <w:bCs/>
          <w:lang w:val="en-US"/>
        </w:rPr>
        <w:t>provide information on credit risk if concentrations might lead to considerable losses when a counterparty doe</w:t>
      </w:r>
      <w:r w:rsidR="00D74C22">
        <w:rPr>
          <w:bCs/>
          <w:lang w:val="en-US"/>
        </w:rPr>
        <w:t>s not fulfill its obligation. D</w:t>
      </w:r>
      <w:r w:rsidR="0061089B">
        <w:rPr>
          <w:bCs/>
          <w:lang w:val="en-US"/>
        </w:rPr>
        <w:t>uring the</w:t>
      </w:r>
      <w:r w:rsidR="001735B9" w:rsidRPr="00717132">
        <w:rPr>
          <w:bCs/>
          <w:lang w:val="en-US"/>
        </w:rPr>
        <w:t xml:space="preserve"> research, </w:t>
      </w:r>
      <w:r w:rsidR="0061089B">
        <w:rPr>
          <w:bCs/>
          <w:lang w:val="en-US"/>
        </w:rPr>
        <w:t xml:space="preserve">these </w:t>
      </w:r>
      <w:r w:rsidR="001735B9" w:rsidRPr="00717132">
        <w:rPr>
          <w:bCs/>
          <w:lang w:val="en-US"/>
        </w:rPr>
        <w:t xml:space="preserve">concentration risks will be </w:t>
      </w:r>
      <w:r w:rsidR="00D74C22">
        <w:rPr>
          <w:bCs/>
          <w:lang w:val="en-US"/>
        </w:rPr>
        <w:t xml:space="preserve">considered </w:t>
      </w:r>
      <w:r w:rsidR="0061089B">
        <w:rPr>
          <w:bCs/>
          <w:lang w:val="en-US"/>
        </w:rPr>
        <w:t xml:space="preserve">part of credit risk, one of the </w:t>
      </w:r>
      <w:r w:rsidR="001735B9" w:rsidRPr="00717132">
        <w:rPr>
          <w:bCs/>
          <w:lang w:val="en-US"/>
        </w:rPr>
        <w:t>investment risks</w:t>
      </w:r>
      <w:r w:rsidR="0061089B">
        <w:rPr>
          <w:bCs/>
          <w:lang w:val="en-US"/>
        </w:rPr>
        <w:t xml:space="preserve"> and will not be treated as a separate category. </w:t>
      </w:r>
      <w:r w:rsidR="00B4514C" w:rsidRPr="00717132">
        <w:rPr>
          <w:bCs/>
          <w:lang w:val="en-US"/>
        </w:rPr>
        <w:t>The definitions of the investment r</w:t>
      </w:r>
      <w:r w:rsidR="00866284">
        <w:rPr>
          <w:bCs/>
          <w:lang w:val="en-US"/>
        </w:rPr>
        <w:t>isks are presented in appendix 7</w:t>
      </w:r>
      <w:r w:rsidR="00B4514C" w:rsidRPr="00717132">
        <w:rPr>
          <w:bCs/>
          <w:lang w:val="en-US"/>
        </w:rPr>
        <w:t>.</w:t>
      </w:r>
      <w:r w:rsidR="00B4514C" w:rsidRPr="001735B9">
        <w:rPr>
          <w:bCs/>
          <w:lang w:val="en-US"/>
        </w:rPr>
        <w:t xml:space="preserve"> </w:t>
      </w:r>
    </w:p>
    <w:p w:rsidR="001735B9" w:rsidRPr="001735B9" w:rsidRDefault="00964CEB" w:rsidP="003F31A3">
      <w:pPr>
        <w:spacing w:line="360" w:lineRule="auto"/>
        <w:jc w:val="both"/>
        <w:rPr>
          <w:bCs/>
          <w:lang w:val="en-US"/>
        </w:rPr>
      </w:pPr>
      <w:r w:rsidRPr="001735B9">
        <w:rPr>
          <w:bCs/>
          <w:lang w:val="en-US"/>
        </w:rPr>
        <w:t xml:space="preserve">In paragraph 2.5 has been emphasized that the RJ has presented the investment risks as </w:t>
      </w:r>
      <w:r w:rsidRPr="001735B9">
        <w:rPr>
          <w:bCs/>
          <w:i/>
          <w:lang w:val="en-US"/>
        </w:rPr>
        <w:t>examples</w:t>
      </w:r>
      <w:r w:rsidRPr="001735B9">
        <w:rPr>
          <w:bCs/>
          <w:lang w:val="en-US"/>
        </w:rPr>
        <w:t xml:space="preserve">, </w:t>
      </w:r>
      <w:r w:rsidR="00842EBA">
        <w:rPr>
          <w:bCs/>
          <w:lang w:val="en-US"/>
        </w:rPr>
        <w:t xml:space="preserve">hence, </w:t>
      </w:r>
      <w:r w:rsidRPr="001735B9">
        <w:rPr>
          <w:bCs/>
          <w:lang w:val="en-US"/>
        </w:rPr>
        <w:t>the overview of the RJ is not limitative. Therefore</w:t>
      </w:r>
      <w:r w:rsidR="000315DD" w:rsidRPr="001735B9">
        <w:rPr>
          <w:bCs/>
          <w:lang w:val="en-US"/>
        </w:rPr>
        <w:t xml:space="preserve">, the definitions of a number of </w:t>
      </w:r>
      <w:r w:rsidRPr="001735B9">
        <w:rPr>
          <w:bCs/>
          <w:lang w:val="en-US"/>
        </w:rPr>
        <w:t xml:space="preserve">additional </w:t>
      </w:r>
      <w:r w:rsidR="000315DD" w:rsidRPr="001735B9">
        <w:rPr>
          <w:bCs/>
          <w:lang w:val="en-US"/>
        </w:rPr>
        <w:t>investment risks that are part of the financial statements of the researched Dutch pension funds have been added</w:t>
      </w:r>
      <w:r w:rsidR="00866284">
        <w:rPr>
          <w:bCs/>
          <w:lang w:val="en-US"/>
        </w:rPr>
        <w:t xml:space="preserve"> to appendix 7</w:t>
      </w:r>
      <w:r w:rsidR="000315DD" w:rsidRPr="001735B9">
        <w:rPr>
          <w:bCs/>
          <w:lang w:val="en-US"/>
        </w:rPr>
        <w:t>.</w:t>
      </w:r>
      <w:r w:rsidRPr="001735B9">
        <w:rPr>
          <w:bCs/>
          <w:lang w:val="en-US"/>
        </w:rPr>
        <w:t xml:space="preserve"> </w:t>
      </w:r>
    </w:p>
    <w:p w:rsidR="000315DD" w:rsidRDefault="00964CEB" w:rsidP="003F31A3">
      <w:pPr>
        <w:spacing w:line="360" w:lineRule="auto"/>
        <w:jc w:val="both"/>
        <w:rPr>
          <w:bCs/>
          <w:lang w:val="en-US"/>
        </w:rPr>
      </w:pPr>
      <w:r w:rsidRPr="001735B9">
        <w:rPr>
          <w:bCs/>
          <w:lang w:val="en-US"/>
        </w:rPr>
        <w:t>In the financial statements, numerous asset specific inve</w:t>
      </w:r>
      <w:r w:rsidR="00866284">
        <w:rPr>
          <w:bCs/>
          <w:lang w:val="en-US"/>
        </w:rPr>
        <w:t>stment risks have been disclosed</w:t>
      </w:r>
      <w:r w:rsidRPr="001735B9">
        <w:rPr>
          <w:bCs/>
          <w:lang w:val="en-US"/>
        </w:rPr>
        <w:t xml:space="preserve">, such as commodity risk, index linked bond risk, and so forth. The asset specific definitions have not been added in appendix </w:t>
      </w:r>
      <w:r w:rsidR="00866284">
        <w:rPr>
          <w:bCs/>
          <w:lang w:val="en-US"/>
        </w:rPr>
        <w:t>7</w:t>
      </w:r>
      <w:r w:rsidRPr="001735B9">
        <w:rPr>
          <w:bCs/>
          <w:lang w:val="en-US"/>
        </w:rPr>
        <w:t xml:space="preserve">, but </w:t>
      </w:r>
      <w:r w:rsidR="001735B9" w:rsidRPr="001735B9">
        <w:rPr>
          <w:bCs/>
          <w:lang w:val="en-US"/>
        </w:rPr>
        <w:t xml:space="preserve">all the asset specific risks </w:t>
      </w:r>
      <w:r w:rsidRPr="001735B9">
        <w:rPr>
          <w:bCs/>
          <w:lang w:val="en-US"/>
        </w:rPr>
        <w:t xml:space="preserve">are as a matter of course included during the research </w:t>
      </w:r>
      <w:r w:rsidR="006624EC">
        <w:rPr>
          <w:bCs/>
          <w:lang w:val="en-US"/>
        </w:rPr>
        <w:t xml:space="preserve">regarding disclosure quantity </w:t>
      </w:r>
      <w:r w:rsidRPr="001735B9">
        <w:rPr>
          <w:bCs/>
          <w:lang w:val="en-US"/>
        </w:rPr>
        <w:t>as investment risk.</w:t>
      </w:r>
    </w:p>
    <w:p w:rsidR="00EF0A89" w:rsidRDefault="00EF0A89" w:rsidP="003F31A3">
      <w:pPr>
        <w:spacing w:line="360" w:lineRule="auto"/>
        <w:jc w:val="both"/>
        <w:rPr>
          <w:bCs/>
          <w:lang w:val="en-US"/>
        </w:rPr>
      </w:pPr>
    </w:p>
    <w:p w:rsidR="00492DA0" w:rsidRDefault="00EF0A89" w:rsidP="003F31A3">
      <w:pPr>
        <w:spacing w:line="360" w:lineRule="auto"/>
        <w:jc w:val="both"/>
        <w:rPr>
          <w:bCs/>
          <w:lang w:val="en-US"/>
        </w:rPr>
      </w:pPr>
      <w:r>
        <w:rPr>
          <w:bCs/>
          <w:lang w:val="en-US"/>
        </w:rPr>
        <w:t xml:space="preserve">In this paragraph has already been described that </w:t>
      </w:r>
      <w:r w:rsidR="0083149B">
        <w:rPr>
          <w:bCs/>
          <w:lang w:val="en-US"/>
        </w:rPr>
        <w:t>the focus</w:t>
      </w:r>
      <w:r>
        <w:rPr>
          <w:bCs/>
          <w:lang w:val="en-US"/>
        </w:rPr>
        <w:t xml:space="preserve"> with regard to the measurement of disclosure quality</w:t>
      </w:r>
      <w:r w:rsidR="0083149B">
        <w:rPr>
          <w:bCs/>
          <w:lang w:val="en-US"/>
        </w:rPr>
        <w:t xml:space="preserve"> </w:t>
      </w:r>
      <w:r>
        <w:rPr>
          <w:bCs/>
          <w:lang w:val="en-US"/>
        </w:rPr>
        <w:t xml:space="preserve">will </w:t>
      </w:r>
      <w:r w:rsidR="0083149B">
        <w:rPr>
          <w:bCs/>
          <w:lang w:val="en-US"/>
        </w:rPr>
        <w:t xml:space="preserve">be on real estate and </w:t>
      </w:r>
      <w:r>
        <w:rPr>
          <w:bCs/>
          <w:lang w:val="en-US"/>
        </w:rPr>
        <w:t>bonds.</w:t>
      </w:r>
      <w:r w:rsidR="00842EBA">
        <w:rPr>
          <w:bCs/>
          <w:lang w:val="en-US"/>
        </w:rPr>
        <w:t xml:space="preserve"> </w:t>
      </w:r>
      <w:r w:rsidR="00492DA0">
        <w:rPr>
          <w:bCs/>
          <w:lang w:val="en-US"/>
        </w:rPr>
        <w:t>The investment risks can be disclosed within separate ta</w:t>
      </w:r>
      <w:r w:rsidR="00842EBA">
        <w:rPr>
          <w:bCs/>
          <w:lang w:val="en-US"/>
        </w:rPr>
        <w:t>bles, but also textual explained</w:t>
      </w:r>
      <w:r w:rsidR="00492DA0">
        <w:rPr>
          <w:bCs/>
          <w:lang w:val="en-US"/>
        </w:rPr>
        <w:t xml:space="preserve"> in the financial statements.</w:t>
      </w:r>
    </w:p>
    <w:p w:rsidR="00C66B8D" w:rsidRDefault="00C66B8D" w:rsidP="003F31A3">
      <w:pPr>
        <w:spacing w:line="360" w:lineRule="auto"/>
        <w:jc w:val="both"/>
        <w:rPr>
          <w:bCs/>
          <w:lang w:val="en-US"/>
        </w:rPr>
      </w:pPr>
    </w:p>
    <w:p w:rsidR="00543614" w:rsidRPr="00543614" w:rsidRDefault="00543614" w:rsidP="003F31A3">
      <w:pPr>
        <w:spacing w:line="360" w:lineRule="auto"/>
        <w:jc w:val="both"/>
        <w:rPr>
          <w:bCs/>
          <w:i/>
          <w:lang w:val="en-US"/>
        </w:rPr>
      </w:pPr>
      <w:r>
        <w:rPr>
          <w:bCs/>
          <w:i/>
          <w:lang w:val="en-US"/>
        </w:rPr>
        <w:t>Investment risks regarding real estate</w:t>
      </w:r>
    </w:p>
    <w:p w:rsidR="0083149B" w:rsidRDefault="00EF0A89" w:rsidP="003F31A3">
      <w:pPr>
        <w:spacing w:line="360" w:lineRule="auto"/>
        <w:jc w:val="both"/>
        <w:rPr>
          <w:bCs/>
          <w:lang w:val="en-US"/>
        </w:rPr>
      </w:pPr>
      <w:r>
        <w:rPr>
          <w:bCs/>
          <w:lang w:val="en-US"/>
        </w:rPr>
        <w:t xml:space="preserve">Specific investment risks </w:t>
      </w:r>
      <w:r w:rsidR="00C66B8D">
        <w:rPr>
          <w:bCs/>
          <w:lang w:val="en-US"/>
        </w:rPr>
        <w:t>regarding real estate</w:t>
      </w:r>
      <w:r>
        <w:rPr>
          <w:bCs/>
          <w:lang w:val="en-US"/>
        </w:rPr>
        <w:t xml:space="preserve"> are</w:t>
      </w:r>
      <w:r w:rsidR="0083149B">
        <w:rPr>
          <w:bCs/>
          <w:lang w:val="en-US"/>
        </w:rPr>
        <w:t xml:space="preserve"> concentration risk</w:t>
      </w:r>
      <w:r w:rsidR="00C66B8D">
        <w:rPr>
          <w:bCs/>
          <w:lang w:val="en-US"/>
        </w:rPr>
        <w:t xml:space="preserve"> and </w:t>
      </w:r>
      <w:r w:rsidR="0083149B">
        <w:rPr>
          <w:bCs/>
          <w:lang w:val="en-US"/>
        </w:rPr>
        <w:t>credit risk</w:t>
      </w:r>
      <w:r w:rsidR="00C66B8D">
        <w:rPr>
          <w:bCs/>
          <w:lang w:val="en-US"/>
        </w:rPr>
        <w:t xml:space="preserve">. </w:t>
      </w:r>
      <w:r w:rsidR="0083149B" w:rsidRPr="00717132">
        <w:rPr>
          <w:bCs/>
          <w:lang w:val="en-US"/>
        </w:rPr>
        <w:t>RJ 290.934 recommends to provide information on credit risk if concentrations might lead to considerable losses when a counterparty doe</w:t>
      </w:r>
      <w:r w:rsidR="0083149B">
        <w:rPr>
          <w:bCs/>
          <w:lang w:val="en-US"/>
        </w:rPr>
        <w:t xml:space="preserve">s not fulfill its obligation. </w:t>
      </w:r>
      <w:r>
        <w:rPr>
          <w:bCs/>
          <w:lang w:val="en-US"/>
        </w:rPr>
        <w:t>T</w:t>
      </w:r>
      <w:r w:rsidR="0083149B">
        <w:rPr>
          <w:bCs/>
          <w:lang w:val="en-US"/>
        </w:rPr>
        <w:t xml:space="preserve">he financial crisis might indeed have </w:t>
      </w:r>
      <w:r w:rsidR="0083149B" w:rsidRPr="007700D8">
        <w:rPr>
          <w:bCs/>
          <w:lang w:val="en-GB"/>
        </w:rPr>
        <w:t>lead</w:t>
      </w:r>
      <w:r w:rsidR="0083149B">
        <w:rPr>
          <w:bCs/>
          <w:lang w:val="en-US"/>
        </w:rPr>
        <w:t xml:space="preserve"> to losses and it is possible that the disclosure quality </w:t>
      </w:r>
      <w:r w:rsidR="00543614">
        <w:rPr>
          <w:bCs/>
          <w:lang w:val="en-US"/>
        </w:rPr>
        <w:t>of the financial statements has</w:t>
      </w:r>
      <w:r w:rsidR="0083149B">
        <w:rPr>
          <w:bCs/>
          <w:lang w:val="en-US"/>
        </w:rPr>
        <w:t xml:space="preserve"> increased since the financial crisis regarding real estate. Further analysis will focus on the increase of disclosure qua</w:t>
      </w:r>
      <w:r w:rsidR="00543614">
        <w:rPr>
          <w:bCs/>
          <w:lang w:val="en-US"/>
        </w:rPr>
        <w:t>lity regarding region allocations</w:t>
      </w:r>
      <w:r w:rsidR="0083149B">
        <w:rPr>
          <w:bCs/>
          <w:lang w:val="en-US"/>
        </w:rPr>
        <w:t xml:space="preserve"> </w:t>
      </w:r>
      <w:r w:rsidR="00391928">
        <w:rPr>
          <w:bCs/>
          <w:lang w:val="en-US"/>
        </w:rPr>
        <w:t xml:space="preserve">which enable </w:t>
      </w:r>
      <w:r w:rsidR="0083149B">
        <w:rPr>
          <w:bCs/>
          <w:lang w:val="en-US"/>
        </w:rPr>
        <w:t xml:space="preserve">to determine which part of the real estate has been invested in </w:t>
      </w:r>
      <w:r w:rsidR="00112824">
        <w:rPr>
          <w:bCs/>
          <w:lang w:val="en-US"/>
        </w:rPr>
        <w:t xml:space="preserve">regions such as </w:t>
      </w:r>
      <w:r w:rsidR="0083149B">
        <w:rPr>
          <w:bCs/>
          <w:lang w:val="en-US"/>
        </w:rPr>
        <w:t>Europe and the United States</w:t>
      </w:r>
      <w:r w:rsidR="00391928">
        <w:rPr>
          <w:bCs/>
          <w:lang w:val="en-US"/>
        </w:rPr>
        <w:t>, regions that</w:t>
      </w:r>
      <w:r w:rsidR="00E12FD1">
        <w:rPr>
          <w:bCs/>
          <w:lang w:val="en-US"/>
        </w:rPr>
        <w:t xml:space="preserve"> have been affected considerably during the financial crisis (e.g. </w:t>
      </w:r>
      <w:proofErr w:type="spellStart"/>
      <w:r w:rsidR="00E12FD1">
        <w:rPr>
          <w:bCs/>
          <w:lang w:val="en-US"/>
        </w:rPr>
        <w:t>Dabrowski</w:t>
      </w:r>
      <w:proofErr w:type="spellEnd"/>
      <w:r w:rsidR="00391928">
        <w:rPr>
          <w:bCs/>
          <w:lang w:val="en-US"/>
        </w:rPr>
        <w:t xml:space="preserve">, </w:t>
      </w:r>
      <w:r w:rsidR="00E12FD1">
        <w:rPr>
          <w:bCs/>
          <w:lang w:val="en-US"/>
        </w:rPr>
        <w:t>2010</w:t>
      </w:r>
      <w:r w:rsidR="0083149B">
        <w:rPr>
          <w:bCs/>
          <w:lang w:val="en-US"/>
        </w:rPr>
        <w:t>)</w:t>
      </w:r>
      <w:r w:rsidR="00391928">
        <w:rPr>
          <w:bCs/>
          <w:lang w:val="en-US"/>
        </w:rPr>
        <w:t>. S</w:t>
      </w:r>
      <w:r w:rsidR="0083149B">
        <w:rPr>
          <w:bCs/>
          <w:lang w:val="en-US"/>
        </w:rPr>
        <w:t xml:space="preserve">ector </w:t>
      </w:r>
      <w:r w:rsidR="00543614">
        <w:rPr>
          <w:bCs/>
          <w:lang w:val="en-US"/>
        </w:rPr>
        <w:t>allocation</w:t>
      </w:r>
      <w:r w:rsidR="0083149B">
        <w:rPr>
          <w:bCs/>
          <w:lang w:val="en-US"/>
        </w:rPr>
        <w:t>s (which part concerns housing, offices, shops, etcetera) and disclosures of relative large positions in real estate (e.g. by providing a top ten of real estate investments)</w:t>
      </w:r>
      <w:r w:rsidR="00391928">
        <w:rPr>
          <w:bCs/>
          <w:lang w:val="en-US"/>
        </w:rPr>
        <w:t xml:space="preserve"> will be part of the research as well</w:t>
      </w:r>
      <w:r w:rsidR="0083149B">
        <w:rPr>
          <w:bCs/>
          <w:lang w:val="en-US"/>
        </w:rPr>
        <w:t>.</w:t>
      </w:r>
    </w:p>
    <w:p w:rsidR="00E53492" w:rsidRDefault="00E53492" w:rsidP="003F31A3">
      <w:pPr>
        <w:spacing w:line="360" w:lineRule="auto"/>
        <w:jc w:val="both"/>
        <w:rPr>
          <w:bCs/>
          <w:lang w:val="en-US"/>
        </w:rPr>
      </w:pPr>
    </w:p>
    <w:p w:rsidR="00543614" w:rsidRPr="00543614" w:rsidRDefault="00543614" w:rsidP="003F31A3">
      <w:pPr>
        <w:spacing w:line="360" w:lineRule="auto"/>
        <w:jc w:val="both"/>
        <w:rPr>
          <w:bCs/>
          <w:i/>
          <w:lang w:val="en-US"/>
        </w:rPr>
      </w:pPr>
      <w:r w:rsidRPr="00543614">
        <w:rPr>
          <w:bCs/>
          <w:i/>
          <w:lang w:val="en-US"/>
        </w:rPr>
        <w:t>Investment risks regarding bonds</w:t>
      </w:r>
    </w:p>
    <w:p w:rsidR="007F1A6E" w:rsidRDefault="00E53492" w:rsidP="003F31A3">
      <w:pPr>
        <w:spacing w:line="360" w:lineRule="auto"/>
        <w:jc w:val="both"/>
        <w:rPr>
          <w:bCs/>
          <w:lang w:val="en-US"/>
        </w:rPr>
      </w:pPr>
      <w:r>
        <w:rPr>
          <w:bCs/>
          <w:lang w:val="en-US"/>
        </w:rPr>
        <w:t>Regarding investment risks of bonds</w:t>
      </w:r>
      <w:r w:rsidR="00434952">
        <w:rPr>
          <w:bCs/>
          <w:lang w:val="en-US"/>
        </w:rPr>
        <w:t>, credit risk is a frequently quoted investment risk in</w:t>
      </w:r>
      <w:r w:rsidR="007F1A6E">
        <w:rPr>
          <w:bCs/>
          <w:lang w:val="en-US"/>
        </w:rPr>
        <w:t xml:space="preserve"> the financial statement of </w:t>
      </w:r>
      <w:r w:rsidR="00434952">
        <w:rPr>
          <w:bCs/>
          <w:lang w:val="en-US"/>
        </w:rPr>
        <w:t>Dutch pension funds. The credit risk of bonds is</w:t>
      </w:r>
      <w:r w:rsidR="0007264E">
        <w:rPr>
          <w:bCs/>
          <w:lang w:val="en-US"/>
        </w:rPr>
        <w:t xml:space="preserve"> measured</w:t>
      </w:r>
      <w:r w:rsidR="00391928">
        <w:rPr>
          <w:bCs/>
          <w:lang w:val="en-US"/>
        </w:rPr>
        <w:t xml:space="preserve">, as described in </w:t>
      </w:r>
      <w:r w:rsidR="0007264E">
        <w:rPr>
          <w:bCs/>
          <w:lang w:val="en-US"/>
        </w:rPr>
        <w:t xml:space="preserve">a number of </w:t>
      </w:r>
      <w:r w:rsidR="00391928">
        <w:rPr>
          <w:bCs/>
          <w:lang w:val="en-US"/>
        </w:rPr>
        <w:t>the researched financial statements,</w:t>
      </w:r>
      <w:r w:rsidR="0007264E">
        <w:rPr>
          <w:bCs/>
          <w:lang w:val="en-US"/>
        </w:rPr>
        <w:t xml:space="preserve"> </w:t>
      </w:r>
      <w:r w:rsidR="00434952">
        <w:rPr>
          <w:bCs/>
          <w:lang w:val="en-US"/>
        </w:rPr>
        <w:t>by rating agencies like</w:t>
      </w:r>
      <w:r>
        <w:rPr>
          <w:bCs/>
          <w:lang w:val="en-US"/>
        </w:rPr>
        <w:t xml:space="preserve"> Moody’s</w:t>
      </w:r>
      <w:r w:rsidR="00434952">
        <w:rPr>
          <w:bCs/>
          <w:lang w:val="en-US"/>
        </w:rPr>
        <w:t>, Fitch and Standard and Poor’s</w:t>
      </w:r>
      <w:r w:rsidR="0007264E">
        <w:rPr>
          <w:bCs/>
          <w:lang w:val="en-US"/>
        </w:rPr>
        <w:t>.</w:t>
      </w:r>
      <w:r w:rsidR="007F1A6E">
        <w:rPr>
          <w:bCs/>
          <w:lang w:val="en-US"/>
        </w:rPr>
        <w:t xml:space="preserve"> </w:t>
      </w:r>
    </w:p>
    <w:p w:rsidR="00E12FD1" w:rsidRDefault="00FE22F5" w:rsidP="003F31A3">
      <w:pPr>
        <w:spacing w:line="360" w:lineRule="auto"/>
        <w:jc w:val="both"/>
        <w:rPr>
          <w:bCs/>
          <w:lang w:val="en-US"/>
        </w:rPr>
      </w:pPr>
      <w:r>
        <w:rPr>
          <w:bCs/>
          <w:lang w:val="en-US"/>
        </w:rPr>
        <w:t>RJ 290.928 recommends to dis</w:t>
      </w:r>
      <w:r w:rsidR="005576CA">
        <w:rPr>
          <w:bCs/>
          <w:lang w:val="en-US"/>
        </w:rPr>
        <w:t>close the</w:t>
      </w:r>
      <w:r>
        <w:rPr>
          <w:bCs/>
          <w:lang w:val="en-US"/>
        </w:rPr>
        <w:t xml:space="preserve"> </w:t>
      </w:r>
      <w:r w:rsidRPr="005576CA">
        <w:rPr>
          <w:bCs/>
          <w:i/>
          <w:lang w:val="en-US"/>
        </w:rPr>
        <w:t>important</w:t>
      </w:r>
      <w:r>
        <w:rPr>
          <w:bCs/>
          <w:lang w:val="en-US"/>
        </w:rPr>
        <w:t xml:space="preserve"> concentration risks</w:t>
      </w:r>
      <w:r w:rsidR="005576CA">
        <w:rPr>
          <w:bCs/>
          <w:lang w:val="en-US"/>
        </w:rPr>
        <w:t xml:space="preserve"> of financial assets such as bonds</w:t>
      </w:r>
      <w:r>
        <w:rPr>
          <w:bCs/>
          <w:lang w:val="en-US"/>
        </w:rPr>
        <w:t>.</w:t>
      </w:r>
      <w:r w:rsidR="0055242D">
        <w:rPr>
          <w:bCs/>
          <w:lang w:val="en-US"/>
        </w:rPr>
        <w:t xml:space="preserve"> </w:t>
      </w:r>
      <w:r w:rsidR="00112824">
        <w:rPr>
          <w:bCs/>
          <w:lang w:val="en-US"/>
        </w:rPr>
        <w:t xml:space="preserve">There is no unequivocal method to measure concentration risk. </w:t>
      </w:r>
      <w:r w:rsidR="007F1A6E">
        <w:rPr>
          <w:bCs/>
          <w:lang w:val="en-US"/>
        </w:rPr>
        <w:t xml:space="preserve">As an example, </w:t>
      </w:r>
      <w:proofErr w:type="spellStart"/>
      <w:r w:rsidR="00112824">
        <w:rPr>
          <w:bCs/>
          <w:lang w:val="en-US"/>
        </w:rPr>
        <w:t>Stichting</w:t>
      </w:r>
      <w:proofErr w:type="spellEnd"/>
      <w:r w:rsidR="00112824">
        <w:rPr>
          <w:bCs/>
          <w:lang w:val="en-US"/>
        </w:rPr>
        <w:t xml:space="preserve"> </w:t>
      </w:r>
      <w:proofErr w:type="spellStart"/>
      <w:r w:rsidR="00112824">
        <w:rPr>
          <w:bCs/>
          <w:lang w:val="en-US"/>
        </w:rPr>
        <w:t>Pensioenfonds</w:t>
      </w:r>
      <w:proofErr w:type="spellEnd"/>
      <w:r w:rsidR="00112824">
        <w:rPr>
          <w:bCs/>
          <w:lang w:val="en-US"/>
        </w:rPr>
        <w:t xml:space="preserve"> Ballast </w:t>
      </w:r>
      <w:proofErr w:type="spellStart"/>
      <w:r w:rsidR="00112824">
        <w:rPr>
          <w:bCs/>
          <w:lang w:val="en-US"/>
        </w:rPr>
        <w:t>Nedam</w:t>
      </w:r>
      <w:proofErr w:type="spellEnd"/>
      <w:r w:rsidR="00112824">
        <w:rPr>
          <w:bCs/>
          <w:lang w:val="en-US"/>
        </w:rPr>
        <w:t xml:space="preserve"> </w:t>
      </w:r>
      <w:proofErr w:type="spellStart"/>
      <w:r w:rsidR="00112824">
        <w:rPr>
          <w:bCs/>
          <w:lang w:val="en-US"/>
        </w:rPr>
        <w:t>operationalized</w:t>
      </w:r>
      <w:proofErr w:type="spellEnd"/>
      <w:r w:rsidR="00112824">
        <w:rPr>
          <w:bCs/>
          <w:lang w:val="en-US"/>
        </w:rPr>
        <w:t xml:space="preserve"> concentration risk by presenting in the financial statements of 2011 all positions bigger than 2 percent</w:t>
      </w:r>
      <w:r w:rsidR="007F1A6E">
        <w:rPr>
          <w:bCs/>
          <w:lang w:val="en-US"/>
        </w:rPr>
        <w:t xml:space="preserve"> of the Assets Under Management, whereas</w:t>
      </w:r>
      <w:r w:rsidR="00E12FD1">
        <w:rPr>
          <w:bCs/>
          <w:lang w:val="en-US"/>
        </w:rPr>
        <w:t xml:space="preserve"> </w:t>
      </w:r>
      <w:proofErr w:type="spellStart"/>
      <w:r w:rsidR="00E12FD1">
        <w:rPr>
          <w:bCs/>
          <w:lang w:val="en-US"/>
        </w:rPr>
        <w:t>Stichting</w:t>
      </w:r>
      <w:proofErr w:type="spellEnd"/>
      <w:r w:rsidR="00E12FD1">
        <w:rPr>
          <w:bCs/>
          <w:lang w:val="en-US"/>
        </w:rPr>
        <w:t xml:space="preserve"> </w:t>
      </w:r>
      <w:proofErr w:type="spellStart"/>
      <w:r w:rsidR="00E12FD1">
        <w:rPr>
          <w:bCs/>
          <w:lang w:val="en-US"/>
        </w:rPr>
        <w:t>Pensioenfonds</w:t>
      </w:r>
      <w:proofErr w:type="spellEnd"/>
      <w:r w:rsidR="00E12FD1">
        <w:rPr>
          <w:bCs/>
          <w:lang w:val="en-US"/>
        </w:rPr>
        <w:t xml:space="preserve"> Sappi presented all positions bigger than 5 percent of the fixed income assets.</w:t>
      </w:r>
    </w:p>
    <w:p w:rsidR="00543614" w:rsidRPr="00543614" w:rsidRDefault="00E12FD1" w:rsidP="003F31A3">
      <w:pPr>
        <w:spacing w:line="360" w:lineRule="auto"/>
        <w:jc w:val="both"/>
        <w:rPr>
          <w:rFonts w:cs="Myriad Pro Light"/>
          <w:color w:val="000000"/>
          <w:sz w:val="18"/>
          <w:szCs w:val="18"/>
          <w:lang w:val="en-US"/>
        </w:rPr>
      </w:pPr>
      <w:r>
        <w:rPr>
          <w:bCs/>
          <w:lang w:val="en-US"/>
        </w:rPr>
        <w:t xml:space="preserve">Regarding the investment risk of investing in particular countries that had been affected by the consequences of the financial crisis, there is no unequivocal disclosure method as well. </w:t>
      </w:r>
      <w:r w:rsidR="00543614">
        <w:rPr>
          <w:bCs/>
          <w:lang w:val="en-US"/>
        </w:rPr>
        <w:t xml:space="preserve">In practice, the preparers of the financial statements apply professional judgment to decide what an important investment risk is and what not. This results in different </w:t>
      </w:r>
      <w:r>
        <w:rPr>
          <w:bCs/>
          <w:lang w:val="en-US"/>
        </w:rPr>
        <w:t>overviews of country allocations</w:t>
      </w:r>
      <w:r w:rsidR="00543614">
        <w:rPr>
          <w:bCs/>
          <w:lang w:val="en-US"/>
        </w:rPr>
        <w:t xml:space="preserve"> regarding bonds. </w:t>
      </w:r>
      <w:proofErr w:type="spellStart"/>
      <w:r w:rsidR="00543614">
        <w:rPr>
          <w:bCs/>
          <w:lang w:val="en-US"/>
        </w:rPr>
        <w:t>Stichting</w:t>
      </w:r>
      <w:proofErr w:type="spellEnd"/>
      <w:r w:rsidR="00543614">
        <w:rPr>
          <w:bCs/>
          <w:lang w:val="en-US"/>
        </w:rPr>
        <w:t xml:space="preserve"> </w:t>
      </w:r>
      <w:proofErr w:type="spellStart"/>
      <w:r w:rsidR="00543614">
        <w:rPr>
          <w:bCs/>
          <w:lang w:val="en-US"/>
        </w:rPr>
        <w:t>Pensioenfonds</w:t>
      </w:r>
      <w:proofErr w:type="spellEnd"/>
      <w:r w:rsidR="0007264E">
        <w:rPr>
          <w:bCs/>
          <w:lang w:val="en-US"/>
        </w:rPr>
        <w:t xml:space="preserve"> </w:t>
      </w:r>
      <w:r w:rsidR="0055242D">
        <w:rPr>
          <w:bCs/>
          <w:lang w:val="en-US"/>
        </w:rPr>
        <w:t>ING restricts</w:t>
      </w:r>
      <w:r w:rsidR="00543614">
        <w:rPr>
          <w:bCs/>
          <w:lang w:val="en-US"/>
        </w:rPr>
        <w:t xml:space="preserve"> the overview in the</w:t>
      </w:r>
      <w:r w:rsidR="00A83303">
        <w:rPr>
          <w:bCs/>
          <w:lang w:val="en-US"/>
        </w:rPr>
        <w:t xml:space="preserve"> 2011</w:t>
      </w:r>
      <w:r w:rsidR="00543614">
        <w:rPr>
          <w:bCs/>
          <w:lang w:val="en-US"/>
        </w:rPr>
        <w:t xml:space="preserve"> financial statement</w:t>
      </w:r>
      <w:r w:rsidR="00A83303">
        <w:rPr>
          <w:bCs/>
          <w:lang w:val="en-US"/>
        </w:rPr>
        <w:t xml:space="preserve">s to </w:t>
      </w:r>
      <w:r w:rsidR="00543614">
        <w:rPr>
          <w:bCs/>
          <w:lang w:val="en-US"/>
        </w:rPr>
        <w:t xml:space="preserve">positions in </w:t>
      </w:r>
      <w:r w:rsidR="00893FD6">
        <w:rPr>
          <w:bCs/>
          <w:lang w:val="en-US"/>
        </w:rPr>
        <w:t xml:space="preserve">GIIPS </w:t>
      </w:r>
      <w:r w:rsidR="00543614">
        <w:rPr>
          <w:bCs/>
          <w:lang w:val="en-US"/>
        </w:rPr>
        <w:t>countries</w:t>
      </w:r>
      <w:r w:rsidR="00D64EF2">
        <w:rPr>
          <w:bCs/>
          <w:lang w:val="en-US"/>
        </w:rPr>
        <w:t xml:space="preserve">. </w:t>
      </w:r>
      <w:proofErr w:type="spellStart"/>
      <w:r w:rsidR="00543614" w:rsidRPr="00BA7602">
        <w:rPr>
          <w:bCs/>
          <w:lang w:val="en-US"/>
        </w:rPr>
        <w:t>Stichting</w:t>
      </w:r>
      <w:proofErr w:type="spellEnd"/>
      <w:r w:rsidR="00543614" w:rsidRPr="00BA7602">
        <w:rPr>
          <w:bCs/>
          <w:lang w:val="en-US"/>
        </w:rPr>
        <w:t xml:space="preserve"> </w:t>
      </w:r>
      <w:proofErr w:type="spellStart"/>
      <w:r w:rsidR="00543614" w:rsidRPr="00BA7602">
        <w:rPr>
          <w:bCs/>
          <w:lang w:val="en-US"/>
        </w:rPr>
        <w:t>Bedrijfstakp</w:t>
      </w:r>
      <w:r w:rsidR="0007264E">
        <w:rPr>
          <w:bCs/>
          <w:lang w:val="en-US"/>
        </w:rPr>
        <w:t>ensioenfonds</w:t>
      </w:r>
      <w:proofErr w:type="spellEnd"/>
      <w:r w:rsidR="0007264E">
        <w:rPr>
          <w:bCs/>
          <w:lang w:val="en-US"/>
        </w:rPr>
        <w:t xml:space="preserve"> </w:t>
      </w:r>
      <w:proofErr w:type="spellStart"/>
      <w:r w:rsidR="0007264E">
        <w:rPr>
          <w:bCs/>
          <w:lang w:val="en-US"/>
        </w:rPr>
        <w:t>voor</w:t>
      </w:r>
      <w:proofErr w:type="spellEnd"/>
      <w:r w:rsidR="0007264E">
        <w:rPr>
          <w:bCs/>
          <w:lang w:val="en-US"/>
        </w:rPr>
        <w:t xml:space="preserve"> de </w:t>
      </w:r>
      <w:proofErr w:type="spellStart"/>
      <w:r w:rsidR="0007264E">
        <w:rPr>
          <w:bCs/>
          <w:lang w:val="en-US"/>
        </w:rPr>
        <w:t>B</w:t>
      </w:r>
      <w:r w:rsidR="00543614" w:rsidRPr="00BA7602">
        <w:rPr>
          <w:bCs/>
          <w:lang w:val="en-US"/>
        </w:rPr>
        <w:t>ouwnijverheid</w:t>
      </w:r>
      <w:proofErr w:type="spellEnd"/>
      <w:r w:rsidR="00543614" w:rsidRPr="00BA7602">
        <w:rPr>
          <w:bCs/>
          <w:lang w:val="en-US"/>
        </w:rPr>
        <w:t xml:space="preserve"> presents for example an overview with in addition to the </w:t>
      </w:r>
      <w:r w:rsidR="00400CE6">
        <w:rPr>
          <w:bCs/>
          <w:lang w:val="en-US"/>
        </w:rPr>
        <w:t>GIIPS</w:t>
      </w:r>
      <w:r w:rsidR="00543614" w:rsidRPr="00BA7602">
        <w:rPr>
          <w:bCs/>
          <w:lang w:val="en-US"/>
        </w:rPr>
        <w:t xml:space="preserve"> cou</w:t>
      </w:r>
      <w:r w:rsidR="00543614">
        <w:rPr>
          <w:bCs/>
          <w:lang w:val="en-US"/>
        </w:rPr>
        <w:t>ntries also the positions in bonds issued by Belgium and France.</w:t>
      </w:r>
      <w:r w:rsidR="0055242D">
        <w:rPr>
          <w:bCs/>
          <w:lang w:val="en-US"/>
        </w:rPr>
        <w:t xml:space="preserve"> </w:t>
      </w:r>
      <w:r w:rsidR="00543614">
        <w:rPr>
          <w:bCs/>
          <w:lang w:val="en-US"/>
        </w:rPr>
        <w:t xml:space="preserve"> </w:t>
      </w:r>
      <w:r w:rsidR="00543614" w:rsidRPr="00BA7602">
        <w:rPr>
          <w:bCs/>
          <w:lang w:val="en-US"/>
        </w:rPr>
        <w:t xml:space="preserve">  </w:t>
      </w:r>
    </w:p>
    <w:p w:rsidR="003349CB" w:rsidRPr="00543614" w:rsidRDefault="003349CB" w:rsidP="003F31A3">
      <w:pPr>
        <w:spacing w:line="360" w:lineRule="auto"/>
        <w:jc w:val="both"/>
        <w:rPr>
          <w:lang w:val="en-US"/>
        </w:rPr>
      </w:pPr>
    </w:p>
    <w:p w:rsidR="00A05C35" w:rsidRPr="00C63115" w:rsidRDefault="000315DD" w:rsidP="003F31A3">
      <w:pPr>
        <w:jc w:val="both"/>
        <w:rPr>
          <w:lang w:val="en-US"/>
        </w:rPr>
      </w:pPr>
      <w:r w:rsidRPr="00EF54F1">
        <w:rPr>
          <w:b/>
          <w:i/>
        </w:rPr>
        <w:t>P</w:t>
      </w:r>
      <w:r w:rsidR="00A05C35" w:rsidRPr="00EF54F1">
        <w:rPr>
          <w:b/>
          <w:i/>
        </w:rPr>
        <w:t>ension fund</w:t>
      </w:r>
      <w:r w:rsidRPr="00EF54F1">
        <w:rPr>
          <w:b/>
          <w:i/>
        </w:rPr>
        <w:t xml:space="preserve"> size</w:t>
      </w:r>
    </w:p>
    <w:p w:rsidR="00A05C35" w:rsidRDefault="00A05C35" w:rsidP="003F31A3">
      <w:pPr>
        <w:pStyle w:val="Normaalweb"/>
        <w:spacing w:line="360" w:lineRule="auto"/>
        <w:jc w:val="both"/>
      </w:pPr>
      <w:r>
        <w:t xml:space="preserve">The number of participants and the Assets Under Management </w:t>
      </w:r>
      <w:r w:rsidR="00D64EF2">
        <w:t xml:space="preserve">(AUM) </w:t>
      </w:r>
      <w:r>
        <w:t>are both proxies to measure</w:t>
      </w:r>
      <w:r w:rsidR="00A94CCB">
        <w:t xml:space="preserve"> </w:t>
      </w:r>
      <w:r w:rsidR="0007264E">
        <w:t>pension fund</w:t>
      </w:r>
      <w:r w:rsidR="00D64EF2">
        <w:t xml:space="preserve"> size</w:t>
      </w:r>
      <w:r w:rsidR="0007264E">
        <w:t>. This thesis aims</w:t>
      </w:r>
      <w:r>
        <w:t xml:space="preserve"> to research </w:t>
      </w:r>
      <w:r w:rsidR="0007264E">
        <w:t>investment risks.</w:t>
      </w:r>
      <w:r>
        <w:t xml:space="preserve"> The AU</w:t>
      </w:r>
      <w:r w:rsidR="00D64EF2">
        <w:t>M</w:t>
      </w:r>
      <w:r>
        <w:t xml:space="preserve"> rel</w:t>
      </w:r>
      <w:r w:rsidR="00D64EF2">
        <w:t xml:space="preserve">ate to these investments of </w:t>
      </w:r>
      <w:r>
        <w:t>pension funds, this is a major advantage of using the AU</w:t>
      </w:r>
      <w:r w:rsidR="00D64EF2">
        <w:t>M</w:t>
      </w:r>
      <w:r w:rsidR="005C4BC3">
        <w:t xml:space="preserve"> over applying the number of participants.</w:t>
      </w:r>
      <w:r>
        <w:t xml:space="preserve"> Hence, the size of pension fund will be measured as a </w:t>
      </w:r>
      <w:r w:rsidR="00D64EF2">
        <w:t xml:space="preserve">function of the </w:t>
      </w:r>
      <w:r w:rsidR="00A94CCB">
        <w:t xml:space="preserve">average </w:t>
      </w:r>
      <w:r w:rsidR="00D64EF2">
        <w:t>AUM of</w:t>
      </w:r>
      <w:r>
        <w:t xml:space="preserve"> Dutch pension funds as presented in the financial statements per 31 December 200</w:t>
      </w:r>
      <w:r w:rsidR="00081F88">
        <w:t>6</w:t>
      </w:r>
      <w:r>
        <w:t xml:space="preserve"> and 31</w:t>
      </w:r>
      <w:r w:rsidR="00D64EF2">
        <w:t xml:space="preserve"> December 2011. The size of </w:t>
      </w:r>
      <w:r>
        <w:t xml:space="preserve">Dutch pension funds will be categorized as extra large, large, medium, small and extra small, making use of the following table. </w:t>
      </w:r>
    </w:p>
    <w:tbl>
      <w:tblPr>
        <w:tblStyle w:val="Tabelraster"/>
        <w:tblW w:w="0" w:type="auto"/>
        <w:tblLook w:val="04A0"/>
      </w:tblPr>
      <w:tblGrid>
        <w:gridCol w:w="3227"/>
        <w:gridCol w:w="4536"/>
      </w:tblGrid>
      <w:tr w:rsidR="00A05C35" w:rsidTr="00816C35">
        <w:tc>
          <w:tcPr>
            <w:tcW w:w="3227" w:type="dxa"/>
          </w:tcPr>
          <w:p w:rsidR="00A05C35" w:rsidRDefault="00A05C35" w:rsidP="003F31A3">
            <w:pPr>
              <w:pStyle w:val="Normaalweb"/>
              <w:spacing w:line="360" w:lineRule="auto"/>
              <w:jc w:val="both"/>
              <w:rPr>
                <w:b/>
              </w:rPr>
            </w:pPr>
            <w:r>
              <w:rPr>
                <w:b/>
              </w:rPr>
              <w:t>Pension fund size category</w:t>
            </w:r>
          </w:p>
        </w:tc>
        <w:tc>
          <w:tcPr>
            <w:tcW w:w="4536" w:type="dxa"/>
          </w:tcPr>
          <w:p w:rsidR="00A05C35" w:rsidRPr="00B63CE0" w:rsidRDefault="00A05C35" w:rsidP="003F31A3">
            <w:pPr>
              <w:pStyle w:val="Normaalweb"/>
              <w:spacing w:line="360" w:lineRule="auto"/>
              <w:jc w:val="both"/>
              <w:rPr>
                <w:b/>
              </w:rPr>
            </w:pPr>
            <w:r w:rsidRPr="00B63CE0">
              <w:rPr>
                <w:b/>
              </w:rPr>
              <w:t>Average Assets Under Management</w:t>
            </w:r>
            <w:r>
              <w:rPr>
                <w:b/>
              </w:rPr>
              <w:t>*</w:t>
            </w:r>
          </w:p>
        </w:tc>
      </w:tr>
      <w:tr w:rsidR="00A05C35" w:rsidTr="00816C35">
        <w:tc>
          <w:tcPr>
            <w:tcW w:w="3227" w:type="dxa"/>
          </w:tcPr>
          <w:p w:rsidR="00A05C35" w:rsidRDefault="00A05C35" w:rsidP="003F31A3">
            <w:pPr>
              <w:pStyle w:val="Normaalweb"/>
              <w:spacing w:line="360" w:lineRule="auto"/>
              <w:jc w:val="both"/>
            </w:pPr>
            <w:r>
              <w:t>X (extra)Large</w:t>
            </w:r>
          </w:p>
        </w:tc>
        <w:tc>
          <w:tcPr>
            <w:tcW w:w="4536" w:type="dxa"/>
          </w:tcPr>
          <w:p w:rsidR="00A05C35" w:rsidRDefault="00A05C35" w:rsidP="003F31A3">
            <w:pPr>
              <w:pStyle w:val="Normaalweb"/>
              <w:spacing w:line="360" w:lineRule="auto"/>
              <w:jc w:val="both"/>
            </w:pPr>
            <w:r>
              <w:t>Bigger than</w:t>
            </w:r>
            <w:r w:rsidR="0007264E">
              <w:t xml:space="preserve"> or equal to 20,</w:t>
            </w:r>
            <w:r>
              <w:t>000 million euro</w:t>
            </w:r>
          </w:p>
        </w:tc>
      </w:tr>
      <w:tr w:rsidR="00A05C35" w:rsidTr="00816C35">
        <w:tc>
          <w:tcPr>
            <w:tcW w:w="3227" w:type="dxa"/>
          </w:tcPr>
          <w:p w:rsidR="00A05C35" w:rsidRDefault="00A05C35" w:rsidP="003F31A3">
            <w:pPr>
              <w:pStyle w:val="Normaalweb"/>
              <w:spacing w:line="360" w:lineRule="auto"/>
              <w:jc w:val="both"/>
            </w:pPr>
            <w:r>
              <w:t>Large</w:t>
            </w:r>
          </w:p>
        </w:tc>
        <w:tc>
          <w:tcPr>
            <w:tcW w:w="4536" w:type="dxa"/>
          </w:tcPr>
          <w:p w:rsidR="00A05C35" w:rsidRDefault="0007264E" w:rsidP="003F31A3">
            <w:pPr>
              <w:pStyle w:val="Normaalweb"/>
              <w:spacing w:line="360" w:lineRule="auto"/>
              <w:jc w:val="both"/>
            </w:pPr>
            <w:r>
              <w:t>Between 10,000 and 20,</w:t>
            </w:r>
            <w:r w:rsidR="00A05C35">
              <w:t>000 million euro</w:t>
            </w:r>
          </w:p>
        </w:tc>
      </w:tr>
      <w:tr w:rsidR="00A05C35" w:rsidTr="00816C35">
        <w:tc>
          <w:tcPr>
            <w:tcW w:w="3227" w:type="dxa"/>
          </w:tcPr>
          <w:p w:rsidR="00A05C35" w:rsidRDefault="00A05C35" w:rsidP="003F31A3">
            <w:pPr>
              <w:pStyle w:val="Normaalweb"/>
              <w:spacing w:line="360" w:lineRule="auto"/>
              <w:jc w:val="both"/>
            </w:pPr>
            <w:r>
              <w:t>Medium</w:t>
            </w:r>
          </w:p>
        </w:tc>
        <w:tc>
          <w:tcPr>
            <w:tcW w:w="4536" w:type="dxa"/>
          </w:tcPr>
          <w:p w:rsidR="00A05C35" w:rsidRDefault="0007264E" w:rsidP="003F31A3">
            <w:pPr>
              <w:pStyle w:val="Normaalweb"/>
              <w:spacing w:line="360" w:lineRule="auto"/>
              <w:jc w:val="both"/>
            </w:pPr>
            <w:r>
              <w:t>Between 5,000 and 10,</w:t>
            </w:r>
            <w:r w:rsidR="00A05C35">
              <w:t>000 million euro</w:t>
            </w:r>
            <w:r w:rsidR="00A05C35" w:rsidDel="00DB0912">
              <w:t xml:space="preserve"> </w:t>
            </w:r>
          </w:p>
        </w:tc>
      </w:tr>
      <w:tr w:rsidR="00A05C35" w:rsidTr="00816C35">
        <w:tc>
          <w:tcPr>
            <w:tcW w:w="3227" w:type="dxa"/>
          </w:tcPr>
          <w:p w:rsidR="00A05C35" w:rsidRDefault="00A05C35" w:rsidP="003F31A3">
            <w:pPr>
              <w:pStyle w:val="Normaalweb"/>
              <w:spacing w:line="360" w:lineRule="auto"/>
              <w:jc w:val="both"/>
            </w:pPr>
            <w:r>
              <w:t>Small</w:t>
            </w:r>
          </w:p>
        </w:tc>
        <w:tc>
          <w:tcPr>
            <w:tcW w:w="4536" w:type="dxa"/>
          </w:tcPr>
          <w:p w:rsidR="00A05C35" w:rsidRDefault="0007264E" w:rsidP="003F31A3">
            <w:pPr>
              <w:pStyle w:val="Normaalweb"/>
              <w:spacing w:line="360" w:lineRule="auto"/>
              <w:jc w:val="both"/>
              <w:rPr>
                <w:color w:val="FFFFFF"/>
              </w:rPr>
            </w:pPr>
            <w:r>
              <w:t>Between 1,000 and 5,</w:t>
            </w:r>
            <w:r w:rsidR="00A05C35">
              <w:t>000 million euro</w:t>
            </w:r>
            <w:r w:rsidR="00A05C35" w:rsidDel="00DB0912">
              <w:t xml:space="preserve"> </w:t>
            </w:r>
          </w:p>
        </w:tc>
      </w:tr>
      <w:tr w:rsidR="00A05C35" w:rsidTr="00816C35">
        <w:tc>
          <w:tcPr>
            <w:tcW w:w="3227" w:type="dxa"/>
          </w:tcPr>
          <w:p w:rsidR="00A05C35" w:rsidRDefault="00A05C35" w:rsidP="003F31A3">
            <w:pPr>
              <w:pStyle w:val="Normaalweb"/>
              <w:spacing w:line="360" w:lineRule="auto"/>
              <w:jc w:val="both"/>
            </w:pPr>
            <w:r>
              <w:t>X (extra) Small</w:t>
            </w:r>
          </w:p>
        </w:tc>
        <w:tc>
          <w:tcPr>
            <w:tcW w:w="4536" w:type="dxa"/>
          </w:tcPr>
          <w:p w:rsidR="00A05C35" w:rsidRDefault="00A05C35" w:rsidP="003F31A3">
            <w:pPr>
              <w:pStyle w:val="Normaalweb"/>
              <w:spacing w:line="360" w:lineRule="auto"/>
              <w:jc w:val="both"/>
              <w:rPr>
                <w:color w:val="FFFFFF"/>
              </w:rPr>
            </w:pPr>
            <w:r>
              <w:t>Less than or equal to 1,000 million euro</w:t>
            </w:r>
          </w:p>
        </w:tc>
      </w:tr>
    </w:tbl>
    <w:p w:rsidR="00A05C35" w:rsidRPr="00014AB8" w:rsidRDefault="00A05C35" w:rsidP="00D64EF2">
      <w:pPr>
        <w:pStyle w:val="Normaalweb"/>
        <w:spacing w:line="120" w:lineRule="exact"/>
        <w:jc w:val="both"/>
        <w:rPr>
          <w:sz w:val="20"/>
          <w:szCs w:val="20"/>
          <w:lang w:val="en-GB"/>
        </w:rPr>
      </w:pPr>
      <w:r w:rsidRPr="00014AB8">
        <w:rPr>
          <w:sz w:val="20"/>
          <w:szCs w:val="20"/>
        </w:rPr>
        <w:t>Table 1: Size categories of Dutch pension funds</w:t>
      </w:r>
    </w:p>
    <w:p w:rsidR="00A05C35" w:rsidRDefault="00A05C35" w:rsidP="003F31A3">
      <w:pPr>
        <w:pStyle w:val="Normaalweb"/>
        <w:spacing w:line="360" w:lineRule="auto"/>
        <w:jc w:val="both"/>
      </w:pPr>
      <w:r>
        <w:t xml:space="preserve">* </w:t>
      </w:r>
      <w:r w:rsidRPr="00014AB8">
        <w:rPr>
          <w:sz w:val="20"/>
          <w:szCs w:val="20"/>
        </w:rPr>
        <w:t>measured as the average of the Assets Under Management as per 31 December 200</w:t>
      </w:r>
      <w:r w:rsidR="00081F88" w:rsidRPr="00014AB8">
        <w:rPr>
          <w:sz w:val="20"/>
          <w:szCs w:val="20"/>
        </w:rPr>
        <w:t>6</w:t>
      </w:r>
      <w:r w:rsidRPr="00014AB8">
        <w:rPr>
          <w:sz w:val="20"/>
          <w:szCs w:val="20"/>
        </w:rPr>
        <w:t xml:space="preserve"> and 31 December 2011, as published in the annual accounts of Dutch pension funds.</w:t>
      </w:r>
      <w:r>
        <w:t xml:space="preserve">  </w:t>
      </w:r>
    </w:p>
    <w:p w:rsidR="004D7EAF" w:rsidRDefault="001552A7" w:rsidP="003F31A3">
      <w:pPr>
        <w:pStyle w:val="Kop2"/>
        <w:numPr>
          <w:ilvl w:val="0"/>
          <w:numId w:val="0"/>
        </w:numPr>
        <w:spacing w:line="360" w:lineRule="auto"/>
        <w:ind w:left="576" w:hanging="576"/>
        <w:jc w:val="both"/>
        <w:rPr>
          <w:rStyle w:val="Nadruk"/>
          <w:rFonts w:ascii="Times New Roman" w:hAnsi="Times New Roman"/>
          <w:b/>
          <w:sz w:val="24"/>
          <w:szCs w:val="24"/>
        </w:rPr>
      </w:pPr>
      <w:bookmarkStart w:id="48" w:name="_Toc355387300"/>
      <w:r>
        <w:rPr>
          <w:rStyle w:val="Nadruk"/>
          <w:rFonts w:ascii="Times New Roman" w:hAnsi="Times New Roman"/>
          <w:b/>
          <w:sz w:val="24"/>
          <w:szCs w:val="24"/>
        </w:rPr>
        <w:t>3</w:t>
      </w:r>
      <w:r w:rsidR="009A7993">
        <w:rPr>
          <w:rStyle w:val="Nadruk"/>
          <w:rFonts w:ascii="Times New Roman" w:hAnsi="Times New Roman"/>
          <w:b/>
          <w:sz w:val="24"/>
          <w:szCs w:val="24"/>
        </w:rPr>
        <w:t>.3</w:t>
      </w:r>
      <w:r w:rsidR="00CA647E">
        <w:rPr>
          <w:rStyle w:val="Nadruk"/>
          <w:rFonts w:ascii="Times New Roman" w:hAnsi="Times New Roman"/>
          <w:b/>
          <w:sz w:val="24"/>
          <w:szCs w:val="24"/>
        </w:rPr>
        <w:tab/>
      </w:r>
      <w:r w:rsidR="00102151">
        <w:rPr>
          <w:rStyle w:val="Nadruk"/>
          <w:rFonts w:ascii="Times New Roman" w:hAnsi="Times New Roman"/>
          <w:b/>
          <w:sz w:val="24"/>
          <w:szCs w:val="24"/>
        </w:rPr>
        <w:t>Choice of research method</w:t>
      </w:r>
      <w:bookmarkEnd w:id="48"/>
    </w:p>
    <w:p w:rsidR="00C6425E" w:rsidRPr="00C6425E" w:rsidRDefault="00C6425E" w:rsidP="003F31A3">
      <w:pPr>
        <w:spacing w:line="360" w:lineRule="auto"/>
        <w:jc w:val="both"/>
      </w:pPr>
      <w:r>
        <w:t xml:space="preserve">In </w:t>
      </w:r>
      <w:r w:rsidRPr="00EB65F4">
        <w:t xml:space="preserve">paragraph </w:t>
      </w:r>
      <w:r w:rsidR="00EB65F4" w:rsidRPr="00EB65F4">
        <w:t>2.</w:t>
      </w:r>
      <w:r w:rsidR="00EB65F4">
        <w:t>7</w:t>
      </w:r>
      <w:r>
        <w:t>, differen</w:t>
      </w:r>
      <w:r w:rsidR="00604238">
        <w:t xml:space="preserve">t research methods have </w:t>
      </w:r>
      <w:r>
        <w:t xml:space="preserve">been described. Although of each research method, the advantages and disadvantages have already been described, the </w:t>
      </w:r>
      <w:r w:rsidR="0098066C">
        <w:t>most appropriate method has not been chosen yet. In this paragraph, first the selection criteria will be presented and subsequently applied to the different research methods. Finally, the most appropriate research method(s) will be selected.</w:t>
      </w:r>
    </w:p>
    <w:p w:rsidR="008A2235" w:rsidRDefault="001552A7" w:rsidP="003F31A3">
      <w:pPr>
        <w:pStyle w:val="Kop2"/>
        <w:numPr>
          <w:ilvl w:val="0"/>
          <w:numId w:val="0"/>
        </w:numPr>
        <w:spacing w:line="360" w:lineRule="auto"/>
        <w:ind w:left="576" w:hanging="576"/>
        <w:jc w:val="both"/>
        <w:rPr>
          <w:rStyle w:val="Nadruk"/>
          <w:rFonts w:ascii="Times New Roman" w:hAnsi="Times New Roman"/>
          <w:b/>
          <w:sz w:val="24"/>
          <w:szCs w:val="24"/>
        </w:rPr>
      </w:pPr>
      <w:bookmarkStart w:id="49" w:name="_Toc267323025"/>
      <w:bookmarkStart w:id="50" w:name="_Toc355387301"/>
      <w:bookmarkEnd w:id="44"/>
      <w:r>
        <w:rPr>
          <w:rStyle w:val="Nadruk"/>
          <w:rFonts w:ascii="Times New Roman" w:hAnsi="Times New Roman"/>
          <w:b/>
          <w:sz w:val="24"/>
          <w:szCs w:val="24"/>
        </w:rPr>
        <w:t>3</w:t>
      </w:r>
      <w:r w:rsidR="008A2235">
        <w:rPr>
          <w:rStyle w:val="Nadruk"/>
          <w:rFonts w:ascii="Times New Roman" w:hAnsi="Times New Roman"/>
          <w:b/>
          <w:sz w:val="24"/>
          <w:szCs w:val="24"/>
        </w:rPr>
        <w:t>.</w:t>
      </w:r>
      <w:r w:rsidR="009A7993">
        <w:rPr>
          <w:rStyle w:val="Nadruk"/>
          <w:rFonts w:ascii="Times New Roman" w:hAnsi="Times New Roman"/>
          <w:b/>
          <w:sz w:val="24"/>
          <w:szCs w:val="24"/>
        </w:rPr>
        <w:t>3</w:t>
      </w:r>
      <w:r w:rsidR="008A2235">
        <w:rPr>
          <w:rStyle w:val="Nadruk"/>
          <w:rFonts w:ascii="Times New Roman" w:hAnsi="Times New Roman"/>
          <w:b/>
          <w:sz w:val="24"/>
          <w:szCs w:val="24"/>
        </w:rPr>
        <w:t>.1</w:t>
      </w:r>
      <w:r w:rsidR="008A2235">
        <w:rPr>
          <w:rStyle w:val="Nadruk"/>
          <w:rFonts w:ascii="Times New Roman" w:hAnsi="Times New Roman"/>
          <w:b/>
          <w:sz w:val="24"/>
          <w:szCs w:val="24"/>
        </w:rPr>
        <w:tab/>
      </w:r>
      <w:r w:rsidR="00395544">
        <w:rPr>
          <w:rStyle w:val="Nadruk"/>
          <w:rFonts w:ascii="Times New Roman" w:hAnsi="Times New Roman"/>
          <w:b/>
          <w:sz w:val="24"/>
          <w:szCs w:val="24"/>
        </w:rPr>
        <w:t>Selection criteria</w:t>
      </w:r>
      <w:bookmarkEnd w:id="50"/>
    </w:p>
    <w:p w:rsidR="0049082D" w:rsidRDefault="00E51AE3" w:rsidP="003F31A3">
      <w:pPr>
        <w:spacing w:line="360" w:lineRule="auto"/>
        <w:jc w:val="both"/>
      </w:pPr>
      <w:r>
        <w:t xml:space="preserve">First of all, the different selection criteria will be presented. </w:t>
      </w:r>
      <w:r w:rsidR="0049082D">
        <w:t>The measurement quality of the different kind of research methods will be an important aspect when a research method will be chosen in th</w:t>
      </w:r>
      <w:r w:rsidR="008A2235">
        <w:t>is paragraph</w:t>
      </w:r>
      <w:r w:rsidR="0049082D">
        <w:t xml:space="preserve">. </w:t>
      </w:r>
      <w:r>
        <w:t xml:space="preserve">According to </w:t>
      </w:r>
      <w:proofErr w:type="spellStart"/>
      <w:r>
        <w:t>Babbie</w:t>
      </w:r>
      <w:proofErr w:type="spellEnd"/>
      <w:r>
        <w:t xml:space="preserve"> (2007), k</w:t>
      </w:r>
      <w:r w:rsidR="0049082D">
        <w:t>ey aspects in evaluating and measuring the quality of measurement methods are reliability and va</w:t>
      </w:r>
      <w:r w:rsidR="00E24D60">
        <w:t>lidity (</w:t>
      </w:r>
      <w:proofErr w:type="spellStart"/>
      <w:r w:rsidR="00E24D60">
        <w:t>Babbie</w:t>
      </w:r>
      <w:proofErr w:type="spellEnd"/>
      <w:r w:rsidR="00E24D60">
        <w:t>, 2007). In addition to reliability a</w:t>
      </w:r>
      <w:r>
        <w:t>n validity, the objectivity of the</w:t>
      </w:r>
      <w:r w:rsidR="00E24D60">
        <w:t xml:space="preserve"> research method</w:t>
      </w:r>
      <w:r>
        <w:t>s and also the aspects budget and time will be taken into account.</w:t>
      </w:r>
    </w:p>
    <w:p w:rsidR="00A527D6" w:rsidRPr="003D6FF4" w:rsidRDefault="00A527D6" w:rsidP="003F31A3">
      <w:pPr>
        <w:spacing w:line="360" w:lineRule="auto"/>
        <w:jc w:val="both"/>
      </w:pPr>
    </w:p>
    <w:p w:rsidR="00C61ECB" w:rsidRPr="00A527D6" w:rsidRDefault="008B1849" w:rsidP="003F31A3">
      <w:pPr>
        <w:spacing w:line="360" w:lineRule="auto"/>
        <w:jc w:val="both"/>
        <w:rPr>
          <w:rStyle w:val="Nadruk"/>
        </w:rPr>
      </w:pPr>
      <w:r w:rsidRPr="00A527D6">
        <w:rPr>
          <w:rStyle w:val="Nadruk"/>
        </w:rPr>
        <w:t>Reliability</w:t>
      </w:r>
    </w:p>
    <w:p w:rsidR="00C61ECB" w:rsidRDefault="00C61ECB" w:rsidP="003F31A3">
      <w:pPr>
        <w:spacing w:line="360" w:lineRule="auto"/>
        <w:jc w:val="both"/>
      </w:pPr>
      <w:r>
        <w:t xml:space="preserve">With regard to reliability, </w:t>
      </w:r>
      <w:proofErr w:type="spellStart"/>
      <w:r>
        <w:t>Babbie</w:t>
      </w:r>
      <w:proofErr w:type="spellEnd"/>
      <w:r>
        <w:t xml:space="preserve"> (2007) supplies the following description:</w:t>
      </w:r>
      <w:r w:rsidR="00F20826">
        <w:t xml:space="preserve"> </w:t>
      </w:r>
      <w:r>
        <w:rPr>
          <w:i/>
        </w:rPr>
        <w:t>“That quality of measurement method that suggests that the same data would have been collected each time in repeated obse</w:t>
      </w:r>
      <w:r w:rsidR="00341E3B">
        <w:rPr>
          <w:i/>
        </w:rPr>
        <w:t>rvations of the same phenomenon</w:t>
      </w:r>
      <w:r>
        <w:rPr>
          <w:i/>
        </w:rPr>
        <w:t>”</w:t>
      </w:r>
      <w:r w:rsidR="00341E3B">
        <w:rPr>
          <w:i/>
        </w:rPr>
        <w:t>.</w:t>
      </w:r>
      <w:r>
        <w:rPr>
          <w:b/>
        </w:rPr>
        <w:t xml:space="preserve"> </w:t>
      </w:r>
    </w:p>
    <w:p w:rsidR="00C61ECB" w:rsidRDefault="00C61ECB" w:rsidP="003F31A3">
      <w:pPr>
        <w:spacing w:line="360" w:lineRule="auto"/>
        <w:jc w:val="both"/>
        <w:rPr>
          <w:i/>
        </w:rPr>
      </w:pPr>
      <w:r>
        <w:t xml:space="preserve">However, it is very important to be aware that reliability does not always make sure that a method is accurate. </w:t>
      </w:r>
      <w:proofErr w:type="spellStart"/>
      <w:r>
        <w:t>Babbie</w:t>
      </w:r>
      <w:proofErr w:type="spellEnd"/>
      <w:r>
        <w:t xml:space="preserve"> (2007) refers to the element bias that is described as</w:t>
      </w:r>
      <w:r w:rsidR="00F20826">
        <w:t xml:space="preserve"> </w:t>
      </w:r>
      <w:r>
        <w:rPr>
          <w:i/>
        </w:rPr>
        <w:t>“</w:t>
      </w:r>
      <w:r w:rsidR="000C46A1">
        <w:rPr>
          <w:i/>
        </w:rPr>
        <w:t>t</w:t>
      </w:r>
      <w:r>
        <w:rPr>
          <w:i/>
        </w:rPr>
        <w:t>hat quality of a measurement device that tends to result in a misrepresentation of what is being measured in a particular direction</w:t>
      </w:r>
      <w:r w:rsidR="00341E3B">
        <w:rPr>
          <w:i/>
        </w:rPr>
        <w:t>”.</w:t>
      </w:r>
    </w:p>
    <w:p w:rsidR="00DB70BD" w:rsidRDefault="00DB70BD" w:rsidP="003F31A3">
      <w:pPr>
        <w:spacing w:line="360" w:lineRule="auto"/>
        <w:jc w:val="both"/>
        <w:rPr>
          <w:rStyle w:val="Nadruk"/>
        </w:rPr>
      </w:pPr>
    </w:p>
    <w:p w:rsidR="00BA15A2" w:rsidRPr="00A527D6" w:rsidRDefault="008B1849" w:rsidP="003F31A3">
      <w:pPr>
        <w:spacing w:line="360" w:lineRule="auto"/>
        <w:jc w:val="both"/>
        <w:rPr>
          <w:rStyle w:val="Nadruk"/>
        </w:rPr>
      </w:pPr>
      <w:r w:rsidRPr="00A527D6">
        <w:rPr>
          <w:rStyle w:val="Nadruk"/>
        </w:rPr>
        <w:t>Validity</w:t>
      </w:r>
    </w:p>
    <w:p w:rsidR="00A527D6" w:rsidRDefault="00BA15A2" w:rsidP="003F31A3">
      <w:pPr>
        <w:spacing w:line="360" w:lineRule="auto"/>
        <w:jc w:val="both"/>
      </w:pPr>
      <w:proofErr w:type="spellStart"/>
      <w:r>
        <w:t>Babbie</w:t>
      </w:r>
      <w:proofErr w:type="spellEnd"/>
      <w:r>
        <w:t xml:space="preserve"> (2007) defines </w:t>
      </w:r>
      <w:r w:rsidRPr="003A7370">
        <w:t>validity</w:t>
      </w:r>
      <w:r>
        <w:t xml:space="preserve"> as</w:t>
      </w:r>
      <w:r w:rsidR="00FD32AC">
        <w:t xml:space="preserve"> </w:t>
      </w:r>
      <w:r w:rsidR="00FD32AC">
        <w:rPr>
          <w:i/>
        </w:rPr>
        <w:t>“a</w:t>
      </w:r>
      <w:r>
        <w:rPr>
          <w:i/>
        </w:rPr>
        <w:t xml:space="preserve"> term describing a measure that accurately reflects the concept it is intended to measure</w:t>
      </w:r>
      <w:r w:rsidR="00341E3B">
        <w:rPr>
          <w:i/>
        </w:rPr>
        <w:t>.”</w:t>
      </w:r>
      <w:r w:rsidR="002C23B9">
        <w:rPr>
          <w:i/>
        </w:rPr>
        <w:t xml:space="preserve"> </w:t>
      </w:r>
      <w:r w:rsidRPr="00C46625">
        <w:t xml:space="preserve">A simple example by </w:t>
      </w:r>
      <w:proofErr w:type="spellStart"/>
      <w:r w:rsidRPr="00C46625">
        <w:t>Babbie</w:t>
      </w:r>
      <w:proofErr w:type="spellEnd"/>
      <w:r w:rsidRPr="00C46625">
        <w:t xml:space="preserve"> (2007) explains that IQ seems to be a more valid measure of intelligence than the number of hours that persons have spent in the library. </w:t>
      </w:r>
    </w:p>
    <w:p w:rsidR="00604238" w:rsidRDefault="00604238" w:rsidP="003F31A3">
      <w:pPr>
        <w:spacing w:line="360" w:lineRule="auto"/>
        <w:jc w:val="both"/>
        <w:rPr>
          <w:rStyle w:val="Nadruk"/>
        </w:rPr>
      </w:pPr>
    </w:p>
    <w:p w:rsidR="00CD6E18" w:rsidRPr="00A527D6" w:rsidRDefault="008B1849" w:rsidP="003F31A3">
      <w:pPr>
        <w:spacing w:line="360" w:lineRule="auto"/>
        <w:jc w:val="both"/>
        <w:rPr>
          <w:rStyle w:val="Nadruk"/>
        </w:rPr>
      </w:pPr>
      <w:r w:rsidRPr="00A527D6">
        <w:rPr>
          <w:rStyle w:val="Nadruk"/>
        </w:rPr>
        <w:t>Objectivity</w:t>
      </w:r>
    </w:p>
    <w:p w:rsidR="00CD6E18" w:rsidRDefault="0095532E" w:rsidP="003F31A3">
      <w:pPr>
        <w:spacing w:line="360" w:lineRule="auto"/>
        <w:jc w:val="both"/>
      </w:pPr>
      <w:r>
        <w:t xml:space="preserve">Objectivity is also an important aspect that has to be taken into account in assessing the </w:t>
      </w:r>
      <w:r w:rsidR="009C085C">
        <w:t xml:space="preserve">quality of a research method. </w:t>
      </w:r>
      <w:r>
        <w:t xml:space="preserve">Objective evidence is considered more reliable than evidence that is more </w:t>
      </w:r>
      <w:r w:rsidR="009C085C">
        <w:t xml:space="preserve">dependent on judgement of the researcher (e.g. </w:t>
      </w:r>
      <w:proofErr w:type="spellStart"/>
      <w:r w:rsidR="009C085C">
        <w:t>Arens</w:t>
      </w:r>
      <w:proofErr w:type="spellEnd"/>
      <w:r w:rsidR="009C085C">
        <w:t xml:space="preserve"> et al., 2012).</w:t>
      </w:r>
    </w:p>
    <w:p w:rsidR="005765D1" w:rsidRPr="005765D1" w:rsidRDefault="005765D1" w:rsidP="003F31A3">
      <w:pPr>
        <w:spacing w:line="360" w:lineRule="auto"/>
        <w:jc w:val="both"/>
        <w:rPr>
          <w:b/>
          <w:i/>
          <w:lang w:val="en-US" w:eastAsia="ar-SA" w:bidi="ar-SA"/>
        </w:rPr>
      </w:pPr>
      <w:r w:rsidRPr="005765D1">
        <w:rPr>
          <w:b/>
          <w:i/>
          <w:lang w:val="en-US" w:eastAsia="ar-SA" w:bidi="ar-SA"/>
        </w:rPr>
        <w:t>Budget</w:t>
      </w:r>
    </w:p>
    <w:p w:rsidR="005765D1" w:rsidRDefault="005765D1" w:rsidP="003F31A3">
      <w:pPr>
        <w:spacing w:line="360" w:lineRule="auto"/>
        <w:jc w:val="both"/>
        <w:rPr>
          <w:lang w:val="en-US" w:eastAsia="ar-SA" w:bidi="ar-SA"/>
        </w:rPr>
      </w:pPr>
      <w:r>
        <w:rPr>
          <w:lang w:val="en-US" w:eastAsia="ar-SA" w:bidi="ar-SA"/>
        </w:rPr>
        <w:t xml:space="preserve">The budget for this thesis is limited. However, as a student of the Erasmus, applications such as SPSS and Company info are free accessible. </w:t>
      </w:r>
    </w:p>
    <w:p w:rsidR="005765D1" w:rsidRDefault="005765D1" w:rsidP="003F31A3">
      <w:pPr>
        <w:spacing w:line="360" w:lineRule="auto"/>
        <w:jc w:val="both"/>
        <w:rPr>
          <w:lang w:val="en-US" w:eastAsia="ar-SA" w:bidi="ar-SA"/>
        </w:rPr>
      </w:pPr>
    </w:p>
    <w:p w:rsidR="005765D1" w:rsidRPr="005765D1" w:rsidRDefault="005765D1" w:rsidP="003F31A3">
      <w:pPr>
        <w:spacing w:line="360" w:lineRule="auto"/>
        <w:jc w:val="both"/>
        <w:rPr>
          <w:b/>
          <w:i/>
          <w:lang w:val="en-US" w:eastAsia="ar-SA" w:bidi="ar-SA"/>
        </w:rPr>
      </w:pPr>
      <w:r w:rsidRPr="005765D1">
        <w:rPr>
          <w:b/>
          <w:i/>
          <w:lang w:val="en-US" w:eastAsia="ar-SA" w:bidi="ar-SA"/>
        </w:rPr>
        <w:t>Time</w:t>
      </w:r>
    </w:p>
    <w:p w:rsidR="00E53492" w:rsidRDefault="005765D1" w:rsidP="003F31A3">
      <w:pPr>
        <w:spacing w:line="360" w:lineRule="auto"/>
        <w:jc w:val="both"/>
        <w:rPr>
          <w:lang w:val="en-US" w:eastAsia="ar-SA" w:bidi="ar-SA"/>
        </w:rPr>
      </w:pPr>
      <w:r>
        <w:rPr>
          <w:lang w:val="en-US" w:eastAsia="ar-SA" w:bidi="ar-SA"/>
        </w:rPr>
        <w:t>The thesis as a whole is worth 16 credits (ECTS). One ECTS involves a workload of 28 hours of study or research. Hence the total available hours are 448 hours. Unfortunately, a number of research methods might involve more h</w:t>
      </w:r>
      <w:r w:rsidR="00654DCE">
        <w:rPr>
          <w:lang w:val="en-US" w:eastAsia="ar-SA" w:bidi="ar-SA"/>
        </w:rPr>
        <w:t>ours</w:t>
      </w:r>
      <w:r>
        <w:rPr>
          <w:lang w:val="en-US" w:eastAsia="ar-SA" w:bidi="ar-SA"/>
        </w:rPr>
        <w:t xml:space="preserve">. </w:t>
      </w:r>
    </w:p>
    <w:p w:rsidR="00FD32AC" w:rsidRDefault="00FD32AC" w:rsidP="00FD32AC">
      <w:pPr>
        <w:jc w:val="both"/>
        <w:rPr>
          <w:lang w:val="en-US" w:eastAsia="ar-SA" w:bidi="ar-SA"/>
        </w:rPr>
      </w:pPr>
    </w:p>
    <w:p w:rsidR="008A2235" w:rsidRDefault="001552A7" w:rsidP="008A2235">
      <w:pPr>
        <w:pStyle w:val="Kop2"/>
        <w:numPr>
          <w:ilvl w:val="0"/>
          <w:numId w:val="0"/>
        </w:numPr>
        <w:spacing w:line="360" w:lineRule="auto"/>
        <w:ind w:left="576" w:hanging="576"/>
        <w:jc w:val="both"/>
        <w:rPr>
          <w:rStyle w:val="Nadruk"/>
          <w:rFonts w:ascii="Times New Roman" w:hAnsi="Times New Roman"/>
          <w:b/>
          <w:sz w:val="24"/>
          <w:szCs w:val="24"/>
          <w:lang w:val="en-US"/>
        </w:rPr>
      </w:pPr>
      <w:bookmarkStart w:id="51" w:name="_Toc355387302"/>
      <w:r>
        <w:rPr>
          <w:rStyle w:val="Nadruk"/>
          <w:rFonts w:ascii="Times New Roman" w:hAnsi="Times New Roman"/>
          <w:b/>
          <w:sz w:val="24"/>
          <w:szCs w:val="24"/>
          <w:lang w:val="en-US"/>
        </w:rPr>
        <w:t>3</w:t>
      </w:r>
      <w:r w:rsidR="008A2235" w:rsidRPr="008A2235">
        <w:rPr>
          <w:rStyle w:val="Nadruk"/>
          <w:rFonts w:ascii="Times New Roman" w:hAnsi="Times New Roman"/>
          <w:b/>
          <w:sz w:val="24"/>
          <w:szCs w:val="24"/>
          <w:lang w:val="en-US"/>
        </w:rPr>
        <w:t>.</w:t>
      </w:r>
      <w:r w:rsidR="009A7993">
        <w:rPr>
          <w:rStyle w:val="Nadruk"/>
          <w:rFonts w:ascii="Times New Roman" w:hAnsi="Times New Roman"/>
          <w:b/>
          <w:sz w:val="24"/>
          <w:szCs w:val="24"/>
          <w:lang w:val="en-US"/>
        </w:rPr>
        <w:t>3</w:t>
      </w:r>
      <w:r w:rsidR="008A2235">
        <w:rPr>
          <w:rStyle w:val="Nadruk"/>
          <w:rFonts w:ascii="Times New Roman" w:hAnsi="Times New Roman"/>
          <w:b/>
          <w:sz w:val="24"/>
          <w:szCs w:val="24"/>
          <w:lang w:val="en-US"/>
        </w:rPr>
        <w:t>.2</w:t>
      </w:r>
      <w:r w:rsidR="008A2235" w:rsidRPr="008A2235">
        <w:rPr>
          <w:rStyle w:val="Nadruk"/>
          <w:rFonts w:ascii="Times New Roman" w:hAnsi="Times New Roman"/>
          <w:b/>
          <w:sz w:val="24"/>
          <w:szCs w:val="24"/>
          <w:lang w:val="en-US"/>
        </w:rPr>
        <w:tab/>
      </w:r>
      <w:r w:rsidR="00102151">
        <w:rPr>
          <w:rStyle w:val="Nadruk"/>
          <w:rFonts w:ascii="Times New Roman" w:hAnsi="Times New Roman"/>
          <w:b/>
          <w:sz w:val="24"/>
          <w:szCs w:val="24"/>
          <w:lang w:val="en-US"/>
        </w:rPr>
        <w:t>Criteria applied to research methods</w:t>
      </w:r>
      <w:bookmarkEnd w:id="51"/>
    </w:p>
    <w:p w:rsidR="001C01A4" w:rsidRDefault="002E6E6D" w:rsidP="00C92663">
      <w:pPr>
        <w:spacing w:line="360" w:lineRule="auto"/>
        <w:jc w:val="both"/>
        <w:rPr>
          <w:lang w:val="en-US" w:eastAsia="ar-SA" w:bidi="ar-SA"/>
        </w:rPr>
      </w:pPr>
      <w:r>
        <w:rPr>
          <w:lang w:val="en-US" w:eastAsia="ar-SA" w:bidi="ar-SA"/>
        </w:rPr>
        <w:t>In appendix 8</w:t>
      </w:r>
      <w:r w:rsidR="001C01A4">
        <w:rPr>
          <w:lang w:val="en-US" w:eastAsia="ar-SA" w:bidi="ar-SA"/>
        </w:rPr>
        <w:t xml:space="preserve">, the five criteria explained in the previous subparagraph have been applied to each research method. </w:t>
      </w:r>
      <w:r w:rsidR="00F70E1B">
        <w:rPr>
          <w:lang w:val="en-US" w:eastAsia="ar-SA" w:bidi="ar-SA"/>
        </w:rPr>
        <w:t>T</w:t>
      </w:r>
      <w:r w:rsidR="00FE4BA0">
        <w:rPr>
          <w:lang w:val="en-US" w:eastAsia="ar-SA" w:bidi="ar-SA"/>
        </w:rPr>
        <w:t xml:space="preserve">his subparagraph </w:t>
      </w:r>
      <w:r w:rsidR="00F70E1B">
        <w:rPr>
          <w:lang w:val="en-US" w:eastAsia="ar-SA" w:bidi="ar-SA"/>
        </w:rPr>
        <w:t xml:space="preserve">presents </w:t>
      </w:r>
      <w:r w:rsidR="00FE4BA0">
        <w:rPr>
          <w:lang w:val="en-US" w:eastAsia="ar-SA" w:bidi="ar-SA"/>
        </w:rPr>
        <w:t>further explanation</w:t>
      </w:r>
      <w:r w:rsidR="00F70E1B">
        <w:rPr>
          <w:lang w:val="en-US" w:eastAsia="ar-SA" w:bidi="ar-SA"/>
        </w:rPr>
        <w:t>s</w:t>
      </w:r>
      <w:r w:rsidR="00FE4BA0">
        <w:rPr>
          <w:lang w:val="en-US" w:eastAsia="ar-SA" w:bidi="ar-SA"/>
        </w:rPr>
        <w:t xml:space="preserve"> per research method</w:t>
      </w:r>
      <w:r w:rsidR="00F70E1B">
        <w:rPr>
          <w:lang w:val="en-US" w:eastAsia="ar-SA" w:bidi="ar-SA"/>
        </w:rPr>
        <w:t>.</w:t>
      </w:r>
      <w:r w:rsidR="00654DCE">
        <w:rPr>
          <w:lang w:val="en-US" w:eastAsia="ar-SA" w:bidi="ar-SA"/>
        </w:rPr>
        <w:t xml:space="preserve"> </w:t>
      </w:r>
    </w:p>
    <w:p w:rsidR="005765D1" w:rsidRPr="005765D1" w:rsidRDefault="005765D1" w:rsidP="005765D1">
      <w:pPr>
        <w:rPr>
          <w:lang w:val="en-US"/>
        </w:rPr>
      </w:pPr>
    </w:p>
    <w:p w:rsidR="00102151" w:rsidRPr="00EB65F4" w:rsidRDefault="00102151" w:rsidP="00102151">
      <w:pPr>
        <w:rPr>
          <w:b/>
          <w:iCs/>
        </w:rPr>
      </w:pPr>
      <w:r w:rsidRPr="00EB65F4">
        <w:rPr>
          <w:b/>
          <w:iCs/>
        </w:rPr>
        <w:t>Disclosure survey (questionnaires and interviews)</w:t>
      </w:r>
    </w:p>
    <w:p w:rsidR="00102151" w:rsidRPr="000B3D42" w:rsidRDefault="00102151" w:rsidP="00102151"/>
    <w:p w:rsidR="00EB65F4" w:rsidRDefault="00102151" w:rsidP="00C92663">
      <w:pPr>
        <w:spacing w:line="360" w:lineRule="auto"/>
        <w:jc w:val="both"/>
      </w:pPr>
      <w:r>
        <w:t>In general, a survey research is weak on validity and strong on reliability (</w:t>
      </w:r>
      <w:proofErr w:type="spellStart"/>
      <w:r>
        <w:t>Babbie</w:t>
      </w:r>
      <w:proofErr w:type="spellEnd"/>
      <w:r>
        <w:t>, 2007). The weak validity is mainly caused by the artificiality of the research format. The reliability is strong, because the researcher is able to eliminate observations that are not reliable and the researcher has the possibility to reduce the unreliability of the subject by careful formulation of the questions. The objectivity is weak, this research method is heavily dependent on the subjective judgement of the participants of the research</w:t>
      </w:r>
      <w:r w:rsidR="00F70E1B">
        <w:t xml:space="preserve"> (</w:t>
      </w:r>
      <w:proofErr w:type="spellStart"/>
      <w:r w:rsidR="00F70E1B">
        <w:t>Babbie</w:t>
      </w:r>
      <w:proofErr w:type="spellEnd"/>
      <w:r w:rsidR="00F70E1B">
        <w:t>, 2007)</w:t>
      </w:r>
      <w:r>
        <w:t>.</w:t>
      </w:r>
    </w:p>
    <w:p w:rsidR="00EB65F4" w:rsidRDefault="00EB65F4" w:rsidP="00C92663">
      <w:pPr>
        <w:spacing w:line="360" w:lineRule="auto"/>
        <w:jc w:val="both"/>
      </w:pPr>
    </w:p>
    <w:p w:rsidR="00EB65F4" w:rsidRDefault="00EB65F4" w:rsidP="00C92663">
      <w:pPr>
        <w:spacing w:line="360" w:lineRule="auto"/>
        <w:jc w:val="both"/>
        <w:rPr>
          <w:b/>
        </w:rPr>
      </w:pPr>
      <w:r>
        <w:rPr>
          <w:b/>
        </w:rPr>
        <w:t>Disclosure index studies</w:t>
      </w:r>
    </w:p>
    <w:p w:rsidR="00EB2B6E" w:rsidRPr="00146B95" w:rsidRDefault="00EB2B6E" w:rsidP="00C92663">
      <w:pPr>
        <w:spacing w:line="360" w:lineRule="auto"/>
        <w:jc w:val="both"/>
        <w:rPr>
          <w:lang w:val="en-US"/>
        </w:rPr>
      </w:pPr>
      <w:r>
        <w:rPr>
          <w:lang w:val="en-US"/>
        </w:rPr>
        <w:t xml:space="preserve">Hassan and Marston (2010) describe that a disclosure index that is constructed by a researcher is subject to the judgment of this researcher. Beattie et al. (2004) emphasize that problems with reliability and validity might occur.   </w:t>
      </w:r>
    </w:p>
    <w:p w:rsidR="00102151" w:rsidRDefault="00102151" w:rsidP="00C92663">
      <w:pPr>
        <w:jc w:val="both"/>
        <w:rPr>
          <w:i/>
        </w:rPr>
      </w:pPr>
    </w:p>
    <w:p w:rsidR="00102151" w:rsidRPr="00EB65F4" w:rsidRDefault="00102151" w:rsidP="00C92663">
      <w:pPr>
        <w:jc w:val="both"/>
        <w:rPr>
          <w:b/>
        </w:rPr>
      </w:pPr>
      <w:r w:rsidRPr="00EB65F4">
        <w:rPr>
          <w:b/>
        </w:rPr>
        <w:t>Content analysis</w:t>
      </w:r>
    </w:p>
    <w:p w:rsidR="00102151" w:rsidRPr="00616F83" w:rsidRDefault="00102151" w:rsidP="00C92663">
      <w:pPr>
        <w:jc w:val="both"/>
      </w:pPr>
    </w:p>
    <w:p w:rsidR="00102151" w:rsidRDefault="00102151" w:rsidP="00C92663">
      <w:pPr>
        <w:spacing w:line="360" w:lineRule="auto"/>
        <w:jc w:val="both"/>
      </w:pPr>
      <w:proofErr w:type="spellStart"/>
      <w:r>
        <w:t>Babbie</w:t>
      </w:r>
      <w:proofErr w:type="spellEnd"/>
      <w:r>
        <w:t xml:space="preserve"> (2007) describes that problems of content analysis with regard to reliability are inevitably. The tangibility of the components that are researched in content analysis enhances the likelihood of reliability (</w:t>
      </w:r>
      <w:proofErr w:type="spellStart"/>
      <w:r>
        <w:t>Babbie</w:t>
      </w:r>
      <w:proofErr w:type="spellEnd"/>
      <w:r>
        <w:t>, 2007). By applying precise operational definitions and an accurate coding process, the objectivity can be enhanced to a moderate level.</w:t>
      </w:r>
    </w:p>
    <w:p w:rsidR="00F70E1B" w:rsidRDefault="00F70E1B" w:rsidP="00C92663">
      <w:pPr>
        <w:spacing w:line="360" w:lineRule="auto"/>
        <w:jc w:val="both"/>
        <w:rPr>
          <w:b/>
          <w:iCs/>
        </w:rPr>
      </w:pPr>
    </w:p>
    <w:p w:rsidR="00F70E1B" w:rsidRDefault="00F70E1B" w:rsidP="00C92663">
      <w:pPr>
        <w:spacing w:line="360" w:lineRule="auto"/>
        <w:jc w:val="both"/>
        <w:rPr>
          <w:b/>
          <w:iCs/>
        </w:rPr>
      </w:pPr>
    </w:p>
    <w:p w:rsidR="00102151" w:rsidRPr="00EB65F4" w:rsidRDefault="00102151" w:rsidP="00C92663">
      <w:pPr>
        <w:spacing w:line="360" w:lineRule="auto"/>
        <w:jc w:val="both"/>
        <w:rPr>
          <w:b/>
          <w:iCs/>
        </w:rPr>
      </w:pPr>
      <w:r w:rsidRPr="00EB65F4">
        <w:rPr>
          <w:b/>
          <w:iCs/>
        </w:rPr>
        <w:t>Readability studies</w:t>
      </w:r>
    </w:p>
    <w:p w:rsidR="00102151" w:rsidRDefault="00102151" w:rsidP="00C92663">
      <w:pPr>
        <w:spacing w:line="360" w:lineRule="auto"/>
        <w:jc w:val="both"/>
        <w:rPr>
          <w:bCs/>
        </w:rPr>
      </w:pPr>
      <w:r>
        <w:rPr>
          <w:bCs/>
        </w:rPr>
        <w:t>Jones and Shoemaker (1994) state that reliability and objectivity are strengths of readability indexes. However, the validity is weak</w:t>
      </w:r>
      <w:r w:rsidR="00F70E1B">
        <w:rPr>
          <w:bCs/>
        </w:rPr>
        <w:t xml:space="preserve"> and u</w:t>
      </w:r>
      <w:r w:rsidR="006245E6">
        <w:rPr>
          <w:bCs/>
        </w:rPr>
        <w:t>nfortunately, this research method i</w:t>
      </w:r>
      <w:r w:rsidR="00F20826">
        <w:rPr>
          <w:bCs/>
        </w:rPr>
        <w:t>s less appropriate to conduct on financial statements</w:t>
      </w:r>
      <w:r w:rsidR="00D02A61">
        <w:rPr>
          <w:bCs/>
        </w:rPr>
        <w:t xml:space="preserve"> (</w:t>
      </w:r>
      <w:proofErr w:type="spellStart"/>
      <w:r w:rsidR="00D02A61">
        <w:rPr>
          <w:bCs/>
        </w:rPr>
        <w:t>Sydserff</w:t>
      </w:r>
      <w:proofErr w:type="spellEnd"/>
      <w:r w:rsidR="00D02A61">
        <w:rPr>
          <w:bCs/>
        </w:rPr>
        <w:t xml:space="preserve"> and </w:t>
      </w:r>
      <w:proofErr w:type="spellStart"/>
      <w:r w:rsidR="00D02A61">
        <w:rPr>
          <w:bCs/>
        </w:rPr>
        <w:t>Weetman</w:t>
      </w:r>
      <w:proofErr w:type="spellEnd"/>
      <w:r w:rsidR="00D02A61">
        <w:rPr>
          <w:bCs/>
        </w:rPr>
        <w:t>, 1999)</w:t>
      </w:r>
      <w:r w:rsidR="006245E6">
        <w:rPr>
          <w:bCs/>
        </w:rPr>
        <w:t>.</w:t>
      </w:r>
    </w:p>
    <w:p w:rsidR="00102151" w:rsidRDefault="00102151" w:rsidP="00C92663">
      <w:pPr>
        <w:spacing w:line="360" w:lineRule="auto"/>
        <w:jc w:val="both"/>
        <w:rPr>
          <w:b/>
          <w:bCs/>
          <w:u w:val="single"/>
        </w:rPr>
      </w:pPr>
    </w:p>
    <w:p w:rsidR="00102151" w:rsidRPr="00EB65F4" w:rsidRDefault="00102151" w:rsidP="00C92663">
      <w:pPr>
        <w:spacing w:line="360" w:lineRule="auto"/>
        <w:jc w:val="both"/>
        <w:rPr>
          <w:b/>
          <w:bCs/>
        </w:rPr>
      </w:pPr>
      <w:r w:rsidRPr="00EB65F4">
        <w:rPr>
          <w:b/>
          <w:bCs/>
        </w:rPr>
        <w:t>Linguistic analysis</w:t>
      </w:r>
    </w:p>
    <w:p w:rsidR="00102151" w:rsidRDefault="00102151" w:rsidP="00C92663">
      <w:pPr>
        <w:spacing w:line="360" w:lineRule="auto"/>
        <w:jc w:val="both"/>
        <w:rPr>
          <w:bCs/>
        </w:rPr>
      </w:pPr>
      <w:r>
        <w:rPr>
          <w:bCs/>
        </w:rPr>
        <w:t>Reliability and objectivity are, similar to the situation of readability studies, in linguistic analysis a strength. Compared to readability studies, the issue with validity has been resolved as a result of the ‘whole text approach’</w:t>
      </w:r>
      <w:r w:rsidR="00D02A61">
        <w:rPr>
          <w:bCs/>
        </w:rPr>
        <w:t xml:space="preserve"> (</w:t>
      </w:r>
      <w:proofErr w:type="spellStart"/>
      <w:r w:rsidR="00D02A61">
        <w:rPr>
          <w:bCs/>
        </w:rPr>
        <w:t>Sydserff</w:t>
      </w:r>
      <w:proofErr w:type="spellEnd"/>
      <w:r w:rsidR="00D02A61">
        <w:rPr>
          <w:bCs/>
        </w:rPr>
        <w:t xml:space="preserve"> and </w:t>
      </w:r>
      <w:proofErr w:type="spellStart"/>
      <w:r w:rsidR="00D02A61">
        <w:rPr>
          <w:bCs/>
        </w:rPr>
        <w:t>Weetman</w:t>
      </w:r>
      <w:proofErr w:type="spellEnd"/>
      <w:r w:rsidR="00D02A61">
        <w:rPr>
          <w:bCs/>
        </w:rPr>
        <w:t>, 1999)</w:t>
      </w:r>
      <w:r>
        <w:rPr>
          <w:bCs/>
        </w:rPr>
        <w:t xml:space="preserve">. </w:t>
      </w:r>
      <w:r w:rsidR="006245E6">
        <w:rPr>
          <w:bCs/>
        </w:rPr>
        <w:t>However, no appropriate benchmarks are available and this method is time-consuming.</w:t>
      </w:r>
    </w:p>
    <w:p w:rsidR="008A2235" w:rsidRPr="008A2235" w:rsidRDefault="001552A7" w:rsidP="00C92663">
      <w:pPr>
        <w:pStyle w:val="Kop2"/>
        <w:numPr>
          <w:ilvl w:val="0"/>
          <w:numId w:val="0"/>
        </w:numPr>
        <w:spacing w:line="360" w:lineRule="auto"/>
        <w:ind w:left="576" w:hanging="576"/>
        <w:jc w:val="both"/>
        <w:rPr>
          <w:rStyle w:val="Nadruk"/>
          <w:rFonts w:ascii="Times New Roman" w:hAnsi="Times New Roman"/>
          <w:b/>
          <w:sz w:val="24"/>
          <w:szCs w:val="24"/>
          <w:lang w:val="en-US"/>
        </w:rPr>
      </w:pPr>
      <w:bookmarkStart w:id="52" w:name="_Toc267323032"/>
      <w:bookmarkStart w:id="53" w:name="_Toc355387303"/>
      <w:bookmarkEnd w:id="49"/>
      <w:r>
        <w:rPr>
          <w:rStyle w:val="Nadruk"/>
          <w:rFonts w:ascii="Times New Roman" w:hAnsi="Times New Roman"/>
          <w:b/>
          <w:sz w:val="24"/>
          <w:szCs w:val="24"/>
          <w:lang w:val="en-US"/>
        </w:rPr>
        <w:t>3</w:t>
      </w:r>
      <w:r w:rsidR="008A2235" w:rsidRPr="008A2235">
        <w:rPr>
          <w:rStyle w:val="Nadruk"/>
          <w:rFonts w:ascii="Times New Roman" w:hAnsi="Times New Roman"/>
          <w:b/>
          <w:sz w:val="24"/>
          <w:szCs w:val="24"/>
          <w:lang w:val="en-US"/>
        </w:rPr>
        <w:t>.</w:t>
      </w:r>
      <w:r w:rsidR="009A7993">
        <w:rPr>
          <w:rStyle w:val="Nadruk"/>
          <w:rFonts w:ascii="Times New Roman" w:hAnsi="Times New Roman"/>
          <w:b/>
          <w:sz w:val="24"/>
          <w:szCs w:val="24"/>
          <w:lang w:val="en-US"/>
        </w:rPr>
        <w:t>3</w:t>
      </w:r>
      <w:r w:rsidR="008A2235">
        <w:rPr>
          <w:rStyle w:val="Nadruk"/>
          <w:rFonts w:ascii="Times New Roman" w:hAnsi="Times New Roman"/>
          <w:b/>
          <w:sz w:val="24"/>
          <w:szCs w:val="24"/>
          <w:lang w:val="en-US"/>
        </w:rPr>
        <w:t>.</w:t>
      </w:r>
      <w:r w:rsidR="00A11E52">
        <w:rPr>
          <w:rStyle w:val="Nadruk"/>
          <w:rFonts w:ascii="Times New Roman" w:hAnsi="Times New Roman"/>
          <w:b/>
          <w:sz w:val="24"/>
          <w:szCs w:val="24"/>
          <w:lang w:val="en-US"/>
        </w:rPr>
        <w:t>3</w:t>
      </w:r>
      <w:r w:rsidR="00A11E52">
        <w:rPr>
          <w:rStyle w:val="Nadruk"/>
          <w:rFonts w:ascii="Times New Roman" w:hAnsi="Times New Roman"/>
          <w:b/>
          <w:sz w:val="24"/>
          <w:szCs w:val="24"/>
          <w:lang w:val="en-US"/>
        </w:rPr>
        <w:tab/>
        <w:t>Selection</w:t>
      </w:r>
      <w:r w:rsidR="008A2235" w:rsidRPr="008A2235">
        <w:rPr>
          <w:rStyle w:val="Nadruk"/>
          <w:rFonts w:ascii="Times New Roman" w:hAnsi="Times New Roman"/>
          <w:b/>
          <w:sz w:val="24"/>
          <w:szCs w:val="24"/>
          <w:lang w:val="en-US"/>
        </w:rPr>
        <w:t xml:space="preserve"> of research </w:t>
      </w:r>
      <w:r w:rsidR="008A2235">
        <w:rPr>
          <w:rStyle w:val="Nadruk"/>
          <w:rFonts w:ascii="Times New Roman" w:hAnsi="Times New Roman"/>
          <w:b/>
          <w:sz w:val="24"/>
          <w:szCs w:val="24"/>
          <w:lang w:val="en-US"/>
        </w:rPr>
        <w:t>method</w:t>
      </w:r>
      <w:r w:rsidR="00A11E52">
        <w:rPr>
          <w:rStyle w:val="Nadruk"/>
          <w:rFonts w:ascii="Times New Roman" w:hAnsi="Times New Roman"/>
          <w:b/>
          <w:sz w:val="24"/>
          <w:szCs w:val="24"/>
          <w:lang w:val="en-US"/>
        </w:rPr>
        <w:t>(</w:t>
      </w:r>
      <w:r w:rsidR="008A2235">
        <w:rPr>
          <w:rStyle w:val="Nadruk"/>
          <w:rFonts w:ascii="Times New Roman" w:hAnsi="Times New Roman"/>
          <w:b/>
          <w:sz w:val="24"/>
          <w:szCs w:val="24"/>
          <w:lang w:val="en-US"/>
        </w:rPr>
        <w:t>s</w:t>
      </w:r>
      <w:r w:rsidR="00A11E52">
        <w:rPr>
          <w:rStyle w:val="Nadruk"/>
          <w:rFonts w:ascii="Times New Roman" w:hAnsi="Times New Roman"/>
          <w:b/>
          <w:sz w:val="24"/>
          <w:szCs w:val="24"/>
          <w:lang w:val="en-US"/>
        </w:rPr>
        <w:t>)</w:t>
      </w:r>
      <w:bookmarkEnd w:id="53"/>
    </w:p>
    <w:bookmarkEnd w:id="52"/>
    <w:p w:rsidR="001C01A4" w:rsidRDefault="001C01A4" w:rsidP="00C92663">
      <w:pPr>
        <w:spacing w:line="360" w:lineRule="auto"/>
        <w:jc w:val="both"/>
        <w:rPr>
          <w:lang w:val="en-US" w:eastAsia="ar-SA" w:bidi="ar-SA"/>
        </w:rPr>
      </w:pPr>
      <w:r>
        <w:rPr>
          <w:lang w:val="en-US" w:eastAsia="ar-SA" w:bidi="ar-SA"/>
        </w:rPr>
        <w:t>It is obvious that it is preferable to select a research method that measures as reliable, valid and objective as possible. Unfortunately, there is a tension between the aspects reliability and objectivity that usually forces researchers to make a trade-off between reliability and validity (</w:t>
      </w:r>
      <w:proofErr w:type="spellStart"/>
      <w:r>
        <w:rPr>
          <w:lang w:val="en-US" w:eastAsia="ar-SA" w:bidi="ar-SA"/>
        </w:rPr>
        <w:t>Babbie</w:t>
      </w:r>
      <w:proofErr w:type="spellEnd"/>
      <w:r>
        <w:rPr>
          <w:lang w:val="en-US" w:eastAsia="ar-SA" w:bidi="ar-SA"/>
        </w:rPr>
        <w:t>, 2007).</w:t>
      </w:r>
    </w:p>
    <w:p w:rsidR="00022F3C" w:rsidRDefault="00022F3C" w:rsidP="00C92663">
      <w:pPr>
        <w:spacing w:line="360" w:lineRule="auto"/>
        <w:jc w:val="both"/>
        <w:rPr>
          <w:lang w:val="en-US" w:eastAsia="ar-SA" w:bidi="ar-SA"/>
        </w:rPr>
      </w:pPr>
    </w:p>
    <w:p w:rsidR="005460C0" w:rsidRDefault="001C01A4" w:rsidP="00C92663">
      <w:pPr>
        <w:spacing w:line="360" w:lineRule="auto"/>
        <w:jc w:val="both"/>
        <w:rPr>
          <w:lang w:val="en-US" w:eastAsia="ar-SA" w:bidi="ar-SA"/>
        </w:rPr>
      </w:pPr>
      <w:r>
        <w:rPr>
          <w:lang w:val="en-US" w:eastAsia="ar-SA" w:bidi="ar-SA"/>
        </w:rPr>
        <w:t>As described above, disclosure surv</w:t>
      </w:r>
      <w:r w:rsidR="008E6ECF">
        <w:rPr>
          <w:lang w:val="en-US" w:eastAsia="ar-SA" w:bidi="ar-SA"/>
        </w:rPr>
        <w:t>ey, disclosure index studies</w:t>
      </w:r>
      <w:r>
        <w:rPr>
          <w:lang w:val="en-US" w:eastAsia="ar-SA" w:bidi="ar-SA"/>
        </w:rPr>
        <w:t xml:space="preserve"> and </w:t>
      </w:r>
      <w:r w:rsidR="008E6ECF">
        <w:rPr>
          <w:lang w:val="en-US" w:eastAsia="ar-SA" w:bidi="ar-SA"/>
        </w:rPr>
        <w:t>content</w:t>
      </w:r>
      <w:r>
        <w:rPr>
          <w:lang w:val="en-US" w:eastAsia="ar-SA" w:bidi="ar-SA"/>
        </w:rPr>
        <w:t xml:space="preserve"> analysis are the remaining appropriate research methods. </w:t>
      </w:r>
      <w:proofErr w:type="spellStart"/>
      <w:r w:rsidR="008E6ECF" w:rsidRPr="00BA4ACB">
        <w:rPr>
          <w:lang w:val="en-US" w:eastAsia="ar-SA" w:bidi="ar-SA"/>
        </w:rPr>
        <w:t>Babbie</w:t>
      </w:r>
      <w:proofErr w:type="spellEnd"/>
      <w:r w:rsidR="008E6ECF" w:rsidRPr="00BA4ACB">
        <w:rPr>
          <w:lang w:val="en-US" w:eastAsia="ar-SA" w:bidi="ar-SA"/>
        </w:rPr>
        <w:t xml:space="preserve"> (200</w:t>
      </w:r>
      <w:r w:rsidR="008E6ECF">
        <w:rPr>
          <w:lang w:val="en-US" w:eastAsia="ar-SA" w:bidi="ar-SA"/>
        </w:rPr>
        <w:t>7</w:t>
      </w:r>
      <w:r w:rsidR="008E6ECF" w:rsidRPr="00BA4ACB">
        <w:rPr>
          <w:lang w:val="en-US" w:eastAsia="ar-SA" w:bidi="ar-SA"/>
        </w:rPr>
        <w:t xml:space="preserve">) states that </w:t>
      </w:r>
      <w:r w:rsidR="007B2D3A">
        <w:rPr>
          <w:lang w:val="en-US" w:eastAsia="ar-SA" w:bidi="ar-SA"/>
        </w:rPr>
        <w:t>research can be executed in a safe</w:t>
      </w:r>
      <w:r w:rsidR="008E6ECF" w:rsidRPr="00BA4ACB">
        <w:rPr>
          <w:lang w:val="en-US" w:eastAsia="ar-SA" w:bidi="ar-SA"/>
        </w:rPr>
        <w:t xml:space="preserve"> way </w:t>
      </w:r>
      <w:r w:rsidR="007B2D3A">
        <w:rPr>
          <w:lang w:val="en-US" w:eastAsia="ar-SA" w:bidi="ar-SA"/>
        </w:rPr>
        <w:t xml:space="preserve">when </w:t>
      </w:r>
      <w:r w:rsidR="008E6ECF" w:rsidRPr="00BA4ACB">
        <w:rPr>
          <w:lang w:val="en-US" w:eastAsia="ar-SA" w:bidi="ar-SA"/>
        </w:rPr>
        <w:t>different research methods</w:t>
      </w:r>
      <w:r w:rsidR="007B2D3A">
        <w:rPr>
          <w:lang w:val="en-US" w:eastAsia="ar-SA" w:bidi="ar-SA"/>
        </w:rPr>
        <w:t xml:space="preserve"> are applied</w:t>
      </w:r>
      <w:r w:rsidR="008E6ECF" w:rsidRPr="00BA4ACB">
        <w:rPr>
          <w:lang w:val="en-US" w:eastAsia="ar-SA" w:bidi="ar-SA"/>
        </w:rPr>
        <w:t>.</w:t>
      </w:r>
      <w:r w:rsidR="008E6ECF">
        <w:rPr>
          <w:lang w:val="en-US" w:eastAsia="ar-SA" w:bidi="ar-SA"/>
        </w:rPr>
        <w:t xml:space="preserve"> </w:t>
      </w:r>
      <w:r w:rsidR="006D231B">
        <w:rPr>
          <w:lang w:val="en-US" w:eastAsia="ar-SA" w:bidi="ar-SA"/>
        </w:rPr>
        <w:t xml:space="preserve">However, </w:t>
      </w:r>
      <w:r w:rsidR="009F5FE2">
        <w:rPr>
          <w:lang w:val="en-US" w:eastAsia="ar-SA" w:bidi="ar-SA"/>
        </w:rPr>
        <w:t>budget and in particular time are too limited to conduct all three research methods. It is not practical to give an answer on the research question by interviewing the preparers of financial statements. Therefore, during the research, no disc</w:t>
      </w:r>
      <w:r w:rsidR="005460C0">
        <w:rPr>
          <w:lang w:val="en-US" w:eastAsia="ar-SA" w:bidi="ar-SA"/>
        </w:rPr>
        <w:t>losure survey will be conducted. The remaining research methods that will be app</w:t>
      </w:r>
      <w:r w:rsidR="00297656">
        <w:rPr>
          <w:lang w:val="en-US" w:eastAsia="ar-SA" w:bidi="ar-SA"/>
        </w:rPr>
        <w:t xml:space="preserve">lied are content analysis and </w:t>
      </w:r>
      <w:r w:rsidR="005460C0">
        <w:rPr>
          <w:lang w:val="en-US" w:eastAsia="ar-SA" w:bidi="ar-SA"/>
        </w:rPr>
        <w:t>disclosure index study.</w:t>
      </w:r>
    </w:p>
    <w:p w:rsidR="00015189" w:rsidRDefault="009F5FE2" w:rsidP="00C92663">
      <w:pPr>
        <w:spacing w:line="360" w:lineRule="auto"/>
        <w:jc w:val="both"/>
        <w:rPr>
          <w:lang w:val="en-US" w:eastAsia="ar-SA" w:bidi="ar-SA"/>
        </w:rPr>
      </w:pPr>
      <w:r>
        <w:rPr>
          <w:lang w:val="en-US" w:eastAsia="ar-SA" w:bidi="ar-SA"/>
        </w:rPr>
        <w:t xml:space="preserve"> </w:t>
      </w:r>
    </w:p>
    <w:p w:rsidR="00832A0B" w:rsidRDefault="00015189" w:rsidP="00C92663">
      <w:pPr>
        <w:spacing w:line="360" w:lineRule="auto"/>
        <w:jc w:val="both"/>
        <w:rPr>
          <w:lang w:val="en-US" w:eastAsia="ar-SA" w:bidi="ar-SA"/>
        </w:rPr>
      </w:pPr>
      <w:r>
        <w:rPr>
          <w:lang w:val="en-US" w:eastAsia="ar-SA" w:bidi="ar-SA"/>
        </w:rPr>
        <w:t xml:space="preserve">To research disclosure quantity, partial content analysis will be applied, as the examination of the financial statements is restricted to </w:t>
      </w:r>
      <w:r w:rsidR="00B06D97">
        <w:rPr>
          <w:lang w:val="en-US" w:eastAsia="ar-SA" w:bidi="ar-SA"/>
        </w:rPr>
        <w:t>selected keywords</w:t>
      </w:r>
      <w:r w:rsidR="00486A45">
        <w:rPr>
          <w:lang w:val="en-US" w:eastAsia="ar-SA" w:bidi="ar-SA"/>
        </w:rPr>
        <w:t xml:space="preserve"> (Beattie et al., 2004)</w:t>
      </w:r>
      <w:r w:rsidR="00B06D97">
        <w:rPr>
          <w:lang w:val="en-US" w:eastAsia="ar-SA" w:bidi="ar-SA"/>
        </w:rPr>
        <w:t xml:space="preserve">. </w:t>
      </w:r>
      <w:r w:rsidR="007B7F63">
        <w:rPr>
          <w:lang w:val="en-US" w:eastAsia="ar-SA" w:bidi="ar-SA"/>
        </w:rPr>
        <w:t>Regarding disclosure quality, comprehensive content analysis wi</w:t>
      </w:r>
      <w:r w:rsidR="00486A45">
        <w:rPr>
          <w:lang w:val="en-US" w:eastAsia="ar-SA" w:bidi="ar-SA"/>
        </w:rPr>
        <w:t xml:space="preserve">ll be applied as </w:t>
      </w:r>
      <w:r w:rsidR="007B7F63">
        <w:rPr>
          <w:lang w:val="en-US" w:eastAsia="ar-SA" w:bidi="ar-SA"/>
        </w:rPr>
        <w:t>the document as a whole will be examined more in-depth</w:t>
      </w:r>
      <w:r w:rsidR="00486A45">
        <w:rPr>
          <w:lang w:val="en-US" w:eastAsia="ar-SA" w:bidi="ar-SA"/>
        </w:rPr>
        <w:t xml:space="preserve"> as described by Beattie et al. (2004)</w:t>
      </w:r>
      <w:r w:rsidR="007B7F63">
        <w:rPr>
          <w:lang w:val="en-US" w:eastAsia="ar-SA" w:bidi="ar-SA"/>
        </w:rPr>
        <w:t>.</w:t>
      </w:r>
      <w:r w:rsidR="005460C0">
        <w:rPr>
          <w:lang w:val="en-US" w:eastAsia="ar-SA" w:bidi="ar-SA"/>
        </w:rPr>
        <w:t xml:space="preserve"> </w:t>
      </w:r>
      <w:r w:rsidR="008456A9">
        <w:rPr>
          <w:lang w:val="en-US" w:eastAsia="ar-SA" w:bidi="ar-SA"/>
        </w:rPr>
        <w:t>I</w:t>
      </w:r>
      <w:r w:rsidR="00297656">
        <w:rPr>
          <w:lang w:val="en-US" w:eastAsia="ar-SA" w:bidi="ar-SA"/>
        </w:rPr>
        <w:t>n addition, questions 11, 12, 14 and 15</w:t>
      </w:r>
      <w:r w:rsidR="008456A9">
        <w:rPr>
          <w:lang w:val="en-US" w:eastAsia="ar-SA" w:bidi="ar-SA"/>
        </w:rPr>
        <w:t xml:space="preserve"> </w:t>
      </w:r>
      <w:r w:rsidR="00B904D1">
        <w:rPr>
          <w:lang w:val="en-US" w:eastAsia="ar-SA" w:bidi="ar-SA"/>
        </w:rPr>
        <w:t xml:space="preserve">of the checklist depicted in appendix 10 </w:t>
      </w:r>
      <w:r w:rsidR="008456A9">
        <w:rPr>
          <w:lang w:val="en-US" w:eastAsia="ar-SA" w:bidi="ar-SA"/>
        </w:rPr>
        <w:t>r</w:t>
      </w:r>
      <w:r w:rsidR="00B904D1">
        <w:rPr>
          <w:lang w:val="en-US" w:eastAsia="ar-SA" w:bidi="ar-SA"/>
        </w:rPr>
        <w:t xml:space="preserve">epresent binary coding schemes that are typical for </w:t>
      </w:r>
      <w:r w:rsidR="008456A9">
        <w:rPr>
          <w:lang w:val="en-US" w:eastAsia="ar-SA" w:bidi="ar-SA"/>
        </w:rPr>
        <w:t>disclo</w:t>
      </w:r>
      <w:r w:rsidR="00B904D1">
        <w:rPr>
          <w:lang w:val="en-US" w:eastAsia="ar-SA" w:bidi="ar-SA"/>
        </w:rPr>
        <w:t>sure index studies, as described in paragraph 2.7.2.</w:t>
      </w:r>
    </w:p>
    <w:p w:rsidR="002C4BD3" w:rsidRPr="00B53F35" w:rsidRDefault="002C4BD3" w:rsidP="00C92663">
      <w:pPr>
        <w:pStyle w:val="Kop2"/>
        <w:numPr>
          <w:ilvl w:val="0"/>
          <w:numId w:val="0"/>
        </w:numPr>
        <w:ind w:left="576" w:hanging="576"/>
        <w:jc w:val="both"/>
        <w:rPr>
          <w:rFonts w:ascii="Times New Roman" w:hAnsi="Times New Roman" w:cs="Times New Roman"/>
          <w:bCs w:val="0"/>
          <w:i w:val="0"/>
          <w:iCs w:val="0"/>
          <w:sz w:val="24"/>
          <w:szCs w:val="24"/>
        </w:rPr>
      </w:pPr>
      <w:bookmarkStart w:id="54" w:name="_Toc355387304"/>
      <w:bookmarkEnd w:id="0"/>
      <w:bookmarkEnd w:id="1"/>
      <w:bookmarkEnd w:id="2"/>
      <w:bookmarkEnd w:id="3"/>
      <w:r>
        <w:rPr>
          <w:rFonts w:ascii="Times New Roman" w:hAnsi="Times New Roman" w:cs="Times New Roman"/>
          <w:bCs w:val="0"/>
          <w:i w:val="0"/>
          <w:iCs w:val="0"/>
          <w:sz w:val="24"/>
          <w:szCs w:val="24"/>
        </w:rPr>
        <w:t>3.</w:t>
      </w:r>
      <w:r w:rsidR="00A05C35">
        <w:rPr>
          <w:rFonts w:ascii="Times New Roman" w:hAnsi="Times New Roman" w:cs="Times New Roman"/>
          <w:bCs w:val="0"/>
          <w:i w:val="0"/>
          <w:iCs w:val="0"/>
          <w:sz w:val="24"/>
          <w:szCs w:val="24"/>
        </w:rPr>
        <w:t>4</w:t>
      </w:r>
      <w:r>
        <w:rPr>
          <w:rFonts w:ascii="Times New Roman" w:hAnsi="Times New Roman" w:cs="Times New Roman"/>
          <w:bCs w:val="0"/>
          <w:i w:val="0"/>
          <w:iCs w:val="0"/>
          <w:sz w:val="24"/>
          <w:szCs w:val="24"/>
        </w:rPr>
        <w:tab/>
        <w:t>Population and sampling</w:t>
      </w:r>
      <w:bookmarkEnd w:id="54"/>
    </w:p>
    <w:p w:rsidR="001E61A4" w:rsidRDefault="002C4BD3" w:rsidP="00C92663">
      <w:pPr>
        <w:pStyle w:val="Normaalweb"/>
        <w:spacing w:line="360" w:lineRule="auto"/>
        <w:jc w:val="both"/>
      </w:pPr>
      <w:r>
        <w:t xml:space="preserve">Company pension </w:t>
      </w:r>
      <w:r w:rsidR="008D2553">
        <w:t xml:space="preserve">funds, sector pension funds, </w:t>
      </w:r>
      <w:r>
        <w:t>compulsory sector pension funds</w:t>
      </w:r>
      <w:r w:rsidR="008D2553">
        <w:t xml:space="preserve"> and occupational</w:t>
      </w:r>
      <w:r w:rsidR="00022F3C">
        <w:t xml:space="preserve"> pension funds</w:t>
      </w:r>
      <w:r>
        <w:t xml:space="preserve">, the types of pension funds described in chapter 2, are </w:t>
      </w:r>
      <w:r w:rsidR="00D040A7">
        <w:t xml:space="preserve">all </w:t>
      </w:r>
      <w:r>
        <w:t>included in the</w:t>
      </w:r>
      <w:r w:rsidR="00D040A7">
        <w:t xml:space="preserve"> population</w:t>
      </w:r>
      <w:r>
        <w:t>.</w:t>
      </w:r>
      <w:r w:rsidR="009A7188">
        <w:t xml:space="preserve"> </w:t>
      </w:r>
      <w:r w:rsidR="001E61A4">
        <w:t>T</w:t>
      </w:r>
      <w:r w:rsidR="009A7188">
        <w:t xml:space="preserve">he population consists of </w:t>
      </w:r>
      <w:r w:rsidR="00B84200">
        <w:t>the 454 Dutch pension funds that are supervised by the Dutch Central Bank as per 31 December 2011, as depicted in appendix 1.</w:t>
      </w:r>
    </w:p>
    <w:p w:rsidR="00014AB8" w:rsidRDefault="00DF7255" w:rsidP="00C92663">
      <w:pPr>
        <w:pStyle w:val="Normaalweb"/>
        <w:spacing w:line="360" w:lineRule="auto"/>
        <w:jc w:val="both"/>
      </w:pPr>
      <w:r>
        <w:t xml:space="preserve">Of every pension fund size category, 5 pension funds are included in the sample, which amounts to a total sample of 25 Dutch pension funds. The specific pension funds included in the sample have been presented in appendix </w:t>
      </w:r>
      <w:r w:rsidR="00014AB8">
        <w:t>9</w:t>
      </w:r>
      <w:r>
        <w:t xml:space="preserve">. </w:t>
      </w:r>
    </w:p>
    <w:tbl>
      <w:tblPr>
        <w:tblStyle w:val="Tabelraster"/>
        <w:tblW w:w="9039" w:type="dxa"/>
        <w:tblLayout w:type="fixed"/>
        <w:tblLook w:val="04A0"/>
      </w:tblPr>
      <w:tblGrid>
        <w:gridCol w:w="3085"/>
        <w:gridCol w:w="4678"/>
        <w:gridCol w:w="1276"/>
      </w:tblGrid>
      <w:tr w:rsidR="00AF608A" w:rsidRPr="00014AB8" w:rsidTr="00014AB8">
        <w:tc>
          <w:tcPr>
            <w:tcW w:w="3085" w:type="dxa"/>
            <w:shd w:val="clear" w:color="auto" w:fill="auto"/>
          </w:tcPr>
          <w:p w:rsidR="008F084E" w:rsidRPr="00014AB8" w:rsidRDefault="003D51D0" w:rsidP="000C4107">
            <w:pPr>
              <w:pStyle w:val="Normaalweb"/>
              <w:spacing w:line="276" w:lineRule="auto"/>
              <w:jc w:val="both"/>
              <w:rPr>
                <w:b/>
              </w:rPr>
            </w:pPr>
            <w:r w:rsidRPr="00014AB8">
              <w:rPr>
                <w:b/>
              </w:rPr>
              <w:t>Total average Assets Under Management sample*</w:t>
            </w:r>
            <w:r w:rsidR="00CE4B55" w:rsidRPr="00014AB8">
              <w:rPr>
                <w:b/>
              </w:rPr>
              <w:t xml:space="preserve"> (A)</w:t>
            </w:r>
          </w:p>
        </w:tc>
        <w:tc>
          <w:tcPr>
            <w:tcW w:w="4678" w:type="dxa"/>
            <w:shd w:val="clear" w:color="auto" w:fill="auto"/>
          </w:tcPr>
          <w:p w:rsidR="00AF608A" w:rsidRPr="00014AB8" w:rsidRDefault="00AF608A" w:rsidP="000C4107">
            <w:pPr>
              <w:pStyle w:val="Normaalweb"/>
              <w:spacing w:line="276" w:lineRule="auto"/>
              <w:jc w:val="both"/>
              <w:rPr>
                <w:b/>
              </w:rPr>
            </w:pPr>
            <w:r w:rsidRPr="00014AB8">
              <w:rPr>
                <w:b/>
              </w:rPr>
              <w:t>Total average Assets Under Management whole population**       (B)</w:t>
            </w:r>
          </w:p>
        </w:tc>
        <w:tc>
          <w:tcPr>
            <w:tcW w:w="1276" w:type="dxa"/>
            <w:shd w:val="clear" w:color="auto" w:fill="auto"/>
          </w:tcPr>
          <w:p w:rsidR="00AF608A" w:rsidRPr="00014AB8" w:rsidRDefault="00AF608A" w:rsidP="000C4107">
            <w:pPr>
              <w:pStyle w:val="Normaalweb"/>
              <w:spacing w:line="276" w:lineRule="auto"/>
              <w:jc w:val="both"/>
              <w:rPr>
                <w:b/>
              </w:rPr>
            </w:pPr>
            <w:r w:rsidRPr="00014AB8">
              <w:rPr>
                <w:b/>
              </w:rPr>
              <w:t>(A) / (B)</w:t>
            </w:r>
          </w:p>
        </w:tc>
      </w:tr>
      <w:tr w:rsidR="00AF608A" w:rsidRPr="00014AB8" w:rsidTr="00014AB8">
        <w:tc>
          <w:tcPr>
            <w:tcW w:w="3085" w:type="dxa"/>
            <w:shd w:val="clear" w:color="auto" w:fill="auto"/>
          </w:tcPr>
          <w:p w:rsidR="00AF608A" w:rsidRPr="00014AB8" w:rsidRDefault="00497FEF" w:rsidP="000C4107">
            <w:pPr>
              <w:pStyle w:val="Normaalweb"/>
              <w:spacing w:line="276" w:lineRule="auto"/>
              <w:jc w:val="right"/>
            </w:pPr>
            <w:r w:rsidRPr="00014AB8">
              <w:t>534,</w:t>
            </w:r>
            <w:r w:rsidR="003D51D0" w:rsidRPr="00014AB8">
              <w:t>768</w:t>
            </w:r>
          </w:p>
        </w:tc>
        <w:tc>
          <w:tcPr>
            <w:tcW w:w="4678" w:type="dxa"/>
            <w:shd w:val="clear" w:color="auto" w:fill="auto"/>
          </w:tcPr>
          <w:p w:rsidR="00AF608A" w:rsidRPr="00014AB8" w:rsidRDefault="00DF1543" w:rsidP="000C4107">
            <w:pPr>
              <w:pStyle w:val="Normaalweb"/>
              <w:spacing w:line="276" w:lineRule="auto"/>
              <w:jc w:val="right"/>
            </w:pPr>
            <w:r>
              <w:t>822</w:t>
            </w:r>
            <w:r w:rsidR="00497FEF" w:rsidRPr="00014AB8">
              <w:t>,</w:t>
            </w:r>
            <w:r>
              <w:t>385</w:t>
            </w:r>
          </w:p>
        </w:tc>
        <w:tc>
          <w:tcPr>
            <w:tcW w:w="1276" w:type="dxa"/>
            <w:shd w:val="clear" w:color="auto" w:fill="auto"/>
          </w:tcPr>
          <w:p w:rsidR="00AF608A" w:rsidRPr="00014AB8" w:rsidRDefault="00497FEF" w:rsidP="000C4107">
            <w:pPr>
              <w:pStyle w:val="Normaalweb"/>
              <w:spacing w:line="276" w:lineRule="auto"/>
              <w:jc w:val="right"/>
            </w:pPr>
            <w:r w:rsidRPr="00014AB8">
              <w:t>0.</w:t>
            </w:r>
            <w:r w:rsidR="00F7503E">
              <w:t>6503</w:t>
            </w:r>
          </w:p>
        </w:tc>
      </w:tr>
    </w:tbl>
    <w:p w:rsidR="00022F3C" w:rsidRDefault="00022F3C" w:rsidP="00022F3C">
      <w:pPr>
        <w:pStyle w:val="Normaalweb"/>
        <w:spacing w:line="240" w:lineRule="atLeast"/>
        <w:jc w:val="both"/>
        <w:rPr>
          <w:sz w:val="20"/>
          <w:szCs w:val="20"/>
        </w:rPr>
      </w:pPr>
      <w:r w:rsidRPr="00014AB8">
        <w:rPr>
          <w:sz w:val="20"/>
          <w:szCs w:val="20"/>
        </w:rPr>
        <w:t>Table</w:t>
      </w:r>
      <w:r>
        <w:rPr>
          <w:sz w:val="20"/>
          <w:szCs w:val="20"/>
        </w:rPr>
        <w:t xml:space="preserve"> 2</w:t>
      </w:r>
      <w:r w:rsidRPr="0006603A">
        <w:rPr>
          <w:sz w:val="20"/>
          <w:szCs w:val="20"/>
        </w:rPr>
        <w:t>: Total average Assets Under Management sample as a percentage of the total average Assets Under Management of the whole population.</w:t>
      </w:r>
    </w:p>
    <w:p w:rsidR="00D647CE" w:rsidRPr="00022F3C" w:rsidRDefault="007F4D30" w:rsidP="00022F3C">
      <w:pPr>
        <w:pStyle w:val="Normaalweb"/>
        <w:spacing w:line="200" w:lineRule="exact"/>
        <w:jc w:val="both"/>
        <w:rPr>
          <w:sz w:val="20"/>
          <w:szCs w:val="20"/>
        </w:rPr>
      </w:pPr>
      <w:r w:rsidRPr="00022F3C">
        <w:rPr>
          <w:sz w:val="20"/>
          <w:szCs w:val="20"/>
        </w:rPr>
        <w:t>*  see appendix 9</w:t>
      </w:r>
    </w:p>
    <w:p w:rsidR="00A36AA2" w:rsidRPr="00022F3C" w:rsidRDefault="00CE4B55" w:rsidP="00022F3C">
      <w:pPr>
        <w:pStyle w:val="Normaalweb"/>
        <w:spacing w:line="200" w:lineRule="exact"/>
        <w:jc w:val="both"/>
        <w:rPr>
          <w:sz w:val="20"/>
          <w:szCs w:val="20"/>
        </w:rPr>
      </w:pPr>
      <w:r w:rsidRPr="00022F3C">
        <w:rPr>
          <w:sz w:val="20"/>
          <w:szCs w:val="20"/>
        </w:rPr>
        <w:t xml:space="preserve">** as published by </w:t>
      </w:r>
      <w:proofErr w:type="spellStart"/>
      <w:r w:rsidRPr="00022F3C">
        <w:rPr>
          <w:sz w:val="20"/>
          <w:szCs w:val="20"/>
        </w:rPr>
        <w:t>Statline</w:t>
      </w:r>
      <w:proofErr w:type="spellEnd"/>
      <w:r w:rsidRPr="00022F3C">
        <w:rPr>
          <w:sz w:val="20"/>
          <w:szCs w:val="20"/>
        </w:rPr>
        <w:t xml:space="preserve">, in millions euro (see appendix </w:t>
      </w:r>
      <w:r w:rsidR="00787674" w:rsidRPr="00022F3C">
        <w:rPr>
          <w:sz w:val="20"/>
          <w:szCs w:val="20"/>
        </w:rPr>
        <w:t>3</w:t>
      </w:r>
      <w:r w:rsidRPr="00022F3C">
        <w:rPr>
          <w:sz w:val="20"/>
          <w:szCs w:val="20"/>
        </w:rPr>
        <w:t>)</w:t>
      </w:r>
    </w:p>
    <w:p w:rsidR="00AF608A" w:rsidRPr="008F084E" w:rsidRDefault="008F084E" w:rsidP="00C92663">
      <w:pPr>
        <w:pStyle w:val="Normaalweb"/>
        <w:spacing w:line="360" w:lineRule="auto"/>
        <w:jc w:val="both"/>
      </w:pPr>
      <w:r>
        <w:t xml:space="preserve">Table </w:t>
      </w:r>
      <w:r w:rsidR="00AB5CB6">
        <w:t>2</w:t>
      </w:r>
      <w:r>
        <w:t xml:space="preserve"> makes clear that the 25 pension fu</w:t>
      </w:r>
      <w:r w:rsidR="00D8284A">
        <w:t>nds in the sample contain approximately 65</w:t>
      </w:r>
      <w:r>
        <w:t xml:space="preserve">% of the total average Assets Under Management of the whole population. </w:t>
      </w:r>
      <w:r w:rsidRPr="008F084E">
        <w:t>Although only 25</w:t>
      </w:r>
      <w:r w:rsidR="004E6AF0">
        <w:t xml:space="preserve"> </w:t>
      </w:r>
      <w:r>
        <w:t>of the 454</w:t>
      </w:r>
      <w:r w:rsidRPr="008F084E">
        <w:t xml:space="preserve"> Dutch pension fu</w:t>
      </w:r>
      <w:r w:rsidR="004126B1" w:rsidRPr="004126B1">
        <w:t>nds have been included in t</w:t>
      </w:r>
      <w:r w:rsidRPr="008F084E">
        <w:t>h</w:t>
      </w:r>
      <w:r w:rsidR="004126B1" w:rsidRPr="004126B1">
        <w:t xml:space="preserve">e </w:t>
      </w:r>
      <w:r>
        <w:t xml:space="preserve">sample, this percentage </w:t>
      </w:r>
      <w:r w:rsidR="001E3D48">
        <w:t xml:space="preserve">provides a </w:t>
      </w:r>
      <w:r w:rsidR="0004123F">
        <w:t>sound</w:t>
      </w:r>
      <w:r w:rsidR="001E3D48">
        <w:t xml:space="preserve"> basis for the remainder of the research. </w:t>
      </w:r>
    </w:p>
    <w:p w:rsidR="00926DB2" w:rsidRPr="00B53F35" w:rsidRDefault="001552A7" w:rsidP="00C92663">
      <w:pPr>
        <w:pStyle w:val="Kop2"/>
        <w:numPr>
          <w:ilvl w:val="0"/>
          <w:numId w:val="0"/>
        </w:numPr>
        <w:ind w:left="576" w:hanging="576"/>
        <w:jc w:val="both"/>
        <w:rPr>
          <w:rFonts w:ascii="Times New Roman" w:hAnsi="Times New Roman" w:cs="Times New Roman"/>
          <w:bCs w:val="0"/>
          <w:i w:val="0"/>
          <w:iCs w:val="0"/>
          <w:sz w:val="24"/>
          <w:szCs w:val="24"/>
          <w:lang w:val="en-US"/>
        </w:rPr>
      </w:pPr>
      <w:bookmarkStart w:id="55" w:name="_Toc355387305"/>
      <w:r>
        <w:rPr>
          <w:rFonts w:ascii="Times New Roman" w:hAnsi="Times New Roman" w:cs="Times New Roman"/>
          <w:bCs w:val="0"/>
          <w:i w:val="0"/>
          <w:iCs w:val="0"/>
          <w:sz w:val="24"/>
          <w:szCs w:val="24"/>
          <w:lang w:val="en-US"/>
        </w:rPr>
        <w:t>3</w:t>
      </w:r>
      <w:r w:rsidR="00A05C35">
        <w:rPr>
          <w:rFonts w:ascii="Times New Roman" w:hAnsi="Times New Roman" w:cs="Times New Roman"/>
          <w:bCs w:val="0"/>
          <w:i w:val="0"/>
          <w:iCs w:val="0"/>
          <w:sz w:val="24"/>
          <w:szCs w:val="24"/>
          <w:lang w:val="en-US"/>
        </w:rPr>
        <w:t>.5</w:t>
      </w:r>
      <w:r w:rsidR="00D8485D">
        <w:rPr>
          <w:rFonts w:ascii="Times New Roman" w:hAnsi="Times New Roman" w:cs="Times New Roman"/>
          <w:bCs w:val="0"/>
          <w:i w:val="0"/>
          <w:iCs w:val="0"/>
          <w:sz w:val="24"/>
          <w:szCs w:val="24"/>
          <w:lang w:val="en-US"/>
        </w:rPr>
        <w:tab/>
        <w:t>Data collection</w:t>
      </w:r>
      <w:bookmarkEnd w:id="55"/>
    </w:p>
    <w:p w:rsidR="00FA55B3" w:rsidRDefault="00D8485D" w:rsidP="00C92663">
      <w:pPr>
        <w:pStyle w:val="Normaalweb"/>
        <w:spacing w:line="360" w:lineRule="auto"/>
        <w:jc w:val="both"/>
      </w:pPr>
      <w:r>
        <w:t xml:space="preserve">The major databases do not provide information about proxies that could be used to measure the disclosure quality of the </w:t>
      </w:r>
      <w:r w:rsidR="00E91618">
        <w:t>financial statements</w:t>
      </w:r>
      <w:r>
        <w:t xml:space="preserve"> of the Dutch pension funds. For this reason, </w:t>
      </w:r>
      <w:r w:rsidR="00535933">
        <w:t xml:space="preserve">most of </w:t>
      </w:r>
      <w:r>
        <w:t xml:space="preserve">the proxies will need to be hand-collected from the </w:t>
      </w:r>
      <w:r w:rsidR="00817E38">
        <w:t>financial statements</w:t>
      </w:r>
      <w:r>
        <w:t>.</w:t>
      </w:r>
    </w:p>
    <w:p w:rsidR="003331E1" w:rsidRDefault="00E662C7" w:rsidP="00C92663">
      <w:pPr>
        <w:pStyle w:val="Normaalweb"/>
        <w:spacing w:line="360" w:lineRule="auto"/>
        <w:jc w:val="both"/>
      </w:pPr>
      <w:r>
        <w:t>The financial statements</w:t>
      </w:r>
      <w:r w:rsidR="003331E1">
        <w:t xml:space="preserve"> have been collected by using the database of Company.info. </w:t>
      </w:r>
      <w:r w:rsidR="00E91618">
        <w:t>T</w:t>
      </w:r>
      <w:r w:rsidR="00CD5C55">
        <w:t>o collect the necess</w:t>
      </w:r>
      <w:r>
        <w:t>ary information to test the six</w:t>
      </w:r>
      <w:r w:rsidR="00CD5C55">
        <w:t xml:space="preserve"> hypotheses as</w:t>
      </w:r>
      <w:r w:rsidR="00D647CE">
        <w:t xml:space="preserve"> presented </w:t>
      </w:r>
      <w:r w:rsidR="00C92663">
        <w:t xml:space="preserve">in paragraph </w:t>
      </w:r>
      <w:r w:rsidR="00D647CE">
        <w:t>3.1, the</w:t>
      </w:r>
      <w:r w:rsidR="00CD5C55">
        <w:t xml:space="preserve"> checklist </w:t>
      </w:r>
      <w:r>
        <w:t>presented in appendix 10</w:t>
      </w:r>
      <w:r w:rsidR="00D647CE">
        <w:t xml:space="preserve"> </w:t>
      </w:r>
      <w:r w:rsidR="00CD5C55">
        <w:t xml:space="preserve">has been applied to the </w:t>
      </w:r>
      <w:r w:rsidR="000830D6">
        <w:t>financial statements</w:t>
      </w:r>
      <w:r w:rsidR="00CD5C55">
        <w:t xml:space="preserve"> of the sample.</w:t>
      </w:r>
    </w:p>
    <w:p w:rsidR="00926DB2" w:rsidRDefault="001552A7" w:rsidP="00C92663">
      <w:pPr>
        <w:pStyle w:val="Kop2"/>
        <w:numPr>
          <w:ilvl w:val="0"/>
          <w:numId w:val="0"/>
        </w:numPr>
        <w:spacing w:line="360" w:lineRule="auto"/>
        <w:ind w:left="576" w:hanging="576"/>
        <w:jc w:val="both"/>
        <w:rPr>
          <w:rFonts w:ascii="Times New Roman" w:hAnsi="Times New Roman" w:cs="Times New Roman"/>
          <w:bCs w:val="0"/>
          <w:i w:val="0"/>
          <w:iCs w:val="0"/>
          <w:sz w:val="24"/>
          <w:szCs w:val="24"/>
          <w:lang w:val="en-US"/>
        </w:rPr>
      </w:pPr>
      <w:bookmarkStart w:id="56" w:name="_Toc355387306"/>
      <w:r>
        <w:rPr>
          <w:rFonts w:ascii="Times New Roman" w:hAnsi="Times New Roman" w:cs="Times New Roman"/>
          <w:bCs w:val="0"/>
          <w:i w:val="0"/>
          <w:iCs w:val="0"/>
          <w:sz w:val="24"/>
          <w:szCs w:val="24"/>
          <w:lang w:val="en-US"/>
        </w:rPr>
        <w:t>3</w:t>
      </w:r>
      <w:r w:rsidR="00402406">
        <w:rPr>
          <w:rFonts w:ascii="Times New Roman" w:hAnsi="Times New Roman" w:cs="Times New Roman"/>
          <w:bCs w:val="0"/>
          <w:i w:val="0"/>
          <w:iCs w:val="0"/>
          <w:sz w:val="24"/>
          <w:szCs w:val="24"/>
          <w:lang w:val="en-US"/>
        </w:rPr>
        <w:t>.</w:t>
      </w:r>
      <w:r w:rsidR="00A05C35">
        <w:rPr>
          <w:rFonts w:ascii="Times New Roman" w:hAnsi="Times New Roman" w:cs="Times New Roman"/>
          <w:bCs w:val="0"/>
          <w:i w:val="0"/>
          <w:iCs w:val="0"/>
          <w:sz w:val="24"/>
          <w:szCs w:val="24"/>
          <w:lang w:val="en-US"/>
        </w:rPr>
        <w:t>6</w:t>
      </w:r>
      <w:r w:rsidR="00402406">
        <w:rPr>
          <w:rFonts w:ascii="Times New Roman" w:hAnsi="Times New Roman" w:cs="Times New Roman"/>
          <w:bCs w:val="0"/>
          <w:i w:val="0"/>
          <w:iCs w:val="0"/>
          <w:sz w:val="24"/>
          <w:szCs w:val="24"/>
          <w:lang w:val="en-US"/>
        </w:rPr>
        <w:tab/>
      </w:r>
      <w:r w:rsidR="00402406" w:rsidRPr="00402406">
        <w:rPr>
          <w:rFonts w:ascii="Times New Roman" w:hAnsi="Times New Roman" w:cs="Times New Roman"/>
          <w:bCs w:val="0"/>
          <w:i w:val="0"/>
          <w:iCs w:val="0"/>
          <w:sz w:val="24"/>
          <w:szCs w:val="24"/>
          <w:lang w:val="en-US"/>
        </w:rPr>
        <w:t>Data processing</w:t>
      </w:r>
      <w:bookmarkEnd w:id="56"/>
    </w:p>
    <w:p w:rsidR="005D4EFD" w:rsidRDefault="004126B1" w:rsidP="005D4EFD">
      <w:pPr>
        <w:spacing w:line="360" w:lineRule="auto"/>
        <w:jc w:val="both"/>
        <w:rPr>
          <w:lang w:val="en-US"/>
        </w:rPr>
      </w:pPr>
      <w:r w:rsidRPr="004126B1">
        <w:rPr>
          <w:lang w:val="en-US"/>
        </w:rPr>
        <w:t xml:space="preserve">The </w:t>
      </w:r>
      <w:r w:rsidR="00B654C4">
        <w:rPr>
          <w:lang w:val="en-US"/>
        </w:rPr>
        <w:t xml:space="preserve">collected data will be </w:t>
      </w:r>
      <w:r w:rsidR="001E3D48">
        <w:rPr>
          <w:lang w:val="en-US"/>
        </w:rPr>
        <w:t xml:space="preserve">filed directly in a SPSS database and </w:t>
      </w:r>
      <w:r w:rsidR="00B654C4">
        <w:rPr>
          <w:lang w:val="en-US"/>
        </w:rPr>
        <w:t xml:space="preserve">further processed </w:t>
      </w:r>
      <w:r w:rsidR="001E3D48">
        <w:rPr>
          <w:lang w:val="en-US"/>
        </w:rPr>
        <w:t>within</w:t>
      </w:r>
      <w:r w:rsidR="00B654C4">
        <w:rPr>
          <w:lang w:val="en-US"/>
        </w:rPr>
        <w:t xml:space="preserve"> SPSS.</w:t>
      </w:r>
      <w:r w:rsidR="00C03408">
        <w:rPr>
          <w:lang w:val="en-US"/>
        </w:rPr>
        <w:t xml:space="preserve"> The analysis and results will be presented in the next chapter.</w:t>
      </w:r>
    </w:p>
    <w:p w:rsidR="00D8485D" w:rsidRPr="00E32177" w:rsidRDefault="00A05C35" w:rsidP="00C92663">
      <w:pPr>
        <w:pStyle w:val="Kop2"/>
        <w:numPr>
          <w:ilvl w:val="0"/>
          <w:numId w:val="0"/>
        </w:numPr>
        <w:ind w:left="576" w:hanging="576"/>
        <w:jc w:val="both"/>
        <w:rPr>
          <w:rFonts w:ascii="Times New Roman" w:hAnsi="Times New Roman" w:cs="Times New Roman"/>
          <w:i w:val="0"/>
          <w:iCs w:val="0"/>
          <w:kern w:val="32"/>
          <w:sz w:val="24"/>
          <w:szCs w:val="24"/>
          <w:lang w:val="en-US"/>
        </w:rPr>
      </w:pPr>
      <w:bookmarkStart w:id="57" w:name="_Toc355387307"/>
      <w:r>
        <w:rPr>
          <w:rFonts w:ascii="Times New Roman" w:hAnsi="Times New Roman" w:cs="Times New Roman"/>
          <w:i w:val="0"/>
          <w:iCs w:val="0"/>
          <w:kern w:val="32"/>
          <w:sz w:val="24"/>
          <w:szCs w:val="24"/>
          <w:lang w:val="en-US"/>
        </w:rPr>
        <w:t>3.7</w:t>
      </w:r>
      <w:r w:rsidR="004126B1" w:rsidRPr="00E32177">
        <w:rPr>
          <w:rFonts w:ascii="Times New Roman" w:hAnsi="Times New Roman" w:cs="Times New Roman"/>
          <w:i w:val="0"/>
          <w:iCs w:val="0"/>
          <w:kern w:val="32"/>
          <w:sz w:val="24"/>
          <w:szCs w:val="24"/>
          <w:lang w:val="en-US"/>
        </w:rPr>
        <w:tab/>
        <w:t>Summary</w:t>
      </w:r>
      <w:bookmarkEnd w:id="57"/>
    </w:p>
    <w:p w:rsidR="005D4EFD" w:rsidRDefault="005D4EFD" w:rsidP="00C92663">
      <w:pPr>
        <w:spacing w:line="360" w:lineRule="auto"/>
        <w:jc w:val="both"/>
        <w:rPr>
          <w:lang w:val="en-US"/>
        </w:rPr>
      </w:pPr>
    </w:p>
    <w:p w:rsidR="00A36AA2" w:rsidRDefault="004126B1" w:rsidP="00C92663">
      <w:pPr>
        <w:spacing w:line="360" w:lineRule="auto"/>
        <w:jc w:val="both"/>
        <w:rPr>
          <w:lang w:val="en-US"/>
        </w:rPr>
      </w:pPr>
      <w:r w:rsidRPr="004126B1">
        <w:rPr>
          <w:lang w:val="en-US"/>
        </w:rPr>
        <w:t>In this chapter, the r</w:t>
      </w:r>
      <w:r w:rsidR="00703C34">
        <w:rPr>
          <w:lang w:val="en-US"/>
        </w:rPr>
        <w:t xml:space="preserve">esearch design of </w:t>
      </w:r>
      <w:proofErr w:type="spellStart"/>
      <w:r w:rsidR="00703C34">
        <w:rPr>
          <w:lang w:val="en-US"/>
        </w:rPr>
        <w:t>Babbie</w:t>
      </w:r>
      <w:proofErr w:type="spellEnd"/>
      <w:r w:rsidR="00703C34">
        <w:rPr>
          <w:lang w:val="en-US"/>
        </w:rPr>
        <w:t xml:space="preserve"> (2007) has been a</w:t>
      </w:r>
      <w:r w:rsidR="00F4098C">
        <w:rPr>
          <w:lang w:val="en-US"/>
        </w:rPr>
        <w:t>pplied as depicted in appendix 6</w:t>
      </w:r>
      <w:r w:rsidR="00703C34">
        <w:rPr>
          <w:lang w:val="en-US"/>
        </w:rPr>
        <w:t xml:space="preserve">. To answer the research question, </w:t>
      </w:r>
      <w:r w:rsidR="001B2830">
        <w:rPr>
          <w:lang w:val="en-US"/>
        </w:rPr>
        <w:t>six</w:t>
      </w:r>
      <w:r w:rsidR="00703C34">
        <w:rPr>
          <w:lang w:val="en-US"/>
        </w:rPr>
        <w:t xml:space="preserve"> hypotheses have been formulated. </w:t>
      </w:r>
      <w:r w:rsidR="00921BC6">
        <w:rPr>
          <w:lang w:val="en-US"/>
        </w:rPr>
        <w:t>Chapter 2 made already clear that different definitions with regard to terms such as risk and disclosures can be applied. For this reason, in the paragraph “conceptualization</w:t>
      </w:r>
      <w:r w:rsidR="004E0500">
        <w:rPr>
          <w:lang w:val="en-US"/>
        </w:rPr>
        <w:t xml:space="preserve"> and </w:t>
      </w:r>
      <w:proofErr w:type="spellStart"/>
      <w:r w:rsidR="004E0500">
        <w:rPr>
          <w:lang w:val="en-US"/>
        </w:rPr>
        <w:t>operationalization</w:t>
      </w:r>
      <w:proofErr w:type="spellEnd"/>
      <w:r w:rsidR="00921BC6">
        <w:rPr>
          <w:lang w:val="en-US"/>
        </w:rPr>
        <w:t xml:space="preserve">” </w:t>
      </w:r>
      <w:r w:rsidR="006019EC">
        <w:rPr>
          <w:lang w:val="en-US"/>
        </w:rPr>
        <w:t>has been specified what is meant with these terms</w:t>
      </w:r>
      <w:r w:rsidR="004E0500">
        <w:rPr>
          <w:lang w:val="en-US"/>
        </w:rPr>
        <w:t xml:space="preserve"> an</w:t>
      </w:r>
      <w:r w:rsidR="00E251A1">
        <w:rPr>
          <w:lang w:val="en-US"/>
        </w:rPr>
        <w:t>d</w:t>
      </w:r>
      <w:r w:rsidR="004E0500">
        <w:rPr>
          <w:lang w:val="en-US"/>
        </w:rPr>
        <w:t xml:space="preserve"> how certain </w:t>
      </w:r>
      <w:r w:rsidR="006019EC">
        <w:rPr>
          <w:lang w:val="en-US"/>
        </w:rPr>
        <w:t xml:space="preserve">concepts </w:t>
      </w:r>
      <w:r w:rsidR="004E0500">
        <w:rPr>
          <w:lang w:val="en-US"/>
        </w:rPr>
        <w:t>can be</w:t>
      </w:r>
      <w:r w:rsidR="006019EC">
        <w:rPr>
          <w:lang w:val="en-US"/>
        </w:rPr>
        <w:t xml:space="preserve"> turned into variables that can be measured.  </w:t>
      </w:r>
    </w:p>
    <w:p w:rsidR="008E1552" w:rsidRDefault="001A0C10" w:rsidP="00C92663">
      <w:pPr>
        <w:spacing w:line="360" w:lineRule="auto"/>
        <w:jc w:val="both"/>
        <w:rPr>
          <w:lang w:val="en-US"/>
        </w:rPr>
      </w:pPr>
      <w:r>
        <w:rPr>
          <w:lang w:val="en-US"/>
        </w:rPr>
        <w:t>In or</w:t>
      </w:r>
      <w:r w:rsidR="00A36AA2">
        <w:rPr>
          <w:lang w:val="en-US"/>
        </w:rPr>
        <w:t xml:space="preserve">der to test the hypotheses, </w:t>
      </w:r>
      <w:r w:rsidR="00E251A1">
        <w:rPr>
          <w:lang w:val="en-US"/>
        </w:rPr>
        <w:t xml:space="preserve">a research method has to be selected out of the </w:t>
      </w:r>
      <w:r>
        <w:rPr>
          <w:lang w:val="en-US"/>
        </w:rPr>
        <w:t xml:space="preserve">different research methods </w:t>
      </w:r>
      <w:r w:rsidR="00E251A1">
        <w:rPr>
          <w:lang w:val="en-US"/>
        </w:rPr>
        <w:t xml:space="preserve">described in paragraph 2.7. </w:t>
      </w:r>
      <w:r>
        <w:rPr>
          <w:lang w:val="en-US"/>
        </w:rPr>
        <w:t xml:space="preserve">Reliability, validity, objectivity, budget and time are important criteria </w:t>
      </w:r>
      <w:r w:rsidR="007A7497">
        <w:rPr>
          <w:lang w:val="en-US"/>
        </w:rPr>
        <w:t xml:space="preserve">that have been applied to each </w:t>
      </w:r>
      <w:r>
        <w:rPr>
          <w:lang w:val="en-US"/>
        </w:rPr>
        <w:t xml:space="preserve">research method. </w:t>
      </w:r>
      <w:r w:rsidR="0035468A">
        <w:rPr>
          <w:lang w:val="en-US"/>
        </w:rPr>
        <w:t xml:space="preserve">Subsequently, content analysis </w:t>
      </w:r>
      <w:r w:rsidR="004C5DDD">
        <w:rPr>
          <w:lang w:val="en-US"/>
        </w:rPr>
        <w:t xml:space="preserve">and </w:t>
      </w:r>
      <w:r w:rsidR="004335DB">
        <w:rPr>
          <w:lang w:val="en-US"/>
        </w:rPr>
        <w:t xml:space="preserve">a </w:t>
      </w:r>
      <w:r w:rsidR="004C5DDD">
        <w:rPr>
          <w:lang w:val="en-US"/>
        </w:rPr>
        <w:t xml:space="preserve">disclosure </w:t>
      </w:r>
      <w:r w:rsidR="004335DB">
        <w:rPr>
          <w:lang w:val="en-US"/>
        </w:rPr>
        <w:t>index study</w:t>
      </w:r>
      <w:r w:rsidR="004C5DDD">
        <w:rPr>
          <w:lang w:val="en-US"/>
        </w:rPr>
        <w:t xml:space="preserve"> </w:t>
      </w:r>
      <w:r w:rsidR="00137CC9">
        <w:rPr>
          <w:lang w:val="en-US"/>
        </w:rPr>
        <w:t>have been selected as</w:t>
      </w:r>
      <w:r w:rsidR="00943132">
        <w:rPr>
          <w:lang w:val="en-US"/>
        </w:rPr>
        <w:t xml:space="preserve"> the m</w:t>
      </w:r>
      <w:r w:rsidR="003765DF">
        <w:rPr>
          <w:lang w:val="en-US"/>
        </w:rPr>
        <w:t>ost appropriate research method</w:t>
      </w:r>
      <w:r w:rsidR="004C5DDD">
        <w:rPr>
          <w:lang w:val="en-US"/>
        </w:rPr>
        <w:t>s</w:t>
      </w:r>
      <w:r w:rsidR="00943132">
        <w:rPr>
          <w:lang w:val="en-US"/>
        </w:rPr>
        <w:t xml:space="preserve">. </w:t>
      </w:r>
    </w:p>
    <w:p w:rsidR="0004123F" w:rsidRDefault="00403B65" w:rsidP="00C92663">
      <w:pPr>
        <w:spacing w:line="360" w:lineRule="auto"/>
        <w:jc w:val="both"/>
      </w:pPr>
      <w:r>
        <w:rPr>
          <w:lang w:val="en-US"/>
        </w:rPr>
        <w:t>The population consists of the 454 Dutch pension funds as supervised by the Dutch Central Bank as per 31 December 2011. The sample (in Dutch “</w:t>
      </w:r>
      <w:proofErr w:type="spellStart"/>
      <w:r>
        <w:rPr>
          <w:lang w:val="en-US"/>
        </w:rPr>
        <w:t>deelwaarneming</w:t>
      </w:r>
      <w:proofErr w:type="spellEnd"/>
      <w:r>
        <w:rPr>
          <w:lang w:val="en-US"/>
        </w:rPr>
        <w:t xml:space="preserve">”) consists of 25 pension funds that have been divided in 5 size categories. These 25 </w:t>
      </w:r>
      <w:r w:rsidR="008E1552">
        <w:t>pension funds</w:t>
      </w:r>
      <w:r w:rsidR="00F4098C">
        <w:t xml:space="preserve"> in the sample contain approximately 65</w:t>
      </w:r>
      <w:r w:rsidR="008E1552">
        <w:t>% of the total average Assets Under Management of the whole population, a sound basis for the remainder of the research.</w:t>
      </w:r>
    </w:p>
    <w:p w:rsidR="0004123F" w:rsidRDefault="0004123F" w:rsidP="00C92663">
      <w:pPr>
        <w:spacing w:line="360" w:lineRule="auto"/>
        <w:jc w:val="both"/>
      </w:pPr>
      <w:r>
        <w:t xml:space="preserve">Unfortunately, the major databases do not provide information about proxies that could be used to measure the disclosure quality of the </w:t>
      </w:r>
      <w:r w:rsidR="003765DF">
        <w:t xml:space="preserve">financial statements </w:t>
      </w:r>
      <w:r>
        <w:t xml:space="preserve">of the Dutch pension funds. For this reason, most of the proxies will need to be hand-collected from the </w:t>
      </w:r>
      <w:r w:rsidR="001B2830">
        <w:t>financial statements</w:t>
      </w:r>
      <w:r w:rsidR="003765DF">
        <w:t xml:space="preserve"> by use of a checklist</w:t>
      </w:r>
      <w:r>
        <w:t xml:space="preserve">. The </w:t>
      </w:r>
      <w:r w:rsidR="000830D6">
        <w:t>financial statements</w:t>
      </w:r>
      <w:r>
        <w:t xml:space="preserve"> have been collected by using the database of Company.info. </w:t>
      </w:r>
    </w:p>
    <w:p w:rsidR="0004123F" w:rsidRPr="00BA52AD" w:rsidRDefault="0004123F" w:rsidP="00C92663">
      <w:pPr>
        <w:spacing w:line="360" w:lineRule="auto"/>
        <w:jc w:val="both"/>
        <w:rPr>
          <w:lang w:val="en-US"/>
        </w:rPr>
      </w:pPr>
      <w:r w:rsidRPr="004126B1">
        <w:rPr>
          <w:lang w:val="en-US"/>
        </w:rPr>
        <w:t xml:space="preserve">The </w:t>
      </w:r>
      <w:r>
        <w:rPr>
          <w:lang w:val="en-US"/>
        </w:rPr>
        <w:t>collected data will be filed directly in a SPSS database and further processed within SPSS. The analysis and results will be presented in the next chapter.</w:t>
      </w:r>
    </w:p>
    <w:p w:rsidR="004840A6" w:rsidRPr="007A7497" w:rsidRDefault="004840A6" w:rsidP="00C92663">
      <w:pPr>
        <w:jc w:val="both"/>
        <w:rPr>
          <w:lang w:val="en-US"/>
        </w:rPr>
      </w:pPr>
      <w:bookmarkStart w:id="58" w:name="_Toc267323040"/>
    </w:p>
    <w:p w:rsidR="00926DB2" w:rsidRPr="00DF4EC6" w:rsidRDefault="004126B1" w:rsidP="009D582B">
      <w:pPr>
        <w:pStyle w:val="Kop1"/>
        <w:numPr>
          <w:ilvl w:val="0"/>
          <w:numId w:val="0"/>
        </w:numPr>
        <w:ind w:left="432" w:hanging="432"/>
        <w:rPr>
          <w:lang w:val="en-US"/>
        </w:rPr>
      </w:pPr>
      <w:r w:rsidRPr="00065FF9">
        <w:rPr>
          <w:lang w:val="en-US"/>
        </w:rPr>
        <w:br w:type="page"/>
      </w:r>
      <w:bookmarkStart w:id="59" w:name="_Toc355387308"/>
      <w:r w:rsidRPr="00DF4EC6">
        <w:rPr>
          <w:lang w:val="en-US"/>
        </w:rPr>
        <w:t>4</w:t>
      </w:r>
      <w:r w:rsidRPr="00DF4EC6">
        <w:rPr>
          <w:lang w:val="en-US"/>
        </w:rPr>
        <w:tab/>
        <w:t>Analysis and results</w:t>
      </w:r>
      <w:bookmarkEnd w:id="58"/>
      <w:bookmarkEnd w:id="59"/>
    </w:p>
    <w:p w:rsidR="00A36AA2" w:rsidRPr="00DF4EC6" w:rsidRDefault="00A36AA2">
      <w:pPr>
        <w:rPr>
          <w:lang w:val="en-US"/>
        </w:rPr>
      </w:pPr>
    </w:p>
    <w:p w:rsidR="00A36AA2" w:rsidRDefault="00065FF9" w:rsidP="00C92663">
      <w:pPr>
        <w:spacing w:line="360" w:lineRule="auto"/>
        <w:jc w:val="both"/>
        <w:rPr>
          <w:lang w:val="en-US"/>
        </w:rPr>
      </w:pPr>
      <w:r w:rsidRPr="00065FF9">
        <w:rPr>
          <w:lang w:val="en-US"/>
        </w:rPr>
        <w:t>In the previous chapter, t</w:t>
      </w:r>
      <w:r>
        <w:rPr>
          <w:lang w:val="en-US"/>
        </w:rPr>
        <w:t xml:space="preserve">he </w:t>
      </w:r>
      <w:r w:rsidR="00DF4EC6">
        <w:rPr>
          <w:lang w:val="en-US"/>
        </w:rPr>
        <w:t>research design has been elaborated. In this chapter, the data that have been collected by ap</w:t>
      </w:r>
      <w:r w:rsidR="0062323D">
        <w:rPr>
          <w:lang w:val="en-US"/>
        </w:rPr>
        <w:t>plying the checklist (appendix 10</w:t>
      </w:r>
      <w:r w:rsidR="00DF4EC6">
        <w:rPr>
          <w:lang w:val="en-US"/>
        </w:rPr>
        <w:t xml:space="preserve">) to the </w:t>
      </w:r>
      <w:r w:rsidR="000830D6">
        <w:rPr>
          <w:lang w:val="en-US"/>
        </w:rPr>
        <w:t>financial statements</w:t>
      </w:r>
      <w:r w:rsidR="00DF4EC6">
        <w:rPr>
          <w:lang w:val="en-US"/>
        </w:rPr>
        <w:t xml:space="preserve"> of 25 Dutch pension funds</w:t>
      </w:r>
      <w:r w:rsidR="00406255">
        <w:rPr>
          <w:lang w:val="en-US"/>
        </w:rPr>
        <w:t>. Furthermore, the result</w:t>
      </w:r>
      <w:r w:rsidR="00B17FBA">
        <w:rPr>
          <w:lang w:val="en-US"/>
        </w:rPr>
        <w:t>s will be analyzed using SPSS, the</w:t>
      </w:r>
      <w:r w:rsidR="00406255">
        <w:rPr>
          <w:lang w:val="en-US"/>
        </w:rPr>
        <w:t xml:space="preserve"> statistic</w:t>
      </w:r>
      <w:r w:rsidR="009D154F">
        <w:rPr>
          <w:lang w:val="en-US"/>
        </w:rPr>
        <w:t>al</w:t>
      </w:r>
      <w:r w:rsidR="00B17FBA">
        <w:rPr>
          <w:lang w:val="en-US"/>
        </w:rPr>
        <w:t xml:space="preserve"> application described in the previous chapter.</w:t>
      </w:r>
      <w:r w:rsidR="00406255">
        <w:rPr>
          <w:lang w:val="en-US"/>
        </w:rPr>
        <w:t xml:space="preserve"> </w:t>
      </w:r>
    </w:p>
    <w:p w:rsidR="00406255" w:rsidRPr="00065FF9" w:rsidRDefault="00406255" w:rsidP="00C92663">
      <w:pPr>
        <w:spacing w:line="360" w:lineRule="auto"/>
        <w:jc w:val="both"/>
        <w:rPr>
          <w:lang w:val="en-US"/>
        </w:rPr>
      </w:pPr>
      <w:r>
        <w:rPr>
          <w:lang w:val="en-US"/>
        </w:rPr>
        <w:t xml:space="preserve">This chapter </w:t>
      </w:r>
      <w:r w:rsidR="00821287">
        <w:rPr>
          <w:lang w:val="en-US"/>
        </w:rPr>
        <w:t>starts, same</w:t>
      </w:r>
      <w:r w:rsidR="005311CB">
        <w:rPr>
          <w:lang w:val="en-US"/>
        </w:rPr>
        <w:t xml:space="preserve"> as </w:t>
      </w:r>
      <w:r>
        <w:rPr>
          <w:lang w:val="en-US"/>
        </w:rPr>
        <w:t xml:space="preserve">the checklist (appendix </w:t>
      </w:r>
      <w:r w:rsidR="0062323D">
        <w:rPr>
          <w:lang w:val="en-US"/>
        </w:rPr>
        <w:t>10</w:t>
      </w:r>
      <w:r>
        <w:rPr>
          <w:lang w:val="en-US"/>
        </w:rPr>
        <w:t>)</w:t>
      </w:r>
      <w:r w:rsidR="005311CB">
        <w:rPr>
          <w:lang w:val="en-US"/>
        </w:rPr>
        <w:t xml:space="preserve">, with </w:t>
      </w:r>
      <w:r>
        <w:rPr>
          <w:lang w:val="en-US"/>
        </w:rPr>
        <w:t>general characteristics</w:t>
      </w:r>
      <w:r w:rsidR="009D154F">
        <w:rPr>
          <w:lang w:val="en-US"/>
        </w:rPr>
        <w:t xml:space="preserve">. Subsequently will be researched if the financial crisis is a subject within the </w:t>
      </w:r>
      <w:r w:rsidR="00462338">
        <w:rPr>
          <w:lang w:val="en-US"/>
        </w:rPr>
        <w:t>financial statements</w:t>
      </w:r>
      <w:r w:rsidR="009D154F">
        <w:rPr>
          <w:lang w:val="en-US"/>
        </w:rPr>
        <w:t xml:space="preserve"> of the Dutch pension funds at all. Finally</w:t>
      </w:r>
      <w:r w:rsidR="005311CB">
        <w:rPr>
          <w:lang w:val="en-US"/>
        </w:rPr>
        <w:t xml:space="preserve">, the </w:t>
      </w:r>
      <w:r w:rsidR="00FB4FA8">
        <w:rPr>
          <w:lang w:val="en-US"/>
        </w:rPr>
        <w:t>quantity and quality of investment risk disclosures will be analyzed</w:t>
      </w:r>
      <w:r w:rsidR="00B82FF1">
        <w:rPr>
          <w:lang w:val="en-US"/>
        </w:rPr>
        <w:t>. When applicable, the size of the pension funds will be taken into account as part of the analysis and results.</w:t>
      </w:r>
      <w:r w:rsidR="00FB4FA8">
        <w:rPr>
          <w:lang w:val="en-US"/>
        </w:rPr>
        <w:t xml:space="preserve"> </w:t>
      </w:r>
      <w:r>
        <w:rPr>
          <w:lang w:val="en-US"/>
        </w:rPr>
        <w:t xml:space="preserve"> </w:t>
      </w:r>
    </w:p>
    <w:p w:rsidR="00A36AA2" w:rsidRPr="00B82FF1" w:rsidRDefault="00471213">
      <w:pPr>
        <w:pStyle w:val="Kop2"/>
        <w:numPr>
          <w:ilvl w:val="0"/>
          <w:numId w:val="0"/>
        </w:numPr>
        <w:spacing w:line="360" w:lineRule="auto"/>
        <w:ind w:left="576" w:hanging="576"/>
        <w:jc w:val="both"/>
        <w:rPr>
          <w:highlight w:val="yellow"/>
          <w:lang w:val="en-US"/>
        </w:rPr>
      </w:pPr>
      <w:bookmarkStart w:id="60" w:name="_Toc355387309"/>
      <w:r w:rsidRPr="00B82FF1">
        <w:rPr>
          <w:rFonts w:ascii="Times New Roman" w:hAnsi="Times New Roman" w:cs="Times New Roman"/>
          <w:bCs w:val="0"/>
          <w:i w:val="0"/>
          <w:iCs w:val="0"/>
          <w:sz w:val="24"/>
          <w:szCs w:val="24"/>
          <w:lang w:val="en-US"/>
        </w:rPr>
        <w:t>4.1</w:t>
      </w:r>
      <w:r w:rsidRPr="00B82FF1">
        <w:rPr>
          <w:rFonts w:ascii="Times New Roman" w:hAnsi="Times New Roman" w:cs="Times New Roman"/>
          <w:bCs w:val="0"/>
          <w:i w:val="0"/>
          <w:iCs w:val="0"/>
          <w:sz w:val="24"/>
          <w:szCs w:val="24"/>
          <w:lang w:val="en-US"/>
        </w:rPr>
        <w:tab/>
      </w:r>
      <w:r w:rsidR="00D56786" w:rsidRPr="00B82FF1">
        <w:rPr>
          <w:rFonts w:ascii="Times New Roman" w:hAnsi="Times New Roman" w:cs="Times New Roman"/>
          <w:bCs w:val="0"/>
          <w:i w:val="0"/>
          <w:iCs w:val="0"/>
          <w:sz w:val="24"/>
          <w:szCs w:val="24"/>
          <w:lang w:val="en-US"/>
        </w:rPr>
        <w:t xml:space="preserve">General </w:t>
      </w:r>
      <w:r w:rsidR="00065FF9" w:rsidRPr="00B82FF1">
        <w:rPr>
          <w:rFonts w:ascii="Times New Roman" w:hAnsi="Times New Roman" w:cs="Times New Roman"/>
          <w:bCs w:val="0"/>
          <w:i w:val="0"/>
          <w:iCs w:val="0"/>
          <w:sz w:val="24"/>
          <w:szCs w:val="24"/>
          <w:lang w:val="en-US"/>
        </w:rPr>
        <w:t>characteristics</w:t>
      </w:r>
      <w:bookmarkEnd w:id="60"/>
    </w:p>
    <w:p w:rsidR="00471213" w:rsidRPr="00B17FBA" w:rsidRDefault="00590819" w:rsidP="00961508">
      <w:pPr>
        <w:spacing w:line="360" w:lineRule="auto"/>
        <w:jc w:val="both"/>
        <w:rPr>
          <w:lang w:val="en-US"/>
        </w:rPr>
      </w:pPr>
      <w:r>
        <w:rPr>
          <w:lang w:val="en-US"/>
        </w:rPr>
        <w:t>IFRS and</w:t>
      </w:r>
      <w:r w:rsidR="003B69E4">
        <w:rPr>
          <w:lang w:val="en-US"/>
        </w:rPr>
        <w:t xml:space="preserve"> </w:t>
      </w:r>
      <w:r w:rsidR="00D323D2">
        <w:rPr>
          <w:lang w:val="en-US"/>
        </w:rPr>
        <w:t xml:space="preserve">pension fund type are important general characteristics that will be presented in this paragraph. </w:t>
      </w:r>
      <w:r w:rsidR="00B17FBA" w:rsidRPr="00B17FBA">
        <w:rPr>
          <w:lang w:val="en-US"/>
        </w:rPr>
        <w:t xml:space="preserve">Another </w:t>
      </w:r>
      <w:r w:rsidR="00B17FBA">
        <w:rPr>
          <w:lang w:val="en-US"/>
        </w:rPr>
        <w:t>general characteristic, the pension fund size has already been ela</w:t>
      </w:r>
      <w:r w:rsidR="0062323D">
        <w:rPr>
          <w:lang w:val="en-US"/>
        </w:rPr>
        <w:t>borated in paragraph 3.4</w:t>
      </w:r>
      <w:r w:rsidR="004E6AF0">
        <w:rPr>
          <w:lang w:val="en-US"/>
        </w:rPr>
        <w:t>. More information regarding the characteristic pension fund size was already necessary to be able to compose the sample.</w:t>
      </w:r>
    </w:p>
    <w:p w:rsidR="00B17FBA" w:rsidRDefault="00B17FBA" w:rsidP="00961508">
      <w:pPr>
        <w:spacing w:line="360" w:lineRule="auto"/>
        <w:jc w:val="both"/>
        <w:rPr>
          <w:i/>
          <w:lang w:val="en-US"/>
        </w:rPr>
      </w:pPr>
    </w:p>
    <w:p w:rsidR="003E3E96" w:rsidRDefault="003E3E96" w:rsidP="00961508">
      <w:pPr>
        <w:spacing w:line="360" w:lineRule="auto"/>
        <w:jc w:val="both"/>
        <w:rPr>
          <w:i/>
          <w:lang w:val="en-US"/>
        </w:rPr>
      </w:pPr>
      <w:r w:rsidRPr="00B82FF1">
        <w:rPr>
          <w:i/>
          <w:lang w:val="en-US"/>
        </w:rPr>
        <w:t>IFRS</w:t>
      </w:r>
    </w:p>
    <w:p w:rsidR="00F93A02" w:rsidRDefault="0099257F" w:rsidP="00961508">
      <w:pPr>
        <w:spacing w:line="360" w:lineRule="auto"/>
        <w:jc w:val="both"/>
        <w:rPr>
          <w:lang w:val="en-US"/>
        </w:rPr>
      </w:pPr>
      <w:r>
        <w:rPr>
          <w:lang w:val="en-US"/>
        </w:rPr>
        <w:t xml:space="preserve">In paragraph 2.6.3 has been described that it is possible for Dutch pension funds to present the </w:t>
      </w:r>
      <w:r w:rsidR="00117BD0">
        <w:rPr>
          <w:lang w:val="en-US"/>
        </w:rPr>
        <w:t>financial statements</w:t>
      </w:r>
      <w:r w:rsidR="000838CC">
        <w:rPr>
          <w:lang w:val="en-US"/>
        </w:rPr>
        <w:t xml:space="preserve"> in accordance with the International Financial Reporting Standards. </w:t>
      </w:r>
      <w:r w:rsidR="00573933">
        <w:rPr>
          <w:lang w:val="en-US"/>
        </w:rPr>
        <w:t xml:space="preserve">In the same paragraph has also been described that </w:t>
      </w:r>
      <w:r w:rsidR="00F93A02">
        <w:rPr>
          <w:lang w:val="en-US"/>
        </w:rPr>
        <w:t xml:space="preserve">whether or not applying IFRS could result in differences in the risk disclosures. </w:t>
      </w:r>
    </w:p>
    <w:p w:rsidR="00611BD1" w:rsidRDefault="00F93A02" w:rsidP="00961508">
      <w:pPr>
        <w:spacing w:line="360" w:lineRule="auto"/>
        <w:jc w:val="both"/>
        <w:rPr>
          <w:lang w:val="en-US"/>
        </w:rPr>
      </w:pPr>
      <w:r>
        <w:rPr>
          <w:lang w:val="en-US"/>
        </w:rPr>
        <w:t>The answers on question 3 of the che</w:t>
      </w:r>
      <w:r w:rsidR="0062323D">
        <w:rPr>
          <w:lang w:val="en-US"/>
        </w:rPr>
        <w:t>cklist as depicted in appendix 10</w:t>
      </w:r>
      <w:r>
        <w:rPr>
          <w:lang w:val="en-US"/>
        </w:rPr>
        <w:t xml:space="preserve"> made clear that none of the pension funds in the sample presented the financial statements in accordance with IFRS. However, the </w:t>
      </w:r>
      <w:r w:rsidR="00F7433E">
        <w:rPr>
          <w:lang w:val="en-US"/>
        </w:rPr>
        <w:t>answers on question 4 of the checklist elucidated th</w:t>
      </w:r>
      <w:r w:rsidR="003C397C">
        <w:rPr>
          <w:lang w:val="en-US"/>
        </w:rPr>
        <w:t xml:space="preserve">at pension </w:t>
      </w:r>
      <w:r w:rsidR="0082197A">
        <w:rPr>
          <w:lang w:val="en-US"/>
        </w:rPr>
        <w:t>funds in the sample indeed mention</w:t>
      </w:r>
      <w:r w:rsidR="003C397C">
        <w:rPr>
          <w:lang w:val="en-US"/>
        </w:rPr>
        <w:t xml:space="preserve"> IFRS in parts of the financial statements.</w:t>
      </w:r>
      <w:r w:rsidR="001466E0">
        <w:rPr>
          <w:lang w:val="en-US"/>
        </w:rPr>
        <w:t xml:space="preserve"> </w:t>
      </w:r>
    </w:p>
    <w:p w:rsidR="0077798E" w:rsidRDefault="0077798E" w:rsidP="00961508">
      <w:pPr>
        <w:spacing w:line="360" w:lineRule="auto"/>
        <w:jc w:val="both"/>
        <w:rPr>
          <w:lang w:val="en-US"/>
        </w:rPr>
      </w:pPr>
      <w:r>
        <w:rPr>
          <w:lang w:val="en-US"/>
        </w:rPr>
        <w:t xml:space="preserve">In the financial statements of 2011, </w:t>
      </w:r>
      <w:proofErr w:type="spellStart"/>
      <w:r w:rsidR="001466E0">
        <w:rPr>
          <w:lang w:val="en-US"/>
        </w:rPr>
        <w:t>Stichting</w:t>
      </w:r>
      <w:proofErr w:type="spellEnd"/>
      <w:r w:rsidR="001466E0">
        <w:rPr>
          <w:lang w:val="en-US"/>
        </w:rPr>
        <w:t xml:space="preserve"> Philips </w:t>
      </w:r>
      <w:proofErr w:type="spellStart"/>
      <w:r w:rsidR="001466E0">
        <w:rPr>
          <w:lang w:val="en-US"/>
        </w:rPr>
        <w:t>Pensioenfonds</w:t>
      </w:r>
      <w:proofErr w:type="spellEnd"/>
      <w:r w:rsidR="00E8456A">
        <w:rPr>
          <w:lang w:val="en-US"/>
        </w:rPr>
        <w:t xml:space="preserve"> and </w:t>
      </w:r>
      <w:proofErr w:type="spellStart"/>
      <w:r w:rsidR="00E8456A">
        <w:rPr>
          <w:lang w:val="en-US"/>
        </w:rPr>
        <w:t>Stichting</w:t>
      </w:r>
      <w:proofErr w:type="spellEnd"/>
      <w:r w:rsidR="00E8456A">
        <w:rPr>
          <w:lang w:val="en-US"/>
        </w:rPr>
        <w:t xml:space="preserve"> </w:t>
      </w:r>
      <w:proofErr w:type="spellStart"/>
      <w:r w:rsidR="00E8456A">
        <w:rPr>
          <w:lang w:val="en-US"/>
        </w:rPr>
        <w:t>Pensioenfonds</w:t>
      </w:r>
      <w:proofErr w:type="spellEnd"/>
      <w:r w:rsidR="00E8456A">
        <w:rPr>
          <w:lang w:val="en-US"/>
        </w:rPr>
        <w:t xml:space="preserve"> DSM Nederland describe that the </w:t>
      </w:r>
      <w:r w:rsidR="0082197A">
        <w:rPr>
          <w:lang w:val="en-US"/>
        </w:rPr>
        <w:t xml:space="preserve">presented </w:t>
      </w:r>
      <w:r w:rsidR="00E8456A">
        <w:rPr>
          <w:lang w:val="en-US"/>
        </w:rPr>
        <w:t xml:space="preserve">fair value hierarchy of the investments is based on IFRS 7. </w:t>
      </w:r>
      <w:r w:rsidR="00611BD1">
        <w:rPr>
          <w:lang w:val="en-US"/>
        </w:rPr>
        <w:t xml:space="preserve">Furthermore, </w:t>
      </w:r>
      <w:proofErr w:type="spellStart"/>
      <w:r w:rsidR="00611BD1">
        <w:rPr>
          <w:lang w:val="en-US"/>
        </w:rPr>
        <w:t>Stichting</w:t>
      </w:r>
      <w:proofErr w:type="spellEnd"/>
      <w:r w:rsidR="00611BD1">
        <w:rPr>
          <w:lang w:val="en-US"/>
        </w:rPr>
        <w:t xml:space="preserve"> </w:t>
      </w:r>
      <w:proofErr w:type="spellStart"/>
      <w:r w:rsidR="00611BD1">
        <w:rPr>
          <w:lang w:val="en-US"/>
        </w:rPr>
        <w:t>Rabobank</w:t>
      </w:r>
      <w:proofErr w:type="spellEnd"/>
      <w:r w:rsidR="00611BD1">
        <w:rPr>
          <w:lang w:val="en-US"/>
        </w:rPr>
        <w:t xml:space="preserve"> </w:t>
      </w:r>
      <w:proofErr w:type="spellStart"/>
      <w:r w:rsidR="00611BD1">
        <w:rPr>
          <w:lang w:val="en-US"/>
        </w:rPr>
        <w:t>Pensioenfonds</w:t>
      </w:r>
      <w:proofErr w:type="spellEnd"/>
      <w:r w:rsidR="00611BD1">
        <w:rPr>
          <w:lang w:val="en-US"/>
        </w:rPr>
        <w:t xml:space="preserve"> described in the financial statements of 2011 </w:t>
      </w:r>
      <w:r w:rsidR="002F70E0">
        <w:rPr>
          <w:lang w:val="en-US"/>
        </w:rPr>
        <w:t xml:space="preserve">that changes in IFRS guidelines could possibly have impact on the pension schemes. </w:t>
      </w:r>
    </w:p>
    <w:p w:rsidR="00611BD1" w:rsidRDefault="002F70E0" w:rsidP="00961508">
      <w:pPr>
        <w:autoSpaceDE w:val="0"/>
        <w:autoSpaceDN w:val="0"/>
        <w:adjustRightInd w:val="0"/>
        <w:spacing w:line="360" w:lineRule="auto"/>
        <w:jc w:val="both"/>
        <w:rPr>
          <w:lang w:val="en-US"/>
        </w:rPr>
      </w:pPr>
      <w:r>
        <w:rPr>
          <w:lang w:val="en-US"/>
        </w:rPr>
        <w:t xml:space="preserve">In the 2006 financial statements </w:t>
      </w:r>
      <w:r w:rsidR="00D47413">
        <w:rPr>
          <w:lang w:val="en-US"/>
        </w:rPr>
        <w:t xml:space="preserve">of </w:t>
      </w:r>
      <w:proofErr w:type="spellStart"/>
      <w:r>
        <w:rPr>
          <w:lang w:val="en-US"/>
        </w:rPr>
        <w:t>Stichting</w:t>
      </w:r>
      <w:proofErr w:type="spellEnd"/>
      <w:r>
        <w:rPr>
          <w:lang w:val="en-US"/>
        </w:rPr>
        <w:t xml:space="preserve"> </w:t>
      </w:r>
      <w:proofErr w:type="spellStart"/>
      <w:r>
        <w:rPr>
          <w:lang w:val="en-US"/>
        </w:rPr>
        <w:t>Spoorwegpensioenfonds</w:t>
      </w:r>
      <w:proofErr w:type="spellEnd"/>
      <w:r>
        <w:rPr>
          <w:lang w:val="en-US"/>
        </w:rPr>
        <w:t xml:space="preserve"> and </w:t>
      </w:r>
      <w:proofErr w:type="spellStart"/>
      <w:r w:rsidR="00D47413">
        <w:rPr>
          <w:lang w:val="en-US"/>
        </w:rPr>
        <w:t>Stichting</w:t>
      </w:r>
      <w:proofErr w:type="spellEnd"/>
      <w:r w:rsidR="00D47413">
        <w:rPr>
          <w:lang w:val="en-US"/>
        </w:rPr>
        <w:t xml:space="preserve"> </w:t>
      </w:r>
      <w:proofErr w:type="spellStart"/>
      <w:r w:rsidR="00D47413">
        <w:rPr>
          <w:lang w:val="en-US"/>
        </w:rPr>
        <w:t>Pensioenfonds</w:t>
      </w:r>
      <w:proofErr w:type="spellEnd"/>
      <w:r w:rsidR="00D47413">
        <w:rPr>
          <w:lang w:val="en-US"/>
        </w:rPr>
        <w:t xml:space="preserve"> </w:t>
      </w:r>
      <w:proofErr w:type="spellStart"/>
      <w:r w:rsidR="00D47413">
        <w:rPr>
          <w:lang w:val="en-US"/>
        </w:rPr>
        <w:t>Openbaar</w:t>
      </w:r>
      <w:proofErr w:type="spellEnd"/>
      <w:r w:rsidR="00D47413">
        <w:rPr>
          <w:lang w:val="en-US"/>
        </w:rPr>
        <w:t xml:space="preserve"> </w:t>
      </w:r>
      <w:proofErr w:type="spellStart"/>
      <w:r w:rsidR="00D47413">
        <w:rPr>
          <w:lang w:val="en-US"/>
        </w:rPr>
        <w:t>Vervoer</w:t>
      </w:r>
      <w:proofErr w:type="spellEnd"/>
      <w:r w:rsidR="00D47413">
        <w:rPr>
          <w:lang w:val="en-US"/>
        </w:rPr>
        <w:t xml:space="preserve"> </w:t>
      </w:r>
      <w:r w:rsidR="00BA6350">
        <w:rPr>
          <w:lang w:val="en-US"/>
        </w:rPr>
        <w:t xml:space="preserve">the </w:t>
      </w:r>
      <w:proofErr w:type="spellStart"/>
      <w:r w:rsidR="00BA6350">
        <w:rPr>
          <w:lang w:val="en-US"/>
        </w:rPr>
        <w:t>Excecutive</w:t>
      </w:r>
      <w:proofErr w:type="spellEnd"/>
      <w:r w:rsidR="00BA6350">
        <w:rPr>
          <w:lang w:val="en-US"/>
        </w:rPr>
        <w:t xml:space="preserve"> Board</w:t>
      </w:r>
      <w:r w:rsidR="0082197A">
        <w:rPr>
          <w:lang w:val="en-US"/>
        </w:rPr>
        <w:t>s</w:t>
      </w:r>
      <w:r w:rsidR="00BA6350">
        <w:rPr>
          <w:lang w:val="en-US"/>
        </w:rPr>
        <w:t xml:space="preserve"> of Directors </w:t>
      </w:r>
      <w:r w:rsidR="00D47413">
        <w:rPr>
          <w:lang w:val="en-US"/>
        </w:rPr>
        <w:t>described th</w:t>
      </w:r>
      <w:r w:rsidR="00BA6350">
        <w:rPr>
          <w:lang w:val="en-US"/>
        </w:rPr>
        <w:t>at in 2006, these pension funds changed their asset mix among</w:t>
      </w:r>
      <w:r w:rsidR="001A7BF4">
        <w:rPr>
          <w:lang w:val="en-US"/>
        </w:rPr>
        <w:t>st</w:t>
      </w:r>
      <w:r w:rsidR="00BA6350">
        <w:rPr>
          <w:lang w:val="en-US"/>
        </w:rPr>
        <w:t xml:space="preserve"> other this things by changes in international financial reporting standards.</w:t>
      </w:r>
      <w:r w:rsidR="00D47413">
        <w:rPr>
          <w:lang w:val="en-US"/>
        </w:rPr>
        <w:t xml:space="preserve"> </w:t>
      </w:r>
      <w:r w:rsidR="00BA6350">
        <w:rPr>
          <w:lang w:val="en-US"/>
        </w:rPr>
        <w:t>However, t</w:t>
      </w:r>
      <w:r w:rsidR="00611BD1">
        <w:rPr>
          <w:lang w:val="en-US"/>
        </w:rPr>
        <w:t xml:space="preserve">hese parts </w:t>
      </w:r>
      <w:r w:rsidR="00D47413">
        <w:rPr>
          <w:lang w:val="en-US"/>
        </w:rPr>
        <w:t xml:space="preserve">of the financial statements </w:t>
      </w:r>
      <w:r w:rsidR="00611BD1">
        <w:rPr>
          <w:lang w:val="en-US"/>
        </w:rPr>
        <w:t xml:space="preserve">do not concern </w:t>
      </w:r>
      <w:r w:rsidR="0082197A">
        <w:rPr>
          <w:lang w:val="en-US"/>
        </w:rPr>
        <w:t>specifically investment risks or the</w:t>
      </w:r>
      <w:r w:rsidR="00611BD1">
        <w:rPr>
          <w:lang w:val="en-US"/>
        </w:rPr>
        <w:t xml:space="preserve"> financial crisis </w:t>
      </w:r>
      <w:r w:rsidR="00D47413">
        <w:rPr>
          <w:lang w:val="en-US"/>
        </w:rPr>
        <w:t xml:space="preserve">and therefore </w:t>
      </w:r>
      <w:r w:rsidR="0082197A">
        <w:rPr>
          <w:lang w:val="en-US"/>
        </w:rPr>
        <w:t xml:space="preserve">this </w:t>
      </w:r>
      <w:r w:rsidR="00611BD1">
        <w:rPr>
          <w:lang w:val="en-US"/>
        </w:rPr>
        <w:t>will not influence the results of the analyses in the remainder of th</w:t>
      </w:r>
      <w:r w:rsidR="00D47413">
        <w:rPr>
          <w:lang w:val="en-US"/>
        </w:rPr>
        <w:t>is chapter.</w:t>
      </w:r>
      <w:r w:rsidR="00611BD1">
        <w:rPr>
          <w:lang w:val="en-US"/>
        </w:rPr>
        <w:t xml:space="preserve"> </w:t>
      </w:r>
    </w:p>
    <w:p w:rsidR="00611BD1" w:rsidRDefault="00611BD1" w:rsidP="00471213">
      <w:pPr>
        <w:spacing w:line="360" w:lineRule="auto"/>
        <w:rPr>
          <w:lang w:val="en-US"/>
        </w:rPr>
      </w:pP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30"/>
      </w:tblGrid>
      <w:tr w:rsidR="009E47DF" w:rsidRPr="005311CB" w:rsidTr="00FB4FA8">
        <w:trPr>
          <w:cantSplit/>
          <w:tblHeader/>
        </w:trPr>
        <w:tc>
          <w:tcPr>
            <w:tcW w:w="9630" w:type="dxa"/>
            <w:tcBorders>
              <w:top w:val="nil"/>
              <w:left w:val="nil"/>
              <w:bottom w:val="nil"/>
              <w:right w:val="nil"/>
            </w:tcBorders>
            <w:shd w:val="clear" w:color="auto" w:fill="FFFFFF"/>
            <w:vAlign w:val="center"/>
          </w:tcPr>
          <w:p w:rsidR="009E47DF" w:rsidRPr="00B82FF1" w:rsidRDefault="005311CB" w:rsidP="00B82FF1">
            <w:pPr>
              <w:spacing w:line="360" w:lineRule="auto"/>
              <w:rPr>
                <w:rFonts w:cs="Times New Roman"/>
                <w:bCs/>
                <w:i/>
                <w:color w:val="000000"/>
                <w:lang w:val="en-US" w:eastAsia="en-US" w:bidi="ar-SA"/>
              </w:rPr>
            </w:pPr>
            <w:r w:rsidRPr="00B82FF1">
              <w:rPr>
                <w:rFonts w:cs="Times New Roman"/>
                <w:bCs/>
                <w:i/>
                <w:color w:val="000000"/>
                <w:lang w:val="en-US" w:eastAsia="en-US" w:bidi="ar-SA"/>
              </w:rPr>
              <w:t>Pension fund type</w:t>
            </w:r>
          </w:p>
          <w:p w:rsidR="00577B63" w:rsidRDefault="00B82FF1" w:rsidP="00961508">
            <w:pPr>
              <w:spacing w:line="360" w:lineRule="auto"/>
              <w:jc w:val="both"/>
              <w:rPr>
                <w:rFonts w:cs="Times New Roman"/>
                <w:bCs/>
                <w:color w:val="000000"/>
                <w:lang w:val="en-US" w:eastAsia="en-US" w:bidi="ar-SA"/>
              </w:rPr>
            </w:pPr>
            <w:r w:rsidRPr="00B82FF1">
              <w:rPr>
                <w:rFonts w:cs="Times New Roman"/>
                <w:bCs/>
                <w:color w:val="000000"/>
                <w:lang w:val="en-US" w:eastAsia="en-US" w:bidi="ar-SA"/>
              </w:rPr>
              <w:t>T</w:t>
            </w:r>
            <w:r w:rsidR="00CF652F">
              <w:rPr>
                <w:rFonts w:cs="Times New Roman"/>
                <w:bCs/>
                <w:color w:val="000000"/>
                <w:lang w:val="en-US" w:eastAsia="en-US" w:bidi="ar-SA"/>
              </w:rPr>
              <w:t>he Dutch Central Bank maintains a number of general characteristics of Dutch pension funds, including the pension fund type. The pension fund type applied to the pension funds in the sample results in the following table.</w:t>
            </w:r>
          </w:p>
          <w:p w:rsidR="008D75C8" w:rsidRPr="004759E3" w:rsidRDefault="008D75C8" w:rsidP="008D75C8">
            <w:pPr>
              <w:spacing w:line="120" w:lineRule="exact"/>
              <w:rPr>
                <w:rFonts w:cs="Times New Roman"/>
                <w:lang w:val="en-US" w:eastAsia="en-US" w:bidi="ar-SA"/>
              </w:rPr>
            </w:pPr>
          </w:p>
          <w:tbl>
            <w:tblPr>
              <w:tblW w:w="8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53"/>
              <w:gridCol w:w="1456"/>
              <w:gridCol w:w="1454"/>
              <w:gridCol w:w="1456"/>
              <w:gridCol w:w="1456"/>
              <w:gridCol w:w="1010"/>
            </w:tblGrid>
            <w:tr w:rsidR="00577B63" w:rsidRPr="00577B63" w:rsidTr="002F4C64">
              <w:trPr>
                <w:cantSplit/>
                <w:tblHeader/>
              </w:trPr>
              <w:tc>
                <w:tcPr>
                  <w:tcW w:w="167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77B63" w:rsidRPr="004759E3" w:rsidRDefault="00577B63" w:rsidP="00577B63">
                  <w:pPr>
                    <w:autoSpaceDE w:val="0"/>
                    <w:autoSpaceDN w:val="0"/>
                    <w:adjustRightInd w:val="0"/>
                    <w:jc w:val="center"/>
                    <w:rPr>
                      <w:rFonts w:cs="Times New Roman"/>
                      <w:lang w:val="en-US" w:eastAsia="en-US" w:bidi="ar-SA"/>
                    </w:rPr>
                  </w:pPr>
                </w:p>
              </w:tc>
              <w:tc>
                <w:tcPr>
                  <w:tcW w:w="5822" w:type="dxa"/>
                  <w:gridSpan w:val="4"/>
                  <w:tcBorders>
                    <w:top w:val="single" w:sz="16" w:space="0" w:color="000000"/>
                    <w:left w:val="single" w:sz="16" w:space="0" w:color="000000"/>
                  </w:tcBorders>
                  <w:shd w:val="clear" w:color="auto" w:fill="FFFFFF"/>
                  <w:vAlign w:val="bottom"/>
                </w:tcPr>
                <w:p w:rsidR="00577B63" w:rsidRPr="00577B63" w:rsidRDefault="00577B63" w:rsidP="002F4C64">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 xml:space="preserve">Pension </w:t>
                  </w:r>
                  <w:proofErr w:type="spellStart"/>
                  <w:r w:rsidRPr="00577B63">
                    <w:rPr>
                      <w:rFonts w:ascii="Arial" w:hAnsi="Arial" w:cs="Arial"/>
                      <w:color w:val="000000"/>
                      <w:sz w:val="18"/>
                      <w:szCs w:val="18"/>
                      <w:lang w:val="nl-NL" w:eastAsia="en-US" w:bidi="ar-SA"/>
                    </w:rPr>
                    <w:t>fund</w:t>
                  </w:r>
                  <w:proofErr w:type="spellEnd"/>
                  <w:r w:rsidRPr="00577B63">
                    <w:rPr>
                      <w:rFonts w:ascii="Arial" w:hAnsi="Arial" w:cs="Arial"/>
                      <w:color w:val="000000"/>
                      <w:sz w:val="18"/>
                      <w:szCs w:val="18"/>
                      <w:lang w:val="nl-NL" w:eastAsia="en-US" w:bidi="ar-SA"/>
                    </w:rPr>
                    <w:t xml:space="preserve"> type</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577B63" w:rsidRPr="00577B63" w:rsidRDefault="00577B63" w:rsidP="002F4C64">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Total</w:t>
                  </w:r>
                </w:p>
              </w:tc>
            </w:tr>
            <w:tr w:rsidR="00577B63" w:rsidRPr="00577B63" w:rsidTr="002F4C64">
              <w:trPr>
                <w:cantSplit/>
                <w:tblHeader/>
              </w:trPr>
              <w:tc>
                <w:tcPr>
                  <w:tcW w:w="167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77B63" w:rsidRPr="00577B63" w:rsidRDefault="00577B63" w:rsidP="00577B63">
                  <w:pPr>
                    <w:autoSpaceDE w:val="0"/>
                    <w:autoSpaceDN w:val="0"/>
                    <w:adjustRightInd w:val="0"/>
                    <w:rPr>
                      <w:rFonts w:ascii="Arial" w:hAnsi="Arial" w:cs="Arial"/>
                      <w:color w:val="000000"/>
                      <w:sz w:val="18"/>
                      <w:szCs w:val="18"/>
                      <w:lang w:val="nl-NL" w:eastAsia="en-US" w:bidi="ar-SA"/>
                    </w:rPr>
                  </w:pPr>
                </w:p>
              </w:tc>
              <w:tc>
                <w:tcPr>
                  <w:tcW w:w="1456" w:type="dxa"/>
                  <w:tcBorders>
                    <w:left w:val="single" w:sz="16" w:space="0" w:color="000000"/>
                    <w:bottom w:val="single" w:sz="16" w:space="0" w:color="000000"/>
                  </w:tcBorders>
                  <w:shd w:val="clear" w:color="auto" w:fill="FFFFFF"/>
                  <w:vAlign w:val="bottom"/>
                </w:tcPr>
                <w:p w:rsidR="00577B63" w:rsidRPr="00577B63" w:rsidRDefault="00577B63" w:rsidP="00577B63">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 xml:space="preserve">sector pension </w:t>
                  </w:r>
                  <w:proofErr w:type="spellStart"/>
                  <w:r w:rsidRPr="00577B63">
                    <w:rPr>
                      <w:rFonts w:ascii="Arial" w:hAnsi="Arial" w:cs="Arial"/>
                      <w:color w:val="000000"/>
                      <w:sz w:val="18"/>
                      <w:szCs w:val="18"/>
                      <w:lang w:val="nl-NL" w:eastAsia="en-US" w:bidi="ar-SA"/>
                    </w:rPr>
                    <w:t>fund</w:t>
                  </w:r>
                  <w:proofErr w:type="spellEnd"/>
                </w:p>
              </w:tc>
              <w:tc>
                <w:tcPr>
                  <w:tcW w:w="1454" w:type="dxa"/>
                  <w:tcBorders>
                    <w:bottom w:val="single" w:sz="16" w:space="0" w:color="000000"/>
                  </w:tcBorders>
                  <w:shd w:val="clear" w:color="auto" w:fill="FFFFFF"/>
                  <w:vAlign w:val="bottom"/>
                </w:tcPr>
                <w:p w:rsidR="00577B63" w:rsidRPr="00577B63" w:rsidRDefault="00577B63" w:rsidP="002F4C6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577B63">
                    <w:rPr>
                      <w:rFonts w:ascii="Arial" w:hAnsi="Arial" w:cs="Arial"/>
                      <w:color w:val="000000"/>
                      <w:sz w:val="18"/>
                      <w:szCs w:val="18"/>
                      <w:lang w:val="nl-NL" w:eastAsia="en-US" w:bidi="ar-SA"/>
                    </w:rPr>
                    <w:t>compulsory</w:t>
                  </w:r>
                  <w:proofErr w:type="spellEnd"/>
                  <w:r w:rsidRPr="00577B63">
                    <w:rPr>
                      <w:rFonts w:ascii="Arial" w:hAnsi="Arial" w:cs="Arial"/>
                      <w:color w:val="000000"/>
                      <w:sz w:val="18"/>
                      <w:szCs w:val="18"/>
                      <w:lang w:val="nl-NL" w:eastAsia="en-US" w:bidi="ar-SA"/>
                    </w:rPr>
                    <w:t xml:space="preserve"> sector pension </w:t>
                  </w:r>
                  <w:proofErr w:type="spellStart"/>
                  <w:r w:rsidRPr="00577B63">
                    <w:rPr>
                      <w:rFonts w:ascii="Arial" w:hAnsi="Arial" w:cs="Arial"/>
                      <w:color w:val="000000"/>
                      <w:sz w:val="18"/>
                      <w:szCs w:val="18"/>
                      <w:lang w:val="nl-NL" w:eastAsia="en-US" w:bidi="ar-SA"/>
                    </w:rPr>
                    <w:t>fund</w:t>
                  </w:r>
                  <w:proofErr w:type="spellEnd"/>
                </w:p>
              </w:tc>
              <w:tc>
                <w:tcPr>
                  <w:tcW w:w="1456" w:type="dxa"/>
                  <w:tcBorders>
                    <w:bottom w:val="single" w:sz="16" w:space="0" w:color="000000"/>
                  </w:tcBorders>
                  <w:shd w:val="clear" w:color="auto" w:fill="FFFFFF"/>
                  <w:vAlign w:val="bottom"/>
                </w:tcPr>
                <w:p w:rsidR="00577B63" w:rsidRPr="00577B63" w:rsidRDefault="00577B63" w:rsidP="002F4C6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577B63">
                    <w:rPr>
                      <w:rFonts w:ascii="Arial" w:hAnsi="Arial" w:cs="Arial"/>
                      <w:color w:val="000000"/>
                      <w:sz w:val="18"/>
                      <w:szCs w:val="18"/>
                      <w:lang w:val="nl-NL" w:eastAsia="en-US" w:bidi="ar-SA"/>
                    </w:rPr>
                    <w:t>company</w:t>
                  </w:r>
                  <w:proofErr w:type="spellEnd"/>
                  <w:r w:rsidRPr="00577B63">
                    <w:rPr>
                      <w:rFonts w:ascii="Arial" w:hAnsi="Arial" w:cs="Arial"/>
                      <w:color w:val="000000"/>
                      <w:sz w:val="18"/>
                      <w:szCs w:val="18"/>
                      <w:lang w:val="nl-NL" w:eastAsia="en-US" w:bidi="ar-SA"/>
                    </w:rPr>
                    <w:t xml:space="preserve"> pension </w:t>
                  </w:r>
                  <w:proofErr w:type="spellStart"/>
                  <w:r w:rsidRPr="00577B63">
                    <w:rPr>
                      <w:rFonts w:ascii="Arial" w:hAnsi="Arial" w:cs="Arial"/>
                      <w:color w:val="000000"/>
                      <w:sz w:val="18"/>
                      <w:szCs w:val="18"/>
                      <w:lang w:val="nl-NL" w:eastAsia="en-US" w:bidi="ar-SA"/>
                    </w:rPr>
                    <w:t>fund</w:t>
                  </w:r>
                  <w:proofErr w:type="spellEnd"/>
                </w:p>
              </w:tc>
              <w:tc>
                <w:tcPr>
                  <w:tcW w:w="1456" w:type="dxa"/>
                  <w:tcBorders>
                    <w:bottom w:val="single" w:sz="16" w:space="0" w:color="000000"/>
                  </w:tcBorders>
                  <w:shd w:val="clear" w:color="auto" w:fill="FFFFFF"/>
                  <w:vAlign w:val="bottom"/>
                </w:tcPr>
                <w:p w:rsidR="00577B63" w:rsidRPr="00577B63" w:rsidRDefault="00577B63" w:rsidP="002F4C6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577B63">
                    <w:rPr>
                      <w:rFonts w:ascii="Arial" w:hAnsi="Arial" w:cs="Arial"/>
                      <w:color w:val="000000"/>
                      <w:sz w:val="18"/>
                      <w:szCs w:val="18"/>
                      <w:lang w:val="nl-NL" w:eastAsia="en-US" w:bidi="ar-SA"/>
                    </w:rPr>
                    <w:t>occupational</w:t>
                  </w:r>
                  <w:proofErr w:type="spellEnd"/>
                  <w:r w:rsidRPr="00577B63">
                    <w:rPr>
                      <w:rFonts w:ascii="Arial" w:hAnsi="Arial" w:cs="Arial"/>
                      <w:color w:val="000000"/>
                      <w:sz w:val="18"/>
                      <w:szCs w:val="18"/>
                      <w:lang w:val="nl-NL" w:eastAsia="en-US" w:bidi="ar-SA"/>
                    </w:rPr>
                    <w:t xml:space="preserve"> pension </w:t>
                  </w:r>
                  <w:proofErr w:type="spellStart"/>
                  <w:r w:rsidRPr="00577B63">
                    <w:rPr>
                      <w:rFonts w:ascii="Arial" w:hAnsi="Arial" w:cs="Arial"/>
                      <w:color w:val="000000"/>
                      <w:sz w:val="18"/>
                      <w:szCs w:val="18"/>
                      <w:lang w:val="nl-NL" w:eastAsia="en-US" w:bidi="ar-SA"/>
                    </w:rPr>
                    <w:t>fund</w:t>
                  </w:r>
                  <w:proofErr w:type="spellEnd"/>
                </w:p>
              </w:tc>
              <w:tc>
                <w:tcPr>
                  <w:tcW w:w="1010" w:type="dxa"/>
                  <w:vMerge/>
                  <w:tcBorders>
                    <w:top w:val="single" w:sz="16" w:space="0" w:color="000000"/>
                    <w:bottom w:val="single" w:sz="16" w:space="0" w:color="000000"/>
                    <w:right w:val="single" w:sz="16" w:space="0" w:color="000000"/>
                  </w:tcBorders>
                  <w:shd w:val="clear" w:color="auto" w:fill="FFFFFF"/>
                  <w:vAlign w:val="bottom"/>
                </w:tcPr>
                <w:p w:rsidR="00577B63" w:rsidRPr="00577B63" w:rsidRDefault="00577B63" w:rsidP="002F4C64">
                  <w:pPr>
                    <w:autoSpaceDE w:val="0"/>
                    <w:autoSpaceDN w:val="0"/>
                    <w:adjustRightInd w:val="0"/>
                    <w:spacing w:line="276" w:lineRule="auto"/>
                    <w:rPr>
                      <w:rFonts w:ascii="Arial" w:hAnsi="Arial" w:cs="Arial"/>
                      <w:color w:val="000000"/>
                      <w:sz w:val="18"/>
                      <w:szCs w:val="18"/>
                      <w:lang w:val="nl-NL" w:eastAsia="en-US" w:bidi="ar-SA"/>
                    </w:rPr>
                  </w:pPr>
                </w:p>
              </w:tc>
            </w:tr>
            <w:tr w:rsidR="00577B63" w:rsidRPr="00577B63" w:rsidTr="002F4C64">
              <w:trPr>
                <w:cantSplit/>
                <w:tblHeader/>
              </w:trPr>
              <w:tc>
                <w:tcPr>
                  <w:tcW w:w="726" w:type="dxa"/>
                  <w:vMerge w:val="restart"/>
                  <w:tcBorders>
                    <w:top w:val="single" w:sz="16" w:space="0" w:color="000000"/>
                    <w:left w:val="single" w:sz="16" w:space="0" w:color="000000"/>
                    <w:bottom w:val="nil"/>
                    <w:right w:val="nil"/>
                  </w:tcBorders>
                  <w:shd w:val="clear" w:color="auto" w:fill="FFFFFF"/>
                </w:tcPr>
                <w:p w:rsidR="00577B63" w:rsidRPr="00577B63" w:rsidRDefault="00577B63" w:rsidP="002F4C6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577B63">
                    <w:rPr>
                      <w:rFonts w:ascii="Arial" w:hAnsi="Arial" w:cs="Arial"/>
                      <w:color w:val="000000"/>
                      <w:sz w:val="18"/>
                      <w:szCs w:val="18"/>
                      <w:lang w:val="nl-NL" w:eastAsia="en-US" w:bidi="ar-SA"/>
                    </w:rPr>
                    <w:t>Size</w:t>
                  </w:r>
                  <w:proofErr w:type="spellEnd"/>
                </w:p>
              </w:tc>
              <w:tc>
                <w:tcPr>
                  <w:tcW w:w="953" w:type="dxa"/>
                  <w:tcBorders>
                    <w:top w:val="single" w:sz="16" w:space="0" w:color="000000"/>
                    <w:left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 xml:space="preserve">X </w:t>
                  </w:r>
                  <w:proofErr w:type="spellStart"/>
                  <w:r w:rsidRPr="00577B63">
                    <w:rPr>
                      <w:rFonts w:ascii="Arial" w:hAnsi="Arial" w:cs="Arial"/>
                      <w:color w:val="000000"/>
                      <w:sz w:val="18"/>
                      <w:szCs w:val="18"/>
                      <w:lang w:val="nl-NL" w:eastAsia="en-US" w:bidi="ar-SA"/>
                    </w:rPr>
                    <w:t>Large</w:t>
                  </w:r>
                  <w:proofErr w:type="spellEnd"/>
                </w:p>
              </w:tc>
              <w:tc>
                <w:tcPr>
                  <w:tcW w:w="1456" w:type="dxa"/>
                  <w:tcBorders>
                    <w:top w:val="single" w:sz="16" w:space="0" w:color="000000"/>
                    <w:left w:val="single" w:sz="16" w:space="0" w:color="000000"/>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0</w:t>
                  </w:r>
                </w:p>
              </w:tc>
              <w:tc>
                <w:tcPr>
                  <w:tcW w:w="1454" w:type="dxa"/>
                  <w:tcBorders>
                    <w:top w:val="single" w:sz="16" w:space="0" w:color="000000"/>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5</w:t>
                  </w:r>
                </w:p>
              </w:tc>
              <w:tc>
                <w:tcPr>
                  <w:tcW w:w="1456" w:type="dxa"/>
                  <w:tcBorders>
                    <w:top w:val="single" w:sz="16" w:space="0" w:color="000000"/>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0</w:t>
                  </w:r>
                </w:p>
              </w:tc>
              <w:tc>
                <w:tcPr>
                  <w:tcW w:w="1456" w:type="dxa"/>
                  <w:tcBorders>
                    <w:top w:val="single" w:sz="16" w:space="0" w:color="000000"/>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0</w:t>
                  </w:r>
                </w:p>
              </w:tc>
              <w:tc>
                <w:tcPr>
                  <w:tcW w:w="1010" w:type="dxa"/>
                  <w:tcBorders>
                    <w:top w:val="single" w:sz="16" w:space="0" w:color="000000"/>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5</w:t>
                  </w:r>
                </w:p>
              </w:tc>
            </w:tr>
            <w:tr w:rsidR="00577B63" w:rsidRPr="00577B63" w:rsidTr="002F4C64">
              <w:trPr>
                <w:cantSplit/>
                <w:tblHeader/>
              </w:trPr>
              <w:tc>
                <w:tcPr>
                  <w:tcW w:w="726" w:type="dxa"/>
                  <w:vMerge/>
                  <w:tcBorders>
                    <w:top w:val="single" w:sz="16" w:space="0" w:color="000000"/>
                    <w:left w:val="single" w:sz="16" w:space="0" w:color="000000"/>
                    <w:bottom w:val="nil"/>
                    <w:right w:val="nil"/>
                  </w:tcBorders>
                  <w:shd w:val="clear" w:color="auto" w:fill="FFFFFF"/>
                </w:tcPr>
                <w:p w:rsidR="00577B63" w:rsidRPr="00577B63" w:rsidRDefault="00577B63" w:rsidP="002F4C64">
                  <w:pPr>
                    <w:autoSpaceDE w:val="0"/>
                    <w:autoSpaceDN w:val="0"/>
                    <w:adjustRightInd w:val="0"/>
                    <w:spacing w:line="276" w:lineRule="auto"/>
                    <w:rPr>
                      <w:rFonts w:ascii="Arial" w:hAnsi="Arial" w:cs="Arial"/>
                      <w:color w:val="000000"/>
                      <w:sz w:val="18"/>
                      <w:szCs w:val="18"/>
                      <w:lang w:val="nl-NL" w:eastAsia="en-US" w:bidi="ar-SA"/>
                    </w:rPr>
                  </w:pPr>
                </w:p>
              </w:tc>
              <w:tc>
                <w:tcPr>
                  <w:tcW w:w="953" w:type="dxa"/>
                  <w:tcBorders>
                    <w:top w:val="nil"/>
                    <w:left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577B63">
                    <w:rPr>
                      <w:rFonts w:ascii="Arial" w:hAnsi="Arial" w:cs="Arial"/>
                      <w:color w:val="000000"/>
                      <w:sz w:val="18"/>
                      <w:szCs w:val="18"/>
                      <w:lang w:val="nl-NL" w:eastAsia="en-US" w:bidi="ar-SA"/>
                    </w:rPr>
                    <w:t>Large</w:t>
                  </w:r>
                  <w:proofErr w:type="spellEnd"/>
                </w:p>
              </w:tc>
              <w:tc>
                <w:tcPr>
                  <w:tcW w:w="1456" w:type="dxa"/>
                  <w:tcBorders>
                    <w:top w:val="nil"/>
                    <w:left w:val="single" w:sz="16" w:space="0" w:color="000000"/>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1</w:t>
                  </w:r>
                </w:p>
              </w:tc>
              <w:tc>
                <w:tcPr>
                  <w:tcW w:w="1454"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1</w:t>
                  </w:r>
                </w:p>
              </w:tc>
              <w:tc>
                <w:tcPr>
                  <w:tcW w:w="1456"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3</w:t>
                  </w:r>
                </w:p>
              </w:tc>
              <w:tc>
                <w:tcPr>
                  <w:tcW w:w="1456"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0</w:t>
                  </w:r>
                </w:p>
              </w:tc>
              <w:tc>
                <w:tcPr>
                  <w:tcW w:w="1010" w:type="dxa"/>
                  <w:tcBorders>
                    <w:top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5</w:t>
                  </w:r>
                </w:p>
              </w:tc>
            </w:tr>
            <w:tr w:rsidR="00577B63" w:rsidRPr="00577B63" w:rsidTr="002F4C64">
              <w:trPr>
                <w:cantSplit/>
                <w:tblHeader/>
              </w:trPr>
              <w:tc>
                <w:tcPr>
                  <w:tcW w:w="726" w:type="dxa"/>
                  <w:vMerge/>
                  <w:tcBorders>
                    <w:top w:val="single" w:sz="16" w:space="0" w:color="000000"/>
                    <w:left w:val="single" w:sz="16" w:space="0" w:color="000000"/>
                    <w:bottom w:val="nil"/>
                    <w:right w:val="nil"/>
                  </w:tcBorders>
                  <w:shd w:val="clear" w:color="auto" w:fill="FFFFFF"/>
                </w:tcPr>
                <w:p w:rsidR="00577B63" w:rsidRPr="00577B63" w:rsidRDefault="00577B63" w:rsidP="002F4C64">
                  <w:pPr>
                    <w:autoSpaceDE w:val="0"/>
                    <w:autoSpaceDN w:val="0"/>
                    <w:adjustRightInd w:val="0"/>
                    <w:spacing w:line="276" w:lineRule="auto"/>
                    <w:rPr>
                      <w:rFonts w:ascii="Arial" w:hAnsi="Arial" w:cs="Arial"/>
                      <w:color w:val="000000"/>
                      <w:sz w:val="18"/>
                      <w:szCs w:val="18"/>
                      <w:lang w:val="nl-NL" w:eastAsia="en-US" w:bidi="ar-SA"/>
                    </w:rPr>
                  </w:pPr>
                </w:p>
              </w:tc>
              <w:tc>
                <w:tcPr>
                  <w:tcW w:w="953" w:type="dxa"/>
                  <w:tcBorders>
                    <w:top w:val="nil"/>
                    <w:left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Medium</w:t>
                  </w:r>
                </w:p>
              </w:tc>
              <w:tc>
                <w:tcPr>
                  <w:tcW w:w="1456" w:type="dxa"/>
                  <w:tcBorders>
                    <w:top w:val="nil"/>
                    <w:left w:val="single" w:sz="16" w:space="0" w:color="000000"/>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0</w:t>
                  </w:r>
                </w:p>
              </w:tc>
              <w:tc>
                <w:tcPr>
                  <w:tcW w:w="1454"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2</w:t>
                  </w:r>
                </w:p>
              </w:tc>
              <w:tc>
                <w:tcPr>
                  <w:tcW w:w="1456"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2</w:t>
                  </w:r>
                </w:p>
              </w:tc>
              <w:tc>
                <w:tcPr>
                  <w:tcW w:w="1456"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1</w:t>
                  </w:r>
                </w:p>
              </w:tc>
              <w:tc>
                <w:tcPr>
                  <w:tcW w:w="1010" w:type="dxa"/>
                  <w:tcBorders>
                    <w:top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5</w:t>
                  </w:r>
                </w:p>
              </w:tc>
            </w:tr>
            <w:tr w:rsidR="00577B63" w:rsidRPr="00577B63" w:rsidTr="002F4C64">
              <w:trPr>
                <w:cantSplit/>
                <w:tblHeader/>
              </w:trPr>
              <w:tc>
                <w:tcPr>
                  <w:tcW w:w="726" w:type="dxa"/>
                  <w:vMerge/>
                  <w:tcBorders>
                    <w:top w:val="single" w:sz="16" w:space="0" w:color="000000"/>
                    <w:left w:val="single" w:sz="16" w:space="0" w:color="000000"/>
                    <w:bottom w:val="nil"/>
                    <w:right w:val="nil"/>
                  </w:tcBorders>
                  <w:shd w:val="clear" w:color="auto" w:fill="FFFFFF"/>
                </w:tcPr>
                <w:p w:rsidR="00577B63" w:rsidRPr="00577B63" w:rsidRDefault="00577B63" w:rsidP="002F4C64">
                  <w:pPr>
                    <w:autoSpaceDE w:val="0"/>
                    <w:autoSpaceDN w:val="0"/>
                    <w:adjustRightInd w:val="0"/>
                    <w:spacing w:line="276" w:lineRule="auto"/>
                    <w:rPr>
                      <w:rFonts w:ascii="Arial" w:hAnsi="Arial" w:cs="Arial"/>
                      <w:color w:val="000000"/>
                      <w:sz w:val="18"/>
                      <w:szCs w:val="18"/>
                      <w:lang w:val="nl-NL" w:eastAsia="en-US" w:bidi="ar-SA"/>
                    </w:rPr>
                  </w:pPr>
                </w:p>
              </w:tc>
              <w:tc>
                <w:tcPr>
                  <w:tcW w:w="953" w:type="dxa"/>
                  <w:tcBorders>
                    <w:top w:val="nil"/>
                    <w:left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577B63">
                    <w:rPr>
                      <w:rFonts w:ascii="Arial" w:hAnsi="Arial" w:cs="Arial"/>
                      <w:color w:val="000000"/>
                      <w:sz w:val="18"/>
                      <w:szCs w:val="18"/>
                      <w:lang w:val="nl-NL" w:eastAsia="en-US" w:bidi="ar-SA"/>
                    </w:rPr>
                    <w:t>Small</w:t>
                  </w:r>
                  <w:proofErr w:type="spellEnd"/>
                </w:p>
              </w:tc>
              <w:tc>
                <w:tcPr>
                  <w:tcW w:w="1456" w:type="dxa"/>
                  <w:tcBorders>
                    <w:top w:val="nil"/>
                    <w:left w:val="single" w:sz="16" w:space="0" w:color="000000"/>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2</w:t>
                  </w:r>
                </w:p>
              </w:tc>
              <w:tc>
                <w:tcPr>
                  <w:tcW w:w="1454"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1</w:t>
                  </w:r>
                </w:p>
              </w:tc>
              <w:tc>
                <w:tcPr>
                  <w:tcW w:w="1456"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1</w:t>
                  </w:r>
                </w:p>
              </w:tc>
              <w:tc>
                <w:tcPr>
                  <w:tcW w:w="1456"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1</w:t>
                  </w:r>
                </w:p>
              </w:tc>
              <w:tc>
                <w:tcPr>
                  <w:tcW w:w="1010" w:type="dxa"/>
                  <w:tcBorders>
                    <w:top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5</w:t>
                  </w:r>
                </w:p>
              </w:tc>
            </w:tr>
            <w:tr w:rsidR="00577B63" w:rsidRPr="00577B63" w:rsidTr="002F4C64">
              <w:trPr>
                <w:cantSplit/>
                <w:tblHeader/>
              </w:trPr>
              <w:tc>
                <w:tcPr>
                  <w:tcW w:w="726" w:type="dxa"/>
                  <w:vMerge/>
                  <w:tcBorders>
                    <w:top w:val="single" w:sz="16" w:space="0" w:color="000000"/>
                    <w:left w:val="single" w:sz="16" w:space="0" w:color="000000"/>
                    <w:bottom w:val="nil"/>
                    <w:right w:val="nil"/>
                  </w:tcBorders>
                  <w:shd w:val="clear" w:color="auto" w:fill="FFFFFF"/>
                </w:tcPr>
                <w:p w:rsidR="00577B63" w:rsidRPr="00577B63" w:rsidRDefault="00577B63" w:rsidP="002F4C64">
                  <w:pPr>
                    <w:autoSpaceDE w:val="0"/>
                    <w:autoSpaceDN w:val="0"/>
                    <w:adjustRightInd w:val="0"/>
                    <w:spacing w:line="276" w:lineRule="auto"/>
                    <w:rPr>
                      <w:rFonts w:ascii="Arial" w:hAnsi="Arial" w:cs="Arial"/>
                      <w:color w:val="000000"/>
                      <w:sz w:val="18"/>
                      <w:szCs w:val="18"/>
                      <w:lang w:val="nl-NL" w:eastAsia="en-US" w:bidi="ar-SA"/>
                    </w:rPr>
                  </w:pPr>
                </w:p>
              </w:tc>
              <w:tc>
                <w:tcPr>
                  <w:tcW w:w="953" w:type="dxa"/>
                  <w:tcBorders>
                    <w:top w:val="nil"/>
                    <w:left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 xml:space="preserve">X </w:t>
                  </w:r>
                  <w:proofErr w:type="spellStart"/>
                  <w:r w:rsidRPr="00577B63">
                    <w:rPr>
                      <w:rFonts w:ascii="Arial" w:hAnsi="Arial" w:cs="Arial"/>
                      <w:color w:val="000000"/>
                      <w:sz w:val="18"/>
                      <w:szCs w:val="18"/>
                      <w:lang w:val="nl-NL" w:eastAsia="en-US" w:bidi="ar-SA"/>
                    </w:rPr>
                    <w:t>Small</w:t>
                  </w:r>
                  <w:proofErr w:type="spellEnd"/>
                </w:p>
              </w:tc>
              <w:tc>
                <w:tcPr>
                  <w:tcW w:w="1456" w:type="dxa"/>
                  <w:tcBorders>
                    <w:top w:val="nil"/>
                    <w:left w:val="single" w:sz="16" w:space="0" w:color="000000"/>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0</w:t>
                  </w:r>
                </w:p>
              </w:tc>
              <w:tc>
                <w:tcPr>
                  <w:tcW w:w="1454"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0</w:t>
                  </w:r>
                </w:p>
              </w:tc>
              <w:tc>
                <w:tcPr>
                  <w:tcW w:w="1456"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5</w:t>
                  </w:r>
                </w:p>
              </w:tc>
              <w:tc>
                <w:tcPr>
                  <w:tcW w:w="1456" w:type="dxa"/>
                  <w:tcBorders>
                    <w:top w:val="nil"/>
                    <w:bottom w:val="nil"/>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0</w:t>
                  </w:r>
                </w:p>
              </w:tc>
              <w:tc>
                <w:tcPr>
                  <w:tcW w:w="1010" w:type="dxa"/>
                  <w:tcBorders>
                    <w:top w:val="nil"/>
                    <w:bottom w:val="nil"/>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5</w:t>
                  </w:r>
                </w:p>
              </w:tc>
            </w:tr>
            <w:tr w:rsidR="00577B63" w:rsidRPr="00577B63" w:rsidTr="002F4C64">
              <w:trPr>
                <w:cantSplit/>
              </w:trPr>
              <w:tc>
                <w:tcPr>
                  <w:tcW w:w="1679" w:type="dxa"/>
                  <w:gridSpan w:val="2"/>
                  <w:tcBorders>
                    <w:top w:val="nil"/>
                    <w:left w:val="single" w:sz="16" w:space="0" w:color="000000"/>
                    <w:bottom w:val="single" w:sz="16" w:space="0" w:color="000000"/>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Total</w:t>
                  </w:r>
                </w:p>
              </w:tc>
              <w:tc>
                <w:tcPr>
                  <w:tcW w:w="1456" w:type="dxa"/>
                  <w:tcBorders>
                    <w:top w:val="nil"/>
                    <w:left w:val="single" w:sz="16" w:space="0" w:color="000000"/>
                    <w:bottom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3</w:t>
                  </w:r>
                </w:p>
              </w:tc>
              <w:tc>
                <w:tcPr>
                  <w:tcW w:w="1454" w:type="dxa"/>
                  <w:tcBorders>
                    <w:top w:val="nil"/>
                    <w:bottom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9</w:t>
                  </w:r>
                </w:p>
              </w:tc>
              <w:tc>
                <w:tcPr>
                  <w:tcW w:w="1456" w:type="dxa"/>
                  <w:tcBorders>
                    <w:top w:val="nil"/>
                    <w:bottom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11</w:t>
                  </w:r>
                </w:p>
              </w:tc>
              <w:tc>
                <w:tcPr>
                  <w:tcW w:w="1456" w:type="dxa"/>
                  <w:tcBorders>
                    <w:top w:val="nil"/>
                    <w:bottom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2</w:t>
                  </w:r>
                </w:p>
              </w:tc>
              <w:tc>
                <w:tcPr>
                  <w:tcW w:w="1010" w:type="dxa"/>
                  <w:tcBorders>
                    <w:top w:val="nil"/>
                    <w:bottom w:val="single" w:sz="16" w:space="0" w:color="000000"/>
                    <w:right w:val="single" w:sz="16" w:space="0" w:color="000000"/>
                  </w:tcBorders>
                  <w:shd w:val="clear" w:color="auto" w:fill="FFFFFF"/>
                </w:tcPr>
                <w:p w:rsidR="00577B63" w:rsidRPr="00577B63" w:rsidRDefault="00577B63" w:rsidP="002F4C6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77B63">
                    <w:rPr>
                      <w:rFonts w:ascii="Arial" w:hAnsi="Arial" w:cs="Arial"/>
                      <w:color w:val="000000"/>
                      <w:sz w:val="18"/>
                      <w:szCs w:val="18"/>
                      <w:lang w:val="nl-NL" w:eastAsia="en-US" w:bidi="ar-SA"/>
                    </w:rPr>
                    <w:t>25</w:t>
                  </w:r>
                </w:p>
              </w:tc>
            </w:tr>
          </w:tbl>
          <w:p w:rsidR="00577B63" w:rsidRPr="00B82FF1" w:rsidRDefault="00577B63" w:rsidP="00CF652F">
            <w:pPr>
              <w:spacing w:line="360" w:lineRule="auto"/>
              <w:rPr>
                <w:rFonts w:cs="Times New Roman"/>
                <w:i/>
                <w:color w:val="000000"/>
                <w:lang w:val="en-US" w:eastAsia="en-US" w:bidi="ar-SA"/>
              </w:rPr>
            </w:pPr>
          </w:p>
        </w:tc>
      </w:tr>
    </w:tbl>
    <w:p w:rsidR="009E47DF" w:rsidRPr="0006603A" w:rsidRDefault="00B82FF1" w:rsidP="00471213">
      <w:pPr>
        <w:spacing w:line="360" w:lineRule="auto"/>
        <w:rPr>
          <w:rFonts w:cs="Times New Roman"/>
          <w:sz w:val="20"/>
          <w:szCs w:val="20"/>
        </w:rPr>
      </w:pPr>
      <w:r w:rsidRPr="0006603A">
        <w:rPr>
          <w:rFonts w:cs="Times New Roman"/>
          <w:bCs/>
          <w:color w:val="000000"/>
          <w:sz w:val="20"/>
          <w:szCs w:val="20"/>
          <w:lang w:val="en-US" w:eastAsia="en-US" w:bidi="ar-SA"/>
        </w:rPr>
        <w:t xml:space="preserve">Table 3: Pension fund </w:t>
      </w:r>
      <w:r w:rsidR="000B439D" w:rsidRPr="0006603A">
        <w:rPr>
          <w:rFonts w:cs="Times New Roman"/>
          <w:bCs/>
          <w:color w:val="000000"/>
          <w:sz w:val="20"/>
          <w:szCs w:val="20"/>
          <w:lang w:val="en-US" w:eastAsia="en-US" w:bidi="ar-SA"/>
        </w:rPr>
        <w:t>size</w:t>
      </w:r>
      <w:r w:rsidRPr="0006603A">
        <w:rPr>
          <w:rFonts w:cs="Times New Roman"/>
          <w:bCs/>
          <w:color w:val="000000"/>
          <w:sz w:val="20"/>
          <w:szCs w:val="20"/>
          <w:lang w:val="en-US" w:eastAsia="en-US" w:bidi="ar-SA"/>
        </w:rPr>
        <w:t xml:space="preserve"> and pension fund</w:t>
      </w:r>
      <w:r w:rsidR="000B439D" w:rsidRPr="0006603A">
        <w:rPr>
          <w:rFonts w:cs="Times New Roman"/>
          <w:bCs/>
          <w:color w:val="000000"/>
          <w:sz w:val="20"/>
          <w:szCs w:val="20"/>
          <w:lang w:val="en-US" w:eastAsia="en-US" w:bidi="ar-SA"/>
        </w:rPr>
        <w:t xml:space="preserve"> type </w:t>
      </w:r>
      <w:r w:rsidR="009E47DF" w:rsidRPr="0006603A">
        <w:rPr>
          <w:rFonts w:cs="Times New Roman"/>
          <w:bCs/>
          <w:color w:val="000000"/>
          <w:sz w:val="20"/>
          <w:szCs w:val="20"/>
          <w:lang w:val="en-US" w:eastAsia="en-US" w:bidi="ar-SA"/>
        </w:rPr>
        <w:t>(source</w:t>
      </w:r>
      <w:r w:rsidR="009E47DF" w:rsidRPr="0006603A">
        <w:rPr>
          <w:rFonts w:cs="Times New Roman"/>
          <w:b/>
          <w:bCs/>
          <w:color w:val="000000"/>
          <w:sz w:val="20"/>
          <w:szCs w:val="20"/>
          <w:lang w:val="en-US" w:eastAsia="en-US" w:bidi="ar-SA"/>
        </w:rPr>
        <w:t xml:space="preserve"> </w:t>
      </w:r>
      <w:r w:rsidR="009E47DF" w:rsidRPr="0006603A">
        <w:rPr>
          <w:sz w:val="20"/>
          <w:szCs w:val="20"/>
          <w:lang w:val="en-US"/>
        </w:rPr>
        <w:t xml:space="preserve">Records of pension </w:t>
      </w:r>
      <w:r w:rsidR="009E47DF" w:rsidRPr="004D063A">
        <w:rPr>
          <w:sz w:val="20"/>
          <w:szCs w:val="20"/>
          <w:lang w:val="en-US"/>
        </w:rPr>
        <w:t>funds, D</w:t>
      </w:r>
      <w:r w:rsidRPr="004D063A">
        <w:rPr>
          <w:sz w:val="20"/>
          <w:szCs w:val="20"/>
          <w:lang w:val="en-US"/>
        </w:rPr>
        <w:t>N</w:t>
      </w:r>
      <w:r w:rsidR="009E47DF" w:rsidRPr="004D063A">
        <w:rPr>
          <w:sz w:val="20"/>
          <w:szCs w:val="20"/>
          <w:lang w:val="en-US"/>
        </w:rPr>
        <w:t>B (2013)).</w:t>
      </w:r>
      <w:r w:rsidR="00C05C31" w:rsidRPr="004D063A">
        <w:rPr>
          <w:sz w:val="20"/>
          <w:szCs w:val="20"/>
          <w:lang w:val="en-US"/>
        </w:rPr>
        <w:t xml:space="preserve"> </w:t>
      </w:r>
    </w:p>
    <w:p w:rsidR="00A36AA2" w:rsidRDefault="00A36AA2">
      <w:pPr>
        <w:rPr>
          <w:lang w:val="en-US"/>
        </w:rPr>
      </w:pPr>
    </w:p>
    <w:p w:rsidR="00C018F7" w:rsidRDefault="00CF652F" w:rsidP="00961508">
      <w:pPr>
        <w:spacing w:line="360" w:lineRule="auto"/>
        <w:jc w:val="both"/>
        <w:rPr>
          <w:lang w:val="en-US"/>
        </w:rPr>
      </w:pPr>
      <w:r>
        <w:rPr>
          <w:lang w:val="en-US"/>
        </w:rPr>
        <w:t>It is noticeable that all the X large pension funds in the sample are compulsory sector pension fund</w:t>
      </w:r>
      <w:r w:rsidR="0062323D">
        <w:rPr>
          <w:lang w:val="en-US"/>
        </w:rPr>
        <w:t>s</w:t>
      </w:r>
      <w:r>
        <w:rPr>
          <w:lang w:val="en-US"/>
        </w:rPr>
        <w:t>. All the X small pension funds tha</w:t>
      </w:r>
      <w:r w:rsidR="002169D2">
        <w:rPr>
          <w:lang w:val="en-US"/>
        </w:rPr>
        <w:t>t are part of the sample are</w:t>
      </w:r>
      <w:r>
        <w:rPr>
          <w:lang w:val="en-US"/>
        </w:rPr>
        <w:t xml:space="preserve"> company pension funds. However, </w:t>
      </w:r>
      <w:r w:rsidR="0061162D">
        <w:rPr>
          <w:lang w:val="en-US"/>
        </w:rPr>
        <w:t xml:space="preserve">inversely, not every compulsory sector pension fund or company pension fund </w:t>
      </w:r>
      <w:r w:rsidR="00F27069">
        <w:rPr>
          <w:lang w:val="en-US"/>
        </w:rPr>
        <w:t xml:space="preserve">in the sample </w:t>
      </w:r>
      <w:r w:rsidR="0061162D">
        <w:rPr>
          <w:lang w:val="en-US"/>
        </w:rPr>
        <w:t xml:space="preserve">is a X large pension fund respectively a X small pension fund. </w:t>
      </w:r>
    </w:p>
    <w:p w:rsidR="00C018F7" w:rsidRDefault="00C018F7" w:rsidP="00961508">
      <w:pPr>
        <w:spacing w:line="360" w:lineRule="auto"/>
        <w:jc w:val="both"/>
        <w:rPr>
          <w:lang w:val="en-US"/>
        </w:rPr>
      </w:pPr>
    </w:p>
    <w:p w:rsidR="00577B63" w:rsidRPr="00577B63" w:rsidRDefault="00C018F7" w:rsidP="00961508">
      <w:pPr>
        <w:spacing w:line="360" w:lineRule="auto"/>
        <w:jc w:val="both"/>
        <w:rPr>
          <w:rFonts w:cs="Times New Roman"/>
          <w:lang w:val="en-US" w:eastAsia="en-US" w:bidi="ar-SA"/>
        </w:rPr>
      </w:pPr>
      <w:r>
        <w:rPr>
          <w:lang w:val="en-US"/>
        </w:rPr>
        <w:t xml:space="preserve">To determine which test will be applied to determine if there is a relation between pension fund size and pension fund type, the decision schedule depicted in appendix 11 is used. There is one, categorical outcome variable, the pension fund type. The predictor variable, pension fund size, is categorical as well. </w:t>
      </w:r>
      <w:r w:rsidR="000E7256">
        <w:rPr>
          <w:lang w:val="en-US"/>
        </w:rPr>
        <w:t>Th</w:t>
      </w:r>
      <w:r w:rsidR="0062323D">
        <w:rPr>
          <w:lang w:val="en-US"/>
        </w:rPr>
        <w:t xml:space="preserve">erefore, </w:t>
      </w:r>
      <w:r w:rsidR="000E7256">
        <w:rPr>
          <w:lang w:val="en-US"/>
        </w:rPr>
        <w:t>a Chi-Square test</w:t>
      </w:r>
      <w:r w:rsidR="0062323D">
        <w:rPr>
          <w:lang w:val="en-US"/>
        </w:rPr>
        <w:t xml:space="preserve"> has been applied</w:t>
      </w:r>
      <w:r w:rsidR="000E7256">
        <w:rPr>
          <w:lang w:val="en-US"/>
        </w:rPr>
        <w:t>.</w:t>
      </w:r>
      <w:r>
        <w:rPr>
          <w:lang w:val="en-US"/>
        </w:rPr>
        <w:t xml:space="preserve"> </w:t>
      </w:r>
    </w:p>
    <w:p w:rsidR="00567F17" w:rsidRPr="004759E3" w:rsidRDefault="00567F17" w:rsidP="00567F17">
      <w:pPr>
        <w:autoSpaceDE w:val="0"/>
        <w:autoSpaceDN w:val="0"/>
        <w:adjustRightInd w:val="0"/>
        <w:rPr>
          <w:rFonts w:cs="Times New Roman"/>
          <w:lang w:val="en-US" w:eastAsia="en-US" w:bidi="ar-SA"/>
        </w:rPr>
      </w:pPr>
    </w:p>
    <w:tbl>
      <w:tblPr>
        <w:tblW w:w="5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0"/>
        <w:gridCol w:w="1010"/>
        <w:gridCol w:w="1008"/>
        <w:gridCol w:w="1456"/>
      </w:tblGrid>
      <w:tr w:rsidR="00567F17" w:rsidRPr="00567F17">
        <w:trPr>
          <w:cantSplit/>
          <w:tblHeader/>
        </w:trPr>
        <w:tc>
          <w:tcPr>
            <w:tcW w:w="5472" w:type="dxa"/>
            <w:gridSpan w:val="4"/>
            <w:tcBorders>
              <w:top w:val="nil"/>
              <w:left w:val="nil"/>
              <w:bottom w:val="nil"/>
              <w:right w:val="nil"/>
            </w:tcBorders>
            <w:shd w:val="clear" w:color="auto" w:fill="FFFFFF"/>
            <w:vAlign w:val="center"/>
          </w:tcPr>
          <w:p w:rsidR="00567F17" w:rsidRPr="00567F17" w:rsidRDefault="00567F17" w:rsidP="00567F17">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567F17">
              <w:rPr>
                <w:rFonts w:ascii="Arial" w:hAnsi="Arial" w:cs="Arial"/>
                <w:b/>
                <w:bCs/>
                <w:color w:val="000000"/>
                <w:sz w:val="18"/>
                <w:szCs w:val="18"/>
                <w:lang w:val="nl-NL" w:eastAsia="en-US" w:bidi="ar-SA"/>
              </w:rPr>
              <w:t>Chi-Square</w:t>
            </w:r>
            <w:proofErr w:type="spellEnd"/>
            <w:r w:rsidRPr="00567F17">
              <w:rPr>
                <w:rFonts w:ascii="Arial" w:hAnsi="Arial" w:cs="Arial"/>
                <w:b/>
                <w:bCs/>
                <w:color w:val="000000"/>
                <w:sz w:val="18"/>
                <w:szCs w:val="18"/>
                <w:lang w:val="nl-NL" w:eastAsia="en-US" w:bidi="ar-SA"/>
              </w:rPr>
              <w:t xml:space="preserve"> Tests</w:t>
            </w:r>
          </w:p>
        </w:tc>
      </w:tr>
      <w:tr w:rsidR="00567F17" w:rsidRPr="00567F17">
        <w:trPr>
          <w:cantSplit/>
          <w:tblHeader/>
        </w:trPr>
        <w:tc>
          <w:tcPr>
            <w:tcW w:w="199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67F17" w:rsidRPr="00567F17" w:rsidRDefault="00567F17" w:rsidP="00516871">
            <w:pPr>
              <w:autoSpaceDE w:val="0"/>
              <w:autoSpaceDN w:val="0"/>
              <w:adjustRightInd w:val="0"/>
              <w:spacing w:line="276" w:lineRule="auto"/>
              <w:jc w:val="center"/>
              <w:rPr>
                <w:rFonts w:cs="Times New Roman"/>
                <w:lang w:val="nl-NL" w:eastAsia="en-US" w:bidi="ar-SA"/>
              </w:rPr>
            </w:pPr>
          </w:p>
        </w:tc>
        <w:tc>
          <w:tcPr>
            <w:tcW w:w="1010" w:type="dxa"/>
            <w:tcBorders>
              <w:top w:val="single" w:sz="16" w:space="0" w:color="000000"/>
              <w:left w:val="single" w:sz="16" w:space="0" w:color="000000"/>
              <w:bottom w:val="single" w:sz="16" w:space="0" w:color="000000"/>
            </w:tcBorders>
            <w:shd w:val="clear" w:color="auto" w:fill="FFFFFF"/>
            <w:vAlign w:val="bottom"/>
          </w:tcPr>
          <w:p w:rsidR="00567F17" w:rsidRPr="00567F17" w:rsidRDefault="00567F17"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567F17">
              <w:rPr>
                <w:rFonts w:ascii="Arial" w:hAnsi="Arial" w:cs="Arial"/>
                <w:color w:val="000000"/>
                <w:sz w:val="18"/>
                <w:szCs w:val="18"/>
                <w:lang w:val="nl-NL" w:eastAsia="en-US" w:bidi="ar-SA"/>
              </w:rPr>
              <w:t>Value</w:t>
            </w:r>
            <w:proofErr w:type="spellEnd"/>
          </w:p>
        </w:tc>
        <w:tc>
          <w:tcPr>
            <w:tcW w:w="1008" w:type="dxa"/>
            <w:tcBorders>
              <w:top w:val="single" w:sz="16" w:space="0" w:color="000000"/>
              <w:bottom w:val="single" w:sz="16" w:space="0" w:color="000000"/>
            </w:tcBorders>
            <w:shd w:val="clear" w:color="auto" w:fill="FFFFFF"/>
            <w:vAlign w:val="bottom"/>
          </w:tcPr>
          <w:p w:rsidR="00567F17" w:rsidRPr="00567F17" w:rsidRDefault="00567F17"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567F17">
              <w:rPr>
                <w:rFonts w:ascii="Arial" w:hAnsi="Arial" w:cs="Arial"/>
                <w:color w:val="000000"/>
                <w:sz w:val="18"/>
                <w:szCs w:val="18"/>
                <w:lang w:val="nl-NL" w:eastAsia="en-US" w:bidi="ar-SA"/>
              </w:rPr>
              <w:t>df</w:t>
            </w:r>
            <w:proofErr w:type="spellEnd"/>
          </w:p>
        </w:tc>
        <w:tc>
          <w:tcPr>
            <w:tcW w:w="1455" w:type="dxa"/>
            <w:tcBorders>
              <w:top w:val="single" w:sz="16" w:space="0" w:color="000000"/>
              <w:bottom w:val="single" w:sz="16" w:space="0" w:color="000000"/>
              <w:right w:val="single" w:sz="16" w:space="0" w:color="000000"/>
            </w:tcBorders>
            <w:shd w:val="clear" w:color="auto" w:fill="FFFFFF"/>
            <w:vAlign w:val="bottom"/>
          </w:tcPr>
          <w:p w:rsidR="00567F17" w:rsidRPr="00567F17" w:rsidRDefault="00567F17"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567F17">
              <w:rPr>
                <w:rFonts w:ascii="Arial" w:hAnsi="Arial" w:cs="Arial"/>
                <w:color w:val="000000"/>
                <w:sz w:val="18"/>
                <w:szCs w:val="18"/>
                <w:lang w:val="nl-NL" w:eastAsia="en-US" w:bidi="ar-SA"/>
              </w:rPr>
              <w:t>Asymp</w:t>
            </w:r>
            <w:proofErr w:type="spellEnd"/>
            <w:r w:rsidRPr="00567F17">
              <w:rPr>
                <w:rFonts w:ascii="Arial" w:hAnsi="Arial" w:cs="Arial"/>
                <w:color w:val="000000"/>
                <w:sz w:val="18"/>
                <w:szCs w:val="18"/>
                <w:lang w:val="nl-NL" w:eastAsia="en-US" w:bidi="ar-SA"/>
              </w:rPr>
              <w:t xml:space="preserve">. </w:t>
            </w:r>
            <w:proofErr w:type="spellStart"/>
            <w:r w:rsidRPr="00567F17">
              <w:rPr>
                <w:rFonts w:ascii="Arial" w:hAnsi="Arial" w:cs="Arial"/>
                <w:color w:val="000000"/>
                <w:sz w:val="18"/>
                <w:szCs w:val="18"/>
                <w:lang w:val="nl-NL" w:eastAsia="en-US" w:bidi="ar-SA"/>
              </w:rPr>
              <w:t>Sig</w:t>
            </w:r>
            <w:proofErr w:type="spellEnd"/>
            <w:r w:rsidRPr="00567F17">
              <w:rPr>
                <w:rFonts w:ascii="Arial" w:hAnsi="Arial" w:cs="Arial"/>
                <w:color w:val="000000"/>
                <w:sz w:val="18"/>
                <w:szCs w:val="18"/>
                <w:lang w:val="nl-NL" w:eastAsia="en-US" w:bidi="ar-SA"/>
              </w:rPr>
              <w:t>. (2-sided)</w:t>
            </w:r>
          </w:p>
        </w:tc>
      </w:tr>
      <w:tr w:rsidR="00567F17" w:rsidRPr="00567F17">
        <w:trPr>
          <w:cantSplit/>
          <w:tblHeader/>
        </w:trPr>
        <w:tc>
          <w:tcPr>
            <w:tcW w:w="1999" w:type="dxa"/>
            <w:tcBorders>
              <w:top w:val="single" w:sz="16" w:space="0" w:color="000000"/>
              <w:left w:val="single" w:sz="16" w:space="0" w:color="000000"/>
              <w:bottom w:val="nil"/>
              <w:right w:val="single" w:sz="16" w:space="0" w:color="000000"/>
            </w:tcBorders>
            <w:shd w:val="clear" w:color="auto" w:fill="FFFFFF"/>
          </w:tcPr>
          <w:p w:rsidR="00567F17" w:rsidRPr="00567F17" w:rsidRDefault="00567F17" w:rsidP="00516871">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567F17">
              <w:rPr>
                <w:rFonts w:ascii="Arial" w:hAnsi="Arial" w:cs="Arial"/>
                <w:color w:val="000000"/>
                <w:sz w:val="18"/>
                <w:szCs w:val="18"/>
                <w:lang w:val="nl-NL" w:eastAsia="en-US" w:bidi="ar-SA"/>
              </w:rPr>
              <w:t>Pearson</w:t>
            </w:r>
            <w:proofErr w:type="spellEnd"/>
            <w:r w:rsidRPr="00567F17">
              <w:rPr>
                <w:rFonts w:ascii="Arial" w:hAnsi="Arial" w:cs="Arial"/>
                <w:color w:val="000000"/>
                <w:sz w:val="18"/>
                <w:szCs w:val="18"/>
                <w:lang w:val="nl-NL" w:eastAsia="en-US" w:bidi="ar-SA"/>
              </w:rPr>
              <w:t xml:space="preserve"> </w:t>
            </w:r>
            <w:proofErr w:type="spellStart"/>
            <w:r w:rsidRPr="00567F17">
              <w:rPr>
                <w:rFonts w:ascii="Arial" w:hAnsi="Arial" w:cs="Arial"/>
                <w:color w:val="000000"/>
                <w:sz w:val="18"/>
                <w:szCs w:val="18"/>
                <w:lang w:val="nl-NL" w:eastAsia="en-US" w:bidi="ar-SA"/>
              </w:rPr>
              <w:t>Chi-Square</w:t>
            </w:r>
            <w:proofErr w:type="spellEnd"/>
          </w:p>
        </w:tc>
        <w:tc>
          <w:tcPr>
            <w:tcW w:w="1010" w:type="dxa"/>
            <w:tcBorders>
              <w:top w:val="single" w:sz="16" w:space="0" w:color="000000"/>
              <w:left w:val="single" w:sz="16" w:space="0" w:color="000000"/>
              <w:bottom w:val="nil"/>
            </w:tcBorders>
            <w:shd w:val="clear" w:color="auto" w:fill="FFFFFF"/>
          </w:tcPr>
          <w:p w:rsidR="00567F17" w:rsidRPr="00567F17" w:rsidRDefault="00567F17"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67F17">
              <w:rPr>
                <w:rFonts w:ascii="Arial" w:hAnsi="Arial" w:cs="Arial"/>
                <w:color w:val="000000"/>
                <w:sz w:val="18"/>
                <w:szCs w:val="18"/>
                <w:lang w:val="nl-NL" w:eastAsia="en-US" w:bidi="ar-SA"/>
              </w:rPr>
              <w:t>23.283</w:t>
            </w:r>
            <w:r w:rsidRPr="00567F17">
              <w:rPr>
                <w:rFonts w:ascii="Arial" w:hAnsi="Arial" w:cs="Arial"/>
                <w:color w:val="000000"/>
                <w:sz w:val="18"/>
                <w:szCs w:val="18"/>
                <w:vertAlign w:val="superscript"/>
                <w:lang w:val="nl-NL" w:eastAsia="en-US" w:bidi="ar-SA"/>
              </w:rPr>
              <w:t>a</w:t>
            </w:r>
          </w:p>
        </w:tc>
        <w:tc>
          <w:tcPr>
            <w:tcW w:w="1008" w:type="dxa"/>
            <w:tcBorders>
              <w:top w:val="single" w:sz="16" w:space="0" w:color="000000"/>
              <w:bottom w:val="nil"/>
            </w:tcBorders>
            <w:shd w:val="clear" w:color="auto" w:fill="FFFFFF"/>
          </w:tcPr>
          <w:p w:rsidR="00567F17" w:rsidRPr="00567F17" w:rsidRDefault="00567F17"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67F17">
              <w:rPr>
                <w:rFonts w:ascii="Arial" w:hAnsi="Arial" w:cs="Arial"/>
                <w:color w:val="000000"/>
                <w:sz w:val="18"/>
                <w:szCs w:val="18"/>
                <w:lang w:val="nl-NL" w:eastAsia="en-US" w:bidi="ar-SA"/>
              </w:rPr>
              <w:t>12</w:t>
            </w:r>
          </w:p>
        </w:tc>
        <w:tc>
          <w:tcPr>
            <w:tcW w:w="1455" w:type="dxa"/>
            <w:tcBorders>
              <w:top w:val="single" w:sz="16" w:space="0" w:color="000000"/>
              <w:bottom w:val="nil"/>
              <w:right w:val="single" w:sz="16" w:space="0" w:color="000000"/>
            </w:tcBorders>
            <w:shd w:val="clear" w:color="auto" w:fill="FFFFFF"/>
          </w:tcPr>
          <w:p w:rsidR="00567F17" w:rsidRPr="00567F17" w:rsidRDefault="00567F17"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67F17">
              <w:rPr>
                <w:rFonts w:ascii="Arial" w:hAnsi="Arial" w:cs="Arial"/>
                <w:color w:val="000000"/>
                <w:sz w:val="18"/>
                <w:szCs w:val="18"/>
                <w:lang w:val="nl-NL" w:eastAsia="en-US" w:bidi="ar-SA"/>
              </w:rPr>
              <w:t>.025</w:t>
            </w:r>
          </w:p>
        </w:tc>
      </w:tr>
      <w:tr w:rsidR="00567F17" w:rsidRPr="00567F17">
        <w:trPr>
          <w:cantSplit/>
          <w:tblHeader/>
        </w:trPr>
        <w:tc>
          <w:tcPr>
            <w:tcW w:w="1999" w:type="dxa"/>
            <w:tcBorders>
              <w:top w:val="nil"/>
              <w:left w:val="single" w:sz="16" w:space="0" w:color="000000"/>
              <w:bottom w:val="single" w:sz="16" w:space="0" w:color="000000"/>
              <w:right w:val="single" w:sz="16" w:space="0" w:color="000000"/>
            </w:tcBorders>
            <w:shd w:val="clear" w:color="auto" w:fill="FFFFFF"/>
          </w:tcPr>
          <w:p w:rsidR="00567F17" w:rsidRPr="00567F17" w:rsidRDefault="00567F17" w:rsidP="00516871">
            <w:pPr>
              <w:autoSpaceDE w:val="0"/>
              <w:autoSpaceDN w:val="0"/>
              <w:adjustRightInd w:val="0"/>
              <w:spacing w:line="276" w:lineRule="auto"/>
              <w:ind w:left="60" w:right="60"/>
              <w:rPr>
                <w:rFonts w:ascii="Arial" w:hAnsi="Arial" w:cs="Arial"/>
                <w:color w:val="000000"/>
                <w:sz w:val="18"/>
                <w:szCs w:val="18"/>
                <w:lang w:val="nl-NL" w:eastAsia="en-US" w:bidi="ar-SA"/>
              </w:rPr>
            </w:pPr>
            <w:r w:rsidRPr="00567F17">
              <w:rPr>
                <w:rFonts w:ascii="Arial" w:hAnsi="Arial" w:cs="Arial"/>
                <w:color w:val="000000"/>
                <w:sz w:val="18"/>
                <w:szCs w:val="18"/>
                <w:lang w:val="nl-NL" w:eastAsia="en-US" w:bidi="ar-SA"/>
              </w:rPr>
              <w:t xml:space="preserve">N of </w:t>
            </w:r>
            <w:proofErr w:type="spellStart"/>
            <w:r w:rsidRPr="00567F17">
              <w:rPr>
                <w:rFonts w:ascii="Arial" w:hAnsi="Arial" w:cs="Arial"/>
                <w:color w:val="000000"/>
                <w:sz w:val="18"/>
                <w:szCs w:val="18"/>
                <w:lang w:val="nl-NL" w:eastAsia="en-US" w:bidi="ar-SA"/>
              </w:rPr>
              <w:t>Valid</w:t>
            </w:r>
            <w:proofErr w:type="spellEnd"/>
            <w:r w:rsidRPr="00567F17">
              <w:rPr>
                <w:rFonts w:ascii="Arial" w:hAnsi="Arial" w:cs="Arial"/>
                <w:color w:val="000000"/>
                <w:sz w:val="18"/>
                <w:szCs w:val="18"/>
                <w:lang w:val="nl-NL" w:eastAsia="en-US" w:bidi="ar-SA"/>
              </w:rPr>
              <w:t xml:space="preserve"> Cases</w:t>
            </w:r>
          </w:p>
        </w:tc>
        <w:tc>
          <w:tcPr>
            <w:tcW w:w="1010" w:type="dxa"/>
            <w:tcBorders>
              <w:top w:val="nil"/>
              <w:left w:val="single" w:sz="16" w:space="0" w:color="000000"/>
              <w:bottom w:val="single" w:sz="16" w:space="0" w:color="000000"/>
            </w:tcBorders>
            <w:shd w:val="clear" w:color="auto" w:fill="FFFFFF"/>
          </w:tcPr>
          <w:p w:rsidR="00567F17" w:rsidRPr="00567F17" w:rsidRDefault="00567F17"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67F17">
              <w:rPr>
                <w:rFonts w:ascii="Arial" w:hAnsi="Arial" w:cs="Arial"/>
                <w:color w:val="000000"/>
                <w:sz w:val="18"/>
                <w:szCs w:val="18"/>
                <w:lang w:val="nl-NL" w:eastAsia="en-US" w:bidi="ar-SA"/>
              </w:rPr>
              <w:t>25</w:t>
            </w:r>
          </w:p>
        </w:tc>
        <w:tc>
          <w:tcPr>
            <w:tcW w:w="1008" w:type="dxa"/>
            <w:tcBorders>
              <w:top w:val="nil"/>
              <w:bottom w:val="single" w:sz="16" w:space="0" w:color="000000"/>
            </w:tcBorders>
            <w:shd w:val="clear" w:color="auto" w:fill="FFFFFF"/>
            <w:vAlign w:val="center"/>
          </w:tcPr>
          <w:p w:rsidR="00567F17" w:rsidRPr="00567F17" w:rsidRDefault="00567F17" w:rsidP="00516871">
            <w:pPr>
              <w:autoSpaceDE w:val="0"/>
              <w:autoSpaceDN w:val="0"/>
              <w:adjustRightInd w:val="0"/>
              <w:spacing w:line="276" w:lineRule="auto"/>
              <w:jc w:val="center"/>
              <w:rPr>
                <w:rFonts w:cs="Times New Roman"/>
                <w:lang w:val="nl-NL" w:eastAsia="en-US" w:bidi="ar-SA"/>
              </w:rPr>
            </w:pPr>
          </w:p>
        </w:tc>
        <w:tc>
          <w:tcPr>
            <w:tcW w:w="1455" w:type="dxa"/>
            <w:tcBorders>
              <w:top w:val="nil"/>
              <w:bottom w:val="single" w:sz="16" w:space="0" w:color="000000"/>
              <w:right w:val="single" w:sz="16" w:space="0" w:color="000000"/>
            </w:tcBorders>
            <w:shd w:val="clear" w:color="auto" w:fill="FFFFFF"/>
            <w:vAlign w:val="center"/>
          </w:tcPr>
          <w:p w:rsidR="00567F17" w:rsidRPr="00567F17" w:rsidRDefault="00567F17" w:rsidP="00516871">
            <w:pPr>
              <w:autoSpaceDE w:val="0"/>
              <w:autoSpaceDN w:val="0"/>
              <w:adjustRightInd w:val="0"/>
              <w:spacing w:line="276" w:lineRule="auto"/>
              <w:jc w:val="center"/>
              <w:rPr>
                <w:rFonts w:cs="Times New Roman"/>
                <w:lang w:val="nl-NL" w:eastAsia="en-US" w:bidi="ar-SA"/>
              </w:rPr>
            </w:pPr>
          </w:p>
        </w:tc>
      </w:tr>
      <w:tr w:rsidR="00567F17" w:rsidRPr="00567F17">
        <w:trPr>
          <w:cantSplit/>
        </w:trPr>
        <w:tc>
          <w:tcPr>
            <w:tcW w:w="5472" w:type="dxa"/>
            <w:gridSpan w:val="4"/>
            <w:tcBorders>
              <w:top w:val="nil"/>
              <w:left w:val="nil"/>
              <w:bottom w:val="nil"/>
              <w:right w:val="nil"/>
            </w:tcBorders>
            <w:shd w:val="clear" w:color="auto" w:fill="FFFFFF"/>
          </w:tcPr>
          <w:p w:rsidR="00567F17" w:rsidRPr="00567F17" w:rsidRDefault="00567F17" w:rsidP="00567F17">
            <w:pPr>
              <w:autoSpaceDE w:val="0"/>
              <w:autoSpaceDN w:val="0"/>
              <w:adjustRightInd w:val="0"/>
              <w:spacing w:line="320" w:lineRule="atLeast"/>
              <w:ind w:left="60" w:right="60"/>
              <w:rPr>
                <w:rFonts w:ascii="Arial" w:hAnsi="Arial" w:cs="Arial"/>
                <w:color w:val="000000"/>
                <w:sz w:val="18"/>
                <w:szCs w:val="18"/>
                <w:lang w:val="en-US" w:eastAsia="en-US" w:bidi="ar-SA"/>
              </w:rPr>
            </w:pPr>
            <w:r w:rsidRPr="00567F17">
              <w:rPr>
                <w:rFonts w:ascii="Arial" w:hAnsi="Arial" w:cs="Arial"/>
                <w:color w:val="000000"/>
                <w:sz w:val="18"/>
                <w:szCs w:val="18"/>
                <w:lang w:val="en-US" w:eastAsia="en-US" w:bidi="ar-SA"/>
              </w:rPr>
              <w:t>a. 20 cells (100.0%) have expected count less than 5. The minimum expected count is .40.</w:t>
            </w:r>
          </w:p>
        </w:tc>
      </w:tr>
    </w:tbl>
    <w:p w:rsidR="00577B63" w:rsidRPr="0006603A" w:rsidRDefault="000E7256" w:rsidP="0060766E">
      <w:pPr>
        <w:spacing w:line="320" w:lineRule="atLeast"/>
        <w:rPr>
          <w:sz w:val="20"/>
          <w:szCs w:val="20"/>
        </w:rPr>
      </w:pPr>
      <w:r w:rsidRPr="0006603A">
        <w:rPr>
          <w:rFonts w:cs="Times New Roman"/>
          <w:bCs/>
          <w:color w:val="000000"/>
          <w:sz w:val="20"/>
          <w:szCs w:val="20"/>
          <w:lang w:val="en-US" w:eastAsia="en-US" w:bidi="ar-SA"/>
        </w:rPr>
        <w:t xml:space="preserve">Table 4: Chi-Square test Pension fund size and pension fund type </w:t>
      </w:r>
    </w:p>
    <w:p w:rsidR="0093202B" w:rsidRDefault="0093202B" w:rsidP="00CF652F">
      <w:pPr>
        <w:spacing w:line="360" w:lineRule="auto"/>
        <w:rPr>
          <w:lang w:val="en-US"/>
        </w:rPr>
      </w:pPr>
    </w:p>
    <w:p w:rsidR="00CF652F" w:rsidRDefault="00567F17" w:rsidP="00961508">
      <w:pPr>
        <w:spacing w:line="360" w:lineRule="auto"/>
        <w:jc w:val="both"/>
        <w:rPr>
          <w:lang w:val="en-US"/>
        </w:rPr>
      </w:pPr>
      <w:r>
        <w:rPr>
          <w:lang w:val="en-US"/>
        </w:rPr>
        <w:t>Table 4 reveals that there is evidence (X</w:t>
      </w:r>
      <w:r w:rsidRPr="002169D2">
        <w:rPr>
          <w:vertAlign w:val="superscript"/>
          <w:lang w:val="en-US"/>
        </w:rPr>
        <w:t>2</w:t>
      </w:r>
      <w:r>
        <w:rPr>
          <w:lang w:val="en-US"/>
        </w:rPr>
        <w:t xml:space="preserve"> is 23.28, 12 degrees of freedom and Sig smaller than 0.05) that there is a statistical significant relation between the variables pension fund size and pension fund type.</w:t>
      </w:r>
      <w:r w:rsidR="002169D2">
        <w:rPr>
          <w:lang w:val="en-US"/>
        </w:rPr>
        <w:t xml:space="preserve"> This is an in</w:t>
      </w:r>
      <w:r w:rsidR="001B55CD">
        <w:rPr>
          <w:lang w:val="en-US"/>
        </w:rPr>
        <w:t>teresting feature for further research in the future. However, within the scope of this research, the focus will remain on the size of the pension fund as one of the variables.</w:t>
      </w:r>
    </w:p>
    <w:p w:rsidR="009D154F" w:rsidRDefault="009D154F" w:rsidP="009D154F">
      <w:pPr>
        <w:pStyle w:val="Kop2"/>
        <w:numPr>
          <w:ilvl w:val="0"/>
          <w:numId w:val="0"/>
        </w:numPr>
        <w:spacing w:line="360" w:lineRule="auto"/>
        <w:ind w:left="576" w:hanging="576"/>
        <w:jc w:val="both"/>
        <w:rPr>
          <w:rFonts w:ascii="Times New Roman" w:hAnsi="Times New Roman" w:cs="Times New Roman"/>
          <w:bCs w:val="0"/>
          <w:i w:val="0"/>
          <w:iCs w:val="0"/>
          <w:sz w:val="24"/>
          <w:szCs w:val="24"/>
          <w:lang w:val="en-US"/>
        </w:rPr>
      </w:pPr>
      <w:bookmarkStart w:id="61" w:name="_Toc355387310"/>
      <w:r>
        <w:rPr>
          <w:rFonts w:ascii="Times New Roman" w:hAnsi="Times New Roman" w:cs="Times New Roman"/>
          <w:bCs w:val="0"/>
          <w:i w:val="0"/>
          <w:iCs w:val="0"/>
          <w:sz w:val="24"/>
          <w:szCs w:val="24"/>
          <w:lang w:val="en-US"/>
        </w:rPr>
        <w:t>4.2</w:t>
      </w:r>
      <w:r>
        <w:rPr>
          <w:rFonts w:ascii="Times New Roman" w:hAnsi="Times New Roman" w:cs="Times New Roman"/>
          <w:bCs w:val="0"/>
          <w:i w:val="0"/>
          <w:iCs w:val="0"/>
          <w:sz w:val="24"/>
          <w:szCs w:val="24"/>
          <w:lang w:val="en-US"/>
        </w:rPr>
        <w:tab/>
      </w:r>
      <w:r w:rsidR="00410912">
        <w:rPr>
          <w:rFonts w:ascii="Times New Roman" w:hAnsi="Times New Roman" w:cs="Times New Roman"/>
          <w:bCs w:val="0"/>
          <w:i w:val="0"/>
          <w:iCs w:val="0"/>
          <w:sz w:val="24"/>
          <w:szCs w:val="24"/>
          <w:lang w:val="en-US"/>
        </w:rPr>
        <w:t>Disclosure quantity of f</w:t>
      </w:r>
      <w:r>
        <w:rPr>
          <w:rFonts w:ascii="Times New Roman" w:hAnsi="Times New Roman" w:cs="Times New Roman"/>
          <w:bCs w:val="0"/>
          <w:i w:val="0"/>
          <w:iCs w:val="0"/>
          <w:sz w:val="24"/>
          <w:szCs w:val="24"/>
          <w:lang w:val="en-US"/>
        </w:rPr>
        <w:t xml:space="preserve">inancial crisis in </w:t>
      </w:r>
      <w:r w:rsidR="000830D6">
        <w:rPr>
          <w:rFonts w:ascii="Times New Roman" w:hAnsi="Times New Roman" w:cs="Times New Roman"/>
          <w:bCs w:val="0"/>
          <w:i w:val="0"/>
          <w:iCs w:val="0"/>
          <w:sz w:val="24"/>
          <w:szCs w:val="24"/>
          <w:lang w:val="en-US"/>
        </w:rPr>
        <w:t>financial statements</w:t>
      </w:r>
      <w:bookmarkEnd w:id="61"/>
    </w:p>
    <w:p w:rsidR="00342E06" w:rsidRDefault="00342E06" w:rsidP="00961508">
      <w:pPr>
        <w:spacing w:line="360" w:lineRule="auto"/>
        <w:jc w:val="both"/>
        <w:rPr>
          <w:lang w:val="en-US"/>
        </w:rPr>
      </w:pPr>
      <w:r>
        <w:rPr>
          <w:lang w:val="en-US"/>
        </w:rPr>
        <w:t>Before focusing on potential changes in the quantity and quality of investment risk disclosures since the financial crisis</w:t>
      </w:r>
      <w:r w:rsidR="00A30271">
        <w:rPr>
          <w:lang w:val="en-US"/>
        </w:rPr>
        <w:t>,</w:t>
      </w:r>
      <w:r>
        <w:rPr>
          <w:lang w:val="en-US"/>
        </w:rPr>
        <w:t xml:space="preserve"> it is interesting to research if the financial crisis is a subject in the financial statements of Dutch pension funds at all.</w:t>
      </w:r>
    </w:p>
    <w:p w:rsidR="00342E06" w:rsidRDefault="00342E06" w:rsidP="00961508">
      <w:pPr>
        <w:spacing w:line="360" w:lineRule="auto"/>
        <w:jc w:val="both"/>
        <w:rPr>
          <w:lang w:val="en-US"/>
        </w:rPr>
      </w:pPr>
    </w:p>
    <w:p w:rsidR="00BD4368" w:rsidRDefault="00F27069" w:rsidP="00961508">
      <w:pPr>
        <w:spacing w:line="360" w:lineRule="auto"/>
        <w:jc w:val="both"/>
        <w:rPr>
          <w:lang w:val="en-US"/>
        </w:rPr>
      </w:pPr>
      <w:r>
        <w:rPr>
          <w:lang w:val="en-US"/>
        </w:rPr>
        <w:t xml:space="preserve">Paragraph 2.3 of the literature research with regard to the financial crisis made already clear that there are several definitions and names regarding the financial crisis. </w:t>
      </w:r>
      <w:r w:rsidR="00701479">
        <w:rPr>
          <w:lang w:val="en-US"/>
        </w:rPr>
        <w:t>In</w:t>
      </w:r>
      <w:r w:rsidR="00BD4368">
        <w:rPr>
          <w:lang w:val="en-US"/>
        </w:rPr>
        <w:t xml:space="preserve"> the </w:t>
      </w:r>
      <w:r w:rsidR="00701479">
        <w:rPr>
          <w:lang w:val="en-US"/>
        </w:rPr>
        <w:t>financial statements</w:t>
      </w:r>
      <w:r w:rsidR="00BD4368">
        <w:rPr>
          <w:lang w:val="en-US"/>
        </w:rPr>
        <w:t xml:space="preserve"> of 2011</w:t>
      </w:r>
      <w:r w:rsidR="00701479">
        <w:rPr>
          <w:lang w:val="en-US"/>
        </w:rPr>
        <w:t xml:space="preserve">, </w:t>
      </w:r>
      <w:r w:rsidR="00BD4368">
        <w:rPr>
          <w:lang w:val="en-US"/>
        </w:rPr>
        <w:t xml:space="preserve">the 25 Dutch pension funds in the sample </w:t>
      </w:r>
      <w:r w:rsidR="00701479">
        <w:rPr>
          <w:lang w:val="en-US"/>
        </w:rPr>
        <w:t xml:space="preserve">have reported </w:t>
      </w:r>
      <w:r w:rsidR="00BD4368">
        <w:rPr>
          <w:lang w:val="en-US"/>
        </w:rPr>
        <w:t>no less than 39 different words with “crisi</w:t>
      </w:r>
      <w:r w:rsidR="00701479">
        <w:rPr>
          <w:lang w:val="en-US"/>
        </w:rPr>
        <w:t>s” in it</w:t>
      </w:r>
      <w:r w:rsidR="00BD4368">
        <w:rPr>
          <w:lang w:val="en-US"/>
        </w:rPr>
        <w:t xml:space="preserve">. In the 2007 </w:t>
      </w:r>
      <w:r w:rsidR="00701479">
        <w:rPr>
          <w:lang w:val="en-US"/>
        </w:rPr>
        <w:t xml:space="preserve">financial statements, </w:t>
      </w:r>
      <w:r w:rsidR="00BD4368">
        <w:rPr>
          <w:lang w:val="en-US"/>
        </w:rPr>
        <w:t xml:space="preserve">this number was restricted to </w:t>
      </w:r>
      <w:r w:rsidR="00BD41E2">
        <w:rPr>
          <w:lang w:val="en-US"/>
        </w:rPr>
        <w:t>11 different words with “crisis</w:t>
      </w:r>
      <w:r w:rsidR="00BD4368">
        <w:rPr>
          <w:lang w:val="en-US"/>
        </w:rPr>
        <w:t>“ in it.</w:t>
      </w:r>
      <w:r w:rsidR="0007366C">
        <w:rPr>
          <w:lang w:val="en-US"/>
        </w:rPr>
        <w:t xml:space="preserve"> </w:t>
      </w:r>
    </w:p>
    <w:p w:rsidR="0007366C" w:rsidRDefault="0007366C" w:rsidP="00961508">
      <w:pPr>
        <w:spacing w:line="360" w:lineRule="auto"/>
        <w:jc w:val="both"/>
        <w:rPr>
          <w:lang w:val="en-US"/>
        </w:rPr>
      </w:pPr>
    </w:p>
    <w:p w:rsidR="0007366C" w:rsidRDefault="0007366C" w:rsidP="00961508">
      <w:pPr>
        <w:spacing w:line="360" w:lineRule="auto"/>
        <w:jc w:val="both"/>
        <w:rPr>
          <w:lang w:val="en-US"/>
        </w:rPr>
      </w:pPr>
      <w:r>
        <w:rPr>
          <w:lang w:val="en-US"/>
        </w:rPr>
        <w:t>The average number of times that the wo</w:t>
      </w:r>
      <w:r w:rsidR="0096427E">
        <w:rPr>
          <w:lang w:val="en-US"/>
        </w:rPr>
        <w:t xml:space="preserve">rd “crisis” is disclosed per pension fund </w:t>
      </w:r>
      <w:r w:rsidR="005C36A8">
        <w:rPr>
          <w:lang w:val="en-US"/>
        </w:rPr>
        <w:t xml:space="preserve">in the financial statements </w:t>
      </w:r>
      <w:r>
        <w:rPr>
          <w:lang w:val="en-US"/>
        </w:rPr>
        <w:t>has been presented</w:t>
      </w:r>
      <w:r w:rsidR="0096427E">
        <w:rPr>
          <w:lang w:val="en-US"/>
        </w:rPr>
        <w:t xml:space="preserve"> as an average </w:t>
      </w:r>
      <w:r>
        <w:rPr>
          <w:lang w:val="en-US"/>
        </w:rPr>
        <w:t>per pension fund size in table</w:t>
      </w:r>
      <w:r w:rsidR="000E7256">
        <w:rPr>
          <w:lang w:val="en-US"/>
        </w:rPr>
        <w:t xml:space="preserve"> 5</w:t>
      </w:r>
      <w:r>
        <w:rPr>
          <w:lang w:val="en-US"/>
        </w:rPr>
        <w:t>.</w:t>
      </w:r>
    </w:p>
    <w:p w:rsidR="00516871" w:rsidRDefault="00516871" w:rsidP="00516871">
      <w:pPr>
        <w:spacing w:line="120" w:lineRule="exact"/>
        <w:rPr>
          <w:lang w:val="en-US"/>
        </w:rPr>
      </w:pPr>
    </w:p>
    <w:tbl>
      <w:tblPr>
        <w:tblW w:w="666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24"/>
        <w:gridCol w:w="2448"/>
        <w:gridCol w:w="2992"/>
      </w:tblGrid>
      <w:tr w:rsidR="003E3E96" w:rsidRPr="003E3E96" w:rsidTr="00516871">
        <w:trPr>
          <w:trHeight w:val="386"/>
        </w:trPr>
        <w:tc>
          <w:tcPr>
            <w:tcW w:w="122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E3E96" w:rsidRPr="003E3E96" w:rsidRDefault="005C36A8" w:rsidP="00516871">
            <w:pPr>
              <w:autoSpaceDE w:val="0"/>
              <w:autoSpaceDN w:val="0"/>
              <w:adjustRightInd w:val="0"/>
              <w:spacing w:line="276" w:lineRule="auto"/>
              <w:ind w:left="60" w:right="60"/>
              <w:rPr>
                <w:rFonts w:ascii="Arial" w:hAnsi="Arial" w:cs="Arial"/>
                <w:color w:val="000000"/>
                <w:sz w:val="18"/>
                <w:szCs w:val="18"/>
                <w:lang w:val="en-US" w:eastAsia="en-US" w:bidi="ar-SA"/>
              </w:rPr>
            </w:pPr>
            <w:r>
              <w:rPr>
                <w:rFonts w:ascii="Arial" w:hAnsi="Arial" w:cs="Arial"/>
                <w:color w:val="000000"/>
                <w:sz w:val="18"/>
                <w:szCs w:val="18"/>
                <w:lang w:val="en-US" w:eastAsia="en-US" w:bidi="ar-SA"/>
              </w:rPr>
              <w:t>Pension fund s</w:t>
            </w:r>
            <w:r w:rsidR="003E3E96" w:rsidRPr="003E3E96">
              <w:rPr>
                <w:rFonts w:ascii="Arial" w:hAnsi="Arial" w:cs="Arial"/>
                <w:color w:val="000000"/>
                <w:sz w:val="18"/>
                <w:szCs w:val="18"/>
                <w:lang w:val="en-US" w:eastAsia="en-US" w:bidi="ar-SA"/>
              </w:rPr>
              <w:t>ize</w:t>
            </w:r>
          </w:p>
        </w:tc>
        <w:tc>
          <w:tcPr>
            <w:tcW w:w="2448" w:type="dxa"/>
            <w:tcBorders>
              <w:top w:val="single" w:sz="16" w:space="0" w:color="000000"/>
              <w:left w:val="single" w:sz="16" w:space="0" w:color="000000"/>
              <w:bottom w:val="single" w:sz="16" w:space="0" w:color="000000"/>
            </w:tcBorders>
            <w:shd w:val="clear" w:color="auto" w:fill="FFFFFF"/>
            <w:vAlign w:val="bottom"/>
          </w:tcPr>
          <w:p w:rsidR="003E3E96" w:rsidRPr="003E3E96" w:rsidRDefault="005C36A8" w:rsidP="00516871">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Financial statements 2007 word count</w:t>
            </w:r>
            <w:r w:rsidR="003E3E96" w:rsidRPr="003E3E96">
              <w:rPr>
                <w:rFonts w:ascii="Arial" w:hAnsi="Arial" w:cs="Arial"/>
                <w:color w:val="000000"/>
                <w:sz w:val="18"/>
                <w:szCs w:val="18"/>
                <w:lang w:val="en-US" w:eastAsia="en-US" w:bidi="ar-SA"/>
              </w:rPr>
              <w:t xml:space="preserve"> </w:t>
            </w:r>
            <w:r w:rsidR="0007366C">
              <w:rPr>
                <w:rFonts w:ascii="Arial" w:hAnsi="Arial" w:cs="Arial"/>
                <w:color w:val="000000"/>
                <w:sz w:val="18"/>
                <w:szCs w:val="18"/>
                <w:lang w:val="en-US" w:eastAsia="en-US" w:bidi="ar-SA"/>
              </w:rPr>
              <w:t>“</w:t>
            </w:r>
            <w:r w:rsidR="003E3E96" w:rsidRPr="003E3E96">
              <w:rPr>
                <w:rFonts w:ascii="Arial" w:hAnsi="Arial" w:cs="Arial"/>
                <w:color w:val="000000"/>
                <w:sz w:val="18"/>
                <w:szCs w:val="18"/>
                <w:lang w:val="en-US" w:eastAsia="en-US" w:bidi="ar-SA"/>
              </w:rPr>
              <w:t>crisis</w:t>
            </w:r>
            <w:r w:rsidR="0007366C">
              <w:rPr>
                <w:rFonts w:ascii="Arial" w:hAnsi="Arial" w:cs="Arial"/>
                <w:color w:val="000000"/>
                <w:sz w:val="18"/>
                <w:szCs w:val="18"/>
                <w:lang w:val="en-US" w:eastAsia="en-US" w:bidi="ar-SA"/>
              </w:rPr>
              <w:t>”</w:t>
            </w:r>
          </w:p>
        </w:tc>
        <w:tc>
          <w:tcPr>
            <w:tcW w:w="2992" w:type="dxa"/>
            <w:tcBorders>
              <w:top w:val="single" w:sz="16" w:space="0" w:color="000000"/>
              <w:bottom w:val="single" w:sz="16" w:space="0" w:color="000000"/>
              <w:right w:val="single" w:sz="16" w:space="0" w:color="000000"/>
            </w:tcBorders>
            <w:shd w:val="clear" w:color="auto" w:fill="FFFFFF"/>
            <w:vAlign w:val="bottom"/>
          </w:tcPr>
          <w:p w:rsidR="003E3E96" w:rsidRPr="003E3E96" w:rsidRDefault="005C36A8" w:rsidP="00516871">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Financial statements 2011 word count</w:t>
            </w:r>
            <w:r w:rsidRPr="003E3E96">
              <w:rPr>
                <w:rFonts w:ascii="Arial" w:hAnsi="Arial" w:cs="Arial"/>
                <w:color w:val="000000"/>
                <w:sz w:val="18"/>
                <w:szCs w:val="18"/>
                <w:lang w:val="en-US" w:eastAsia="en-US" w:bidi="ar-SA"/>
              </w:rPr>
              <w:t xml:space="preserve"> </w:t>
            </w:r>
            <w:r>
              <w:rPr>
                <w:rFonts w:ascii="Arial" w:hAnsi="Arial" w:cs="Arial"/>
                <w:color w:val="000000"/>
                <w:sz w:val="18"/>
                <w:szCs w:val="18"/>
                <w:lang w:val="en-US" w:eastAsia="en-US" w:bidi="ar-SA"/>
              </w:rPr>
              <w:t>“</w:t>
            </w:r>
            <w:r w:rsidRPr="003E3E96">
              <w:rPr>
                <w:rFonts w:ascii="Arial" w:hAnsi="Arial" w:cs="Arial"/>
                <w:color w:val="000000"/>
                <w:sz w:val="18"/>
                <w:szCs w:val="18"/>
                <w:lang w:val="en-US" w:eastAsia="en-US" w:bidi="ar-SA"/>
              </w:rPr>
              <w:t>crisis</w:t>
            </w:r>
            <w:r>
              <w:rPr>
                <w:rFonts w:ascii="Arial" w:hAnsi="Arial" w:cs="Arial"/>
                <w:color w:val="000000"/>
                <w:sz w:val="18"/>
                <w:szCs w:val="18"/>
                <w:lang w:val="en-US" w:eastAsia="en-US" w:bidi="ar-SA"/>
              </w:rPr>
              <w:t>”</w:t>
            </w:r>
          </w:p>
        </w:tc>
      </w:tr>
      <w:tr w:rsidR="003E3E96" w:rsidRPr="003E3E96" w:rsidTr="00516871">
        <w:trPr>
          <w:trHeight w:val="204"/>
        </w:trPr>
        <w:tc>
          <w:tcPr>
            <w:tcW w:w="1224" w:type="dxa"/>
            <w:tcBorders>
              <w:top w:val="single" w:sz="16" w:space="0" w:color="000000"/>
              <w:left w:val="single" w:sz="16" w:space="0" w:color="000000"/>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X Large</w:t>
            </w:r>
          </w:p>
        </w:tc>
        <w:tc>
          <w:tcPr>
            <w:tcW w:w="2448" w:type="dxa"/>
            <w:tcBorders>
              <w:top w:val="single" w:sz="16" w:space="0" w:color="000000"/>
              <w:left w:val="single" w:sz="16" w:space="0" w:color="000000"/>
              <w:bottom w:val="nil"/>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16.80</w:t>
            </w:r>
          </w:p>
        </w:tc>
        <w:tc>
          <w:tcPr>
            <w:tcW w:w="2992" w:type="dxa"/>
            <w:tcBorders>
              <w:top w:val="single" w:sz="16" w:space="0" w:color="000000"/>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35.80</w:t>
            </w:r>
          </w:p>
        </w:tc>
      </w:tr>
      <w:tr w:rsidR="003E3E96" w:rsidRPr="003E3E96" w:rsidTr="00516871">
        <w:trPr>
          <w:trHeight w:val="192"/>
        </w:trPr>
        <w:tc>
          <w:tcPr>
            <w:tcW w:w="1224" w:type="dxa"/>
            <w:tcBorders>
              <w:top w:val="nil"/>
              <w:left w:val="single" w:sz="16" w:space="0" w:color="000000"/>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Large</w:t>
            </w:r>
          </w:p>
        </w:tc>
        <w:tc>
          <w:tcPr>
            <w:tcW w:w="2448" w:type="dxa"/>
            <w:tcBorders>
              <w:top w:val="nil"/>
              <w:left w:val="single" w:sz="16" w:space="0" w:color="000000"/>
              <w:bottom w:val="nil"/>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7.60</w:t>
            </w:r>
          </w:p>
        </w:tc>
        <w:tc>
          <w:tcPr>
            <w:tcW w:w="2992" w:type="dxa"/>
            <w:tcBorders>
              <w:top w:val="nil"/>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16.40</w:t>
            </w:r>
          </w:p>
        </w:tc>
      </w:tr>
      <w:tr w:rsidR="003E3E96" w:rsidRPr="003E3E96" w:rsidTr="00516871">
        <w:trPr>
          <w:trHeight w:val="192"/>
        </w:trPr>
        <w:tc>
          <w:tcPr>
            <w:tcW w:w="1224" w:type="dxa"/>
            <w:tcBorders>
              <w:top w:val="nil"/>
              <w:left w:val="single" w:sz="16" w:space="0" w:color="000000"/>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Medium</w:t>
            </w:r>
          </w:p>
        </w:tc>
        <w:tc>
          <w:tcPr>
            <w:tcW w:w="2448" w:type="dxa"/>
            <w:tcBorders>
              <w:top w:val="nil"/>
              <w:left w:val="single" w:sz="16" w:space="0" w:color="000000"/>
              <w:bottom w:val="nil"/>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10.60</w:t>
            </w:r>
          </w:p>
        </w:tc>
        <w:tc>
          <w:tcPr>
            <w:tcW w:w="2992" w:type="dxa"/>
            <w:tcBorders>
              <w:top w:val="nil"/>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21.60</w:t>
            </w:r>
          </w:p>
        </w:tc>
      </w:tr>
      <w:tr w:rsidR="003E3E96" w:rsidRPr="003E3E96" w:rsidTr="00516871">
        <w:trPr>
          <w:trHeight w:val="204"/>
        </w:trPr>
        <w:tc>
          <w:tcPr>
            <w:tcW w:w="1224" w:type="dxa"/>
            <w:tcBorders>
              <w:top w:val="nil"/>
              <w:left w:val="single" w:sz="16" w:space="0" w:color="000000"/>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Small</w:t>
            </w:r>
          </w:p>
        </w:tc>
        <w:tc>
          <w:tcPr>
            <w:tcW w:w="2448" w:type="dxa"/>
            <w:tcBorders>
              <w:top w:val="nil"/>
              <w:left w:val="single" w:sz="16" w:space="0" w:color="000000"/>
              <w:bottom w:val="nil"/>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6.00</w:t>
            </w:r>
          </w:p>
        </w:tc>
        <w:tc>
          <w:tcPr>
            <w:tcW w:w="2992" w:type="dxa"/>
            <w:tcBorders>
              <w:top w:val="nil"/>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13.80</w:t>
            </w:r>
          </w:p>
        </w:tc>
      </w:tr>
      <w:tr w:rsidR="003E3E96" w:rsidRPr="003E3E96" w:rsidTr="00516871">
        <w:trPr>
          <w:trHeight w:val="192"/>
        </w:trPr>
        <w:tc>
          <w:tcPr>
            <w:tcW w:w="1224" w:type="dxa"/>
            <w:tcBorders>
              <w:top w:val="nil"/>
              <w:left w:val="single" w:sz="16" w:space="0" w:color="000000"/>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X Small</w:t>
            </w:r>
          </w:p>
        </w:tc>
        <w:tc>
          <w:tcPr>
            <w:tcW w:w="2448" w:type="dxa"/>
            <w:tcBorders>
              <w:top w:val="nil"/>
              <w:left w:val="single" w:sz="16" w:space="0" w:color="000000"/>
              <w:bottom w:val="nil"/>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1.80</w:t>
            </w:r>
          </w:p>
        </w:tc>
        <w:tc>
          <w:tcPr>
            <w:tcW w:w="2992" w:type="dxa"/>
            <w:tcBorders>
              <w:top w:val="nil"/>
              <w:bottom w:val="nil"/>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10.00</w:t>
            </w:r>
          </w:p>
        </w:tc>
      </w:tr>
      <w:tr w:rsidR="003E3E96" w:rsidRPr="003E3E96" w:rsidTr="00516871">
        <w:trPr>
          <w:trHeight w:val="192"/>
        </w:trPr>
        <w:tc>
          <w:tcPr>
            <w:tcW w:w="1224" w:type="dxa"/>
            <w:tcBorders>
              <w:top w:val="nil"/>
              <w:left w:val="single" w:sz="16" w:space="0" w:color="000000"/>
              <w:bottom w:val="single" w:sz="16" w:space="0" w:color="000000"/>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Total</w:t>
            </w:r>
          </w:p>
        </w:tc>
        <w:tc>
          <w:tcPr>
            <w:tcW w:w="2448" w:type="dxa"/>
            <w:tcBorders>
              <w:top w:val="nil"/>
              <w:left w:val="single" w:sz="16" w:space="0" w:color="000000"/>
              <w:bottom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8.56</w:t>
            </w:r>
          </w:p>
        </w:tc>
        <w:tc>
          <w:tcPr>
            <w:tcW w:w="2992" w:type="dxa"/>
            <w:tcBorders>
              <w:top w:val="nil"/>
              <w:bottom w:val="single" w:sz="16" w:space="0" w:color="000000"/>
              <w:right w:val="single" w:sz="16" w:space="0" w:color="000000"/>
            </w:tcBorders>
            <w:shd w:val="clear" w:color="auto" w:fill="FFFFFF"/>
          </w:tcPr>
          <w:p w:rsidR="003E3E96" w:rsidRPr="003E3E96" w:rsidRDefault="003E3E96" w:rsidP="00516871">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3E3E96">
              <w:rPr>
                <w:rFonts w:ascii="Arial" w:hAnsi="Arial" w:cs="Arial"/>
                <w:color w:val="000000"/>
                <w:sz w:val="18"/>
                <w:szCs w:val="18"/>
                <w:lang w:val="en-US" w:eastAsia="en-US" w:bidi="ar-SA"/>
              </w:rPr>
              <w:t>19.52</w:t>
            </w:r>
          </w:p>
        </w:tc>
      </w:tr>
    </w:tbl>
    <w:p w:rsidR="003E3E96" w:rsidRPr="0006603A" w:rsidRDefault="000E7256" w:rsidP="0060766E">
      <w:pPr>
        <w:autoSpaceDE w:val="0"/>
        <w:autoSpaceDN w:val="0"/>
        <w:adjustRightInd w:val="0"/>
        <w:spacing w:line="320" w:lineRule="atLeast"/>
        <w:rPr>
          <w:rFonts w:cs="Times New Roman"/>
          <w:sz w:val="20"/>
          <w:szCs w:val="20"/>
          <w:lang w:val="en-US" w:eastAsia="en-US" w:bidi="ar-SA"/>
        </w:rPr>
      </w:pPr>
      <w:r w:rsidRPr="0006603A">
        <w:rPr>
          <w:rFonts w:cs="Times New Roman"/>
          <w:sz w:val="20"/>
          <w:szCs w:val="20"/>
          <w:lang w:val="en-US" w:eastAsia="en-US" w:bidi="ar-SA"/>
        </w:rPr>
        <w:t>Table 5</w:t>
      </w:r>
      <w:r w:rsidR="0007366C" w:rsidRPr="0006603A">
        <w:rPr>
          <w:rFonts w:cs="Times New Roman"/>
          <w:sz w:val="20"/>
          <w:szCs w:val="20"/>
          <w:lang w:val="en-US" w:eastAsia="en-US" w:bidi="ar-SA"/>
        </w:rPr>
        <w:t xml:space="preserve">: </w:t>
      </w:r>
      <w:r w:rsidR="00314C98" w:rsidRPr="0006603A">
        <w:rPr>
          <w:rFonts w:cs="Times New Roman"/>
          <w:sz w:val="20"/>
          <w:szCs w:val="20"/>
          <w:lang w:val="en-US" w:eastAsia="en-US" w:bidi="ar-SA"/>
        </w:rPr>
        <w:t xml:space="preserve">Average number of times the word “crisis” is mentioned in the </w:t>
      </w:r>
      <w:r w:rsidR="005C36A8" w:rsidRPr="0006603A">
        <w:rPr>
          <w:rFonts w:cs="Times New Roman"/>
          <w:sz w:val="20"/>
          <w:szCs w:val="20"/>
          <w:lang w:val="en-US" w:eastAsia="en-US" w:bidi="ar-SA"/>
        </w:rPr>
        <w:t>financial statements 2007 and 2011</w:t>
      </w:r>
      <w:r w:rsidR="00314C98" w:rsidRPr="0006603A">
        <w:rPr>
          <w:rFonts w:cs="Times New Roman"/>
          <w:sz w:val="20"/>
          <w:szCs w:val="20"/>
          <w:lang w:val="en-US" w:eastAsia="en-US" w:bidi="ar-SA"/>
        </w:rPr>
        <w:t xml:space="preserve"> </w:t>
      </w:r>
      <w:r w:rsidR="0096427E">
        <w:rPr>
          <w:rFonts w:cs="Times New Roman"/>
          <w:sz w:val="20"/>
          <w:szCs w:val="20"/>
          <w:lang w:val="en-US" w:eastAsia="en-US" w:bidi="ar-SA"/>
        </w:rPr>
        <w:t xml:space="preserve">per pension fund as an average </w:t>
      </w:r>
      <w:r w:rsidR="00314C98" w:rsidRPr="0006603A">
        <w:rPr>
          <w:rFonts w:cs="Times New Roman"/>
          <w:sz w:val="20"/>
          <w:szCs w:val="20"/>
          <w:lang w:val="en-US" w:eastAsia="en-US" w:bidi="ar-SA"/>
        </w:rPr>
        <w:t>per pension fund size</w:t>
      </w:r>
      <w:r w:rsidR="00D13BE1" w:rsidRPr="0006603A">
        <w:rPr>
          <w:rFonts w:cs="Times New Roman"/>
          <w:sz w:val="20"/>
          <w:szCs w:val="20"/>
          <w:lang w:val="en-US" w:eastAsia="en-US" w:bidi="ar-SA"/>
        </w:rPr>
        <w:t xml:space="preserve"> category</w:t>
      </w:r>
      <w:r w:rsidR="00314C98" w:rsidRPr="0006603A">
        <w:rPr>
          <w:rFonts w:cs="Times New Roman"/>
          <w:sz w:val="20"/>
          <w:szCs w:val="20"/>
          <w:lang w:val="en-US" w:eastAsia="en-US" w:bidi="ar-SA"/>
        </w:rPr>
        <w:t>.</w:t>
      </w:r>
    </w:p>
    <w:p w:rsidR="00314C98" w:rsidRDefault="00314C98" w:rsidP="003E3E96">
      <w:pPr>
        <w:autoSpaceDE w:val="0"/>
        <w:autoSpaceDN w:val="0"/>
        <w:adjustRightInd w:val="0"/>
        <w:spacing w:line="400" w:lineRule="atLeast"/>
        <w:rPr>
          <w:rFonts w:cs="Times New Roman"/>
          <w:lang w:val="en-US" w:eastAsia="en-US" w:bidi="ar-SA"/>
        </w:rPr>
      </w:pPr>
    </w:p>
    <w:p w:rsidR="00BD41E2" w:rsidRDefault="00314C98"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 xml:space="preserve">Remarkably, the X small Dutch pension funds mentioned the word “crisis” in the </w:t>
      </w:r>
      <w:r w:rsidR="005C36A8">
        <w:rPr>
          <w:rFonts w:cs="Times New Roman"/>
          <w:lang w:val="en-US" w:eastAsia="en-US" w:bidi="ar-SA"/>
        </w:rPr>
        <w:t xml:space="preserve">financial statements </w:t>
      </w:r>
      <w:r>
        <w:rPr>
          <w:rFonts w:cs="Times New Roman"/>
          <w:lang w:val="en-US" w:eastAsia="en-US" w:bidi="ar-SA"/>
        </w:rPr>
        <w:t xml:space="preserve">extremely sporadic. </w:t>
      </w:r>
      <w:r w:rsidR="00121185">
        <w:rPr>
          <w:rFonts w:cs="Times New Roman"/>
          <w:lang w:val="en-US" w:eastAsia="en-US" w:bidi="ar-SA"/>
        </w:rPr>
        <w:t xml:space="preserve">More specific information is presented in </w:t>
      </w:r>
      <w:r w:rsidR="00BD41E2">
        <w:rPr>
          <w:rFonts w:cs="Times New Roman"/>
          <w:lang w:val="en-US" w:eastAsia="en-US" w:bidi="ar-SA"/>
        </w:rPr>
        <w:t>tables 6 and 7, which reveal that</w:t>
      </w:r>
      <w:r w:rsidR="00121185">
        <w:rPr>
          <w:rFonts w:cs="Times New Roman"/>
          <w:lang w:val="en-US" w:eastAsia="en-US" w:bidi="ar-SA"/>
        </w:rPr>
        <w:t xml:space="preserve"> 2 X small Dutch pension funds did not mention the word “crisis” at all in the 2007 </w:t>
      </w:r>
      <w:r w:rsidR="005C36A8">
        <w:rPr>
          <w:rFonts w:cs="Times New Roman"/>
          <w:lang w:val="en-US" w:eastAsia="en-US" w:bidi="ar-SA"/>
        </w:rPr>
        <w:t>financial statements</w:t>
      </w:r>
      <w:r w:rsidR="00121185">
        <w:rPr>
          <w:rFonts w:cs="Times New Roman"/>
          <w:lang w:val="en-US" w:eastAsia="en-US" w:bidi="ar-SA"/>
        </w:rPr>
        <w:t>.</w:t>
      </w:r>
      <w:r w:rsidR="00F31AC0">
        <w:rPr>
          <w:rFonts w:cs="Times New Roman"/>
          <w:lang w:val="en-US" w:eastAsia="en-US" w:bidi="ar-SA"/>
        </w:rPr>
        <w:t xml:space="preserve"> However, it seems that in the 2011 financial statements, the X</w:t>
      </w:r>
      <w:r w:rsidR="002E42DE">
        <w:rPr>
          <w:rFonts w:cs="Times New Roman"/>
          <w:lang w:val="en-US" w:eastAsia="en-US" w:bidi="ar-SA"/>
        </w:rPr>
        <w:t xml:space="preserve"> small Dutch pension funds have recognized </w:t>
      </w:r>
      <w:r w:rsidR="00F31AC0">
        <w:rPr>
          <w:rFonts w:cs="Times New Roman"/>
          <w:lang w:val="en-US" w:eastAsia="en-US" w:bidi="ar-SA"/>
        </w:rPr>
        <w:t>the impo</w:t>
      </w:r>
      <w:r w:rsidR="002E42DE">
        <w:rPr>
          <w:rFonts w:cs="Times New Roman"/>
          <w:lang w:val="en-US" w:eastAsia="en-US" w:bidi="ar-SA"/>
        </w:rPr>
        <w:t>rtance of the financial crisis. The average number of times the word crisis has been disclosed by X small pension funds increased considerably in the 2011 financial statements.</w:t>
      </w:r>
    </w:p>
    <w:p w:rsidR="00E97AAC" w:rsidRDefault="00E97AAC" w:rsidP="00023EB0">
      <w:pPr>
        <w:autoSpaceDE w:val="0"/>
        <w:autoSpaceDN w:val="0"/>
        <w:adjustRightInd w:val="0"/>
        <w:jc w:val="both"/>
        <w:rPr>
          <w:rFonts w:cs="Times New Roman"/>
          <w:lang w:val="en-US" w:eastAsia="en-US" w:bidi="ar-SA"/>
        </w:rPr>
      </w:pP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91"/>
        <w:gridCol w:w="839"/>
        <w:gridCol w:w="775"/>
        <w:gridCol w:w="854"/>
        <w:gridCol w:w="768"/>
        <w:gridCol w:w="854"/>
        <w:gridCol w:w="854"/>
        <w:gridCol w:w="854"/>
        <w:gridCol w:w="939"/>
        <w:gridCol w:w="939"/>
        <w:gridCol w:w="1263"/>
      </w:tblGrid>
      <w:tr w:rsidR="00BD41E2" w:rsidRPr="00BD41E2" w:rsidTr="00FA0F87">
        <w:trPr>
          <w:trHeight w:val="262"/>
        </w:trPr>
        <w:tc>
          <w:tcPr>
            <w:tcW w:w="1530" w:type="dxa"/>
            <w:gridSpan w:val="2"/>
            <w:tcBorders>
              <w:top w:val="nil"/>
              <w:left w:val="nil"/>
              <w:bottom w:val="nil"/>
              <w:right w:val="nil"/>
            </w:tcBorders>
            <w:shd w:val="clear" w:color="auto" w:fill="FFFFFF"/>
          </w:tcPr>
          <w:p w:rsidR="00BD41E2" w:rsidRPr="00BD41E2" w:rsidRDefault="00BD41E2" w:rsidP="00FA0F87">
            <w:pPr>
              <w:autoSpaceDE w:val="0"/>
              <w:autoSpaceDN w:val="0"/>
              <w:adjustRightInd w:val="0"/>
              <w:spacing w:line="276" w:lineRule="auto"/>
              <w:ind w:left="60" w:right="60"/>
              <w:jc w:val="center"/>
              <w:rPr>
                <w:rFonts w:ascii="Arial" w:hAnsi="Arial" w:cs="Arial"/>
                <w:b/>
                <w:bCs/>
                <w:color w:val="000000"/>
                <w:sz w:val="18"/>
                <w:szCs w:val="18"/>
                <w:lang w:val="en-US" w:eastAsia="en-US" w:bidi="ar-SA"/>
              </w:rPr>
            </w:pPr>
          </w:p>
        </w:tc>
        <w:tc>
          <w:tcPr>
            <w:tcW w:w="8100" w:type="dxa"/>
            <w:gridSpan w:val="9"/>
            <w:tcBorders>
              <w:top w:val="nil"/>
              <w:left w:val="nil"/>
              <w:bottom w:val="nil"/>
              <w:right w:val="nil"/>
            </w:tcBorders>
            <w:shd w:val="clear" w:color="auto" w:fill="FFFFFF"/>
            <w:vAlign w:val="center"/>
          </w:tcPr>
          <w:p w:rsidR="00BD41E2" w:rsidRPr="00BD41E2" w:rsidRDefault="00BD41E2" w:rsidP="00C01B0F">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b/>
                <w:bCs/>
                <w:color w:val="000000"/>
                <w:sz w:val="18"/>
                <w:szCs w:val="18"/>
                <w:lang w:val="en-US" w:eastAsia="en-US" w:bidi="ar-SA"/>
              </w:rPr>
              <w:t>Size * Crisis 2007</w:t>
            </w:r>
            <w:r w:rsidRPr="00BD41E2">
              <w:rPr>
                <w:rFonts w:ascii="Arial" w:hAnsi="Arial" w:cs="Arial"/>
                <w:b/>
                <w:bCs/>
                <w:color w:val="000000"/>
                <w:sz w:val="18"/>
                <w:szCs w:val="18"/>
                <w:lang w:val="en-US" w:eastAsia="en-US" w:bidi="ar-SA"/>
              </w:rPr>
              <w:t xml:space="preserve"> classes </w:t>
            </w:r>
            <w:proofErr w:type="spellStart"/>
            <w:r w:rsidRPr="00BD41E2">
              <w:rPr>
                <w:rFonts w:ascii="Arial" w:hAnsi="Arial" w:cs="Arial"/>
                <w:b/>
                <w:bCs/>
                <w:color w:val="000000"/>
                <w:sz w:val="18"/>
                <w:szCs w:val="18"/>
                <w:lang w:val="en-US" w:eastAsia="en-US" w:bidi="ar-SA"/>
              </w:rPr>
              <w:t>Crosstabulation</w:t>
            </w:r>
            <w:proofErr w:type="spellEnd"/>
          </w:p>
        </w:tc>
      </w:tr>
      <w:tr w:rsidR="00BD41E2" w:rsidRPr="00BD41E2" w:rsidTr="00FA0F87">
        <w:trPr>
          <w:trHeight w:val="284"/>
        </w:trPr>
        <w:tc>
          <w:tcPr>
            <w:tcW w:w="153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D41E2" w:rsidRPr="00BD41E2" w:rsidRDefault="00BD41E2" w:rsidP="00FA0F87">
            <w:pPr>
              <w:autoSpaceDE w:val="0"/>
              <w:autoSpaceDN w:val="0"/>
              <w:adjustRightInd w:val="0"/>
              <w:spacing w:line="276" w:lineRule="auto"/>
              <w:jc w:val="center"/>
              <w:rPr>
                <w:rFonts w:cs="Times New Roman"/>
                <w:lang w:val="en-US" w:eastAsia="en-US" w:bidi="ar-SA"/>
              </w:rPr>
            </w:pPr>
          </w:p>
        </w:tc>
        <w:tc>
          <w:tcPr>
            <w:tcW w:w="6837" w:type="dxa"/>
            <w:gridSpan w:val="8"/>
            <w:tcBorders>
              <w:top w:val="single" w:sz="16" w:space="0" w:color="000000"/>
              <w:lef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Crisis 2007</w:t>
            </w:r>
            <w:r w:rsidRPr="00BD41E2">
              <w:rPr>
                <w:rFonts w:ascii="Arial" w:hAnsi="Arial" w:cs="Arial"/>
                <w:color w:val="000000"/>
                <w:sz w:val="18"/>
                <w:szCs w:val="18"/>
                <w:lang w:val="en-US" w:eastAsia="en-US" w:bidi="ar-SA"/>
              </w:rPr>
              <w:t xml:space="preserve"> classes</w:t>
            </w:r>
          </w:p>
        </w:tc>
        <w:tc>
          <w:tcPr>
            <w:tcW w:w="1263" w:type="dxa"/>
            <w:vMerge w:val="restart"/>
            <w:tcBorders>
              <w:top w:val="single" w:sz="16" w:space="0" w:color="000000"/>
              <w:bottom w:val="single" w:sz="16" w:space="0" w:color="000000"/>
              <w:right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Total</w:t>
            </w:r>
          </w:p>
        </w:tc>
      </w:tr>
      <w:tr w:rsidR="00BD41E2" w:rsidRPr="00BD41E2" w:rsidTr="00FA0F87">
        <w:trPr>
          <w:trHeight w:val="168"/>
        </w:trPr>
        <w:tc>
          <w:tcPr>
            <w:tcW w:w="153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D41E2" w:rsidRPr="00BD41E2" w:rsidRDefault="00BD41E2" w:rsidP="00FA0F87">
            <w:pPr>
              <w:autoSpaceDE w:val="0"/>
              <w:autoSpaceDN w:val="0"/>
              <w:adjustRightInd w:val="0"/>
              <w:spacing w:line="276" w:lineRule="auto"/>
              <w:rPr>
                <w:rFonts w:ascii="Arial" w:hAnsi="Arial" w:cs="Arial"/>
                <w:color w:val="000000"/>
                <w:sz w:val="18"/>
                <w:szCs w:val="18"/>
                <w:lang w:val="en-US" w:eastAsia="en-US" w:bidi="ar-SA"/>
              </w:rPr>
            </w:pPr>
          </w:p>
        </w:tc>
        <w:tc>
          <w:tcPr>
            <w:tcW w:w="775" w:type="dxa"/>
            <w:tcBorders>
              <w:left w:val="single" w:sz="16" w:space="0" w:color="000000"/>
              <w:bottom w:val="single" w:sz="16" w:space="0" w:color="000000"/>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left w:val="single" w:sz="16" w:space="0" w:color="000000"/>
              <w:bottom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1-5</w:t>
            </w:r>
          </w:p>
        </w:tc>
        <w:tc>
          <w:tcPr>
            <w:tcW w:w="768" w:type="dxa"/>
            <w:tcBorders>
              <w:bottom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6-10</w:t>
            </w:r>
          </w:p>
        </w:tc>
        <w:tc>
          <w:tcPr>
            <w:tcW w:w="854" w:type="dxa"/>
            <w:tcBorders>
              <w:bottom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11-15</w:t>
            </w:r>
          </w:p>
        </w:tc>
        <w:tc>
          <w:tcPr>
            <w:tcW w:w="854" w:type="dxa"/>
            <w:tcBorders>
              <w:bottom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16-20</w:t>
            </w:r>
          </w:p>
        </w:tc>
        <w:tc>
          <w:tcPr>
            <w:tcW w:w="854" w:type="dxa"/>
            <w:tcBorders>
              <w:bottom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21-30</w:t>
            </w:r>
          </w:p>
        </w:tc>
        <w:tc>
          <w:tcPr>
            <w:tcW w:w="939" w:type="dxa"/>
            <w:tcBorders>
              <w:bottom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31-40</w:t>
            </w:r>
          </w:p>
        </w:tc>
        <w:tc>
          <w:tcPr>
            <w:tcW w:w="939" w:type="dxa"/>
            <w:tcBorders>
              <w:bottom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&gt;40</w:t>
            </w:r>
          </w:p>
        </w:tc>
        <w:tc>
          <w:tcPr>
            <w:tcW w:w="1263" w:type="dxa"/>
            <w:vMerge/>
            <w:tcBorders>
              <w:top w:val="single" w:sz="16" w:space="0" w:color="000000"/>
              <w:bottom w:val="single" w:sz="16" w:space="0" w:color="000000"/>
              <w:right w:val="single" w:sz="16" w:space="0" w:color="000000"/>
            </w:tcBorders>
            <w:shd w:val="clear" w:color="auto" w:fill="FFFFFF"/>
            <w:vAlign w:val="bottom"/>
          </w:tcPr>
          <w:p w:rsidR="00BD41E2" w:rsidRPr="00BD41E2" w:rsidRDefault="00BD41E2" w:rsidP="00FA0F87">
            <w:pPr>
              <w:autoSpaceDE w:val="0"/>
              <w:autoSpaceDN w:val="0"/>
              <w:adjustRightInd w:val="0"/>
              <w:spacing w:line="276" w:lineRule="auto"/>
              <w:rPr>
                <w:rFonts w:ascii="Arial" w:hAnsi="Arial" w:cs="Arial"/>
                <w:color w:val="000000"/>
                <w:sz w:val="18"/>
                <w:szCs w:val="18"/>
                <w:lang w:val="en-US" w:eastAsia="en-US" w:bidi="ar-SA"/>
              </w:rPr>
            </w:pPr>
          </w:p>
        </w:tc>
      </w:tr>
      <w:tr w:rsidR="00BD41E2" w:rsidRPr="00BD41E2" w:rsidTr="00FA0F87">
        <w:trPr>
          <w:trHeight w:val="284"/>
        </w:trPr>
        <w:tc>
          <w:tcPr>
            <w:tcW w:w="691" w:type="dxa"/>
            <w:vMerge w:val="restart"/>
            <w:tcBorders>
              <w:top w:val="single" w:sz="16" w:space="0" w:color="000000"/>
              <w:left w:val="single" w:sz="16" w:space="0" w:color="000000"/>
              <w:bottom w:val="nil"/>
              <w:right w:val="nil"/>
            </w:tcBorders>
            <w:shd w:val="clear" w:color="auto" w:fill="FFFFFF"/>
          </w:tcPr>
          <w:p w:rsidR="00BD41E2" w:rsidRPr="00BD41E2" w:rsidRDefault="00BD41E2" w:rsidP="00FA0F87">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Size</w:t>
            </w:r>
          </w:p>
        </w:tc>
        <w:tc>
          <w:tcPr>
            <w:tcW w:w="839" w:type="dxa"/>
            <w:tcBorders>
              <w:top w:val="single" w:sz="16" w:space="0" w:color="000000"/>
              <w:left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X Large</w:t>
            </w:r>
          </w:p>
        </w:tc>
        <w:tc>
          <w:tcPr>
            <w:tcW w:w="775" w:type="dxa"/>
            <w:tcBorders>
              <w:top w:val="single" w:sz="16" w:space="0" w:color="000000"/>
              <w:left w:val="single" w:sz="16" w:space="0" w:color="000000"/>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single" w:sz="16" w:space="0" w:color="000000"/>
              <w:left w:val="single" w:sz="16" w:space="0" w:color="000000"/>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768" w:type="dxa"/>
            <w:tcBorders>
              <w:top w:val="single" w:sz="16" w:space="0" w:color="000000"/>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1</w:t>
            </w:r>
          </w:p>
        </w:tc>
        <w:tc>
          <w:tcPr>
            <w:tcW w:w="854" w:type="dxa"/>
            <w:tcBorders>
              <w:top w:val="single" w:sz="16" w:space="0" w:color="000000"/>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1</w:t>
            </w:r>
          </w:p>
        </w:tc>
        <w:tc>
          <w:tcPr>
            <w:tcW w:w="854" w:type="dxa"/>
            <w:tcBorders>
              <w:top w:val="single" w:sz="16" w:space="0" w:color="000000"/>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2</w:t>
            </w:r>
          </w:p>
        </w:tc>
        <w:tc>
          <w:tcPr>
            <w:tcW w:w="854" w:type="dxa"/>
            <w:tcBorders>
              <w:top w:val="single" w:sz="16" w:space="0" w:color="000000"/>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1</w:t>
            </w:r>
          </w:p>
        </w:tc>
        <w:tc>
          <w:tcPr>
            <w:tcW w:w="939" w:type="dxa"/>
            <w:tcBorders>
              <w:top w:val="single" w:sz="16" w:space="0" w:color="000000"/>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939" w:type="dxa"/>
            <w:tcBorders>
              <w:top w:val="single" w:sz="16" w:space="0" w:color="000000"/>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1263" w:type="dxa"/>
            <w:tcBorders>
              <w:top w:val="single" w:sz="16" w:space="0" w:color="000000"/>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FA0F87">
        <w:trPr>
          <w:trHeight w:val="168"/>
        </w:trPr>
        <w:tc>
          <w:tcPr>
            <w:tcW w:w="691" w:type="dxa"/>
            <w:vMerge/>
            <w:tcBorders>
              <w:top w:val="single" w:sz="16" w:space="0" w:color="000000"/>
              <w:left w:val="single" w:sz="16" w:space="0" w:color="000000"/>
              <w:bottom w:val="nil"/>
              <w:right w:val="nil"/>
            </w:tcBorders>
            <w:shd w:val="clear" w:color="auto" w:fill="FFFFFF"/>
          </w:tcPr>
          <w:p w:rsidR="00BD41E2" w:rsidRPr="00BD41E2" w:rsidRDefault="00BD41E2" w:rsidP="00FA0F87">
            <w:pPr>
              <w:autoSpaceDE w:val="0"/>
              <w:autoSpaceDN w:val="0"/>
              <w:adjustRightInd w:val="0"/>
              <w:spacing w:line="276" w:lineRule="auto"/>
              <w:rPr>
                <w:rFonts w:ascii="Arial" w:hAnsi="Arial" w:cs="Arial"/>
                <w:color w:val="000000"/>
                <w:sz w:val="18"/>
                <w:szCs w:val="18"/>
                <w:lang w:val="en-US" w:eastAsia="en-US" w:bidi="ar-SA"/>
              </w:rPr>
            </w:pPr>
          </w:p>
        </w:tc>
        <w:tc>
          <w:tcPr>
            <w:tcW w:w="839" w:type="dxa"/>
            <w:tcBorders>
              <w:top w:val="nil"/>
              <w:left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Large</w:t>
            </w:r>
          </w:p>
        </w:tc>
        <w:tc>
          <w:tcPr>
            <w:tcW w:w="775" w:type="dxa"/>
            <w:tcBorders>
              <w:top w:val="nil"/>
              <w:left w:val="single" w:sz="16" w:space="0" w:color="000000"/>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left w:val="single" w:sz="16" w:space="0" w:color="000000"/>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2</w:t>
            </w:r>
          </w:p>
        </w:tc>
        <w:tc>
          <w:tcPr>
            <w:tcW w:w="768"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2</w:t>
            </w:r>
          </w:p>
        </w:tc>
        <w:tc>
          <w:tcPr>
            <w:tcW w:w="854"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1263" w:type="dxa"/>
            <w:tcBorders>
              <w:top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FA0F87">
        <w:trPr>
          <w:trHeight w:val="168"/>
        </w:trPr>
        <w:tc>
          <w:tcPr>
            <w:tcW w:w="691" w:type="dxa"/>
            <w:vMerge/>
            <w:tcBorders>
              <w:top w:val="single" w:sz="16" w:space="0" w:color="000000"/>
              <w:left w:val="single" w:sz="16" w:space="0" w:color="000000"/>
              <w:bottom w:val="nil"/>
              <w:right w:val="nil"/>
            </w:tcBorders>
            <w:shd w:val="clear" w:color="auto" w:fill="FFFFFF"/>
          </w:tcPr>
          <w:p w:rsidR="00BD41E2" w:rsidRPr="00BD41E2" w:rsidRDefault="00BD41E2" w:rsidP="00FA0F87">
            <w:pPr>
              <w:autoSpaceDE w:val="0"/>
              <w:autoSpaceDN w:val="0"/>
              <w:adjustRightInd w:val="0"/>
              <w:spacing w:line="276" w:lineRule="auto"/>
              <w:rPr>
                <w:rFonts w:ascii="Arial" w:hAnsi="Arial" w:cs="Arial"/>
                <w:color w:val="000000"/>
                <w:sz w:val="18"/>
                <w:szCs w:val="18"/>
                <w:lang w:val="en-US" w:eastAsia="en-US" w:bidi="ar-SA"/>
              </w:rPr>
            </w:pPr>
          </w:p>
        </w:tc>
        <w:tc>
          <w:tcPr>
            <w:tcW w:w="839" w:type="dxa"/>
            <w:tcBorders>
              <w:top w:val="nil"/>
              <w:left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Medium</w:t>
            </w:r>
          </w:p>
        </w:tc>
        <w:tc>
          <w:tcPr>
            <w:tcW w:w="775" w:type="dxa"/>
            <w:tcBorders>
              <w:top w:val="nil"/>
              <w:left w:val="single" w:sz="16" w:space="0" w:color="000000"/>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left w:val="single" w:sz="16" w:space="0" w:color="000000"/>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1</w:t>
            </w:r>
          </w:p>
        </w:tc>
        <w:tc>
          <w:tcPr>
            <w:tcW w:w="768"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3</w:t>
            </w:r>
          </w:p>
        </w:tc>
        <w:tc>
          <w:tcPr>
            <w:tcW w:w="854"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1263" w:type="dxa"/>
            <w:tcBorders>
              <w:top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FA0F87">
        <w:trPr>
          <w:trHeight w:val="168"/>
        </w:trPr>
        <w:tc>
          <w:tcPr>
            <w:tcW w:w="691" w:type="dxa"/>
            <w:vMerge/>
            <w:tcBorders>
              <w:top w:val="single" w:sz="16" w:space="0" w:color="000000"/>
              <w:left w:val="single" w:sz="16" w:space="0" w:color="000000"/>
              <w:bottom w:val="nil"/>
              <w:right w:val="nil"/>
            </w:tcBorders>
            <w:shd w:val="clear" w:color="auto" w:fill="FFFFFF"/>
          </w:tcPr>
          <w:p w:rsidR="00BD41E2" w:rsidRPr="00BD41E2" w:rsidRDefault="00BD41E2" w:rsidP="00FA0F87">
            <w:pPr>
              <w:autoSpaceDE w:val="0"/>
              <w:autoSpaceDN w:val="0"/>
              <w:adjustRightInd w:val="0"/>
              <w:spacing w:line="276" w:lineRule="auto"/>
              <w:rPr>
                <w:rFonts w:ascii="Arial" w:hAnsi="Arial" w:cs="Arial"/>
                <w:color w:val="000000"/>
                <w:sz w:val="18"/>
                <w:szCs w:val="18"/>
                <w:lang w:val="en-US" w:eastAsia="en-US" w:bidi="ar-SA"/>
              </w:rPr>
            </w:pPr>
          </w:p>
        </w:tc>
        <w:tc>
          <w:tcPr>
            <w:tcW w:w="839" w:type="dxa"/>
            <w:tcBorders>
              <w:top w:val="nil"/>
              <w:left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Small</w:t>
            </w:r>
          </w:p>
        </w:tc>
        <w:tc>
          <w:tcPr>
            <w:tcW w:w="775" w:type="dxa"/>
            <w:tcBorders>
              <w:top w:val="nil"/>
              <w:left w:val="single" w:sz="16" w:space="0" w:color="000000"/>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1</w:t>
            </w:r>
          </w:p>
        </w:tc>
        <w:tc>
          <w:tcPr>
            <w:tcW w:w="854" w:type="dxa"/>
            <w:tcBorders>
              <w:top w:val="nil"/>
              <w:left w:val="single" w:sz="16" w:space="0" w:color="000000"/>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2</w:t>
            </w:r>
          </w:p>
        </w:tc>
        <w:tc>
          <w:tcPr>
            <w:tcW w:w="768"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1263" w:type="dxa"/>
            <w:tcBorders>
              <w:top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FA0F87">
        <w:trPr>
          <w:trHeight w:val="168"/>
        </w:trPr>
        <w:tc>
          <w:tcPr>
            <w:tcW w:w="691" w:type="dxa"/>
            <w:vMerge/>
            <w:tcBorders>
              <w:top w:val="single" w:sz="16" w:space="0" w:color="000000"/>
              <w:left w:val="single" w:sz="16" w:space="0" w:color="000000"/>
              <w:bottom w:val="nil"/>
              <w:right w:val="nil"/>
            </w:tcBorders>
            <w:shd w:val="clear" w:color="auto" w:fill="FFFFFF"/>
          </w:tcPr>
          <w:p w:rsidR="00BD41E2" w:rsidRPr="00BD41E2" w:rsidRDefault="00BD41E2" w:rsidP="00FA0F87">
            <w:pPr>
              <w:autoSpaceDE w:val="0"/>
              <w:autoSpaceDN w:val="0"/>
              <w:adjustRightInd w:val="0"/>
              <w:spacing w:line="276" w:lineRule="auto"/>
              <w:rPr>
                <w:rFonts w:ascii="Arial" w:hAnsi="Arial" w:cs="Arial"/>
                <w:color w:val="000000"/>
                <w:sz w:val="18"/>
                <w:szCs w:val="18"/>
                <w:lang w:val="en-US" w:eastAsia="en-US" w:bidi="ar-SA"/>
              </w:rPr>
            </w:pPr>
          </w:p>
        </w:tc>
        <w:tc>
          <w:tcPr>
            <w:tcW w:w="839" w:type="dxa"/>
            <w:tcBorders>
              <w:top w:val="nil"/>
              <w:left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X Small</w:t>
            </w:r>
          </w:p>
        </w:tc>
        <w:tc>
          <w:tcPr>
            <w:tcW w:w="775" w:type="dxa"/>
            <w:tcBorders>
              <w:top w:val="nil"/>
              <w:left w:val="single" w:sz="16" w:space="0" w:color="000000"/>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2</w:t>
            </w:r>
          </w:p>
        </w:tc>
        <w:tc>
          <w:tcPr>
            <w:tcW w:w="854" w:type="dxa"/>
            <w:tcBorders>
              <w:top w:val="nil"/>
              <w:left w:val="single" w:sz="16" w:space="0" w:color="000000"/>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3</w:t>
            </w:r>
          </w:p>
        </w:tc>
        <w:tc>
          <w:tcPr>
            <w:tcW w:w="768"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1263" w:type="dxa"/>
            <w:tcBorders>
              <w:top w:val="nil"/>
              <w:bottom w:val="nil"/>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FA0F87">
        <w:trPr>
          <w:trHeight w:val="284"/>
        </w:trPr>
        <w:tc>
          <w:tcPr>
            <w:tcW w:w="1530" w:type="dxa"/>
            <w:gridSpan w:val="2"/>
            <w:tcBorders>
              <w:top w:val="nil"/>
              <w:left w:val="single" w:sz="16" w:space="0" w:color="000000"/>
              <w:bottom w:val="single" w:sz="16" w:space="0" w:color="000000"/>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Total</w:t>
            </w:r>
          </w:p>
        </w:tc>
        <w:tc>
          <w:tcPr>
            <w:tcW w:w="775" w:type="dxa"/>
            <w:tcBorders>
              <w:top w:val="nil"/>
              <w:left w:val="single" w:sz="16" w:space="0" w:color="000000"/>
              <w:bottom w:val="single" w:sz="16" w:space="0" w:color="000000"/>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3</w:t>
            </w:r>
          </w:p>
        </w:tc>
        <w:tc>
          <w:tcPr>
            <w:tcW w:w="854" w:type="dxa"/>
            <w:tcBorders>
              <w:top w:val="nil"/>
              <w:left w:val="single" w:sz="16" w:space="0" w:color="000000"/>
              <w:bottom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8</w:t>
            </w:r>
          </w:p>
        </w:tc>
        <w:tc>
          <w:tcPr>
            <w:tcW w:w="768" w:type="dxa"/>
            <w:tcBorders>
              <w:top w:val="nil"/>
              <w:bottom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5</w:t>
            </w:r>
          </w:p>
        </w:tc>
        <w:tc>
          <w:tcPr>
            <w:tcW w:w="854" w:type="dxa"/>
            <w:tcBorders>
              <w:top w:val="nil"/>
              <w:bottom w:val="single" w:sz="16" w:space="0" w:color="000000"/>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4</w:t>
            </w:r>
          </w:p>
        </w:tc>
        <w:tc>
          <w:tcPr>
            <w:tcW w:w="854" w:type="dxa"/>
            <w:tcBorders>
              <w:top w:val="nil"/>
              <w:bottom w:val="single" w:sz="16" w:space="0" w:color="000000"/>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4</w:t>
            </w:r>
          </w:p>
        </w:tc>
        <w:tc>
          <w:tcPr>
            <w:tcW w:w="854" w:type="dxa"/>
            <w:tcBorders>
              <w:top w:val="nil"/>
              <w:bottom w:val="single" w:sz="16" w:space="0" w:color="000000"/>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1</w:t>
            </w:r>
          </w:p>
        </w:tc>
        <w:tc>
          <w:tcPr>
            <w:tcW w:w="939" w:type="dxa"/>
            <w:tcBorders>
              <w:top w:val="nil"/>
              <w:bottom w:val="single" w:sz="16" w:space="0" w:color="000000"/>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939" w:type="dxa"/>
            <w:tcBorders>
              <w:top w:val="nil"/>
              <w:bottom w:val="single" w:sz="16" w:space="0" w:color="000000"/>
            </w:tcBorders>
            <w:shd w:val="clear" w:color="auto" w:fill="FFFFFF"/>
          </w:tcPr>
          <w:p w:rsidR="00BD41E2" w:rsidRPr="00BD41E2" w:rsidRDefault="00B633F3"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1263" w:type="dxa"/>
            <w:tcBorders>
              <w:top w:val="nil"/>
              <w:bottom w:val="single" w:sz="16" w:space="0" w:color="000000"/>
              <w:right w:val="single" w:sz="16" w:space="0" w:color="000000"/>
            </w:tcBorders>
            <w:shd w:val="clear" w:color="auto" w:fill="FFFFFF"/>
          </w:tcPr>
          <w:p w:rsidR="00BD41E2" w:rsidRPr="00BD41E2" w:rsidRDefault="00BD41E2" w:rsidP="00FA0F87">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25</w:t>
            </w:r>
          </w:p>
        </w:tc>
      </w:tr>
    </w:tbl>
    <w:p w:rsidR="00BD41E2" w:rsidRDefault="00BD41E2" w:rsidP="00BD41E2">
      <w:pPr>
        <w:autoSpaceDE w:val="0"/>
        <w:autoSpaceDN w:val="0"/>
        <w:adjustRightInd w:val="0"/>
        <w:spacing w:line="276" w:lineRule="auto"/>
        <w:jc w:val="both"/>
        <w:rPr>
          <w:rFonts w:cs="Times New Roman"/>
          <w:lang w:val="en-US" w:eastAsia="en-US" w:bidi="ar-SA"/>
        </w:rPr>
      </w:pP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91"/>
        <w:gridCol w:w="839"/>
        <w:gridCol w:w="775"/>
        <w:gridCol w:w="854"/>
        <w:gridCol w:w="768"/>
        <w:gridCol w:w="854"/>
        <w:gridCol w:w="854"/>
        <w:gridCol w:w="854"/>
        <w:gridCol w:w="939"/>
        <w:gridCol w:w="939"/>
        <w:gridCol w:w="1263"/>
      </w:tblGrid>
      <w:tr w:rsidR="00BD41E2" w:rsidRPr="00BD41E2" w:rsidTr="00BD41E2">
        <w:trPr>
          <w:trHeight w:val="262"/>
        </w:trPr>
        <w:tc>
          <w:tcPr>
            <w:tcW w:w="1530" w:type="dxa"/>
            <w:gridSpan w:val="2"/>
            <w:tcBorders>
              <w:top w:val="nil"/>
              <w:left w:val="nil"/>
              <w:bottom w:val="nil"/>
              <w:right w:val="nil"/>
            </w:tcBorders>
            <w:shd w:val="clear" w:color="auto" w:fill="FFFFFF"/>
          </w:tcPr>
          <w:p w:rsidR="00BD41E2" w:rsidRPr="00BD41E2" w:rsidRDefault="00BD41E2" w:rsidP="00BD41E2">
            <w:pPr>
              <w:autoSpaceDE w:val="0"/>
              <w:autoSpaceDN w:val="0"/>
              <w:adjustRightInd w:val="0"/>
              <w:spacing w:line="276" w:lineRule="auto"/>
              <w:ind w:left="60" w:right="60"/>
              <w:jc w:val="center"/>
              <w:rPr>
                <w:rFonts w:ascii="Arial" w:hAnsi="Arial" w:cs="Arial"/>
                <w:b/>
                <w:bCs/>
                <w:color w:val="000000"/>
                <w:sz w:val="18"/>
                <w:szCs w:val="18"/>
                <w:lang w:val="en-US" w:eastAsia="en-US" w:bidi="ar-SA"/>
              </w:rPr>
            </w:pPr>
          </w:p>
        </w:tc>
        <w:tc>
          <w:tcPr>
            <w:tcW w:w="8100" w:type="dxa"/>
            <w:gridSpan w:val="9"/>
            <w:tcBorders>
              <w:top w:val="nil"/>
              <w:left w:val="nil"/>
              <w:bottom w:val="nil"/>
              <w:right w:val="nil"/>
            </w:tcBorders>
            <w:shd w:val="clear" w:color="auto" w:fill="FFFFFF"/>
            <w:vAlign w:val="center"/>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b/>
                <w:bCs/>
                <w:color w:val="000000"/>
                <w:sz w:val="18"/>
                <w:szCs w:val="18"/>
                <w:lang w:val="en-US" w:eastAsia="en-US" w:bidi="ar-SA"/>
              </w:rPr>
              <w:t xml:space="preserve">Size * Crisis 2011 classes </w:t>
            </w:r>
            <w:proofErr w:type="spellStart"/>
            <w:r w:rsidRPr="00BD41E2">
              <w:rPr>
                <w:rFonts w:ascii="Arial" w:hAnsi="Arial" w:cs="Arial"/>
                <w:b/>
                <w:bCs/>
                <w:color w:val="000000"/>
                <w:sz w:val="18"/>
                <w:szCs w:val="18"/>
                <w:lang w:val="en-US" w:eastAsia="en-US" w:bidi="ar-SA"/>
              </w:rPr>
              <w:t>Crosstabulation</w:t>
            </w:r>
            <w:proofErr w:type="spellEnd"/>
          </w:p>
        </w:tc>
      </w:tr>
      <w:tr w:rsidR="00BD41E2" w:rsidRPr="00BD41E2" w:rsidTr="00BD41E2">
        <w:trPr>
          <w:trHeight w:val="284"/>
        </w:trPr>
        <w:tc>
          <w:tcPr>
            <w:tcW w:w="153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D41E2" w:rsidRPr="00BD41E2" w:rsidRDefault="00BD41E2" w:rsidP="00BD41E2">
            <w:pPr>
              <w:autoSpaceDE w:val="0"/>
              <w:autoSpaceDN w:val="0"/>
              <w:adjustRightInd w:val="0"/>
              <w:spacing w:line="276" w:lineRule="auto"/>
              <w:jc w:val="center"/>
              <w:rPr>
                <w:rFonts w:cs="Times New Roman"/>
                <w:lang w:val="en-US" w:eastAsia="en-US" w:bidi="ar-SA"/>
              </w:rPr>
            </w:pPr>
          </w:p>
        </w:tc>
        <w:tc>
          <w:tcPr>
            <w:tcW w:w="6837" w:type="dxa"/>
            <w:gridSpan w:val="8"/>
            <w:tcBorders>
              <w:top w:val="single" w:sz="16" w:space="0" w:color="000000"/>
              <w:lef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Crisis 2011 classes</w:t>
            </w:r>
          </w:p>
        </w:tc>
        <w:tc>
          <w:tcPr>
            <w:tcW w:w="1263" w:type="dxa"/>
            <w:vMerge w:val="restart"/>
            <w:tcBorders>
              <w:top w:val="single" w:sz="16" w:space="0" w:color="000000"/>
              <w:bottom w:val="single" w:sz="16" w:space="0" w:color="000000"/>
              <w:right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Total</w:t>
            </w:r>
          </w:p>
        </w:tc>
      </w:tr>
      <w:tr w:rsidR="00BD41E2" w:rsidRPr="00BD41E2" w:rsidTr="00BD41E2">
        <w:trPr>
          <w:trHeight w:val="168"/>
        </w:trPr>
        <w:tc>
          <w:tcPr>
            <w:tcW w:w="153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D41E2" w:rsidRPr="00BD41E2" w:rsidRDefault="00BD41E2" w:rsidP="00BD41E2">
            <w:pPr>
              <w:autoSpaceDE w:val="0"/>
              <w:autoSpaceDN w:val="0"/>
              <w:adjustRightInd w:val="0"/>
              <w:spacing w:line="276" w:lineRule="auto"/>
              <w:rPr>
                <w:rFonts w:ascii="Arial" w:hAnsi="Arial" w:cs="Arial"/>
                <w:color w:val="000000"/>
                <w:sz w:val="18"/>
                <w:szCs w:val="18"/>
                <w:lang w:val="en-US" w:eastAsia="en-US" w:bidi="ar-SA"/>
              </w:rPr>
            </w:pPr>
          </w:p>
        </w:tc>
        <w:tc>
          <w:tcPr>
            <w:tcW w:w="775" w:type="dxa"/>
            <w:tcBorders>
              <w:left w:val="single" w:sz="16" w:space="0" w:color="000000"/>
              <w:bottom w:val="single" w:sz="16" w:space="0" w:color="000000"/>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left w:val="single" w:sz="16" w:space="0" w:color="000000"/>
              <w:bottom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1-5</w:t>
            </w:r>
          </w:p>
        </w:tc>
        <w:tc>
          <w:tcPr>
            <w:tcW w:w="768" w:type="dxa"/>
            <w:tcBorders>
              <w:bottom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6-10</w:t>
            </w:r>
          </w:p>
        </w:tc>
        <w:tc>
          <w:tcPr>
            <w:tcW w:w="854" w:type="dxa"/>
            <w:tcBorders>
              <w:bottom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11-15</w:t>
            </w:r>
          </w:p>
        </w:tc>
        <w:tc>
          <w:tcPr>
            <w:tcW w:w="854" w:type="dxa"/>
            <w:tcBorders>
              <w:bottom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16-20</w:t>
            </w:r>
          </w:p>
        </w:tc>
        <w:tc>
          <w:tcPr>
            <w:tcW w:w="854" w:type="dxa"/>
            <w:tcBorders>
              <w:bottom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21-30</w:t>
            </w:r>
          </w:p>
        </w:tc>
        <w:tc>
          <w:tcPr>
            <w:tcW w:w="939" w:type="dxa"/>
            <w:tcBorders>
              <w:bottom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31-40</w:t>
            </w:r>
          </w:p>
        </w:tc>
        <w:tc>
          <w:tcPr>
            <w:tcW w:w="939" w:type="dxa"/>
            <w:tcBorders>
              <w:bottom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&gt;40</w:t>
            </w:r>
          </w:p>
        </w:tc>
        <w:tc>
          <w:tcPr>
            <w:tcW w:w="1263" w:type="dxa"/>
            <w:vMerge/>
            <w:tcBorders>
              <w:top w:val="single" w:sz="16" w:space="0" w:color="000000"/>
              <w:bottom w:val="single" w:sz="16" w:space="0" w:color="000000"/>
              <w:right w:val="single" w:sz="16" w:space="0" w:color="000000"/>
            </w:tcBorders>
            <w:shd w:val="clear" w:color="auto" w:fill="FFFFFF"/>
            <w:vAlign w:val="bottom"/>
          </w:tcPr>
          <w:p w:rsidR="00BD41E2" w:rsidRPr="00BD41E2" w:rsidRDefault="00BD41E2" w:rsidP="00BD41E2">
            <w:pPr>
              <w:autoSpaceDE w:val="0"/>
              <w:autoSpaceDN w:val="0"/>
              <w:adjustRightInd w:val="0"/>
              <w:spacing w:line="276" w:lineRule="auto"/>
              <w:rPr>
                <w:rFonts w:ascii="Arial" w:hAnsi="Arial" w:cs="Arial"/>
                <w:color w:val="000000"/>
                <w:sz w:val="18"/>
                <w:szCs w:val="18"/>
                <w:lang w:val="en-US" w:eastAsia="en-US" w:bidi="ar-SA"/>
              </w:rPr>
            </w:pPr>
          </w:p>
        </w:tc>
      </w:tr>
      <w:tr w:rsidR="00BD41E2" w:rsidRPr="00BD41E2" w:rsidTr="00BD41E2">
        <w:trPr>
          <w:trHeight w:val="284"/>
        </w:trPr>
        <w:tc>
          <w:tcPr>
            <w:tcW w:w="691" w:type="dxa"/>
            <w:vMerge w:val="restart"/>
            <w:tcBorders>
              <w:top w:val="single" w:sz="16" w:space="0" w:color="000000"/>
              <w:left w:val="single" w:sz="16" w:space="0" w:color="000000"/>
              <w:bottom w:val="nil"/>
              <w:right w:val="nil"/>
            </w:tcBorders>
            <w:shd w:val="clear" w:color="auto" w:fill="FFFFFF"/>
          </w:tcPr>
          <w:p w:rsidR="00BD41E2" w:rsidRPr="00BD41E2" w:rsidRDefault="00BD41E2" w:rsidP="00BD41E2">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Size</w:t>
            </w:r>
          </w:p>
        </w:tc>
        <w:tc>
          <w:tcPr>
            <w:tcW w:w="839" w:type="dxa"/>
            <w:tcBorders>
              <w:top w:val="single" w:sz="16" w:space="0" w:color="000000"/>
              <w:left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X Large</w:t>
            </w:r>
          </w:p>
        </w:tc>
        <w:tc>
          <w:tcPr>
            <w:tcW w:w="775" w:type="dxa"/>
            <w:tcBorders>
              <w:top w:val="single" w:sz="16" w:space="0" w:color="000000"/>
              <w:left w:val="single" w:sz="16" w:space="0" w:color="000000"/>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single" w:sz="16" w:space="0" w:color="000000"/>
              <w:left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768" w:type="dxa"/>
            <w:tcBorders>
              <w:top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w:t>
            </w:r>
          </w:p>
        </w:tc>
        <w:tc>
          <w:tcPr>
            <w:tcW w:w="939" w:type="dxa"/>
            <w:tcBorders>
              <w:top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w:t>
            </w:r>
          </w:p>
        </w:tc>
        <w:tc>
          <w:tcPr>
            <w:tcW w:w="939" w:type="dxa"/>
            <w:tcBorders>
              <w:top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1263" w:type="dxa"/>
            <w:tcBorders>
              <w:top w:val="single" w:sz="16" w:space="0" w:color="000000"/>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BD41E2">
        <w:trPr>
          <w:trHeight w:val="168"/>
        </w:trPr>
        <w:tc>
          <w:tcPr>
            <w:tcW w:w="691" w:type="dxa"/>
            <w:vMerge/>
            <w:tcBorders>
              <w:top w:val="single" w:sz="16" w:space="0" w:color="000000"/>
              <w:left w:val="single" w:sz="16" w:space="0" w:color="000000"/>
              <w:bottom w:val="nil"/>
              <w:right w:val="nil"/>
            </w:tcBorders>
            <w:shd w:val="clear" w:color="auto" w:fill="FFFFFF"/>
          </w:tcPr>
          <w:p w:rsidR="00BD41E2" w:rsidRPr="00BD41E2" w:rsidRDefault="00BD41E2" w:rsidP="00BD41E2">
            <w:pPr>
              <w:autoSpaceDE w:val="0"/>
              <w:autoSpaceDN w:val="0"/>
              <w:adjustRightInd w:val="0"/>
              <w:spacing w:line="276" w:lineRule="auto"/>
              <w:rPr>
                <w:rFonts w:ascii="Arial" w:hAnsi="Arial" w:cs="Arial"/>
                <w:color w:val="000000"/>
                <w:sz w:val="18"/>
                <w:szCs w:val="18"/>
                <w:lang w:val="en-US" w:eastAsia="en-US" w:bidi="ar-SA"/>
              </w:rPr>
            </w:pPr>
          </w:p>
        </w:tc>
        <w:tc>
          <w:tcPr>
            <w:tcW w:w="839" w:type="dxa"/>
            <w:tcBorders>
              <w:top w:val="nil"/>
              <w:left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Large</w:t>
            </w:r>
          </w:p>
        </w:tc>
        <w:tc>
          <w:tcPr>
            <w:tcW w:w="775" w:type="dxa"/>
            <w:tcBorders>
              <w:top w:val="nil"/>
              <w:left w:val="single" w:sz="16" w:space="0" w:color="000000"/>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left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768"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939"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1263" w:type="dxa"/>
            <w:tcBorders>
              <w:top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BD41E2">
        <w:trPr>
          <w:trHeight w:val="168"/>
        </w:trPr>
        <w:tc>
          <w:tcPr>
            <w:tcW w:w="691" w:type="dxa"/>
            <w:vMerge/>
            <w:tcBorders>
              <w:top w:val="single" w:sz="16" w:space="0" w:color="000000"/>
              <w:left w:val="single" w:sz="16" w:space="0" w:color="000000"/>
              <w:bottom w:val="nil"/>
              <w:right w:val="nil"/>
            </w:tcBorders>
            <w:shd w:val="clear" w:color="auto" w:fill="FFFFFF"/>
          </w:tcPr>
          <w:p w:rsidR="00BD41E2" w:rsidRPr="00BD41E2" w:rsidRDefault="00BD41E2" w:rsidP="00BD41E2">
            <w:pPr>
              <w:autoSpaceDE w:val="0"/>
              <w:autoSpaceDN w:val="0"/>
              <w:adjustRightInd w:val="0"/>
              <w:spacing w:line="276" w:lineRule="auto"/>
              <w:rPr>
                <w:rFonts w:ascii="Arial" w:hAnsi="Arial" w:cs="Arial"/>
                <w:color w:val="000000"/>
                <w:sz w:val="18"/>
                <w:szCs w:val="18"/>
                <w:lang w:val="en-US" w:eastAsia="en-US" w:bidi="ar-SA"/>
              </w:rPr>
            </w:pPr>
          </w:p>
        </w:tc>
        <w:tc>
          <w:tcPr>
            <w:tcW w:w="839" w:type="dxa"/>
            <w:tcBorders>
              <w:top w:val="nil"/>
              <w:left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Medium</w:t>
            </w:r>
          </w:p>
        </w:tc>
        <w:tc>
          <w:tcPr>
            <w:tcW w:w="775" w:type="dxa"/>
            <w:tcBorders>
              <w:top w:val="nil"/>
              <w:left w:val="single" w:sz="16" w:space="0" w:color="000000"/>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left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768"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w:t>
            </w:r>
          </w:p>
        </w:tc>
        <w:tc>
          <w:tcPr>
            <w:tcW w:w="939"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939"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1263" w:type="dxa"/>
            <w:tcBorders>
              <w:top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BD41E2">
        <w:trPr>
          <w:trHeight w:val="168"/>
        </w:trPr>
        <w:tc>
          <w:tcPr>
            <w:tcW w:w="691" w:type="dxa"/>
            <w:vMerge/>
            <w:tcBorders>
              <w:top w:val="single" w:sz="16" w:space="0" w:color="000000"/>
              <w:left w:val="single" w:sz="16" w:space="0" w:color="000000"/>
              <w:bottom w:val="nil"/>
              <w:right w:val="nil"/>
            </w:tcBorders>
            <w:shd w:val="clear" w:color="auto" w:fill="FFFFFF"/>
          </w:tcPr>
          <w:p w:rsidR="00BD41E2" w:rsidRPr="00BD41E2" w:rsidRDefault="00BD41E2" w:rsidP="00BD41E2">
            <w:pPr>
              <w:autoSpaceDE w:val="0"/>
              <w:autoSpaceDN w:val="0"/>
              <w:adjustRightInd w:val="0"/>
              <w:spacing w:line="276" w:lineRule="auto"/>
              <w:rPr>
                <w:rFonts w:ascii="Arial" w:hAnsi="Arial" w:cs="Arial"/>
                <w:color w:val="000000"/>
                <w:sz w:val="18"/>
                <w:szCs w:val="18"/>
                <w:lang w:val="en-US" w:eastAsia="en-US" w:bidi="ar-SA"/>
              </w:rPr>
            </w:pPr>
          </w:p>
        </w:tc>
        <w:tc>
          <w:tcPr>
            <w:tcW w:w="839" w:type="dxa"/>
            <w:tcBorders>
              <w:top w:val="nil"/>
              <w:left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Small</w:t>
            </w:r>
          </w:p>
        </w:tc>
        <w:tc>
          <w:tcPr>
            <w:tcW w:w="775" w:type="dxa"/>
            <w:tcBorders>
              <w:top w:val="nil"/>
              <w:left w:val="single" w:sz="16" w:space="0" w:color="000000"/>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left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768"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939"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1263" w:type="dxa"/>
            <w:tcBorders>
              <w:top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BD41E2">
        <w:trPr>
          <w:trHeight w:val="168"/>
        </w:trPr>
        <w:tc>
          <w:tcPr>
            <w:tcW w:w="691" w:type="dxa"/>
            <w:vMerge/>
            <w:tcBorders>
              <w:top w:val="single" w:sz="16" w:space="0" w:color="000000"/>
              <w:left w:val="single" w:sz="16" w:space="0" w:color="000000"/>
              <w:bottom w:val="nil"/>
              <w:right w:val="nil"/>
            </w:tcBorders>
            <w:shd w:val="clear" w:color="auto" w:fill="FFFFFF"/>
          </w:tcPr>
          <w:p w:rsidR="00BD41E2" w:rsidRPr="00BD41E2" w:rsidRDefault="00BD41E2" w:rsidP="00BD41E2">
            <w:pPr>
              <w:autoSpaceDE w:val="0"/>
              <w:autoSpaceDN w:val="0"/>
              <w:adjustRightInd w:val="0"/>
              <w:spacing w:line="276" w:lineRule="auto"/>
              <w:rPr>
                <w:rFonts w:ascii="Arial" w:hAnsi="Arial" w:cs="Arial"/>
                <w:color w:val="000000"/>
                <w:sz w:val="18"/>
                <w:szCs w:val="18"/>
                <w:lang w:val="en-US" w:eastAsia="en-US" w:bidi="ar-SA"/>
              </w:rPr>
            </w:pPr>
          </w:p>
        </w:tc>
        <w:tc>
          <w:tcPr>
            <w:tcW w:w="839" w:type="dxa"/>
            <w:tcBorders>
              <w:top w:val="nil"/>
              <w:left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X Small</w:t>
            </w:r>
          </w:p>
        </w:tc>
        <w:tc>
          <w:tcPr>
            <w:tcW w:w="775" w:type="dxa"/>
            <w:tcBorders>
              <w:top w:val="nil"/>
              <w:left w:val="single" w:sz="16" w:space="0" w:color="000000"/>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left w:val="single" w:sz="16" w:space="0" w:color="000000"/>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768"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3</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854"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939"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939" w:type="dxa"/>
            <w:tcBorders>
              <w:top w:val="nil"/>
              <w:bottom w:val="nil"/>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0</w:t>
            </w:r>
          </w:p>
        </w:tc>
        <w:tc>
          <w:tcPr>
            <w:tcW w:w="1263" w:type="dxa"/>
            <w:tcBorders>
              <w:top w:val="nil"/>
              <w:bottom w:val="nil"/>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5</w:t>
            </w:r>
          </w:p>
        </w:tc>
      </w:tr>
      <w:tr w:rsidR="00BD41E2" w:rsidRPr="00BD41E2" w:rsidTr="00BD41E2">
        <w:trPr>
          <w:trHeight w:val="284"/>
        </w:trPr>
        <w:tc>
          <w:tcPr>
            <w:tcW w:w="1530" w:type="dxa"/>
            <w:gridSpan w:val="2"/>
            <w:tcBorders>
              <w:top w:val="nil"/>
              <w:left w:val="single" w:sz="16" w:space="0" w:color="000000"/>
              <w:bottom w:val="single" w:sz="16" w:space="0" w:color="000000"/>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Total</w:t>
            </w:r>
          </w:p>
        </w:tc>
        <w:tc>
          <w:tcPr>
            <w:tcW w:w="775" w:type="dxa"/>
            <w:tcBorders>
              <w:top w:val="nil"/>
              <w:left w:val="single" w:sz="16" w:space="0" w:color="000000"/>
              <w:bottom w:val="single" w:sz="16" w:space="0" w:color="000000"/>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Pr>
                <w:rFonts w:ascii="Arial" w:hAnsi="Arial" w:cs="Arial"/>
                <w:color w:val="000000"/>
                <w:sz w:val="18"/>
                <w:szCs w:val="18"/>
                <w:lang w:val="en-US" w:eastAsia="en-US" w:bidi="ar-SA"/>
              </w:rPr>
              <w:t>0</w:t>
            </w:r>
          </w:p>
        </w:tc>
        <w:tc>
          <w:tcPr>
            <w:tcW w:w="854" w:type="dxa"/>
            <w:tcBorders>
              <w:top w:val="nil"/>
              <w:left w:val="single" w:sz="16" w:space="0" w:color="000000"/>
              <w:bottom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w:t>
            </w:r>
          </w:p>
        </w:tc>
        <w:tc>
          <w:tcPr>
            <w:tcW w:w="768" w:type="dxa"/>
            <w:tcBorders>
              <w:top w:val="nil"/>
              <w:bottom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6</w:t>
            </w:r>
          </w:p>
        </w:tc>
        <w:tc>
          <w:tcPr>
            <w:tcW w:w="854" w:type="dxa"/>
            <w:tcBorders>
              <w:top w:val="nil"/>
              <w:bottom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3</w:t>
            </w:r>
          </w:p>
        </w:tc>
        <w:tc>
          <w:tcPr>
            <w:tcW w:w="854" w:type="dxa"/>
            <w:tcBorders>
              <w:top w:val="nil"/>
              <w:bottom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3</w:t>
            </w:r>
          </w:p>
        </w:tc>
        <w:tc>
          <w:tcPr>
            <w:tcW w:w="854" w:type="dxa"/>
            <w:tcBorders>
              <w:top w:val="nil"/>
              <w:bottom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7</w:t>
            </w:r>
          </w:p>
        </w:tc>
        <w:tc>
          <w:tcPr>
            <w:tcW w:w="939" w:type="dxa"/>
            <w:tcBorders>
              <w:top w:val="nil"/>
              <w:bottom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3</w:t>
            </w:r>
          </w:p>
        </w:tc>
        <w:tc>
          <w:tcPr>
            <w:tcW w:w="939" w:type="dxa"/>
            <w:tcBorders>
              <w:top w:val="nil"/>
              <w:bottom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1</w:t>
            </w:r>
          </w:p>
        </w:tc>
        <w:tc>
          <w:tcPr>
            <w:tcW w:w="1263" w:type="dxa"/>
            <w:tcBorders>
              <w:top w:val="nil"/>
              <w:bottom w:val="single" w:sz="16" w:space="0" w:color="000000"/>
              <w:right w:val="single" w:sz="16" w:space="0" w:color="000000"/>
            </w:tcBorders>
            <w:shd w:val="clear" w:color="auto" w:fill="FFFFFF"/>
          </w:tcPr>
          <w:p w:rsidR="00BD41E2" w:rsidRPr="00BD41E2" w:rsidRDefault="00BD41E2" w:rsidP="00BD41E2">
            <w:pPr>
              <w:autoSpaceDE w:val="0"/>
              <w:autoSpaceDN w:val="0"/>
              <w:adjustRightInd w:val="0"/>
              <w:spacing w:line="276" w:lineRule="auto"/>
              <w:ind w:left="60" w:right="60"/>
              <w:jc w:val="right"/>
              <w:rPr>
                <w:rFonts w:ascii="Arial" w:hAnsi="Arial" w:cs="Arial"/>
                <w:color w:val="000000"/>
                <w:sz w:val="18"/>
                <w:szCs w:val="18"/>
                <w:lang w:val="en-US" w:eastAsia="en-US" w:bidi="ar-SA"/>
              </w:rPr>
            </w:pPr>
            <w:r w:rsidRPr="00BD41E2">
              <w:rPr>
                <w:rFonts w:ascii="Arial" w:hAnsi="Arial" w:cs="Arial"/>
                <w:color w:val="000000"/>
                <w:sz w:val="18"/>
                <w:szCs w:val="18"/>
                <w:lang w:val="en-US" w:eastAsia="en-US" w:bidi="ar-SA"/>
              </w:rPr>
              <w:t>25</w:t>
            </w:r>
          </w:p>
        </w:tc>
      </w:tr>
    </w:tbl>
    <w:p w:rsidR="00F06B95" w:rsidRPr="003C12EB" w:rsidRDefault="00F06B95" w:rsidP="00504A73">
      <w:pPr>
        <w:spacing w:line="320" w:lineRule="atLeast"/>
        <w:rPr>
          <w:highlight w:val="yellow"/>
          <w:lang w:val="en-US"/>
        </w:rPr>
      </w:pPr>
      <w:r w:rsidRPr="00F06B95">
        <w:rPr>
          <w:rFonts w:cs="Times New Roman"/>
          <w:sz w:val="20"/>
          <w:szCs w:val="20"/>
          <w:lang w:val="en-US" w:eastAsia="en-US" w:bidi="ar-SA"/>
        </w:rPr>
        <w:t>Table 6 and 7: Crosstabs pension fund size and</w:t>
      </w:r>
      <w:r w:rsidR="00023EB0">
        <w:rPr>
          <w:rFonts w:cs="Times New Roman"/>
          <w:sz w:val="20"/>
          <w:szCs w:val="20"/>
          <w:lang w:val="en-US" w:eastAsia="en-US" w:bidi="ar-SA"/>
        </w:rPr>
        <w:t xml:space="preserve"> frequency disclosure of the word “crisis” in financial statements </w:t>
      </w:r>
      <w:r w:rsidRPr="00F06B95">
        <w:rPr>
          <w:rFonts w:cs="Times New Roman"/>
          <w:sz w:val="20"/>
          <w:szCs w:val="20"/>
          <w:lang w:val="en-US" w:eastAsia="en-US" w:bidi="ar-SA"/>
        </w:rPr>
        <w:t xml:space="preserve"> </w:t>
      </w:r>
      <w:r w:rsidR="00526130">
        <w:rPr>
          <w:rFonts w:cs="Times New Roman"/>
          <w:sz w:val="20"/>
          <w:szCs w:val="20"/>
          <w:lang w:val="en-US" w:eastAsia="en-US" w:bidi="ar-SA"/>
        </w:rPr>
        <w:t>2007</w:t>
      </w:r>
      <w:r w:rsidRPr="00F06B95">
        <w:rPr>
          <w:rFonts w:cs="Times New Roman"/>
          <w:sz w:val="20"/>
          <w:szCs w:val="20"/>
          <w:lang w:val="en-US" w:eastAsia="en-US" w:bidi="ar-SA"/>
        </w:rPr>
        <w:t xml:space="preserve"> respectively 2011</w:t>
      </w:r>
    </w:p>
    <w:p w:rsidR="00121185" w:rsidRDefault="00121185" w:rsidP="00961508">
      <w:pPr>
        <w:autoSpaceDE w:val="0"/>
        <w:autoSpaceDN w:val="0"/>
        <w:adjustRightInd w:val="0"/>
        <w:spacing w:line="360" w:lineRule="auto"/>
        <w:jc w:val="both"/>
        <w:rPr>
          <w:rFonts w:cs="Times New Roman"/>
          <w:lang w:val="en-US" w:eastAsia="en-US" w:bidi="ar-SA"/>
        </w:rPr>
      </w:pPr>
    </w:p>
    <w:p w:rsidR="00EF5E92" w:rsidRDefault="00A30271" w:rsidP="00961508">
      <w:pPr>
        <w:autoSpaceDE w:val="0"/>
        <w:autoSpaceDN w:val="0"/>
        <w:adjustRightInd w:val="0"/>
        <w:spacing w:line="360" w:lineRule="auto"/>
        <w:jc w:val="both"/>
        <w:rPr>
          <w:rFonts w:cs="Times New Roman"/>
          <w:i/>
          <w:lang w:val="en-US" w:eastAsia="en-US" w:bidi="ar-SA"/>
        </w:rPr>
      </w:pPr>
      <w:r>
        <w:rPr>
          <w:rFonts w:cs="Times New Roman"/>
          <w:i/>
          <w:lang w:val="en-US" w:eastAsia="en-US" w:bidi="ar-SA"/>
        </w:rPr>
        <w:t>Parametric versus nonparametric distribution</w:t>
      </w:r>
      <w:r w:rsidR="00EF5E92">
        <w:rPr>
          <w:rFonts w:cs="Times New Roman"/>
          <w:i/>
          <w:lang w:val="en-US" w:eastAsia="en-US" w:bidi="ar-SA"/>
        </w:rPr>
        <w:t>s</w:t>
      </w:r>
    </w:p>
    <w:p w:rsidR="00AD3826" w:rsidRDefault="00AD3826"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 xml:space="preserve">Looking at table 5, it seems that both in 2007 and 2011, the larger the pension fund, the more frequent the </w:t>
      </w:r>
      <w:r w:rsidR="002A3BBD">
        <w:rPr>
          <w:rFonts w:cs="Times New Roman"/>
          <w:lang w:val="en-US" w:eastAsia="en-US" w:bidi="ar-SA"/>
        </w:rPr>
        <w:t>word “crisis” is disclosed</w:t>
      </w:r>
      <w:r>
        <w:rPr>
          <w:rFonts w:cs="Times New Roman"/>
          <w:lang w:val="en-US" w:eastAsia="en-US" w:bidi="ar-SA"/>
        </w:rPr>
        <w:t xml:space="preserve"> in the financial statements. Before analyzing if there is a significant relation, first has to be determined if the AUM 2007 and AUM 2011 distributions are close to normality (parametric) or not (nonparametric). Parametric distributions involve other possible statistical tests than nonparametric distributions. </w:t>
      </w:r>
      <w:r w:rsidR="004901EF">
        <w:rPr>
          <w:rFonts w:cs="Times New Roman"/>
          <w:lang w:val="en-US" w:eastAsia="en-US" w:bidi="ar-SA"/>
        </w:rPr>
        <w:t>During the remainder of this chapter, it will also be important to determine if the AUM 2006 distribution is close to normality or not. Therefore, in this paragraph the AUM 2006 distribution will already be tested on normality as well.</w:t>
      </w:r>
      <w:r>
        <w:rPr>
          <w:rFonts w:cs="Times New Roman"/>
          <w:lang w:val="en-US" w:eastAsia="en-US" w:bidi="ar-SA"/>
        </w:rPr>
        <w:t xml:space="preserve"> </w:t>
      </w:r>
    </w:p>
    <w:p w:rsidR="004B61F0" w:rsidRDefault="004B61F0" w:rsidP="00961508">
      <w:pPr>
        <w:autoSpaceDE w:val="0"/>
        <w:autoSpaceDN w:val="0"/>
        <w:adjustRightInd w:val="0"/>
        <w:spacing w:line="360" w:lineRule="auto"/>
        <w:jc w:val="both"/>
        <w:rPr>
          <w:rFonts w:cs="Times New Roman"/>
          <w:lang w:val="en-US" w:eastAsia="en-US" w:bidi="ar-SA"/>
        </w:rPr>
      </w:pPr>
    </w:p>
    <w:p w:rsidR="004B61F0" w:rsidRDefault="004B61F0"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 xml:space="preserve">Field (2005) describes that the </w:t>
      </w:r>
      <w:proofErr w:type="spellStart"/>
      <w:r>
        <w:rPr>
          <w:rFonts w:cs="Times New Roman"/>
          <w:lang w:val="en-US" w:eastAsia="en-US" w:bidi="ar-SA"/>
        </w:rPr>
        <w:t>Kolmogorov</w:t>
      </w:r>
      <w:proofErr w:type="spellEnd"/>
      <w:r>
        <w:rPr>
          <w:rFonts w:cs="Times New Roman"/>
          <w:lang w:val="en-US" w:eastAsia="en-US" w:bidi="ar-SA"/>
        </w:rPr>
        <w:t>-Smirnov and Shapiro-</w:t>
      </w:r>
      <w:proofErr w:type="spellStart"/>
      <w:r>
        <w:rPr>
          <w:rFonts w:cs="Times New Roman"/>
          <w:lang w:val="en-US" w:eastAsia="en-US" w:bidi="ar-SA"/>
        </w:rPr>
        <w:t>Wilk</w:t>
      </w:r>
      <w:proofErr w:type="spellEnd"/>
      <w:r>
        <w:rPr>
          <w:rFonts w:cs="Times New Roman"/>
          <w:lang w:val="en-US" w:eastAsia="en-US" w:bidi="ar-SA"/>
        </w:rPr>
        <w:t xml:space="preserve"> tests make it possible to test if the scores in the sample are close to a normal di</w:t>
      </w:r>
      <w:r w:rsidR="00462338">
        <w:rPr>
          <w:rFonts w:cs="Times New Roman"/>
          <w:lang w:val="en-US" w:eastAsia="en-US" w:bidi="ar-SA"/>
        </w:rPr>
        <w:t xml:space="preserve">stribution or not. Both the </w:t>
      </w:r>
      <w:proofErr w:type="spellStart"/>
      <w:r w:rsidR="00462338">
        <w:rPr>
          <w:rFonts w:cs="Times New Roman"/>
          <w:lang w:val="en-US" w:eastAsia="en-US" w:bidi="ar-SA"/>
        </w:rPr>
        <w:t>Kol</w:t>
      </w:r>
      <w:r>
        <w:rPr>
          <w:rFonts w:cs="Times New Roman"/>
          <w:lang w:val="en-US" w:eastAsia="en-US" w:bidi="ar-SA"/>
        </w:rPr>
        <w:t>mogorov</w:t>
      </w:r>
      <w:proofErr w:type="spellEnd"/>
      <w:r>
        <w:rPr>
          <w:rFonts w:cs="Times New Roman"/>
          <w:lang w:val="en-US" w:eastAsia="en-US" w:bidi="ar-SA"/>
        </w:rPr>
        <w:t>-Smirnov and Shapiro-</w:t>
      </w:r>
      <w:proofErr w:type="spellStart"/>
      <w:r>
        <w:rPr>
          <w:rFonts w:cs="Times New Roman"/>
          <w:lang w:val="en-US" w:eastAsia="en-US" w:bidi="ar-SA"/>
        </w:rPr>
        <w:t>Wilk</w:t>
      </w:r>
      <w:proofErr w:type="spellEnd"/>
      <w:r>
        <w:rPr>
          <w:rFonts w:cs="Times New Roman"/>
          <w:lang w:val="en-US" w:eastAsia="en-US" w:bidi="ar-SA"/>
        </w:rPr>
        <w:t xml:space="preserve"> test have been applied to the AUM 2006, AUM 2007 and AUM 2011</w:t>
      </w:r>
      <w:r w:rsidR="00462338">
        <w:rPr>
          <w:rFonts w:cs="Times New Roman"/>
          <w:lang w:val="en-US" w:eastAsia="en-US" w:bidi="ar-SA"/>
        </w:rPr>
        <w:t xml:space="preserve"> distributions</w:t>
      </w:r>
      <w:r>
        <w:rPr>
          <w:rFonts w:cs="Times New Roman"/>
          <w:lang w:val="en-US" w:eastAsia="en-US" w:bidi="ar-SA"/>
        </w:rPr>
        <w:t xml:space="preserve">. </w:t>
      </w:r>
    </w:p>
    <w:p w:rsidR="00FA3B3F" w:rsidRDefault="00FA3B3F" w:rsidP="00961508">
      <w:pPr>
        <w:autoSpaceDE w:val="0"/>
        <w:autoSpaceDN w:val="0"/>
        <w:adjustRightInd w:val="0"/>
        <w:spacing w:line="360" w:lineRule="auto"/>
        <w:jc w:val="both"/>
        <w:rPr>
          <w:rFonts w:cs="Times New Roman"/>
          <w:lang w:val="en-US" w:eastAsia="en-US" w:bidi="ar-SA"/>
        </w:rPr>
      </w:pPr>
    </w:p>
    <w:p w:rsidR="00FA3B3F" w:rsidRDefault="00FA3B3F" w:rsidP="00961508">
      <w:pPr>
        <w:autoSpaceDE w:val="0"/>
        <w:autoSpaceDN w:val="0"/>
        <w:adjustRightInd w:val="0"/>
        <w:spacing w:line="360" w:lineRule="auto"/>
        <w:jc w:val="both"/>
        <w:rPr>
          <w:rFonts w:cs="Times New Roman"/>
          <w:lang w:val="en-US" w:eastAsia="en-US" w:bidi="ar-SA"/>
        </w:rPr>
      </w:pPr>
    </w:p>
    <w:p w:rsidR="00C01B0F" w:rsidRDefault="00C01B0F" w:rsidP="00961508">
      <w:pPr>
        <w:autoSpaceDE w:val="0"/>
        <w:autoSpaceDN w:val="0"/>
        <w:adjustRightInd w:val="0"/>
        <w:spacing w:line="360" w:lineRule="auto"/>
        <w:jc w:val="both"/>
        <w:rPr>
          <w:rFonts w:cs="Times New Roman"/>
          <w:i/>
          <w:lang w:val="en-US" w:eastAsia="en-US" w:bidi="ar-SA"/>
        </w:rPr>
      </w:pPr>
    </w:p>
    <w:tbl>
      <w:tblPr>
        <w:tblW w:w="7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5"/>
        <w:gridCol w:w="1010"/>
        <w:gridCol w:w="1009"/>
        <w:gridCol w:w="1011"/>
        <w:gridCol w:w="1011"/>
        <w:gridCol w:w="1011"/>
        <w:gridCol w:w="1011"/>
      </w:tblGrid>
      <w:tr w:rsidR="004B61F0" w:rsidRPr="00EF5E92" w:rsidTr="004B61F0">
        <w:trPr>
          <w:cantSplit/>
          <w:tblHeader/>
        </w:trPr>
        <w:tc>
          <w:tcPr>
            <w:tcW w:w="7198" w:type="dxa"/>
            <w:gridSpan w:val="7"/>
            <w:tcBorders>
              <w:top w:val="nil"/>
              <w:left w:val="nil"/>
              <w:bottom w:val="nil"/>
              <w:right w:val="nil"/>
            </w:tcBorders>
            <w:shd w:val="clear" w:color="auto" w:fill="FFFFFF"/>
            <w:vAlign w:val="center"/>
          </w:tcPr>
          <w:p w:rsidR="004B61F0" w:rsidRPr="00EF5E92" w:rsidRDefault="004B61F0" w:rsidP="00FA3B3F">
            <w:pPr>
              <w:autoSpaceDE w:val="0"/>
              <w:autoSpaceDN w:val="0"/>
              <w:adjustRightInd w:val="0"/>
              <w:spacing w:line="240" w:lineRule="atLeast"/>
              <w:ind w:left="62" w:right="62"/>
              <w:jc w:val="center"/>
              <w:rPr>
                <w:rFonts w:ascii="Arial" w:hAnsi="Arial" w:cs="Arial"/>
                <w:color w:val="000000"/>
                <w:sz w:val="18"/>
                <w:szCs w:val="18"/>
                <w:lang w:val="nl-NL" w:eastAsia="en-US" w:bidi="ar-SA"/>
              </w:rPr>
            </w:pPr>
            <w:r w:rsidRPr="00EF5E92">
              <w:rPr>
                <w:rFonts w:ascii="Arial" w:hAnsi="Arial" w:cs="Arial"/>
                <w:b/>
                <w:bCs/>
                <w:color w:val="000000"/>
                <w:sz w:val="18"/>
                <w:szCs w:val="18"/>
                <w:lang w:val="nl-NL" w:eastAsia="en-US" w:bidi="ar-SA"/>
              </w:rPr>
              <w:t xml:space="preserve">Tests of </w:t>
            </w:r>
            <w:proofErr w:type="spellStart"/>
            <w:r w:rsidRPr="00EF5E92">
              <w:rPr>
                <w:rFonts w:ascii="Arial" w:hAnsi="Arial" w:cs="Arial"/>
                <w:b/>
                <w:bCs/>
                <w:color w:val="000000"/>
                <w:sz w:val="18"/>
                <w:szCs w:val="18"/>
                <w:lang w:val="nl-NL" w:eastAsia="en-US" w:bidi="ar-SA"/>
              </w:rPr>
              <w:t>Normality</w:t>
            </w:r>
            <w:proofErr w:type="spellEnd"/>
          </w:p>
        </w:tc>
      </w:tr>
      <w:tr w:rsidR="004B61F0" w:rsidRPr="00EF5E92" w:rsidTr="004B61F0">
        <w:trPr>
          <w:cantSplit/>
          <w:tblHeader/>
        </w:trPr>
        <w:tc>
          <w:tcPr>
            <w:tcW w:w="113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B61F0" w:rsidRPr="00EF5E92" w:rsidRDefault="004B61F0" w:rsidP="00516871">
            <w:pPr>
              <w:autoSpaceDE w:val="0"/>
              <w:autoSpaceDN w:val="0"/>
              <w:adjustRightInd w:val="0"/>
              <w:spacing w:line="276" w:lineRule="auto"/>
              <w:jc w:val="center"/>
              <w:rPr>
                <w:rFonts w:cs="Times New Roman"/>
                <w:lang w:val="nl-NL" w:eastAsia="en-US" w:bidi="ar-SA"/>
              </w:rPr>
            </w:pPr>
          </w:p>
        </w:tc>
        <w:tc>
          <w:tcPr>
            <w:tcW w:w="3030" w:type="dxa"/>
            <w:gridSpan w:val="3"/>
            <w:tcBorders>
              <w:top w:val="single" w:sz="16" w:space="0" w:color="000000"/>
              <w:left w:val="single" w:sz="16" w:space="0" w:color="000000"/>
            </w:tcBorders>
            <w:shd w:val="clear" w:color="auto" w:fill="FFFFFF"/>
            <w:vAlign w:val="bottom"/>
          </w:tcPr>
          <w:p w:rsidR="004B61F0" w:rsidRPr="00EF5E92" w:rsidRDefault="004B61F0"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5E92">
              <w:rPr>
                <w:rFonts w:ascii="Arial" w:hAnsi="Arial" w:cs="Arial"/>
                <w:color w:val="000000"/>
                <w:sz w:val="18"/>
                <w:szCs w:val="18"/>
                <w:lang w:val="nl-NL" w:eastAsia="en-US" w:bidi="ar-SA"/>
              </w:rPr>
              <w:t>Kolmogorov-Smirnov</w:t>
            </w:r>
            <w:r w:rsidRPr="00EF5E92">
              <w:rPr>
                <w:rFonts w:ascii="Arial" w:hAnsi="Arial" w:cs="Arial"/>
                <w:color w:val="000000"/>
                <w:sz w:val="18"/>
                <w:szCs w:val="18"/>
                <w:vertAlign w:val="superscript"/>
                <w:lang w:val="nl-NL" w:eastAsia="en-US" w:bidi="ar-SA"/>
              </w:rPr>
              <w:t>a</w:t>
            </w:r>
            <w:proofErr w:type="spellEnd"/>
          </w:p>
        </w:tc>
        <w:tc>
          <w:tcPr>
            <w:tcW w:w="3033" w:type="dxa"/>
            <w:gridSpan w:val="3"/>
            <w:tcBorders>
              <w:top w:val="single" w:sz="16" w:space="0" w:color="000000"/>
              <w:right w:val="single" w:sz="16" w:space="0" w:color="000000"/>
            </w:tcBorders>
            <w:shd w:val="clear" w:color="auto" w:fill="FFFFFF"/>
            <w:vAlign w:val="bottom"/>
          </w:tcPr>
          <w:p w:rsidR="004B61F0" w:rsidRPr="00EF5E92" w:rsidRDefault="004B61F0"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5E92">
              <w:rPr>
                <w:rFonts w:ascii="Arial" w:hAnsi="Arial" w:cs="Arial"/>
                <w:color w:val="000000"/>
                <w:sz w:val="18"/>
                <w:szCs w:val="18"/>
                <w:lang w:val="nl-NL" w:eastAsia="en-US" w:bidi="ar-SA"/>
              </w:rPr>
              <w:t>Shapiro-Wilk</w:t>
            </w:r>
            <w:proofErr w:type="spellEnd"/>
          </w:p>
        </w:tc>
      </w:tr>
      <w:tr w:rsidR="004B61F0" w:rsidRPr="00EF5E92" w:rsidTr="004B61F0">
        <w:trPr>
          <w:cantSplit/>
          <w:tblHeader/>
        </w:trPr>
        <w:tc>
          <w:tcPr>
            <w:tcW w:w="113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B61F0" w:rsidRPr="00EF5E92" w:rsidRDefault="004B61F0" w:rsidP="00516871">
            <w:pPr>
              <w:autoSpaceDE w:val="0"/>
              <w:autoSpaceDN w:val="0"/>
              <w:adjustRightInd w:val="0"/>
              <w:spacing w:line="276" w:lineRule="auto"/>
              <w:rPr>
                <w:rFonts w:ascii="Arial" w:hAnsi="Arial" w:cs="Arial"/>
                <w:color w:val="000000"/>
                <w:sz w:val="18"/>
                <w:szCs w:val="18"/>
                <w:lang w:val="nl-NL" w:eastAsia="en-US" w:bidi="ar-SA"/>
              </w:rPr>
            </w:pPr>
          </w:p>
        </w:tc>
        <w:tc>
          <w:tcPr>
            <w:tcW w:w="1010" w:type="dxa"/>
            <w:tcBorders>
              <w:left w:val="single" w:sz="16" w:space="0" w:color="000000"/>
              <w:bottom w:val="single" w:sz="16" w:space="0" w:color="000000"/>
            </w:tcBorders>
            <w:shd w:val="clear" w:color="auto" w:fill="FFFFFF"/>
            <w:vAlign w:val="bottom"/>
          </w:tcPr>
          <w:p w:rsidR="004B61F0" w:rsidRPr="00EF5E92" w:rsidRDefault="004B61F0"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5E92">
              <w:rPr>
                <w:rFonts w:ascii="Arial" w:hAnsi="Arial" w:cs="Arial"/>
                <w:color w:val="000000"/>
                <w:sz w:val="18"/>
                <w:szCs w:val="18"/>
                <w:lang w:val="nl-NL" w:eastAsia="en-US" w:bidi="ar-SA"/>
              </w:rPr>
              <w:t>Statistic</w:t>
            </w:r>
            <w:proofErr w:type="spellEnd"/>
          </w:p>
        </w:tc>
        <w:tc>
          <w:tcPr>
            <w:tcW w:w="1009" w:type="dxa"/>
            <w:tcBorders>
              <w:bottom w:val="single" w:sz="16" w:space="0" w:color="000000"/>
            </w:tcBorders>
            <w:shd w:val="clear" w:color="auto" w:fill="FFFFFF"/>
            <w:vAlign w:val="bottom"/>
          </w:tcPr>
          <w:p w:rsidR="004B61F0" w:rsidRPr="00EF5E92" w:rsidRDefault="004B61F0"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5E92">
              <w:rPr>
                <w:rFonts w:ascii="Arial" w:hAnsi="Arial" w:cs="Arial"/>
                <w:color w:val="000000"/>
                <w:sz w:val="18"/>
                <w:szCs w:val="18"/>
                <w:lang w:val="nl-NL" w:eastAsia="en-US" w:bidi="ar-SA"/>
              </w:rPr>
              <w:t>df</w:t>
            </w:r>
            <w:proofErr w:type="spellEnd"/>
          </w:p>
        </w:tc>
        <w:tc>
          <w:tcPr>
            <w:tcW w:w="1011" w:type="dxa"/>
            <w:tcBorders>
              <w:bottom w:val="single" w:sz="16" w:space="0" w:color="000000"/>
            </w:tcBorders>
            <w:shd w:val="clear" w:color="auto" w:fill="FFFFFF"/>
            <w:vAlign w:val="bottom"/>
          </w:tcPr>
          <w:p w:rsidR="004B61F0" w:rsidRPr="00EF5E92" w:rsidRDefault="004B61F0"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5E92">
              <w:rPr>
                <w:rFonts w:ascii="Arial" w:hAnsi="Arial" w:cs="Arial"/>
                <w:color w:val="000000"/>
                <w:sz w:val="18"/>
                <w:szCs w:val="18"/>
                <w:lang w:val="nl-NL" w:eastAsia="en-US" w:bidi="ar-SA"/>
              </w:rPr>
              <w:t>Sig</w:t>
            </w:r>
            <w:proofErr w:type="spellEnd"/>
            <w:r w:rsidRPr="00EF5E92">
              <w:rPr>
                <w:rFonts w:ascii="Arial" w:hAnsi="Arial" w:cs="Arial"/>
                <w:color w:val="000000"/>
                <w:sz w:val="18"/>
                <w:szCs w:val="18"/>
                <w:lang w:val="nl-NL" w:eastAsia="en-US" w:bidi="ar-SA"/>
              </w:rPr>
              <w:t>.</w:t>
            </w:r>
          </w:p>
        </w:tc>
        <w:tc>
          <w:tcPr>
            <w:tcW w:w="1011" w:type="dxa"/>
            <w:tcBorders>
              <w:bottom w:val="single" w:sz="16" w:space="0" w:color="000000"/>
            </w:tcBorders>
            <w:shd w:val="clear" w:color="auto" w:fill="FFFFFF"/>
            <w:vAlign w:val="bottom"/>
          </w:tcPr>
          <w:p w:rsidR="004B61F0" w:rsidRPr="00EF5E92" w:rsidRDefault="004B61F0"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5E92">
              <w:rPr>
                <w:rFonts w:ascii="Arial" w:hAnsi="Arial" w:cs="Arial"/>
                <w:color w:val="000000"/>
                <w:sz w:val="18"/>
                <w:szCs w:val="18"/>
                <w:lang w:val="nl-NL" w:eastAsia="en-US" w:bidi="ar-SA"/>
              </w:rPr>
              <w:t>Statistic</w:t>
            </w:r>
            <w:proofErr w:type="spellEnd"/>
          </w:p>
        </w:tc>
        <w:tc>
          <w:tcPr>
            <w:tcW w:w="1011" w:type="dxa"/>
            <w:tcBorders>
              <w:bottom w:val="single" w:sz="16" w:space="0" w:color="000000"/>
            </w:tcBorders>
            <w:shd w:val="clear" w:color="auto" w:fill="FFFFFF"/>
            <w:vAlign w:val="bottom"/>
          </w:tcPr>
          <w:p w:rsidR="004B61F0" w:rsidRPr="00EF5E92" w:rsidRDefault="004B61F0"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5E92">
              <w:rPr>
                <w:rFonts w:ascii="Arial" w:hAnsi="Arial" w:cs="Arial"/>
                <w:color w:val="000000"/>
                <w:sz w:val="18"/>
                <w:szCs w:val="18"/>
                <w:lang w:val="nl-NL" w:eastAsia="en-US" w:bidi="ar-SA"/>
              </w:rPr>
              <w:t>df</w:t>
            </w:r>
            <w:proofErr w:type="spellEnd"/>
          </w:p>
        </w:tc>
        <w:tc>
          <w:tcPr>
            <w:tcW w:w="1011" w:type="dxa"/>
            <w:tcBorders>
              <w:bottom w:val="single" w:sz="16" w:space="0" w:color="000000"/>
              <w:right w:val="single" w:sz="16" w:space="0" w:color="000000"/>
            </w:tcBorders>
            <w:shd w:val="clear" w:color="auto" w:fill="FFFFFF"/>
            <w:vAlign w:val="bottom"/>
          </w:tcPr>
          <w:p w:rsidR="004B61F0" w:rsidRPr="00EF5E92" w:rsidRDefault="004B61F0"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5E92">
              <w:rPr>
                <w:rFonts w:ascii="Arial" w:hAnsi="Arial" w:cs="Arial"/>
                <w:color w:val="000000"/>
                <w:sz w:val="18"/>
                <w:szCs w:val="18"/>
                <w:lang w:val="nl-NL" w:eastAsia="en-US" w:bidi="ar-SA"/>
              </w:rPr>
              <w:t>Sig</w:t>
            </w:r>
            <w:proofErr w:type="spellEnd"/>
            <w:r w:rsidRPr="00EF5E92">
              <w:rPr>
                <w:rFonts w:ascii="Arial" w:hAnsi="Arial" w:cs="Arial"/>
                <w:color w:val="000000"/>
                <w:sz w:val="18"/>
                <w:szCs w:val="18"/>
                <w:lang w:val="nl-NL" w:eastAsia="en-US" w:bidi="ar-SA"/>
              </w:rPr>
              <w:t>.</w:t>
            </w:r>
          </w:p>
        </w:tc>
      </w:tr>
      <w:tr w:rsidR="004B61F0" w:rsidRPr="00EF5E92" w:rsidTr="004B61F0">
        <w:trPr>
          <w:cantSplit/>
          <w:tblHeader/>
        </w:trPr>
        <w:tc>
          <w:tcPr>
            <w:tcW w:w="1135" w:type="dxa"/>
            <w:tcBorders>
              <w:top w:val="single" w:sz="16" w:space="0" w:color="000000"/>
              <w:left w:val="single" w:sz="16" w:space="0" w:color="000000"/>
              <w:bottom w:val="nil"/>
              <w:right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AUM 2011</w:t>
            </w:r>
          </w:p>
        </w:tc>
        <w:tc>
          <w:tcPr>
            <w:tcW w:w="1010" w:type="dxa"/>
            <w:tcBorders>
              <w:top w:val="single" w:sz="16" w:space="0" w:color="000000"/>
              <w:left w:val="single" w:sz="16" w:space="0" w:color="000000"/>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.360</w:t>
            </w:r>
          </w:p>
        </w:tc>
        <w:tc>
          <w:tcPr>
            <w:tcW w:w="1009" w:type="dxa"/>
            <w:tcBorders>
              <w:top w:val="single" w:sz="16" w:space="0" w:color="000000"/>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25</w:t>
            </w:r>
          </w:p>
        </w:tc>
        <w:tc>
          <w:tcPr>
            <w:tcW w:w="1011" w:type="dxa"/>
            <w:tcBorders>
              <w:top w:val="single" w:sz="16" w:space="0" w:color="000000"/>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.000</w:t>
            </w:r>
          </w:p>
        </w:tc>
        <w:tc>
          <w:tcPr>
            <w:tcW w:w="1011" w:type="dxa"/>
            <w:tcBorders>
              <w:top w:val="single" w:sz="16" w:space="0" w:color="000000"/>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.451</w:t>
            </w:r>
          </w:p>
        </w:tc>
        <w:tc>
          <w:tcPr>
            <w:tcW w:w="1011" w:type="dxa"/>
            <w:tcBorders>
              <w:top w:val="single" w:sz="16" w:space="0" w:color="000000"/>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25</w:t>
            </w:r>
          </w:p>
        </w:tc>
        <w:tc>
          <w:tcPr>
            <w:tcW w:w="1011" w:type="dxa"/>
            <w:tcBorders>
              <w:top w:val="single" w:sz="16" w:space="0" w:color="000000"/>
              <w:bottom w:val="nil"/>
              <w:right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.000</w:t>
            </w:r>
          </w:p>
        </w:tc>
      </w:tr>
      <w:tr w:rsidR="004B61F0" w:rsidRPr="00EF5E92" w:rsidTr="004B61F0">
        <w:trPr>
          <w:cantSplit/>
          <w:tblHeader/>
        </w:trPr>
        <w:tc>
          <w:tcPr>
            <w:tcW w:w="1135" w:type="dxa"/>
            <w:tcBorders>
              <w:top w:val="nil"/>
              <w:left w:val="single" w:sz="16" w:space="0" w:color="000000"/>
              <w:bottom w:val="nil"/>
              <w:right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AUM 2007</w:t>
            </w:r>
          </w:p>
        </w:tc>
        <w:tc>
          <w:tcPr>
            <w:tcW w:w="1010" w:type="dxa"/>
            <w:tcBorders>
              <w:top w:val="nil"/>
              <w:left w:val="single" w:sz="16" w:space="0" w:color="000000"/>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.348</w:t>
            </w:r>
          </w:p>
        </w:tc>
        <w:tc>
          <w:tcPr>
            <w:tcW w:w="1009" w:type="dxa"/>
            <w:tcBorders>
              <w:top w:val="nil"/>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25</w:t>
            </w:r>
          </w:p>
        </w:tc>
        <w:tc>
          <w:tcPr>
            <w:tcW w:w="1011" w:type="dxa"/>
            <w:tcBorders>
              <w:top w:val="nil"/>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.000</w:t>
            </w:r>
          </w:p>
        </w:tc>
        <w:tc>
          <w:tcPr>
            <w:tcW w:w="1011" w:type="dxa"/>
            <w:tcBorders>
              <w:top w:val="nil"/>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.449</w:t>
            </w:r>
          </w:p>
        </w:tc>
        <w:tc>
          <w:tcPr>
            <w:tcW w:w="1011" w:type="dxa"/>
            <w:tcBorders>
              <w:top w:val="nil"/>
              <w:bottom w:val="nil"/>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25</w:t>
            </w:r>
          </w:p>
        </w:tc>
        <w:tc>
          <w:tcPr>
            <w:tcW w:w="1011" w:type="dxa"/>
            <w:tcBorders>
              <w:top w:val="nil"/>
              <w:bottom w:val="nil"/>
              <w:right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.000</w:t>
            </w:r>
          </w:p>
        </w:tc>
      </w:tr>
      <w:tr w:rsidR="004B61F0" w:rsidRPr="00EF5E92" w:rsidTr="004B61F0">
        <w:trPr>
          <w:cantSplit/>
          <w:tblHeader/>
        </w:trPr>
        <w:tc>
          <w:tcPr>
            <w:tcW w:w="1135" w:type="dxa"/>
            <w:tcBorders>
              <w:top w:val="nil"/>
              <w:left w:val="single" w:sz="16" w:space="0" w:color="000000"/>
              <w:bottom w:val="single" w:sz="16" w:space="0" w:color="000000"/>
              <w:right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AUM 2006</w:t>
            </w:r>
          </w:p>
        </w:tc>
        <w:tc>
          <w:tcPr>
            <w:tcW w:w="1010" w:type="dxa"/>
            <w:tcBorders>
              <w:top w:val="nil"/>
              <w:left w:val="single" w:sz="16" w:space="0" w:color="000000"/>
              <w:bottom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.334</w:t>
            </w:r>
          </w:p>
        </w:tc>
        <w:tc>
          <w:tcPr>
            <w:tcW w:w="1009" w:type="dxa"/>
            <w:tcBorders>
              <w:top w:val="nil"/>
              <w:bottom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25</w:t>
            </w:r>
          </w:p>
        </w:tc>
        <w:tc>
          <w:tcPr>
            <w:tcW w:w="1011" w:type="dxa"/>
            <w:tcBorders>
              <w:top w:val="nil"/>
              <w:bottom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.000</w:t>
            </w:r>
          </w:p>
        </w:tc>
        <w:tc>
          <w:tcPr>
            <w:tcW w:w="1011" w:type="dxa"/>
            <w:tcBorders>
              <w:top w:val="nil"/>
              <w:bottom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.444</w:t>
            </w:r>
          </w:p>
        </w:tc>
        <w:tc>
          <w:tcPr>
            <w:tcW w:w="1011" w:type="dxa"/>
            <w:tcBorders>
              <w:top w:val="nil"/>
              <w:bottom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25</w:t>
            </w:r>
          </w:p>
        </w:tc>
        <w:tc>
          <w:tcPr>
            <w:tcW w:w="1011" w:type="dxa"/>
            <w:tcBorders>
              <w:top w:val="nil"/>
              <w:bottom w:val="single" w:sz="16" w:space="0" w:color="000000"/>
              <w:right w:val="single" w:sz="16" w:space="0" w:color="000000"/>
            </w:tcBorders>
            <w:shd w:val="clear" w:color="auto" w:fill="FFFFFF"/>
          </w:tcPr>
          <w:p w:rsidR="004B61F0" w:rsidRPr="00EF5E92" w:rsidRDefault="004B61F0"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.000</w:t>
            </w:r>
          </w:p>
        </w:tc>
      </w:tr>
      <w:tr w:rsidR="004B61F0" w:rsidRPr="00EF5E92" w:rsidTr="004B61F0">
        <w:trPr>
          <w:cantSplit/>
        </w:trPr>
        <w:tc>
          <w:tcPr>
            <w:tcW w:w="7198" w:type="dxa"/>
            <w:gridSpan w:val="7"/>
            <w:tcBorders>
              <w:top w:val="nil"/>
              <w:left w:val="nil"/>
              <w:bottom w:val="nil"/>
              <w:right w:val="nil"/>
            </w:tcBorders>
            <w:shd w:val="clear" w:color="auto" w:fill="FFFFFF"/>
          </w:tcPr>
          <w:p w:rsidR="004B61F0" w:rsidRPr="00EF5E92" w:rsidRDefault="004B61F0" w:rsidP="00516871">
            <w:pPr>
              <w:autoSpaceDE w:val="0"/>
              <w:autoSpaceDN w:val="0"/>
              <w:adjustRightInd w:val="0"/>
              <w:spacing w:line="320" w:lineRule="atLeast"/>
              <w:ind w:left="60" w:right="60"/>
              <w:rPr>
                <w:rFonts w:ascii="Arial" w:hAnsi="Arial" w:cs="Arial"/>
                <w:color w:val="000000"/>
                <w:sz w:val="18"/>
                <w:szCs w:val="18"/>
                <w:lang w:val="nl-NL" w:eastAsia="en-US" w:bidi="ar-SA"/>
              </w:rPr>
            </w:pPr>
            <w:r w:rsidRPr="00EF5E92">
              <w:rPr>
                <w:rFonts w:ascii="Arial" w:hAnsi="Arial" w:cs="Arial"/>
                <w:color w:val="000000"/>
                <w:sz w:val="18"/>
                <w:szCs w:val="18"/>
                <w:lang w:val="nl-NL" w:eastAsia="en-US" w:bidi="ar-SA"/>
              </w:rPr>
              <w:t xml:space="preserve">a. </w:t>
            </w:r>
            <w:proofErr w:type="spellStart"/>
            <w:r w:rsidRPr="00EF5E92">
              <w:rPr>
                <w:rFonts w:ascii="Arial" w:hAnsi="Arial" w:cs="Arial"/>
                <w:color w:val="000000"/>
                <w:sz w:val="18"/>
                <w:szCs w:val="18"/>
                <w:lang w:val="nl-NL" w:eastAsia="en-US" w:bidi="ar-SA"/>
              </w:rPr>
              <w:t>Lilliefors</w:t>
            </w:r>
            <w:proofErr w:type="spellEnd"/>
            <w:r w:rsidRPr="00EF5E92">
              <w:rPr>
                <w:rFonts w:ascii="Arial" w:hAnsi="Arial" w:cs="Arial"/>
                <w:color w:val="000000"/>
                <w:sz w:val="18"/>
                <w:szCs w:val="18"/>
                <w:lang w:val="nl-NL" w:eastAsia="en-US" w:bidi="ar-SA"/>
              </w:rPr>
              <w:t xml:space="preserve"> </w:t>
            </w:r>
            <w:proofErr w:type="spellStart"/>
            <w:r w:rsidRPr="00EF5E92">
              <w:rPr>
                <w:rFonts w:ascii="Arial" w:hAnsi="Arial" w:cs="Arial"/>
                <w:color w:val="000000"/>
                <w:sz w:val="18"/>
                <w:szCs w:val="18"/>
                <w:lang w:val="nl-NL" w:eastAsia="en-US" w:bidi="ar-SA"/>
              </w:rPr>
              <w:t>Significance</w:t>
            </w:r>
            <w:proofErr w:type="spellEnd"/>
            <w:r w:rsidRPr="00EF5E92">
              <w:rPr>
                <w:rFonts w:ascii="Arial" w:hAnsi="Arial" w:cs="Arial"/>
                <w:color w:val="000000"/>
                <w:sz w:val="18"/>
                <w:szCs w:val="18"/>
                <w:lang w:val="nl-NL" w:eastAsia="en-US" w:bidi="ar-SA"/>
              </w:rPr>
              <w:t xml:space="preserve"> </w:t>
            </w:r>
            <w:proofErr w:type="spellStart"/>
            <w:r w:rsidRPr="00EF5E92">
              <w:rPr>
                <w:rFonts w:ascii="Arial" w:hAnsi="Arial" w:cs="Arial"/>
                <w:color w:val="000000"/>
                <w:sz w:val="18"/>
                <w:szCs w:val="18"/>
                <w:lang w:val="nl-NL" w:eastAsia="en-US" w:bidi="ar-SA"/>
              </w:rPr>
              <w:t>Correction</w:t>
            </w:r>
            <w:proofErr w:type="spellEnd"/>
          </w:p>
        </w:tc>
      </w:tr>
    </w:tbl>
    <w:p w:rsidR="004B61F0" w:rsidRPr="0006603A" w:rsidRDefault="004B61F0" w:rsidP="004B61F0">
      <w:pPr>
        <w:autoSpaceDE w:val="0"/>
        <w:autoSpaceDN w:val="0"/>
        <w:adjustRightInd w:val="0"/>
        <w:spacing w:line="400" w:lineRule="atLeast"/>
        <w:rPr>
          <w:rFonts w:cs="Times New Roman"/>
          <w:sz w:val="20"/>
          <w:szCs w:val="20"/>
          <w:lang w:val="en-US" w:eastAsia="en-US" w:bidi="ar-SA"/>
        </w:rPr>
      </w:pPr>
      <w:r w:rsidRPr="0006603A">
        <w:rPr>
          <w:rFonts w:cs="Times New Roman"/>
          <w:sz w:val="20"/>
          <w:szCs w:val="20"/>
          <w:lang w:val="en-US" w:eastAsia="en-US" w:bidi="ar-SA"/>
        </w:rPr>
        <w:t xml:space="preserve">Table </w:t>
      </w:r>
      <w:r w:rsidR="00AB5CB6">
        <w:rPr>
          <w:rFonts w:cs="Times New Roman"/>
          <w:sz w:val="20"/>
          <w:szCs w:val="20"/>
          <w:lang w:val="en-US" w:eastAsia="en-US" w:bidi="ar-SA"/>
        </w:rPr>
        <w:t>8</w:t>
      </w:r>
      <w:r w:rsidRPr="0006603A">
        <w:rPr>
          <w:rFonts w:cs="Times New Roman"/>
          <w:sz w:val="20"/>
          <w:szCs w:val="20"/>
          <w:lang w:val="en-US" w:eastAsia="en-US" w:bidi="ar-SA"/>
        </w:rPr>
        <w:t>: Tests of normality</w:t>
      </w:r>
      <w:r>
        <w:rPr>
          <w:rFonts w:cs="Times New Roman"/>
          <w:sz w:val="20"/>
          <w:szCs w:val="20"/>
          <w:lang w:val="en-US" w:eastAsia="en-US" w:bidi="ar-SA"/>
        </w:rPr>
        <w:t xml:space="preserve"> applied to AUM 2006, AUM 2007 and AUM 2011</w:t>
      </w:r>
    </w:p>
    <w:p w:rsidR="004B61F0" w:rsidRDefault="004B61F0" w:rsidP="00AE2948">
      <w:pPr>
        <w:autoSpaceDE w:val="0"/>
        <w:autoSpaceDN w:val="0"/>
        <w:adjustRightInd w:val="0"/>
        <w:spacing w:line="120" w:lineRule="atLeast"/>
        <w:rPr>
          <w:rFonts w:cs="Times New Roman"/>
          <w:lang w:val="en-US" w:eastAsia="en-US" w:bidi="ar-SA"/>
        </w:rPr>
      </w:pPr>
    </w:p>
    <w:p w:rsidR="004B61F0" w:rsidRDefault="004B61F0"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 xml:space="preserve">De </w:t>
      </w:r>
      <w:proofErr w:type="spellStart"/>
      <w:r>
        <w:rPr>
          <w:rFonts w:cs="Times New Roman"/>
          <w:lang w:val="en-US" w:eastAsia="en-US" w:bidi="ar-SA"/>
        </w:rPr>
        <w:t>Vocht</w:t>
      </w:r>
      <w:proofErr w:type="spellEnd"/>
      <w:r>
        <w:rPr>
          <w:rFonts w:cs="Times New Roman"/>
          <w:lang w:val="en-US" w:eastAsia="en-US" w:bidi="ar-SA"/>
        </w:rPr>
        <w:t xml:space="preserve"> (2011) recommends to apply the Shapiro-</w:t>
      </w:r>
      <w:proofErr w:type="spellStart"/>
      <w:r>
        <w:rPr>
          <w:rFonts w:cs="Times New Roman"/>
          <w:lang w:val="en-US" w:eastAsia="en-US" w:bidi="ar-SA"/>
        </w:rPr>
        <w:t>Wilk</w:t>
      </w:r>
      <w:proofErr w:type="spellEnd"/>
      <w:r>
        <w:rPr>
          <w:rFonts w:cs="Times New Roman"/>
          <w:lang w:val="en-US" w:eastAsia="en-US" w:bidi="ar-SA"/>
        </w:rPr>
        <w:t xml:space="preserve"> test when the samp</w:t>
      </w:r>
      <w:r w:rsidR="00462338">
        <w:rPr>
          <w:rFonts w:cs="Times New Roman"/>
          <w:lang w:val="en-US" w:eastAsia="en-US" w:bidi="ar-SA"/>
        </w:rPr>
        <w:t>le size is smaller than 50, which</w:t>
      </w:r>
      <w:r>
        <w:rPr>
          <w:rFonts w:cs="Times New Roman"/>
          <w:lang w:val="en-US" w:eastAsia="en-US" w:bidi="ar-SA"/>
        </w:rPr>
        <w:t xml:space="preserve"> is the case during this research. However, both the </w:t>
      </w:r>
      <w:proofErr w:type="spellStart"/>
      <w:r>
        <w:rPr>
          <w:rFonts w:cs="Times New Roman"/>
          <w:lang w:val="en-US" w:eastAsia="en-US" w:bidi="ar-SA"/>
        </w:rPr>
        <w:t>Kolmogorov</w:t>
      </w:r>
      <w:proofErr w:type="spellEnd"/>
      <w:r>
        <w:rPr>
          <w:rFonts w:cs="Times New Roman"/>
          <w:lang w:val="en-US" w:eastAsia="en-US" w:bidi="ar-SA"/>
        </w:rPr>
        <w:t>-Smirnov and Shapiro-</w:t>
      </w:r>
      <w:proofErr w:type="spellStart"/>
      <w:r>
        <w:rPr>
          <w:rFonts w:cs="Times New Roman"/>
          <w:lang w:val="en-US" w:eastAsia="en-US" w:bidi="ar-SA"/>
        </w:rPr>
        <w:t>Wilk</w:t>
      </w:r>
      <w:proofErr w:type="spellEnd"/>
      <w:r>
        <w:rPr>
          <w:rFonts w:cs="Times New Roman"/>
          <w:lang w:val="en-US" w:eastAsia="en-US" w:bidi="ar-SA"/>
        </w:rPr>
        <w:t xml:space="preserve"> test present significant values of 0.000. Field (2005) describes that significant values (Sig. smaller than .05) indicate that the AUM 200</w:t>
      </w:r>
      <w:r w:rsidR="007B1AE0">
        <w:rPr>
          <w:rFonts w:cs="Times New Roman"/>
          <w:lang w:val="en-US" w:eastAsia="en-US" w:bidi="ar-SA"/>
        </w:rPr>
        <w:t xml:space="preserve">6, 2007 and 2011 </w:t>
      </w:r>
      <w:r>
        <w:rPr>
          <w:rFonts w:cs="Times New Roman"/>
          <w:lang w:val="en-US" w:eastAsia="en-US" w:bidi="ar-SA"/>
        </w:rPr>
        <w:t>distributions are not normal. Therefore nonparametric tests have to be applied.</w:t>
      </w:r>
    </w:p>
    <w:p w:rsidR="004B61F0" w:rsidRDefault="004B61F0" w:rsidP="00AE2948">
      <w:pPr>
        <w:autoSpaceDE w:val="0"/>
        <w:autoSpaceDN w:val="0"/>
        <w:adjustRightInd w:val="0"/>
        <w:spacing w:line="120" w:lineRule="exact"/>
        <w:rPr>
          <w:rFonts w:cs="Times New Roman"/>
          <w:lang w:val="en-US" w:eastAsia="en-US" w:bidi="ar-SA"/>
        </w:rPr>
      </w:pPr>
    </w:p>
    <w:p w:rsidR="00AD3826" w:rsidRDefault="00EF5E92" w:rsidP="003C5EB3">
      <w:pPr>
        <w:autoSpaceDE w:val="0"/>
        <w:autoSpaceDN w:val="0"/>
        <w:adjustRightInd w:val="0"/>
        <w:spacing w:line="360" w:lineRule="auto"/>
        <w:rPr>
          <w:rFonts w:cs="Times New Roman"/>
          <w:i/>
          <w:lang w:val="en-US" w:eastAsia="en-US" w:bidi="ar-SA"/>
        </w:rPr>
      </w:pPr>
      <w:r>
        <w:rPr>
          <w:rFonts w:cs="Times New Roman"/>
          <w:i/>
          <w:noProof/>
          <w:lang w:val="nl-NL" w:eastAsia="nl-NL" w:bidi="ar-SA"/>
        </w:rPr>
        <w:drawing>
          <wp:inline distT="0" distB="0" distL="0" distR="0">
            <wp:extent cx="2659206" cy="2126512"/>
            <wp:effectExtent l="19050" t="0" r="7794"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63632" cy="2130051"/>
                    </a:xfrm>
                    <a:prstGeom prst="rect">
                      <a:avLst/>
                    </a:prstGeom>
                    <a:noFill/>
                    <a:ln w="9525">
                      <a:noFill/>
                      <a:miter lim="800000"/>
                      <a:headEnd/>
                      <a:tailEnd/>
                    </a:ln>
                  </pic:spPr>
                </pic:pic>
              </a:graphicData>
            </a:graphic>
          </wp:inline>
        </w:drawing>
      </w:r>
      <w:r>
        <w:rPr>
          <w:rFonts w:cs="Times New Roman"/>
          <w:i/>
          <w:lang w:val="en-US" w:eastAsia="en-US" w:bidi="ar-SA"/>
        </w:rPr>
        <w:t xml:space="preserve"> </w:t>
      </w:r>
      <w:r>
        <w:rPr>
          <w:rFonts w:cs="Times New Roman"/>
          <w:i/>
          <w:noProof/>
          <w:lang w:val="nl-NL" w:eastAsia="nl-NL" w:bidi="ar-SA"/>
        </w:rPr>
        <w:drawing>
          <wp:inline distT="0" distB="0" distL="0" distR="0">
            <wp:extent cx="2660355" cy="2127432"/>
            <wp:effectExtent l="19050" t="0" r="6645"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670185" cy="2135293"/>
                    </a:xfrm>
                    <a:prstGeom prst="rect">
                      <a:avLst/>
                    </a:prstGeom>
                    <a:noFill/>
                    <a:ln w="9525">
                      <a:noFill/>
                      <a:miter lim="800000"/>
                      <a:headEnd/>
                      <a:tailEnd/>
                    </a:ln>
                  </pic:spPr>
                </pic:pic>
              </a:graphicData>
            </a:graphic>
          </wp:inline>
        </w:drawing>
      </w:r>
    </w:p>
    <w:p w:rsidR="00AD3826" w:rsidRPr="0006603A" w:rsidRDefault="00AD3826" w:rsidP="00AD3826">
      <w:pPr>
        <w:autoSpaceDE w:val="0"/>
        <w:autoSpaceDN w:val="0"/>
        <w:adjustRightInd w:val="0"/>
        <w:spacing w:line="320" w:lineRule="atLeast"/>
        <w:ind w:left="60" w:right="60"/>
        <w:rPr>
          <w:rFonts w:cs="Times New Roman"/>
          <w:color w:val="000000"/>
          <w:sz w:val="20"/>
          <w:szCs w:val="20"/>
          <w:lang w:val="en-US" w:eastAsia="en-US" w:bidi="ar-SA"/>
        </w:rPr>
      </w:pPr>
      <w:r w:rsidRPr="0006603A">
        <w:rPr>
          <w:rFonts w:cs="Times New Roman"/>
          <w:color w:val="000000"/>
          <w:sz w:val="20"/>
          <w:szCs w:val="20"/>
          <w:lang w:val="en-US" w:eastAsia="en-US" w:bidi="ar-SA"/>
        </w:rPr>
        <w:t xml:space="preserve">Figure </w:t>
      </w:r>
      <w:r w:rsidR="007E4534">
        <w:rPr>
          <w:rFonts w:cs="Times New Roman"/>
          <w:color w:val="000000"/>
          <w:sz w:val="20"/>
          <w:szCs w:val="20"/>
          <w:lang w:val="en-US" w:eastAsia="en-US" w:bidi="ar-SA"/>
        </w:rPr>
        <w:t>1</w:t>
      </w:r>
      <w:r w:rsidRPr="0006603A">
        <w:rPr>
          <w:rFonts w:cs="Times New Roman"/>
          <w:color w:val="000000"/>
          <w:sz w:val="20"/>
          <w:szCs w:val="20"/>
          <w:lang w:val="en-US" w:eastAsia="en-US" w:bidi="ar-SA"/>
        </w:rPr>
        <w:t xml:space="preserve">: Normal QQ-plot </w:t>
      </w:r>
      <w:r>
        <w:rPr>
          <w:rFonts w:cs="Times New Roman"/>
          <w:color w:val="000000"/>
          <w:sz w:val="20"/>
          <w:szCs w:val="20"/>
          <w:lang w:val="en-US" w:eastAsia="en-US" w:bidi="ar-SA"/>
        </w:rPr>
        <w:t>AUM 2006</w:t>
      </w:r>
      <w:r w:rsidRPr="0006603A">
        <w:rPr>
          <w:rFonts w:cs="Times New Roman"/>
          <w:color w:val="000000"/>
          <w:sz w:val="20"/>
          <w:szCs w:val="20"/>
          <w:lang w:val="en-US" w:eastAsia="en-US" w:bidi="ar-SA"/>
        </w:rPr>
        <w:t xml:space="preserve">           </w:t>
      </w:r>
      <w:r>
        <w:rPr>
          <w:rFonts w:cs="Times New Roman"/>
          <w:color w:val="000000"/>
          <w:sz w:val="20"/>
          <w:szCs w:val="20"/>
          <w:lang w:val="en-US" w:eastAsia="en-US" w:bidi="ar-SA"/>
        </w:rPr>
        <w:t xml:space="preserve">               </w:t>
      </w:r>
      <w:r w:rsidRPr="0006603A">
        <w:rPr>
          <w:rFonts w:cs="Times New Roman"/>
          <w:color w:val="000000"/>
          <w:sz w:val="20"/>
          <w:szCs w:val="20"/>
          <w:lang w:val="en-US" w:eastAsia="en-US" w:bidi="ar-SA"/>
        </w:rPr>
        <w:t>Fig</w:t>
      </w:r>
      <w:r w:rsidR="007E4534">
        <w:rPr>
          <w:rFonts w:cs="Times New Roman"/>
          <w:color w:val="000000"/>
          <w:sz w:val="20"/>
          <w:szCs w:val="20"/>
          <w:lang w:val="en-US" w:eastAsia="en-US" w:bidi="ar-SA"/>
        </w:rPr>
        <w:t>ure 2</w:t>
      </w:r>
      <w:r>
        <w:rPr>
          <w:rFonts w:cs="Times New Roman"/>
          <w:color w:val="000000"/>
          <w:sz w:val="20"/>
          <w:szCs w:val="20"/>
          <w:lang w:val="en-US" w:eastAsia="en-US" w:bidi="ar-SA"/>
        </w:rPr>
        <w:t>: Normal QQ-plot AUM 2007</w:t>
      </w:r>
      <w:r w:rsidRPr="0006603A">
        <w:rPr>
          <w:rFonts w:cs="Times New Roman"/>
          <w:color w:val="000000"/>
          <w:sz w:val="20"/>
          <w:szCs w:val="20"/>
          <w:lang w:val="en-US" w:eastAsia="en-US" w:bidi="ar-SA"/>
        </w:rPr>
        <w:t xml:space="preserve"> </w:t>
      </w:r>
    </w:p>
    <w:p w:rsidR="00EF5E92" w:rsidRDefault="00EF5E92" w:rsidP="00AD3826">
      <w:pPr>
        <w:autoSpaceDE w:val="0"/>
        <w:autoSpaceDN w:val="0"/>
        <w:adjustRightInd w:val="0"/>
        <w:spacing w:line="360" w:lineRule="auto"/>
        <w:rPr>
          <w:rFonts w:cs="Times New Roman"/>
          <w:i/>
          <w:lang w:val="en-US" w:eastAsia="en-US" w:bidi="ar-SA"/>
        </w:rPr>
      </w:pPr>
      <w:r>
        <w:rPr>
          <w:rFonts w:cs="Times New Roman"/>
          <w:i/>
          <w:noProof/>
          <w:lang w:val="nl-NL" w:eastAsia="nl-NL" w:bidi="ar-SA"/>
        </w:rPr>
        <w:drawing>
          <wp:inline distT="0" distB="0" distL="0" distR="0">
            <wp:extent cx="2657153" cy="2124873"/>
            <wp:effectExtent l="1905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77353" cy="2141026"/>
                    </a:xfrm>
                    <a:prstGeom prst="rect">
                      <a:avLst/>
                    </a:prstGeom>
                    <a:noFill/>
                    <a:ln w="9525">
                      <a:noFill/>
                      <a:miter lim="800000"/>
                      <a:headEnd/>
                      <a:tailEnd/>
                    </a:ln>
                  </pic:spPr>
                </pic:pic>
              </a:graphicData>
            </a:graphic>
          </wp:inline>
        </w:drawing>
      </w:r>
    </w:p>
    <w:p w:rsidR="00AD3826" w:rsidRDefault="00AD3826" w:rsidP="00AD3826">
      <w:pPr>
        <w:autoSpaceDE w:val="0"/>
        <w:autoSpaceDN w:val="0"/>
        <w:adjustRightInd w:val="0"/>
        <w:spacing w:line="320" w:lineRule="atLeast"/>
        <w:ind w:left="60" w:right="60"/>
        <w:rPr>
          <w:rFonts w:cs="Times New Roman"/>
          <w:color w:val="000000"/>
          <w:sz w:val="20"/>
          <w:szCs w:val="20"/>
          <w:lang w:val="en-US" w:eastAsia="en-US" w:bidi="ar-SA"/>
        </w:rPr>
      </w:pPr>
      <w:r w:rsidRPr="0006603A">
        <w:rPr>
          <w:rFonts w:cs="Times New Roman"/>
          <w:color w:val="000000"/>
          <w:sz w:val="20"/>
          <w:szCs w:val="20"/>
          <w:lang w:val="en-US" w:eastAsia="en-US" w:bidi="ar-SA"/>
        </w:rPr>
        <w:t xml:space="preserve">Figure </w:t>
      </w:r>
      <w:r w:rsidR="007E4534">
        <w:rPr>
          <w:rFonts w:cs="Times New Roman"/>
          <w:color w:val="000000"/>
          <w:sz w:val="20"/>
          <w:szCs w:val="20"/>
          <w:lang w:val="en-US" w:eastAsia="en-US" w:bidi="ar-SA"/>
        </w:rPr>
        <w:t>3</w:t>
      </w:r>
      <w:r w:rsidRPr="0006603A">
        <w:rPr>
          <w:rFonts w:cs="Times New Roman"/>
          <w:color w:val="000000"/>
          <w:sz w:val="20"/>
          <w:szCs w:val="20"/>
          <w:lang w:val="en-US" w:eastAsia="en-US" w:bidi="ar-SA"/>
        </w:rPr>
        <w:t xml:space="preserve">: Normal QQ-plot </w:t>
      </w:r>
      <w:r>
        <w:rPr>
          <w:rFonts w:cs="Times New Roman"/>
          <w:color w:val="000000"/>
          <w:sz w:val="20"/>
          <w:szCs w:val="20"/>
          <w:lang w:val="en-US" w:eastAsia="en-US" w:bidi="ar-SA"/>
        </w:rPr>
        <w:t>AUM 2011</w:t>
      </w:r>
    </w:p>
    <w:p w:rsidR="00FA3B3F" w:rsidRPr="0006603A" w:rsidRDefault="00FA3B3F" w:rsidP="00AD3826">
      <w:pPr>
        <w:autoSpaceDE w:val="0"/>
        <w:autoSpaceDN w:val="0"/>
        <w:adjustRightInd w:val="0"/>
        <w:spacing w:line="320" w:lineRule="atLeast"/>
        <w:ind w:left="60" w:right="60"/>
        <w:rPr>
          <w:rFonts w:cs="Times New Roman"/>
          <w:color w:val="000000"/>
          <w:sz w:val="20"/>
          <w:szCs w:val="20"/>
          <w:lang w:val="en-US" w:eastAsia="en-US" w:bidi="ar-SA"/>
        </w:rPr>
      </w:pPr>
    </w:p>
    <w:p w:rsidR="00EF5E92" w:rsidRDefault="00EF5E92" w:rsidP="00AE2948">
      <w:pPr>
        <w:autoSpaceDE w:val="0"/>
        <w:autoSpaceDN w:val="0"/>
        <w:adjustRightInd w:val="0"/>
        <w:spacing w:line="120" w:lineRule="exact"/>
        <w:rPr>
          <w:rFonts w:cs="Times New Roman"/>
          <w:i/>
          <w:lang w:val="en-US" w:eastAsia="en-US" w:bidi="ar-SA"/>
        </w:rPr>
      </w:pPr>
    </w:p>
    <w:p w:rsidR="004B61F0" w:rsidRPr="003C0656" w:rsidRDefault="007E4534" w:rsidP="00961508">
      <w:pPr>
        <w:spacing w:line="360" w:lineRule="auto"/>
        <w:jc w:val="both"/>
        <w:rPr>
          <w:lang w:val="en-US"/>
        </w:rPr>
      </w:pPr>
      <w:r>
        <w:rPr>
          <w:lang w:val="en-US"/>
        </w:rPr>
        <w:t>In figure 1, 2 and 3</w:t>
      </w:r>
      <w:r w:rsidR="004B61F0">
        <w:rPr>
          <w:lang w:val="en-US"/>
        </w:rPr>
        <w:t>, the normal Q-Q charts plot the expected values in case of a normal distribution against the values that have actually been observed in the financial statements (Field, 2005). This supports also visually the application of nonparametric test</w:t>
      </w:r>
      <w:r w:rsidR="0035536D">
        <w:rPr>
          <w:lang w:val="en-US"/>
        </w:rPr>
        <w:t>s</w:t>
      </w:r>
      <w:r w:rsidR="004B61F0">
        <w:rPr>
          <w:lang w:val="en-US"/>
        </w:rPr>
        <w:t xml:space="preserve"> regarding </w:t>
      </w:r>
      <w:r w:rsidR="00462338">
        <w:rPr>
          <w:lang w:val="en-US"/>
        </w:rPr>
        <w:t>th</w:t>
      </w:r>
      <w:r w:rsidR="00460082">
        <w:rPr>
          <w:lang w:val="en-US"/>
        </w:rPr>
        <w:t>e</w:t>
      </w:r>
      <w:r w:rsidR="00462338">
        <w:rPr>
          <w:lang w:val="en-US"/>
        </w:rPr>
        <w:t xml:space="preserve"> AUM </w:t>
      </w:r>
      <w:r w:rsidR="004B61F0">
        <w:rPr>
          <w:lang w:val="en-US"/>
        </w:rPr>
        <w:t>2006, 2007 and 2011 as the majority of the observed values, depicted as dots, are plotted very distant to the expected values which have been depicted as the straight line (Field, 2005).</w:t>
      </w:r>
    </w:p>
    <w:p w:rsidR="00A30271" w:rsidRDefault="00A30271" w:rsidP="00AE2948">
      <w:pPr>
        <w:autoSpaceDE w:val="0"/>
        <w:autoSpaceDN w:val="0"/>
        <w:adjustRightInd w:val="0"/>
        <w:spacing w:line="120" w:lineRule="exact"/>
        <w:jc w:val="both"/>
        <w:rPr>
          <w:rFonts w:cs="Times New Roman"/>
          <w:lang w:val="en-US" w:eastAsia="en-US" w:bidi="ar-SA"/>
        </w:rPr>
      </w:pPr>
    </w:p>
    <w:p w:rsidR="003C5EB3" w:rsidRDefault="00321F8E" w:rsidP="00961508">
      <w:pPr>
        <w:autoSpaceDE w:val="0"/>
        <w:autoSpaceDN w:val="0"/>
        <w:adjustRightInd w:val="0"/>
        <w:spacing w:line="360" w:lineRule="auto"/>
        <w:jc w:val="both"/>
        <w:rPr>
          <w:rFonts w:cs="Times New Roman"/>
          <w:i/>
          <w:lang w:val="en-US" w:eastAsia="en-US" w:bidi="ar-SA"/>
        </w:rPr>
      </w:pPr>
      <w:r>
        <w:rPr>
          <w:rFonts w:cs="Times New Roman"/>
          <w:i/>
          <w:lang w:val="en-US" w:eastAsia="en-US" w:bidi="ar-SA"/>
        </w:rPr>
        <w:t>(</w:t>
      </w:r>
      <w:proofErr w:type="spellStart"/>
      <w:r w:rsidR="00B10AAF">
        <w:rPr>
          <w:rFonts w:cs="Times New Roman"/>
          <w:i/>
          <w:lang w:val="en-US" w:eastAsia="en-US" w:bidi="ar-SA"/>
        </w:rPr>
        <w:t>Cor</w:t>
      </w:r>
      <w:proofErr w:type="spellEnd"/>
      <w:r>
        <w:rPr>
          <w:rFonts w:cs="Times New Roman"/>
          <w:i/>
          <w:lang w:val="en-US" w:eastAsia="en-US" w:bidi="ar-SA"/>
        </w:rPr>
        <w:t>)</w:t>
      </w:r>
      <w:r w:rsidR="00B10AAF">
        <w:rPr>
          <w:rFonts w:cs="Times New Roman"/>
          <w:i/>
          <w:lang w:val="en-US" w:eastAsia="en-US" w:bidi="ar-SA"/>
        </w:rPr>
        <w:t>relation</w:t>
      </w:r>
      <w:r w:rsidR="00A30271">
        <w:rPr>
          <w:rFonts w:cs="Times New Roman"/>
          <w:i/>
          <w:lang w:val="en-US" w:eastAsia="en-US" w:bidi="ar-SA"/>
        </w:rPr>
        <w:t xml:space="preserve"> </w:t>
      </w:r>
      <w:r w:rsidR="00B35464">
        <w:rPr>
          <w:rFonts w:cs="Times New Roman"/>
          <w:i/>
          <w:lang w:val="en-US" w:eastAsia="en-US" w:bidi="ar-SA"/>
        </w:rPr>
        <w:t xml:space="preserve">between </w:t>
      </w:r>
      <w:r w:rsidR="00DA4403">
        <w:rPr>
          <w:rFonts w:cs="Times New Roman"/>
          <w:i/>
          <w:lang w:val="en-US" w:eastAsia="en-US" w:bidi="ar-SA"/>
        </w:rPr>
        <w:t xml:space="preserve">pension fund </w:t>
      </w:r>
      <w:r w:rsidR="00B35464">
        <w:rPr>
          <w:rFonts w:cs="Times New Roman"/>
          <w:i/>
          <w:lang w:val="en-US" w:eastAsia="en-US" w:bidi="ar-SA"/>
        </w:rPr>
        <w:t>size</w:t>
      </w:r>
      <w:r w:rsidR="00DA4403">
        <w:rPr>
          <w:rFonts w:cs="Times New Roman"/>
          <w:i/>
          <w:lang w:val="en-US" w:eastAsia="en-US" w:bidi="ar-SA"/>
        </w:rPr>
        <w:t xml:space="preserve"> and the frequency of </w:t>
      </w:r>
      <w:r w:rsidR="00B35464">
        <w:rPr>
          <w:rFonts w:cs="Times New Roman"/>
          <w:i/>
          <w:lang w:val="en-US" w:eastAsia="en-US" w:bidi="ar-SA"/>
        </w:rPr>
        <w:t xml:space="preserve">the </w:t>
      </w:r>
      <w:r w:rsidR="00A30271">
        <w:rPr>
          <w:rFonts w:cs="Times New Roman"/>
          <w:i/>
          <w:lang w:val="en-US" w:eastAsia="en-US" w:bidi="ar-SA"/>
        </w:rPr>
        <w:t>use of the word crisis in the financial statement</w:t>
      </w:r>
      <w:r w:rsidR="00B35464">
        <w:rPr>
          <w:rFonts w:cs="Times New Roman"/>
          <w:i/>
          <w:lang w:val="en-US" w:eastAsia="en-US" w:bidi="ar-SA"/>
        </w:rPr>
        <w:t>s</w:t>
      </w:r>
    </w:p>
    <w:p w:rsidR="00321F8E" w:rsidRDefault="00E70094"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To decide</w:t>
      </w:r>
      <w:r w:rsidR="004B61F0">
        <w:rPr>
          <w:rFonts w:cs="Times New Roman"/>
          <w:lang w:val="en-US" w:eastAsia="en-US" w:bidi="ar-SA"/>
        </w:rPr>
        <w:t xml:space="preserve"> which statistical test </w:t>
      </w:r>
      <w:r w:rsidR="0090304F">
        <w:rPr>
          <w:rFonts w:cs="Times New Roman"/>
          <w:lang w:val="en-US" w:eastAsia="en-US" w:bidi="ar-SA"/>
        </w:rPr>
        <w:t>fits the best to research the (</w:t>
      </w:r>
      <w:proofErr w:type="spellStart"/>
      <w:r w:rsidR="0090304F">
        <w:rPr>
          <w:rFonts w:cs="Times New Roman"/>
          <w:lang w:val="en-US" w:eastAsia="en-US" w:bidi="ar-SA"/>
        </w:rPr>
        <w:t>cor</w:t>
      </w:r>
      <w:proofErr w:type="spellEnd"/>
      <w:r w:rsidR="0090304F">
        <w:rPr>
          <w:rFonts w:cs="Times New Roman"/>
          <w:lang w:val="en-US" w:eastAsia="en-US" w:bidi="ar-SA"/>
        </w:rPr>
        <w:t xml:space="preserve">)relation between the pension fund size and the frequency of the use of the word crisis in the financial statements, the decision schedule </w:t>
      </w:r>
      <w:r w:rsidR="00321F8E">
        <w:rPr>
          <w:rFonts w:cs="Times New Roman"/>
          <w:lang w:val="en-US" w:eastAsia="en-US" w:bidi="ar-SA"/>
        </w:rPr>
        <w:t xml:space="preserve">of Field (2005) </w:t>
      </w:r>
      <w:r w:rsidR="0090304F">
        <w:rPr>
          <w:rFonts w:cs="Times New Roman"/>
          <w:lang w:val="en-US" w:eastAsia="en-US" w:bidi="ar-SA"/>
        </w:rPr>
        <w:t>depicted in appendix 1</w:t>
      </w:r>
      <w:r w:rsidR="00AC45D6">
        <w:rPr>
          <w:rFonts w:cs="Times New Roman"/>
          <w:lang w:val="en-US" w:eastAsia="en-US" w:bidi="ar-SA"/>
        </w:rPr>
        <w:t>1</w:t>
      </w:r>
      <w:r w:rsidR="0090304F">
        <w:rPr>
          <w:rFonts w:cs="Times New Roman"/>
          <w:lang w:val="en-US" w:eastAsia="en-US" w:bidi="ar-SA"/>
        </w:rPr>
        <w:t xml:space="preserve"> has been applied. There is one outcome variable</w:t>
      </w:r>
      <w:r w:rsidR="00321F8E">
        <w:rPr>
          <w:rFonts w:cs="Times New Roman"/>
          <w:lang w:val="en-US" w:eastAsia="en-US" w:bidi="ar-SA"/>
        </w:rPr>
        <w:t xml:space="preserve">, the frequency of the </w:t>
      </w:r>
      <w:r w:rsidR="00462338">
        <w:rPr>
          <w:rFonts w:cs="Times New Roman"/>
          <w:lang w:val="en-US" w:eastAsia="en-US" w:bidi="ar-SA"/>
        </w:rPr>
        <w:t>disclosure</w:t>
      </w:r>
      <w:r w:rsidR="00321F8E">
        <w:rPr>
          <w:rFonts w:cs="Times New Roman"/>
          <w:lang w:val="en-US" w:eastAsia="en-US" w:bidi="ar-SA"/>
        </w:rPr>
        <w:t xml:space="preserve"> of the word crisis</w:t>
      </w:r>
      <w:r w:rsidR="00462338">
        <w:rPr>
          <w:rFonts w:cs="Times New Roman"/>
          <w:lang w:val="en-US" w:eastAsia="en-US" w:bidi="ar-SA"/>
        </w:rPr>
        <w:t xml:space="preserve"> in the financial statements</w:t>
      </w:r>
      <w:r w:rsidR="00321F8E">
        <w:rPr>
          <w:rFonts w:cs="Times New Roman"/>
          <w:lang w:val="en-US" w:eastAsia="en-US" w:bidi="ar-SA"/>
        </w:rPr>
        <w:t>, which is a continuous outcome variable. Furthermore, for the purpose of this research, there is one predictor variable, the size of the pension fund, which is a continuous variable. As described above, the data do not meet the assumptions for parametric tests, which leads to two possible statistical research methods, Spearman</w:t>
      </w:r>
      <w:r w:rsidR="00991619">
        <w:rPr>
          <w:rFonts w:cs="Times New Roman"/>
          <w:lang w:val="en-US" w:eastAsia="en-US" w:bidi="ar-SA"/>
        </w:rPr>
        <w:t>’s</w:t>
      </w:r>
      <w:r w:rsidR="00321F8E">
        <w:rPr>
          <w:rFonts w:cs="Times New Roman"/>
          <w:lang w:val="en-US" w:eastAsia="en-US" w:bidi="ar-SA"/>
        </w:rPr>
        <w:t xml:space="preserve"> Correlation and Ken</w:t>
      </w:r>
      <w:r w:rsidR="00991619">
        <w:rPr>
          <w:rFonts w:cs="Times New Roman"/>
          <w:lang w:val="en-US" w:eastAsia="en-US" w:bidi="ar-SA"/>
        </w:rPr>
        <w:t>d</w:t>
      </w:r>
      <w:r w:rsidR="00321F8E">
        <w:rPr>
          <w:rFonts w:cs="Times New Roman"/>
          <w:lang w:val="en-US" w:eastAsia="en-US" w:bidi="ar-SA"/>
        </w:rPr>
        <w:t xml:space="preserve">all’s Tau. </w:t>
      </w:r>
    </w:p>
    <w:p w:rsidR="00321F8E" w:rsidRDefault="00321F8E" w:rsidP="00961508">
      <w:pPr>
        <w:autoSpaceDE w:val="0"/>
        <w:autoSpaceDN w:val="0"/>
        <w:adjustRightInd w:val="0"/>
        <w:spacing w:line="360" w:lineRule="auto"/>
        <w:jc w:val="both"/>
        <w:rPr>
          <w:rFonts w:cs="Times New Roman"/>
          <w:lang w:val="en-US" w:eastAsia="en-US" w:bidi="ar-SA"/>
        </w:rPr>
      </w:pPr>
    </w:p>
    <w:p w:rsidR="005E1835" w:rsidRDefault="00991619"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Field (2005) describes that Kendall’s Tau should be preferred over Spea</w:t>
      </w:r>
      <w:r w:rsidR="00200A23">
        <w:rPr>
          <w:rFonts w:cs="Times New Roman"/>
          <w:lang w:val="en-US" w:eastAsia="en-US" w:bidi="ar-SA"/>
        </w:rPr>
        <w:t xml:space="preserve">rman’s correlation when all </w:t>
      </w:r>
      <w:r>
        <w:rPr>
          <w:rFonts w:cs="Times New Roman"/>
          <w:lang w:val="en-US" w:eastAsia="en-US" w:bidi="ar-SA"/>
        </w:rPr>
        <w:t xml:space="preserve">scores are ranked and a lot of these scores have the same rank. However, </w:t>
      </w:r>
      <w:r w:rsidR="00E70094">
        <w:rPr>
          <w:rFonts w:cs="Times New Roman"/>
          <w:lang w:val="en-US" w:eastAsia="en-US" w:bidi="ar-SA"/>
        </w:rPr>
        <w:t>only a few scores have the same rank. T</w:t>
      </w:r>
      <w:r>
        <w:rPr>
          <w:rFonts w:cs="Times New Roman"/>
          <w:lang w:val="en-US" w:eastAsia="en-US" w:bidi="ar-SA"/>
        </w:rPr>
        <w:t xml:space="preserve">herefore, Spearman’s Correlation </w:t>
      </w:r>
      <w:r w:rsidR="00462338">
        <w:rPr>
          <w:rFonts w:cs="Times New Roman"/>
          <w:lang w:val="en-US" w:eastAsia="en-US" w:bidi="ar-SA"/>
        </w:rPr>
        <w:t>has</w:t>
      </w:r>
      <w:r>
        <w:rPr>
          <w:rFonts w:cs="Times New Roman"/>
          <w:lang w:val="en-US" w:eastAsia="en-US" w:bidi="ar-SA"/>
        </w:rPr>
        <w:t xml:space="preserve"> be</w:t>
      </w:r>
      <w:r w:rsidR="001378C7">
        <w:rPr>
          <w:rFonts w:cs="Times New Roman"/>
          <w:lang w:val="en-US" w:eastAsia="en-US" w:bidi="ar-SA"/>
        </w:rPr>
        <w:t>en</w:t>
      </w:r>
      <w:r>
        <w:rPr>
          <w:rFonts w:cs="Times New Roman"/>
          <w:lang w:val="en-US" w:eastAsia="en-US" w:bidi="ar-SA"/>
        </w:rPr>
        <w:t xml:space="preserve"> applied</w:t>
      </w:r>
      <w:r w:rsidR="001378C7">
        <w:rPr>
          <w:rFonts w:cs="Times New Roman"/>
          <w:lang w:val="en-US" w:eastAsia="en-US" w:bidi="ar-SA"/>
        </w:rPr>
        <w:t xml:space="preserve"> which resulted in </w:t>
      </w:r>
      <w:r w:rsidR="005C36A8">
        <w:rPr>
          <w:rFonts w:cs="Times New Roman"/>
          <w:lang w:val="en-US" w:eastAsia="en-US" w:bidi="ar-SA"/>
        </w:rPr>
        <w:t>t</w:t>
      </w:r>
      <w:r w:rsidR="001378C7">
        <w:rPr>
          <w:rFonts w:cs="Times New Roman"/>
          <w:lang w:val="en-US" w:eastAsia="en-US" w:bidi="ar-SA"/>
        </w:rPr>
        <w:t>able</w:t>
      </w:r>
      <w:r w:rsidR="005C36A8">
        <w:rPr>
          <w:rFonts w:cs="Times New Roman"/>
          <w:lang w:val="en-US" w:eastAsia="en-US" w:bidi="ar-SA"/>
        </w:rPr>
        <w:t xml:space="preserve"> </w:t>
      </w:r>
      <w:r w:rsidR="00AB5CB6">
        <w:rPr>
          <w:rFonts w:cs="Times New Roman"/>
          <w:lang w:val="en-US" w:eastAsia="en-US" w:bidi="ar-SA"/>
        </w:rPr>
        <w:t>9</w:t>
      </w:r>
      <w:r w:rsidR="00D059F6">
        <w:rPr>
          <w:rFonts w:cs="Times New Roman"/>
          <w:lang w:val="en-US" w:eastAsia="en-US" w:bidi="ar-SA"/>
        </w:rPr>
        <w:t xml:space="preserve"> and</w:t>
      </w:r>
      <w:r w:rsidR="004B61F0">
        <w:rPr>
          <w:rFonts w:cs="Times New Roman"/>
          <w:lang w:val="en-US" w:eastAsia="en-US" w:bidi="ar-SA"/>
        </w:rPr>
        <w:t xml:space="preserve"> </w:t>
      </w:r>
      <w:r w:rsidR="00AB5CB6">
        <w:rPr>
          <w:rFonts w:cs="Times New Roman"/>
          <w:lang w:val="en-US" w:eastAsia="en-US" w:bidi="ar-SA"/>
        </w:rPr>
        <w:t>10</w:t>
      </w:r>
      <w:r w:rsidR="00D059F6">
        <w:rPr>
          <w:rFonts w:cs="Times New Roman"/>
          <w:lang w:val="en-US" w:eastAsia="en-US" w:bidi="ar-SA"/>
        </w:rPr>
        <w:t>.</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2410"/>
        <w:gridCol w:w="2126"/>
        <w:gridCol w:w="1985"/>
        <w:gridCol w:w="1275"/>
      </w:tblGrid>
      <w:tr w:rsidR="00D059F6" w:rsidRPr="00D059F6" w:rsidTr="00D059F6">
        <w:trPr>
          <w:cantSplit/>
          <w:tblHeader/>
        </w:trPr>
        <w:tc>
          <w:tcPr>
            <w:tcW w:w="9072" w:type="dxa"/>
            <w:gridSpan w:val="5"/>
            <w:tcBorders>
              <w:top w:val="nil"/>
              <w:left w:val="nil"/>
              <w:bottom w:val="nil"/>
              <w:right w:val="nil"/>
            </w:tcBorders>
            <w:shd w:val="clear" w:color="auto" w:fill="FFFFFF"/>
            <w:vAlign w:val="center"/>
          </w:tcPr>
          <w:p w:rsidR="00D059F6" w:rsidRPr="00D059F6" w:rsidRDefault="00D059F6" w:rsidP="00D059F6">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D059F6">
              <w:rPr>
                <w:rFonts w:ascii="Arial" w:hAnsi="Arial" w:cs="Arial"/>
                <w:b/>
                <w:bCs/>
                <w:color w:val="000000"/>
                <w:sz w:val="18"/>
                <w:szCs w:val="18"/>
                <w:lang w:val="nl-NL" w:eastAsia="en-US" w:bidi="ar-SA"/>
              </w:rPr>
              <w:t>Correlations</w:t>
            </w:r>
            <w:proofErr w:type="spellEnd"/>
          </w:p>
        </w:tc>
      </w:tr>
      <w:tr w:rsidR="00D059F6" w:rsidRPr="00D059F6" w:rsidTr="0029555C">
        <w:trPr>
          <w:cantSplit/>
          <w:tblHeader/>
        </w:trPr>
        <w:tc>
          <w:tcPr>
            <w:tcW w:w="5812"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D059F6" w:rsidRPr="00D059F6" w:rsidRDefault="00D059F6" w:rsidP="00516871">
            <w:pPr>
              <w:autoSpaceDE w:val="0"/>
              <w:autoSpaceDN w:val="0"/>
              <w:adjustRightInd w:val="0"/>
              <w:spacing w:line="276" w:lineRule="auto"/>
              <w:jc w:val="center"/>
              <w:rPr>
                <w:rFonts w:cs="Times New Roman"/>
                <w:lang w:val="nl-NL" w:eastAsia="en-US" w:bidi="ar-SA"/>
              </w:rPr>
            </w:pPr>
          </w:p>
        </w:tc>
        <w:tc>
          <w:tcPr>
            <w:tcW w:w="1985" w:type="dxa"/>
            <w:tcBorders>
              <w:top w:val="single" w:sz="16" w:space="0" w:color="000000"/>
              <w:left w:val="single" w:sz="16" w:space="0" w:color="000000"/>
              <w:bottom w:val="single" w:sz="16" w:space="0" w:color="000000"/>
            </w:tcBorders>
            <w:shd w:val="clear" w:color="auto" w:fill="FFFFFF"/>
            <w:vAlign w:val="bottom"/>
          </w:tcPr>
          <w:p w:rsidR="00D059F6" w:rsidRPr="00D059F6" w:rsidRDefault="00D059F6" w:rsidP="00516871">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5C36A8">
              <w:rPr>
                <w:rFonts w:ascii="Arial" w:hAnsi="Arial" w:cs="Arial"/>
                <w:color w:val="000000"/>
                <w:sz w:val="18"/>
                <w:szCs w:val="18"/>
                <w:lang w:val="en-US" w:eastAsia="en-US" w:bidi="ar-SA"/>
              </w:rPr>
              <w:t>Finan</w:t>
            </w:r>
            <w:r>
              <w:rPr>
                <w:rFonts w:ascii="Arial" w:hAnsi="Arial" w:cs="Arial"/>
                <w:color w:val="000000"/>
                <w:sz w:val="18"/>
                <w:szCs w:val="18"/>
                <w:lang w:val="en-US" w:eastAsia="en-US" w:bidi="ar-SA"/>
              </w:rPr>
              <w:t>cial statements 2007</w:t>
            </w:r>
            <w:r w:rsidR="0029555C">
              <w:rPr>
                <w:rFonts w:ascii="Arial" w:hAnsi="Arial" w:cs="Arial"/>
                <w:color w:val="000000"/>
                <w:sz w:val="18"/>
                <w:szCs w:val="18"/>
                <w:lang w:val="en-US" w:eastAsia="en-US" w:bidi="ar-SA"/>
              </w:rPr>
              <w:t xml:space="preserve"> word count </w:t>
            </w:r>
            <w:r w:rsidRPr="005C36A8">
              <w:rPr>
                <w:rFonts w:ascii="Arial" w:hAnsi="Arial" w:cs="Arial"/>
                <w:color w:val="000000"/>
                <w:sz w:val="18"/>
                <w:szCs w:val="18"/>
                <w:lang w:val="en-US" w:eastAsia="en-US" w:bidi="ar-SA"/>
              </w:rPr>
              <w:t>crisis</w:t>
            </w:r>
          </w:p>
        </w:tc>
        <w:tc>
          <w:tcPr>
            <w:tcW w:w="1275" w:type="dxa"/>
            <w:tcBorders>
              <w:top w:val="single" w:sz="16" w:space="0" w:color="000000"/>
              <w:bottom w:val="single" w:sz="16" w:space="0" w:color="000000"/>
              <w:right w:val="single" w:sz="16" w:space="0" w:color="000000"/>
            </w:tcBorders>
            <w:shd w:val="clear" w:color="auto" w:fill="FFFFFF"/>
            <w:vAlign w:val="bottom"/>
          </w:tcPr>
          <w:p w:rsidR="00D059F6" w:rsidRPr="00D059F6" w:rsidRDefault="00D059F6" w:rsidP="0051687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AUM 2007</w:t>
            </w:r>
          </w:p>
        </w:tc>
      </w:tr>
      <w:tr w:rsidR="00D059F6" w:rsidRPr="00D059F6" w:rsidTr="0029555C">
        <w:trPr>
          <w:cantSplit/>
          <w:tblHead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059F6">
              <w:rPr>
                <w:rFonts w:ascii="Arial" w:hAnsi="Arial" w:cs="Arial"/>
                <w:color w:val="000000"/>
                <w:sz w:val="18"/>
                <w:szCs w:val="18"/>
                <w:lang w:val="nl-NL" w:eastAsia="en-US" w:bidi="ar-SA"/>
              </w:rPr>
              <w:t>Spearman's</w:t>
            </w:r>
            <w:proofErr w:type="spellEnd"/>
            <w:r w:rsidRPr="00D059F6">
              <w:rPr>
                <w:rFonts w:ascii="Arial" w:hAnsi="Arial" w:cs="Arial"/>
                <w:color w:val="000000"/>
                <w:sz w:val="18"/>
                <w:szCs w:val="18"/>
                <w:lang w:val="nl-NL" w:eastAsia="en-US" w:bidi="ar-SA"/>
              </w:rPr>
              <w:t xml:space="preserve"> </w:t>
            </w:r>
            <w:proofErr w:type="spellStart"/>
            <w:r w:rsidRPr="00D059F6">
              <w:rPr>
                <w:rFonts w:ascii="Arial" w:hAnsi="Arial" w:cs="Arial"/>
                <w:color w:val="000000"/>
                <w:sz w:val="18"/>
                <w:szCs w:val="18"/>
                <w:lang w:val="nl-NL" w:eastAsia="en-US" w:bidi="ar-SA"/>
              </w:rPr>
              <w:t>rho</w:t>
            </w:r>
            <w:proofErr w:type="spellEnd"/>
          </w:p>
        </w:tc>
        <w:tc>
          <w:tcPr>
            <w:tcW w:w="2410" w:type="dxa"/>
            <w:vMerge w:val="restart"/>
            <w:tcBorders>
              <w:top w:val="single" w:sz="16" w:space="0" w:color="000000"/>
              <w:left w:val="nil"/>
              <w:right w:val="nil"/>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en-US" w:eastAsia="en-US" w:bidi="ar-SA"/>
              </w:rPr>
            </w:pPr>
            <w:r w:rsidRPr="005C36A8">
              <w:rPr>
                <w:rFonts w:ascii="Arial" w:hAnsi="Arial" w:cs="Arial"/>
                <w:color w:val="000000"/>
                <w:sz w:val="18"/>
                <w:szCs w:val="18"/>
                <w:lang w:val="en-US" w:eastAsia="en-US" w:bidi="ar-SA"/>
              </w:rPr>
              <w:t>Finan</w:t>
            </w:r>
            <w:r w:rsidR="0029555C">
              <w:rPr>
                <w:rFonts w:ascii="Arial" w:hAnsi="Arial" w:cs="Arial"/>
                <w:color w:val="000000"/>
                <w:sz w:val="18"/>
                <w:szCs w:val="18"/>
                <w:lang w:val="en-US" w:eastAsia="en-US" w:bidi="ar-SA"/>
              </w:rPr>
              <w:t>cial statements 2011</w:t>
            </w:r>
            <w:r w:rsidRPr="005C36A8">
              <w:rPr>
                <w:rFonts w:ascii="Arial" w:hAnsi="Arial" w:cs="Arial"/>
                <w:color w:val="000000"/>
                <w:sz w:val="18"/>
                <w:szCs w:val="18"/>
                <w:lang w:val="en-US" w:eastAsia="en-US" w:bidi="ar-SA"/>
              </w:rPr>
              <w:t xml:space="preserve"> word count “crisis”</w:t>
            </w:r>
          </w:p>
        </w:tc>
        <w:tc>
          <w:tcPr>
            <w:tcW w:w="2126" w:type="dxa"/>
            <w:tcBorders>
              <w:top w:val="single" w:sz="16" w:space="0" w:color="000000"/>
              <w:left w:val="nil"/>
              <w:bottom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059F6">
              <w:rPr>
                <w:rFonts w:ascii="Arial" w:hAnsi="Arial" w:cs="Arial"/>
                <w:color w:val="000000"/>
                <w:sz w:val="18"/>
                <w:szCs w:val="18"/>
                <w:lang w:val="nl-NL" w:eastAsia="en-US" w:bidi="ar-SA"/>
              </w:rPr>
              <w:t>Correlation</w:t>
            </w:r>
            <w:proofErr w:type="spellEnd"/>
            <w:r w:rsidRPr="00D059F6">
              <w:rPr>
                <w:rFonts w:ascii="Arial" w:hAnsi="Arial" w:cs="Arial"/>
                <w:color w:val="000000"/>
                <w:sz w:val="18"/>
                <w:szCs w:val="18"/>
                <w:lang w:val="nl-NL" w:eastAsia="en-US" w:bidi="ar-SA"/>
              </w:rPr>
              <w:t xml:space="preserve"> </w:t>
            </w:r>
            <w:proofErr w:type="spellStart"/>
            <w:r w:rsidRPr="00D059F6">
              <w:rPr>
                <w:rFonts w:ascii="Arial" w:hAnsi="Arial" w:cs="Arial"/>
                <w:color w:val="000000"/>
                <w:sz w:val="18"/>
                <w:szCs w:val="18"/>
                <w:lang w:val="nl-NL" w:eastAsia="en-US" w:bidi="ar-SA"/>
              </w:rPr>
              <w:t>Coefficient</w:t>
            </w:r>
            <w:proofErr w:type="spellEnd"/>
          </w:p>
        </w:tc>
        <w:tc>
          <w:tcPr>
            <w:tcW w:w="1985" w:type="dxa"/>
            <w:tcBorders>
              <w:top w:val="single" w:sz="16" w:space="0" w:color="000000"/>
              <w:left w:val="single" w:sz="16" w:space="0" w:color="000000"/>
              <w:bottom w:val="nil"/>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1.000</w:t>
            </w:r>
          </w:p>
        </w:tc>
        <w:tc>
          <w:tcPr>
            <w:tcW w:w="1275" w:type="dxa"/>
            <w:tcBorders>
              <w:top w:val="single" w:sz="16" w:space="0" w:color="000000"/>
              <w:bottom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.561</w:t>
            </w:r>
            <w:r w:rsidRPr="00D059F6">
              <w:rPr>
                <w:rFonts w:ascii="Arial" w:hAnsi="Arial" w:cs="Arial"/>
                <w:color w:val="000000"/>
                <w:sz w:val="18"/>
                <w:szCs w:val="18"/>
                <w:vertAlign w:val="superscript"/>
                <w:lang w:val="nl-NL" w:eastAsia="en-US" w:bidi="ar-SA"/>
              </w:rPr>
              <w:t>**</w:t>
            </w:r>
          </w:p>
        </w:tc>
      </w:tr>
      <w:tr w:rsidR="00D059F6" w:rsidRPr="00D059F6"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rPr>
                <w:rFonts w:ascii="Arial" w:hAnsi="Arial" w:cs="Arial"/>
                <w:color w:val="000000"/>
                <w:sz w:val="18"/>
                <w:szCs w:val="18"/>
                <w:lang w:val="nl-NL" w:eastAsia="en-US" w:bidi="ar-SA"/>
              </w:rPr>
            </w:pPr>
          </w:p>
        </w:tc>
        <w:tc>
          <w:tcPr>
            <w:tcW w:w="2410" w:type="dxa"/>
            <w:vMerge/>
            <w:tcBorders>
              <w:top w:val="single" w:sz="16" w:space="0" w:color="000000"/>
              <w:left w:val="nil"/>
              <w:right w:val="nil"/>
            </w:tcBorders>
            <w:shd w:val="clear" w:color="auto" w:fill="FFFFFF"/>
          </w:tcPr>
          <w:p w:rsidR="00D059F6" w:rsidRPr="00D059F6" w:rsidRDefault="00D059F6" w:rsidP="00516871">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bottom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059F6">
              <w:rPr>
                <w:rFonts w:ascii="Arial" w:hAnsi="Arial" w:cs="Arial"/>
                <w:color w:val="000000"/>
                <w:sz w:val="18"/>
                <w:szCs w:val="18"/>
                <w:lang w:val="nl-NL" w:eastAsia="en-US" w:bidi="ar-SA"/>
              </w:rPr>
              <w:t>Sig</w:t>
            </w:r>
            <w:proofErr w:type="spellEnd"/>
            <w:r w:rsidRPr="00D059F6">
              <w:rPr>
                <w:rFonts w:ascii="Arial" w:hAnsi="Arial" w:cs="Arial"/>
                <w:color w:val="000000"/>
                <w:sz w:val="18"/>
                <w:szCs w:val="18"/>
                <w:lang w:val="nl-NL" w:eastAsia="en-US" w:bidi="ar-SA"/>
              </w:rPr>
              <w:t>. (1-tailed)</w:t>
            </w:r>
          </w:p>
        </w:tc>
        <w:tc>
          <w:tcPr>
            <w:tcW w:w="1985" w:type="dxa"/>
            <w:tcBorders>
              <w:top w:val="nil"/>
              <w:left w:val="single" w:sz="16" w:space="0" w:color="000000"/>
              <w:bottom w:val="nil"/>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w:t>
            </w:r>
          </w:p>
        </w:tc>
        <w:tc>
          <w:tcPr>
            <w:tcW w:w="1275" w:type="dxa"/>
            <w:tcBorders>
              <w:top w:val="nil"/>
              <w:bottom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.002</w:t>
            </w:r>
          </w:p>
        </w:tc>
      </w:tr>
      <w:tr w:rsidR="00D059F6" w:rsidRPr="00D059F6"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rPr>
                <w:rFonts w:ascii="Arial" w:hAnsi="Arial" w:cs="Arial"/>
                <w:color w:val="000000"/>
                <w:sz w:val="18"/>
                <w:szCs w:val="18"/>
                <w:lang w:val="nl-NL" w:eastAsia="en-US" w:bidi="ar-SA"/>
              </w:rPr>
            </w:pPr>
          </w:p>
        </w:tc>
        <w:tc>
          <w:tcPr>
            <w:tcW w:w="2410" w:type="dxa"/>
            <w:vMerge/>
            <w:tcBorders>
              <w:top w:val="single" w:sz="16" w:space="0" w:color="000000"/>
              <w:left w:val="nil"/>
              <w:right w:val="nil"/>
            </w:tcBorders>
            <w:shd w:val="clear" w:color="auto" w:fill="FFFFFF"/>
          </w:tcPr>
          <w:p w:rsidR="00D059F6" w:rsidRPr="00D059F6" w:rsidRDefault="00D059F6" w:rsidP="00516871">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N</w:t>
            </w:r>
          </w:p>
        </w:tc>
        <w:tc>
          <w:tcPr>
            <w:tcW w:w="1985" w:type="dxa"/>
            <w:tcBorders>
              <w:top w:val="nil"/>
              <w:lef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25</w:t>
            </w:r>
          </w:p>
        </w:tc>
        <w:tc>
          <w:tcPr>
            <w:tcW w:w="1275" w:type="dxa"/>
            <w:tcBorders>
              <w:top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25</w:t>
            </w:r>
          </w:p>
        </w:tc>
      </w:tr>
      <w:tr w:rsidR="00D059F6" w:rsidRPr="00D059F6"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rPr>
                <w:rFonts w:ascii="Arial" w:hAnsi="Arial" w:cs="Arial"/>
                <w:color w:val="000000"/>
                <w:sz w:val="18"/>
                <w:szCs w:val="18"/>
                <w:lang w:val="nl-NL" w:eastAsia="en-US" w:bidi="ar-SA"/>
              </w:rPr>
            </w:pPr>
          </w:p>
        </w:tc>
        <w:tc>
          <w:tcPr>
            <w:tcW w:w="2410" w:type="dxa"/>
            <w:vMerge w:val="restart"/>
            <w:tcBorders>
              <w:left w:val="nil"/>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AUM 2007</w:t>
            </w:r>
          </w:p>
        </w:tc>
        <w:tc>
          <w:tcPr>
            <w:tcW w:w="2126" w:type="dxa"/>
            <w:tcBorders>
              <w:left w:val="nil"/>
              <w:bottom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059F6">
              <w:rPr>
                <w:rFonts w:ascii="Arial" w:hAnsi="Arial" w:cs="Arial"/>
                <w:color w:val="000000"/>
                <w:sz w:val="18"/>
                <w:szCs w:val="18"/>
                <w:lang w:val="nl-NL" w:eastAsia="en-US" w:bidi="ar-SA"/>
              </w:rPr>
              <w:t>Correlation</w:t>
            </w:r>
            <w:proofErr w:type="spellEnd"/>
            <w:r w:rsidRPr="00D059F6">
              <w:rPr>
                <w:rFonts w:ascii="Arial" w:hAnsi="Arial" w:cs="Arial"/>
                <w:color w:val="000000"/>
                <w:sz w:val="18"/>
                <w:szCs w:val="18"/>
                <w:lang w:val="nl-NL" w:eastAsia="en-US" w:bidi="ar-SA"/>
              </w:rPr>
              <w:t xml:space="preserve"> </w:t>
            </w:r>
            <w:proofErr w:type="spellStart"/>
            <w:r w:rsidRPr="00D059F6">
              <w:rPr>
                <w:rFonts w:ascii="Arial" w:hAnsi="Arial" w:cs="Arial"/>
                <w:color w:val="000000"/>
                <w:sz w:val="18"/>
                <w:szCs w:val="18"/>
                <w:lang w:val="nl-NL" w:eastAsia="en-US" w:bidi="ar-SA"/>
              </w:rPr>
              <w:t>Coefficient</w:t>
            </w:r>
            <w:proofErr w:type="spellEnd"/>
          </w:p>
        </w:tc>
        <w:tc>
          <w:tcPr>
            <w:tcW w:w="1985" w:type="dxa"/>
            <w:tcBorders>
              <w:left w:val="single" w:sz="16" w:space="0" w:color="000000"/>
              <w:bottom w:val="nil"/>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.561</w:t>
            </w:r>
            <w:r w:rsidRPr="00D059F6">
              <w:rPr>
                <w:rFonts w:ascii="Arial" w:hAnsi="Arial" w:cs="Arial"/>
                <w:color w:val="000000"/>
                <w:sz w:val="18"/>
                <w:szCs w:val="18"/>
                <w:vertAlign w:val="superscript"/>
                <w:lang w:val="nl-NL" w:eastAsia="en-US" w:bidi="ar-SA"/>
              </w:rPr>
              <w:t>**</w:t>
            </w:r>
          </w:p>
        </w:tc>
        <w:tc>
          <w:tcPr>
            <w:tcW w:w="1275" w:type="dxa"/>
            <w:tcBorders>
              <w:bottom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1.000</w:t>
            </w:r>
          </w:p>
        </w:tc>
      </w:tr>
      <w:tr w:rsidR="00D059F6" w:rsidRPr="00D059F6"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rPr>
                <w:rFonts w:cs="Times New Roman"/>
                <w:lang w:val="nl-NL" w:eastAsia="en-US" w:bidi="ar-SA"/>
              </w:rPr>
            </w:pPr>
          </w:p>
        </w:tc>
        <w:tc>
          <w:tcPr>
            <w:tcW w:w="2410" w:type="dxa"/>
            <w:vMerge/>
            <w:tcBorders>
              <w:left w:val="nil"/>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rPr>
                <w:rFonts w:cs="Times New Roman"/>
                <w:lang w:val="nl-NL" w:eastAsia="en-US" w:bidi="ar-SA"/>
              </w:rPr>
            </w:pPr>
          </w:p>
        </w:tc>
        <w:tc>
          <w:tcPr>
            <w:tcW w:w="2126" w:type="dxa"/>
            <w:tcBorders>
              <w:top w:val="nil"/>
              <w:left w:val="nil"/>
              <w:bottom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059F6">
              <w:rPr>
                <w:rFonts w:ascii="Arial" w:hAnsi="Arial" w:cs="Arial"/>
                <w:color w:val="000000"/>
                <w:sz w:val="18"/>
                <w:szCs w:val="18"/>
                <w:lang w:val="nl-NL" w:eastAsia="en-US" w:bidi="ar-SA"/>
              </w:rPr>
              <w:t>Sig</w:t>
            </w:r>
            <w:proofErr w:type="spellEnd"/>
            <w:r w:rsidRPr="00D059F6">
              <w:rPr>
                <w:rFonts w:ascii="Arial" w:hAnsi="Arial" w:cs="Arial"/>
                <w:color w:val="000000"/>
                <w:sz w:val="18"/>
                <w:szCs w:val="18"/>
                <w:lang w:val="nl-NL" w:eastAsia="en-US" w:bidi="ar-SA"/>
              </w:rPr>
              <w:t>. (1-tailed)</w:t>
            </w:r>
          </w:p>
        </w:tc>
        <w:tc>
          <w:tcPr>
            <w:tcW w:w="1985" w:type="dxa"/>
            <w:tcBorders>
              <w:top w:val="nil"/>
              <w:left w:val="single" w:sz="16" w:space="0" w:color="000000"/>
              <w:bottom w:val="nil"/>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.002</w:t>
            </w:r>
          </w:p>
        </w:tc>
        <w:tc>
          <w:tcPr>
            <w:tcW w:w="1275" w:type="dxa"/>
            <w:tcBorders>
              <w:top w:val="nil"/>
              <w:bottom w:val="nil"/>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w:t>
            </w:r>
          </w:p>
        </w:tc>
      </w:tr>
      <w:tr w:rsidR="00D059F6" w:rsidRPr="00D059F6"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rPr>
                <w:rFonts w:cs="Times New Roman"/>
                <w:lang w:val="nl-NL" w:eastAsia="en-US" w:bidi="ar-SA"/>
              </w:rPr>
            </w:pPr>
          </w:p>
        </w:tc>
        <w:tc>
          <w:tcPr>
            <w:tcW w:w="2410" w:type="dxa"/>
            <w:vMerge/>
            <w:tcBorders>
              <w:left w:val="nil"/>
              <w:bottom w:val="single" w:sz="16" w:space="0" w:color="000000"/>
              <w:right w:val="nil"/>
            </w:tcBorders>
            <w:shd w:val="clear" w:color="auto" w:fill="FFFFFF"/>
          </w:tcPr>
          <w:p w:rsidR="00D059F6" w:rsidRPr="00D059F6" w:rsidRDefault="00D059F6" w:rsidP="00516871">
            <w:pPr>
              <w:autoSpaceDE w:val="0"/>
              <w:autoSpaceDN w:val="0"/>
              <w:adjustRightInd w:val="0"/>
              <w:spacing w:line="276" w:lineRule="auto"/>
              <w:rPr>
                <w:rFonts w:cs="Times New Roman"/>
                <w:lang w:val="nl-NL" w:eastAsia="en-US" w:bidi="ar-SA"/>
              </w:rPr>
            </w:pPr>
          </w:p>
        </w:tc>
        <w:tc>
          <w:tcPr>
            <w:tcW w:w="2126" w:type="dxa"/>
            <w:tcBorders>
              <w:top w:val="nil"/>
              <w:left w:val="nil"/>
              <w:bottom w:val="single" w:sz="16" w:space="0" w:color="000000"/>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N</w:t>
            </w:r>
          </w:p>
        </w:tc>
        <w:tc>
          <w:tcPr>
            <w:tcW w:w="1985" w:type="dxa"/>
            <w:tcBorders>
              <w:top w:val="nil"/>
              <w:left w:val="single" w:sz="16" w:space="0" w:color="000000"/>
              <w:bottom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25</w:t>
            </w:r>
          </w:p>
        </w:tc>
        <w:tc>
          <w:tcPr>
            <w:tcW w:w="1275" w:type="dxa"/>
            <w:tcBorders>
              <w:top w:val="nil"/>
              <w:bottom w:val="single" w:sz="16" w:space="0" w:color="000000"/>
              <w:right w:val="single" w:sz="16" w:space="0" w:color="000000"/>
            </w:tcBorders>
            <w:shd w:val="clear" w:color="auto" w:fill="FFFFFF"/>
          </w:tcPr>
          <w:p w:rsidR="00D059F6" w:rsidRPr="00D059F6" w:rsidRDefault="00D059F6" w:rsidP="00516871">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059F6">
              <w:rPr>
                <w:rFonts w:ascii="Arial" w:hAnsi="Arial" w:cs="Arial"/>
                <w:color w:val="000000"/>
                <w:sz w:val="18"/>
                <w:szCs w:val="18"/>
                <w:lang w:val="nl-NL" w:eastAsia="en-US" w:bidi="ar-SA"/>
              </w:rPr>
              <w:t>25</w:t>
            </w:r>
          </w:p>
        </w:tc>
      </w:tr>
      <w:tr w:rsidR="00B10AAF" w:rsidRPr="00B10AAF" w:rsidTr="00D059F6">
        <w:trPr>
          <w:cantSplit/>
          <w:tblHeader/>
        </w:trPr>
        <w:tc>
          <w:tcPr>
            <w:tcW w:w="9072" w:type="dxa"/>
            <w:gridSpan w:val="5"/>
            <w:tcBorders>
              <w:top w:val="nil"/>
              <w:left w:val="nil"/>
              <w:bottom w:val="nil"/>
              <w:right w:val="nil"/>
            </w:tcBorders>
            <w:shd w:val="clear" w:color="auto" w:fill="FFFFFF"/>
            <w:vAlign w:val="center"/>
          </w:tcPr>
          <w:p w:rsidR="00B10AAF" w:rsidRPr="00B10AAF" w:rsidRDefault="00B10AAF" w:rsidP="00B10AAF">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B10AAF">
              <w:rPr>
                <w:rFonts w:ascii="Arial" w:hAnsi="Arial" w:cs="Arial"/>
                <w:b/>
                <w:bCs/>
                <w:color w:val="000000"/>
                <w:sz w:val="18"/>
                <w:szCs w:val="18"/>
                <w:lang w:val="nl-NL" w:eastAsia="en-US" w:bidi="ar-SA"/>
              </w:rPr>
              <w:t>Correlations</w:t>
            </w:r>
            <w:proofErr w:type="spellEnd"/>
          </w:p>
        </w:tc>
      </w:tr>
      <w:tr w:rsidR="00B10AAF" w:rsidRPr="00B10AAF" w:rsidTr="0029555C">
        <w:trPr>
          <w:cantSplit/>
          <w:tblHeader/>
        </w:trPr>
        <w:tc>
          <w:tcPr>
            <w:tcW w:w="5812"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B10AAF" w:rsidRPr="00B10AAF" w:rsidRDefault="00B10AAF" w:rsidP="00682D04">
            <w:pPr>
              <w:autoSpaceDE w:val="0"/>
              <w:autoSpaceDN w:val="0"/>
              <w:adjustRightInd w:val="0"/>
              <w:spacing w:line="276" w:lineRule="auto"/>
              <w:jc w:val="center"/>
              <w:rPr>
                <w:rFonts w:cs="Times New Roman"/>
                <w:lang w:val="nl-NL" w:eastAsia="en-US" w:bidi="ar-SA"/>
              </w:rPr>
            </w:pPr>
          </w:p>
        </w:tc>
        <w:tc>
          <w:tcPr>
            <w:tcW w:w="1985" w:type="dxa"/>
            <w:tcBorders>
              <w:top w:val="single" w:sz="16" w:space="0" w:color="000000"/>
              <w:left w:val="single" w:sz="16" w:space="0" w:color="000000"/>
              <w:bottom w:val="single" w:sz="16" w:space="0" w:color="000000"/>
            </w:tcBorders>
            <w:shd w:val="clear" w:color="auto" w:fill="FFFFFF"/>
            <w:vAlign w:val="bottom"/>
          </w:tcPr>
          <w:p w:rsidR="00B10AAF" w:rsidRPr="00D059F6" w:rsidRDefault="00D059F6" w:rsidP="00682D04">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5C36A8">
              <w:rPr>
                <w:rFonts w:ascii="Arial" w:hAnsi="Arial" w:cs="Arial"/>
                <w:color w:val="000000"/>
                <w:sz w:val="18"/>
                <w:szCs w:val="18"/>
                <w:lang w:val="en-US" w:eastAsia="en-US" w:bidi="ar-SA"/>
              </w:rPr>
              <w:t>Financ</w:t>
            </w:r>
            <w:r w:rsidR="0029555C">
              <w:rPr>
                <w:rFonts w:ascii="Arial" w:hAnsi="Arial" w:cs="Arial"/>
                <w:color w:val="000000"/>
                <w:sz w:val="18"/>
                <w:szCs w:val="18"/>
                <w:lang w:val="en-US" w:eastAsia="en-US" w:bidi="ar-SA"/>
              </w:rPr>
              <w:t xml:space="preserve">ial statements 2011 word count </w:t>
            </w:r>
            <w:r w:rsidRPr="005C36A8">
              <w:rPr>
                <w:rFonts w:ascii="Arial" w:hAnsi="Arial" w:cs="Arial"/>
                <w:color w:val="000000"/>
                <w:sz w:val="18"/>
                <w:szCs w:val="18"/>
                <w:lang w:val="en-US" w:eastAsia="en-US" w:bidi="ar-SA"/>
              </w:rPr>
              <w:t>crisis</w:t>
            </w:r>
          </w:p>
        </w:tc>
        <w:tc>
          <w:tcPr>
            <w:tcW w:w="1275" w:type="dxa"/>
            <w:tcBorders>
              <w:top w:val="single" w:sz="16" w:space="0" w:color="000000"/>
              <w:bottom w:val="single" w:sz="16" w:space="0" w:color="000000"/>
              <w:right w:val="single" w:sz="16" w:space="0" w:color="000000"/>
            </w:tcBorders>
            <w:shd w:val="clear" w:color="auto" w:fill="FFFFFF"/>
            <w:vAlign w:val="bottom"/>
          </w:tcPr>
          <w:p w:rsidR="00B10AAF" w:rsidRPr="00B10AAF" w:rsidRDefault="00D059F6"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r>
              <w:rPr>
                <w:rFonts w:ascii="Arial" w:hAnsi="Arial" w:cs="Arial"/>
                <w:color w:val="000000"/>
                <w:sz w:val="18"/>
                <w:szCs w:val="18"/>
                <w:lang w:val="nl-NL" w:eastAsia="en-US" w:bidi="ar-SA"/>
              </w:rPr>
              <w:t>AUM 2011</w:t>
            </w:r>
          </w:p>
        </w:tc>
      </w:tr>
      <w:tr w:rsidR="00B10AAF" w:rsidRPr="00B10AAF" w:rsidTr="0029555C">
        <w:trPr>
          <w:cantSplit/>
          <w:tblHead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B10AAF" w:rsidRPr="00B10AAF" w:rsidRDefault="00B10AAF" w:rsidP="00682D0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B10AAF">
              <w:rPr>
                <w:rFonts w:ascii="Arial" w:hAnsi="Arial" w:cs="Arial"/>
                <w:color w:val="000000"/>
                <w:sz w:val="18"/>
                <w:szCs w:val="18"/>
                <w:lang w:val="nl-NL" w:eastAsia="en-US" w:bidi="ar-SA"/>
              </w:rPr>
              <w:t>Spearman's</w:t>
            </w:r>
            <w:proofErr w:type="spellEnd"/>
            <w:r w:rsidRPr="00B10AAF">
              <w:rPr>
                <w:rFonts w:ascii="Arial" w:hAnsi="Arial" w:cs="Arial"/>
                <w:color w:val="000000"/>
                <w:sz w:val="18"/>
                <w:szCs w:val="18"/>
                <w:lang w:val="nl-NL" w:eastAsia="en-US" w:bidi="ar-SA"/>
              </w:rPr>
              <w:t xml:space="preserve"> </w:t>
            </w:r>
            <w:proofErr w:type="spellStart"/>
            <w:r w:rsidRPr="00B10AAF">
              <w:rPr>
                <w:rFonts w:ascii="Arial" w:hAnsi="Arial" w:cs="Arial"/>
                <w:color w:val="000000"/>
                <w:sz w:val="18"/>
                <w:szCs w:val="18"/>
                <w:lang w:val="nl-NL" w:eastAsia="en-US" w:bidi="ar-SA"/>
              </w:rPr>
              <w:t>rho</w:t>
            </w:r>
            <w:proofErr w:type="spellEnd"/>
          </w:p>
        </w:tc>
        <w:tc>
          <w:tcPr>
            <w:tcW w:w="2410" w:type="dxa"/>
            <w:vMerge w:val="restart"/>
            <w:tcBorders>
              <w:top w:val="single" w:sz="16" w:space="0" w:color="000000"/>
              <w:left w:val="nil"/>
              <w:right w:val="nil"/>
            </w:tcBorders>
            <w:shd w:val="clear" w:color="auto" w:fill="FFFFFF"/>
          </w:tcPr>
          <w:p w:rsidR="00B10AAF" w:rsidRPr="005C36A8" w:rsidRDefault="005C36A8" w:rsidP="00682D04">
            <w:pPr>
              <w:autoSpaceDE w:val="0"/>
              <w:autoSpaceDN w:val="0"/>
              <w:adjustRightInd w:val="0"/>
              <w:spacing w:line="276" w:lineRule="auto"/>
              <w:ind w:left="60" w:right="60"/>
              <w:rPr>
                <w:rFonts w:ascii="Arial" w:hAnsi="Arial" w:cs="Arial"/>
                <w:color w:val="000000"/>
                <w:sz w:val="18"/>
                <w:szCs w:val="18"/>
                <w:lang w:val="en-US" w:eastAsia="en-US" w:bidi="ar-SA"/>
              </w:rPr>
            </w:pPr>
            <w:r w:rsidRPr="005C36A8">
              <w:rPr>
                <w:rFonts w:ascii="Arial" w:hAnsi="Arial" w:cs="Arial"/>
                <w:color w:val="000000"/>
                <w:sz w:val="18"/>
                <w:szCs w:val="18"/>
                <w:lang w:val="en-US" w:eastAsia="en-US" w:bidi="ar-SA"/>
              </w:rPr>
              <w:t>Financial statements 2011 word count</w:t>
            </w:r>
            <w:r w:rsidR="00B10AAF" w:rsidRPr="005C36A8">
              <w:rPr>
                <w:rFonts w:ascii="Arial" w:hAnsi="Arial" w:cs="Arial"/>
                <w:color w:val="000000"/>
                <w:sz w:val="18"/>
                <w:szCs w:val="18"/>
                <w:lang w:val="en-US" w:eastAsia="en-US" w:bidi="ar-SA"/>
              </w:rPr>
              <w:t xml:space="preserve"> </w:t>
            </w:r>
            <w:r w:rsidRPr="005C36A8">
              <w:rPr>
                <w:rFonts w:ascii="Arial" w:hAnsi="Arial" w:cs="Arial"/>
                <w:color w:val="000000"/>
                <w:sz w:val="18"/>
                <w:szCs w:val="18"/>
                <w:lang w:val="en-US" w:eastAsia="en-US" w:bidi="ar-SA"/>
              </w:rPr>
              <w:t>“</w:t>
            </w:r>
            <w:r w:rsidR="00B10AAF" w:rsidRPr="005C36A8">
              <w:rPr>
                <w:rFonts w:ascii="Arial" w:hAnsi="Arial" w:cs="Arial"/>
                <w:color w:val="000000"/>
                <w:sz w:val="18"/>
                <w:szCs w:val="18"/>
                <w:lang w:val="en-US" w:eastAsia="en-US" w:bidi="ar-SA"/>
              </w:rPr>
              <w:t>crisis</w:t>
            </w:r>
            <w:r w:rsidRPr="005C36A8">
              <w:rPr>
                <w:rFonts w:ascii="Arial" w:hAnsi="Arial" w:cs="Arial"/>
                <w:color w:val="000000"/>
                <w:sz w:val="18"/>
                <w:szCs w:val="18"/>
                <w:lang w:val="en-US" w:eastAsia="en-US" w:bidi="ar-SA"/>
              </w:rPr>
              <w:t>”</w:t>
            </w:r>
          </w:p>
        </w:tc>
        <w:tc>
          <w:tcPr>
            <w:tcW w:w="2126" w:type="dxa"/>
            <w:tcBorders>
              <w:top w:val="single" w:sz="16" w:space="0" w:color="000000"/>
              <w:left w:val="nil"/>
              <w:bottom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B10AAF">
              <w:rPr>
                <w:rFonts w:ascii="Arial" w:hAnsi="Arial" w:cs="Arial"/>
                <w:color w:val="000000"/>
                <w:sz w:val="18"/>
                <w:szCs w:val="18"/>
                <w:lang w:val="nl-NL" w:eastAsia="en-US" w:bidi="ar-SA"/>
              </w:rPr>
              <w:t>Correlation</w:t>
            </w:r>
            <w:proofErr w:type="spellEnd"/>
            <w:r w:rsidRPr="00B10AAF">
              <w:rPr>
                <w:rFonts w:ascii="Arial" w:hAnsi="Arial" w:cs="Arial"/>
                <w:color w:val="000000"/>
                <w:sz w:val="18"/>
                <w:szCs w:val="18"/>
                <w:lang w:val="nl-NL" w:eastAsia="en-US" w:bidi="ar-SA"/>
              </w:rPr>
              <w:t xml:space="preserve"> </w:t>
            </w:r>
            <w:proofErr w:type="spellStart"/>
            <w:r w:rsidRPr="00B10AAF">
              <w:rPr>
                <w:rFonts w:ascii="Arial" w:hAnsi="Arial" w:cs="Arial"/>
                <w:color w:val="000000"/>
                <w:sz w:val="18"/>
                <w:szCs w:val="18"/>
                <w:lang w:val="nl-NL" w:eastAsia="en-US" w:bidi="ar-SA"/>
              </w:rPr>
              <w:t>Coefficient</w:t>
            </w:r>
            <w:proofErr w:type="spellEnd"/>
          </w:p>
        </w:tc>
        <w:tc>
          <w:tcPr>
            <w:tcW w:w="1985" w:type="dxa"/>
            <w:tcBorders>
              <w:top w:val="single" w:sz="16" w:space="0" w:color="000000"/>
              <w:left w:val="single" w:sz="16" w:space="0" w:color="000000"/>
              <w:bottom w:val="nil"/>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1.000</w:t>
            </w:r>
          </w:p>
        </w:tc>
        <w:tc>
          <w:tcPr>
            <w:tcW w:w="1275" w:type="dxa"/>
            <w:tcBorders>
              <w:top w:val="single" w:sz="16" w:space="0" w:color="000000"/>
              <w:bottom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.664</w:t>
            </w:r>
            <w:r w:rsidRPr="00B10AAF">
              <w:rPr>
                <w:rFonts w:ascii="Arial" w:hAnsi="Arial" w:cs="Arial"/>
                <w:color w:val="000000"/>
                <w:sz w:val="18"/>
                <w:szCs w:val="18"/>
                <w:vertAlign w:val="superscript"/>
                <w:lang w:val="nl-NL" w:eastAsia="en-US" w:bidi="ar-SA"/>
              </w:rPr>
              <w:t>**</w:t>
            </w:r>
          </w:p>
        </w:tc>
      </w:tr>
      <w:tr w:rsidR="00B10AAF" w:rsidRPr="00B10AAF"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B10AAF" w:rsidRPr="00B10AAF" w:rsidRDefault="00B10AAF" w:rsidP="00682D04">
            <w:pPr>
              <w:autoSpaceDE w:val="0"/>
              <w:autoSpaceDN w:val="0"/>
              <w:adjustRightInd w:val="0"/>
              <w:spacing w:line="276" w:lineRule="auto"/>
              <w:rPr>
                <w:rFonts w:ascii="Arial" w:hAnsi="Arial" w:cs="Arial"/>
                <w:color w:val="000000"/>
                <w:sz w:val="18"/>
                <w:szCs w:val="18"/>
                <w:lang w:val="nl-NL" w:eastAsia="en-US" w:bidi="ar-SA"/>
              </w:rPr>
            </w:pPr>
          </w:p>
        </w:tc>
        <w:tc>
          <w:tcPr>
            <w:tcW w:w="2410" w:type="dxa"/>
            <w:vMerge/>
            <w:tcBorders>
              <w:top w:val="single" w:sz="16" w:space="0" w:color="000000"/>
              <w:left w:val="nil"/>
              <w:right w:val="nil"/>
            </w:tcBorders>
            <w:shd w:val="clear" w:color="auto" w:fill="FFFFFF"/>
          </w:tcPr>
          <w:p w:rsidR="00B10AAF" w:rsidRPr="00B10AAF" w:rsidRDefault="00B10AAF" w:rsidP="00682D04">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bottom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B10AAF">
              <w:rPr>
                <w:rFonts w:ascii="Arial" w:hAnsi="Arial" w:cs="Arial"/>
                <w:color w:val="000000"/>
                <w:sz w:val="18"/>
                <w:szCs w:val="18"/>
                <w:lang w:val="nl-NL" w:eastAsia="en-US" w:bidi="ar-SA"/>
              </w:rPr>
              <w:t>Sig</w:t>
            </w:r>
            <w:proofErr w:type="spellEnd"/>
            <w:r w:rsidRPr="00B10AAF">
              <w:rPr>
                <w:rFonts w:ascii="Arial" w:hAnsi="Arial" w:cs="Arial"/>
                <w:color w:val="000000"/>
                <w:sz w:val="18"/>
                <w:szCs w:val="18"/>
                <w:lang w:val="nl-NL" w:eastAsia="en-US" w:bidi="ar-SA"/>
              </w:rPr>
              <w:t>. (1-tailed)</w:t>
            </w:r>
          </w:p>
        </w:tc>
        <w:tc>
          <w:tcPr>
            <w:tcW w:w="1985" w:type="dxa"/>
            <w:tcBorders>
              <w:top w:val="nil"/>
              <w:left w:val="single" w:sz="16" w:space="0" w:color="000000"/>
              <w:bottom w:val="nil"/>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w:t>
            </w:r>
          </w:p>
        </w:tc>
        <w:tc>
          <w:tcPr>
            <w:tcW w:w="1275" w:type="dxa"/>
            <w:tcBorders>
              <w:top w:val="nil"/>
              <w:bottom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.000</w:t>
            </w:r>
          </w:p>
        </w:tc>
      </w:tr>
      <w:tr w:rsidR="00B10AAF" w:rsidRPr="00B10AAF"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B10AAF" w:rsidRPr="00B10AAF" w:rsidRDefault="00B10AAF" w:rsidP="00682D04">
            <w:pPr>
              <w:autoSpaceDE w:val="0"/>
              <w:autoSpaceDN w:val="0"/>
              <w:adjustRightInd w:val="0"/>
              <w:spacing w:line="276" w:lineRule="auto"/>
              <w:rPr>
                <w:rFonts w:ascii="Arial" w:hAnsi="Arial" w:cs="Arial"/>
                <w:color w:val="000000"/>
                <w:sz w:val="18"/>
                <w:szCs w:val="18"/>
                <w:lang w:val="nl-NL" w:eastAsia="en-US" w:bidi="ar-SA"/>
              </w:rPr>
            </w:pPr>
          </w:p>
        </w:tc>
        <w:tc>
          <w:tcPr>
            <w:tcW w:w="2410" w:type="dxa"/>
            <w:vMerge/>
            <w:tcBorders>
              <w:top w:val="single" w:sz="16" w:space="0" w:color="000000"/>
              <w:left w:val="nil"/>
              <w:right w:val="nil"/>
            </w:tcBorders>
            <w:shd w:val="clear" w:color="auto" w:fill="FFFFFF"/>
          </w:tcPr>
          <w:p w:rsidR="00B10AAF" w:rsidRPr="00B10AAF" w:rsidRDefault="00B10AAF" w:rsidP="00682D04">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N</w:t>
            </w:r>
          </w:p>
        </w:tc>
        <w:tc>
          <w:tcPr>
            <w:tcW w:w="1985" w:type="dxa"/>
            <w:tcBorders>
              <w:top w:val="nil"/>
              <w:lef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25</w:t>
            </w:r>
          </w:p>
        </w:tc>
        <w:tc>
          <w:tcPr>
            <w:tcW w:w="1275" w:type="dxa"/>
            <w:tcBorders>
              <w:top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25</w:t>
            </w:r>
          </w:p>
        </w:tc>
      </w:tr>
      <w:tr w:rsidR="00B10AAF" w:rsidRPr="00B10AAF"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B10AAF" w:rsidRPr="00B10AAF" w:rsidRDefault="00B10AAF" w:rsidP="00682D04">
            <w:pPr>
              <w:autoSpaceDE w:val="0"/>
              <w:autoSpaceDN w:val="0"/>
              <w:adjustRightInd w:val="0"/>
              <w:spacing w:line="276" w:lineRule="auto"/>
              <w:rPr>
                <w:rFonts w:ascii="Arial" w:hAnsi="Arial" w:cs="Arial"/>
                <w:color w:val="000000"/>
                <w:sz w:val="18"/>
                <w:szCs w:val="18"/>
                <w:lang w:val="nl-NL" w:eastAsia="en-US" w:bidi="ar-SA"/>
              </w:rPr>
            </w:pPr>
          </w:p>
        </w:tc>
        <w:tc>
          <w:tcPr>
            <w:tcW w:w="2410" w:type="dxa"/>
            <w:vMerge w:val="restart"/>
            <w:tcBorders>
              <w:left w:val="nil"/>
              <w:bottom w:val="single" w:sz="16" w:space="0" w:color="000000"/>
              <w:right w:val="nil"/>
            </w:tcBorders>
            <w:shd w:val="clear" w:color="auto" w:fill="FFFFFF"/>
          </w:tcPr>
          <w:p w:rsidR="00B10AAF" w:rsidRPr="00B10AAF" w:rsidRDefault="00D059F6" w:rsidP="00682D04">
            <w:pPr>
              <w:autoSpaceDE w:val="0"/>
              <w:autoSpaceDN w:val="0"/>
              <w:adjustRightInd w:val="0"/>
              <w:spacing w:line="276"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AUM 2011</w:t>
            </w:r>
          </w:p>
        </w:tc>
        <w:tc>
          <w:tcPr>
            <w:tcW w:w="2126" w:type="dxa"/>
            <w:tcBorders>
              <w:left w:val="nil"/>
              <w:bottom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B10AAF">
              <w:rPr>
                <w:rFonts w:ascii="Arial" w:hAnsi="Arial" w:cs="Arial"/>
                <w:color w:val="000000"/>
                <w:sz w:val="18"/>
                <w:szCs w:val="18"/>
                <w:lang w:val="nl-NL" w:eastAsia="en-US" w:bidi="ar-SA"/>
              </w:rPr>
              <w:t>Correlation</w:t>
            </w:r>
            <w:proofErr w:type="spellEnd"/>
            <w:r w:rsidRPr="00B10AAF">
              <w:rPr>
                <w:rFonts w:ascii="Arial" w:hAnsi="Arial" w:cs="Arial"/>
                <w:color w:val="000000"/>
                <w:sz w:val="18"/>
                <w:szCs w:val="18"/>
                <w:lang w:val="nl-NL" w:eastAsia="en-US" w:bidi="ar-SA"/>
              </w:rPr>
              <w:t xml:space="preserve"> </w:t>
            </w:r>
            <w:proofErr w:type="spellStart"/>
            <w:r w:rsidRPr="00B10AAF">
              <w:rPr>
                <w:rFonts w:ascii="Arial" w:hAnsi="Arial" w:cs="Arial"/>
                <w:color w:val="000000"/>
                <w:sz w:val="18"/>
                <w:szCs w:val="18"/>
                <w:lang w:val="nl-NL" w:eastAsia="en-US" w:bidi="ar-SA"/>
              </w:rPr>
              <w:t>Coefficient</w:t>
            </w:r>
            <w:proofErr w:type="spellEnd"/>
          </w:p>
        </w:tc>
        <w:tc>
          <w:tcPr>
            <w:tcW w:w="1985" w:type="dxa"/>
            <w:tcBorders>
              <w:left w:val="single" w:sz="16" w:space="0" w:color="000000"/>
              <w:bottom w:val="nil"/>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.664</w:t>
            </w:r>
            <w:r w:rsidRPr="00B10AAF">
              <w:rPr>
                <w:rFonts w:ascii="Arial" w:hAnsi="Arial" w:cs="Arial"/>
                <w:color w:val="000000"/>
                <w:sz w:val="18"/>
                <w:szCs w:val="18"/>
                <w:vertAlign w:val="superscript"/>
                <w:lang w:val="nl-NL" w:eastAsia="en-US" w:bidi="ar-SA"/>
              </w:rPr>
              <w:t>**</w:t>
            </w:r>
          </w:p>
        </w:tc>
        <w:tc>
          <w:tcPr>
            <w:tcW w:w="1275" w:type="dxa"/>
            <w:tcBorders>
              <w:bottom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1.000</w:t>
            </w:r>
          </w:p>
        </w:tc>
      </w:tr>
      <w:tr w:rsidR="00B10AAF" w:rsidRPr="00B10AAF"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B10AAF" w:rsidRPr="00B10AAF" w:rsidRDefault="00B10AAF" w:rsidP="00682D04">
            <w:pPr>
              <w:autoSpaceDE w:val="0"/>
              <w:autoSpaceDN w:val="0"/>
              <w:adjustRightInd w:val="0"/>
              <w:spacing w:line="276" w:lineRule="auto"/>
              <w:rPr>
                <w:rFonts w:cs="Times New Roman"/>
                <w:lang w:val="nl-NL" w:eastAsia="en-US" w:bidi="ar-SA"/>
              </w:rPr>
            </w:pPr>
          </w:p>
        </w:tc>
        <w:tc>
          <w:tcPr>
            <w:tcW w:w="2410" w:type="dxa"/>
            <w:vMerge/>
            <w:tcBorders>
              <w:left w:val="nil"/>
              <w:bottom w:val="single" w:sz="16" w:space="0" w:color="000000"/>
              <w:right w:val="nil"/>
            </w:tcBorders>
            <w:shd w:val="clear" w:color="auto" w:fill="FFFFFF"/>
          </w:tcPr>
          <w:p w:rsidR="00B10AAF" w:rsidRPr="00B10AAF" w:rsidRDefault="00B10AAF" w:rsidP="00682D04">
            <w:pPr>
              <w:autoSpaceDE w:val="0"/>
              <w:autoSpaceDN w:val="0"/>
              <w:adjustRightInd w:val="0"/>
              <w:spacing w:line="276" w:lineRule="auto"/>
              <w:rPr>
                <w:rFonts w:cs="Times New Roman"/>
                <w:lang w:val="nl-NL" w:eastAsia="en-US" w:bidi="ar-SA"/>
              </w:rPr>
            </w:pPr>
          </w:p>
        </w:tc>
        <w:tc>
          <w:tcPr>
            <w:tcW w:w="2126" w:type="dxa"/>
            <w:tcBorders>
              <w:top w:val="nil"/>
              <w:left w:val="nil"/>
              <w:bottom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B10AAF">
              <w:rPr>
                <w:rFonts w:ascii="Arial" w:hAnsi="Arial" w:cs="Arial"/>
                <w:color w:val="000000"/>
                <w:sz w:val="18"/>
                <w:szCs w:val="18"/>
                <w:lang w:val="nl-NL" w:eastAsia="en-US" w:bidi="ar-SA"/>
              </w:rPr>
              <w:t>Sig</w:t>
            </w:r>
            <w:proofErr w:type="spellEnd"/>
            <w:r w:rsidRPr="00B10AAF">
              <w:rPr>
                <w:rFonts w:ascii="Arial" w:hAnsi="Arial" w:cs="Arial"/>
                <w:color w:val="000000"/>
                <w:sz w:val="18"/>
                <w:szCs w:val="18"/>
                <w:lang w:val="nl-NL" w:eastAsia="en-US" w:bidi="ar-SA"/>
              </w:rPr>
              <w:t>. (1-tailed)</w:t>
            </w:r>
          </w:p>
        </w:tc>
        <w:tc>
          <w:tcPr>
            <w:tcW w:w="1985" w:type="dxa"/>
            <w:tcBorders>
              <w:top w:val="nil"/>
              <w:left w:val="single" w:sz="16" w:space="0" w:color="000000"/>
              <w:bottom w:val="nil"/>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.000</w:t>
            </w:r>
          </w:p>
        </w:tc>
        <w:tc>
          <w:tcPr>
            <w:tcW w:w="1275" w:type="dxa"/>
            <w:tcBorders>
              <w:top w:val="nil"/>
              <w:bottom w:val="nil"/>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w:t>
            </w:r>
          </w:p>
        </w:tc>
      </w:tr>
      <w:tr w:rsidR="00B10AAF" w:rsidRPr="00B10AAF" w:rsidTr="0029555C">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Pr>
          <w:p w:rsidR="00B10AAF" w:rsidRPr="00B10AAF" w:rsidRDefault="00B10AAF" w:rsidP="00682D04">
            <w:pPr>
              <w:autoSpaceDE w:val="0"/>
              <w:autoSpaceDN w:val="0"/>
              <w:adjustRightInd w:val="0"/>
              <w:spacing w:line="276" w:lineRule="auto"/>
              <w:rPr>
                <w:rFonts w:cs="Times New Roman"/>
                <w:lang w:val="nl-NL" w:eastAsia="en-US" w:bidi="ar-SA"/>
              </w:rPr>
            </w:pPr>
          </w:p>
        </w:tc>
        <w:tc>
          <w:tcPr>
            <w:tcW w:w="2410" w:type="dxa"/>
            <w:vMerge/>
            <w:tcBorders>
              <w:left w:val="nil"/>
              <w:bottom w:val="single" w:sz="16" w:space="0" w:color="000000"/>
              <w:right w:val="nil"/>
            </w:tcBorders>
            <w:shd w:val="clear" w:color="auto" w:fill="FFFFFF"/>
          </w:tcPr>
          <w:p w:rsidR="00B10AAF" w:rsidRPr="00B10AAF" w:rsidRDefault="00B10AAF" w:rsidP="00682D04">
            <w:pPr>
              <w:autoSpaceDE w:val="0"/>
              <w:autoSpaceDN w:val="0"/>
              <w:adjustRightInd w:val="0"/>
              <w:spacing w:line="276" w:lineRule="auto"/>
              <w:rPr>
                <w:rFonts w:cs="Times New Roman"/>
                <w:lang w:val="nl-NL" w:eastAsia="en-US" w:bidi="ar-SA"/>
              </w:rPr>
            </w:pPr>
          </w:p>
        </w:tc>
        <w:tc>
          <w:tcPr>
            <w:tcW w:w="2126" w:type="dxa"/>
            <w:tcBorders>
              <w:top w:val="nil"/>
              <w:left w:val="nil"/>
              <w:bottom w:val="single" w:sz="16" w:space="0" w:color="000000"/>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N</w:t>
            </w:r>
          </w:p>
        </w:tc>
        <w:tc>
          <w:tcPr>
            <w:tcW w:w="1985" w:type="dxa"/>
            <w:tcBorders>
              <w:top w:val="nil"/>
              <w:left w:val="single" w:sz="16" w:space="0" w:color="000000"/>
              <w:bottom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25</w:t>
            </w:r>
          </w:p>
        </w:tc>
        <w:tc>
          <w:tcPr>
            <w:tcW w:w="1275" w:type="dxa"/>
            <w:tcBorders>
              <w:top w:val="nil"/>
              <w:bottom w:val="single" w:sz="16" w:space="0" w:color="000000"/>
              <w:right w:val="single" w:sz="16" w:space="0" w:color="000000"/>
            </w:tcBorders>
            <w:shd w:val="clear" w:color="auto" w:fill="FFFFFF"/>
          </w:tcPr>
          <w:p w:rsidR="00B10AAF" w:rsidRPr="00B10AAF" w:rsidRDefault="00B10AAF"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B10AAF">
              <w:rPr>
                <w:rFonts w:ascii="Arial" w:hAnsi="Arial" w:cs="Arial"/>
                <w:color w:val="000000"/>
                <w:sz w:val="18"/>
                <w:szCs w:val="18"/>
                <w:lang w:val="nl-NL" w:eastAsia="en-US" w:bidi="ar-SA"/>
              </w:rPr>
              <w:t>25</w:t>
            </w:r>
          </w:p>
        </w:tc>
      </w:tr>
      <w:tr w:rsidR="00B10AAF" w:rsidRPr="00B10AAF" w:rsidTr="00D059F6">
        <w:trPr>
          <w:cantSplit/>
        </w:trPr>
        <w:tc>
          <w:tcPr>
            <w:tcW w:w="9072" w:type="dxa"/>
            <w:gridSpan w:val="5"/>
            <w:tcBorders>
              <w:top w:val="nil"/>
              <w:left w:val="nil"/>
              <w:bottom w:val="nil"/>
              <w:right w:val="nil"/>
            </w:tcBorders>
            <w:shd w:val="clear" w:color="auto" w:fill="FFFFFF"/>
          </w:tcPr>
          <w:p w:rsidR="0029555C" w:rsidRDefault="0029555C" w:rsidP="0029555C">
            <w:pPr>
              <w:rPr>
                <w:lang w:val="en-US"/>
              </w:rPr>
            </w:pPr>
            <w:r w:rsidRPr="00B10AAF">
              <w:rPr>
                <w:rFonts w:ascii="Arial" w:hAnsi="Arial" w:cs="Arial"/>
                <w:color w:val="000000"/>
                <w:sz w:val="18"/>
                <w:szCs w:val="18"/>
                <w:lang w:val="en-US" w:eastAsia="en-US" w:bidi="ar-SA"/>
              </w:rPr>
              <w:t>**. Correlation is significant at the 0.01 level (1-tailed).</w:t>
            </w:r>
          </w:p>
          <w:p w:rsidR="00B10AAF" w:rsidRPr="00B10AAF" w:rsidRDefault="00B10AAF" w:rsidP="00682D04">
            <w:pPr>
              <w:autoSpaceDE w:val="0"/>
              <w:autoSpaceDN w:val="0"/>
              <w:adjustRightInd w:val="0"/>
              <w:spacing w:line="320" w:lineRule="atLeast"/>
              <w:ind w:left="60" w:right="60"/>
              <w:rPr>
                <w:rFonts w:ascii="Arial" w:hAnsi="Arial" w:cs="Arial"/>
                <w:color w:val="000000"/>
                <w:sz w:val="18"/>
                <w:szCs w:val="18"/>
                <w:lang w:val="en-US" w:eastAsia="en-US" w:bidi="ar-SA"/>
              </w:rPr>
            </w:pPr>
          </w:p>
        </w:tc>
      </w:tr>
    </w:tbl>
    <w:p w:rsidR="00560A68" w:rsidRPr="0006603A" w:rsidRDefault="00560A68" w:rsidP="00504A73">
      <w:pPr>
        <w:autoSpaceDE w:val="0"/>
        <w:autoSpaceDN w:val="0"/>
        <w:adjustRightInd w:val="0"/>
        <w:spacing w:line="320" w:lineRule="atLeast"/>
        <w:rPr>
          <w:rFonts w:cs="Times New Roman"/>
          <w:sz w:val="20"/>
          <w:szCs w:val="20"/>
          <w:lang w:val="en-US" w:eastAsia="en-US" w:bidi="ar-SA"/>
        </w:rPr>
      </w:pPr>
      <w:r w:rsidRPr="0006603A">
        <w:rPr>
          <w:rFonts w:cs="Times New Roman"/>
          <w:sz w:val="20"/>
          <w:szCs w:val="20"/>
          <w:lang w:val="en-US" w:eastAsia="en-US" w:bidi="ar-SA"/>
        </w:rPr>
        <w:t xml:space="preserve">Table </w:t>
      </w:r>
      <w:r w:rsidR="00AE2948">
        <w:rPr>
          <w:rFonts w:cs="Times New Roman"/>
          <w:sz w:val="20"/>
          <w:szCs w:val="20"/>
          <w:lang w:val="en-US" w:eastAsia="en-US" w:bidi="ar-SA"/>
        </w:rPr>
        <w:t xml:space="preserve">9 and </w:t>
      </w:r>
      <w:r w:rsidR="00AB5CB6">
        <w:rPr>
          <w:rFonts w:cs="Times New Roman"/>
          <w:sz w:val="20"/>
          <w:szCs w:val="20"/>
          <w:lang w:val="en-US" w:eastAsia="en-US" w:bidi="ar-SA"/>
        </w:rPr>
        <w:t>10</w:t>
      </w:r>
      <w:r w:rsidRPr="0006603A">
        <w:rPr>
          <w:rFonts w:cs="Times New Roman"/>
          <w:sz w:val="20"/>
          <w:szCs w:val="20"/>
          <w:lang w:val="en-US" w:eastAsia="en-US" w:bidi="ar-SA"/>
        </w:rPr>
        <w:t xml:space="preserve">: Spearman’s correlation between the variables ‘Financial statements </w:t>
      </w:r>
      <w:r w:rsidR="00AE2948">
        <w:rPr>
          <w:rFonts w:cs="Times New Roman"/>
          <w:sz w:val="20"/>
          <w:szCs w:val="20"/>
          <w:lang w:val="en-US" w:eastAsia="en-US" w:bidi="ar-SA"/>
        </w:rPr>
        <w:t xml:space="preserve">2007 respectively </w:t>
      </w:r>
      <w:r w:rsidRPr="0006603A">
        <w:rPr>
          <w:rFonts w:cs="Times New Roman"/>
          <w:sz w:val="20"/>
          <w:szCs w:val="20"/>
          <w:lang w:val="en-US" w:eastAsia="en-US" w:bidi="ar-SA"/>
        </w:rPr>
        <w:t>2011 wo</w:t>
      </w:r>
      <w:r w:rsidR="00AE2948">
        <w:rPr>
          <w:rFonts w:cs="Times New Roman"/>
          <w:sz w:val="20"/>
          <w:szCs w:val="20"/>
          <w:lang w:val="en-US" w:eastAsia="en-US" w:bidi="ar-SA"/>
        </w:rPr>
        <w:t>rd count “crisis”’ and ‘AUM 2007</w:t>
      </w:r>
      <w:r w:rsidRPr="0006603A">
        <w:rPr>
          <w:rFonts w:cs="Times New Roman"/>
          <w:sz w:val="20"/>
          <w:szCs w:val="20"/>
          <w:lang w:val="en-US" w:eastAsia="en-US" w:bidi="ar-SA"/>
        </w:rPr>
        <w:t>’</w:t>
      </w:r>
      <w:r w:rsidR="00AE2948">
        <w:rPr>
          <w:rFonts w:cs="Times New Roman"/>
          <w:sz w:val="20"/>
          <w:szCs w:val="20"/>
          <w:lang w:val="en-US" w:eastAsia="en-US" w:bidi="ar-SA"/>
        </w:rPr>
        <w:t xml:space="preserve"> respectively ‘AUM 2011’</w:t>
      </w:r>
    </w:p>
    <w:p w:rsidR="00DA4403" w:rsidRDefault="00560A68" w:rsidP="00961508">
      <w:pPr>
        <w:autoSpaceDE w:val="0"/>
        <w:autoSpaceDN w:val="0"/>
        <w:adjustRightInd w:val="0"/>
        <w:spacing w:line="400" w:lineRule="atLeast"/>
        <w:jc w:val="both"/>
        <w:rPr>
          <w:lang w:val="en-US"/>
        </w:rPr>
      </w:pPr>
      <w:r>
        <w:rPr>
          <w:lang w:val="en-US"/>
        </w:rPr>
        <w:t>The significance value for the correlation coefficient is below 0.05</w:t>
      </w:r>
      <w:r w:rsidR="00533A73">
        <w:rPr>
          <w:lang w:val="en-US"/>
        </w:rPr>
        <w:t>,</w:t>
      </w:r>
      <w:r>
        <w:rPr>
          <w:lang w:val="en-US"/>
        </w:rPr>
        <w:t xml:space="preserve"> both in 2007 and 2011.</w:t>
      </w:r>
      <w:r w:rsidR="00460082">
        <w:rPr>
          <w:lang w:val="en-US"/>
        </w:rPr>
        <w:t xml:space="preserve"> De </w:t>
      </w:r>
      <w:proofErr w:type="spellStart"/>
      <w:r w:rsidR="00460082">
        <w:rPr>
          <w:lang w:val="en-US"/>
        </w:rPr>
        <w:t>Vocht</w:t>
      </w:r>
      <w:proofErr w:type="spellEnd"/>
      <w:r w:rsidR="00460082">
        <w:rPr>
          <w:lang w:val="en-US"/>
        </w:rPr>
        <w:t xml:space="preserve"> (2011) describes that the correlation coefficients are significant when Sig. is smaller than 0.05 which is the case in 2007 as well as in 2011.</w:t>
      </w:r>
      <w:r>
        <w:rPr>
          <w:lang w:val="en-US"/>
        </w:rPr>
        <w:t xml:space="preserve"> </w:t>
      </w:r>
      <w:r w:rsidR="001341D7">
        <w:rPr>
          <w:rFonts w:cs="Times New Roman"/>
          <w:lang w:val="en-US" w:eastAsia="en-US" w:bidi="ar-SA"/>
        </w:rPr>
        <w:t>Both correlation coefficients are positive</w:t>
      </w:r>
      <w:r w:rsidR="001341D7">
        <w:rPr>
          <w:lang w:val="en-US"/>
        </w:rPr>
        <w:t xml:space="preserve"> and significant. T</w:t>
      </w:r>
      <w:r w:rsidR="00460082">
        <w:rPr>
          <w:rFonts w:cs="Times New Roman"/>
          <w:lang w:val="en-US" w:eastAsia="en-US" w:bidi="ar-SA"/>
        </w:rPr>
        <w:t>herefore</w:t>
      </w:r>
      <w:r>
        <w:rPr>
          <w:rFonts w:cs="Times New Roman"/>
          <w:lang w:val="en-US" w:eastAsia="en-US" w:bidi="ar-SA"/>
        </w:rPr>
        <w:t xml:space="preserve"> can be concluded regarding the year 2007 and 2011 that the larger a pension fund, the more frequent the use of the word crisis in the financial statements. </w:t>
      </w:r>
    </w:p>
    <w:p w:rsidR="001A0C10" w:rsidRPr="00015734" w:rsidRDefault="001A0C10" w:rsidP="001A0C10">
      <w:pPr>
        <w:pStyle w:val="Kop2"/>
        <w:numPr>
          <w:ilvl w:val="0"/>
          <w:numId w:val="0"/>
        </w:numPr>
        <w:spacing w:line="360" w:lineRule="auto"/>
        <w:ind w:left="576" w:hanging="576"/>
        <w:jc w:val="both"/>
        <w:rPr>
          <w:rFonts w:ascii="Times New Roman" w:hAnsi="Times New Roman" w:cs="Times New Roman"/>
          <w:bCs w:val="0"/>
          <w:i w:val="0"/>
          <w:iCs w:val="0"/>
          <w:sz w:val="24"/>
          <w:szCs w:val="24"/>
          <w:lang w:val="en-US"/>
        </w:rPr>
      </w:pPr>
      <w:bookmarkStart w:id="62" w:name="_Toc355387311"/>
      <w:r w:rsidRPr="00015734">
        <w:rPr>
          <w:rFonts w:ascii="Times New Roman" w:hAnsi="Times New Roman" w:cs="Times New Roman"/>
          <w:bCs w:val="0"/>
          <w:i w:val="0"/>
          <w:iCs w:val="0"/>
          <w:sz w:val="24"/>
          <w:szCs w:val="24"/>
          <w:lang w:val="en-US"/>
        </w:rPr>
        <w:t>4.</w:t>
      </w:r>
      <w:r w:rsidR="009D154F" w:rsidRPr="00015734">
        <w:rPr>
          <w:rFonts w:ascii="Times New Roman" w:hAnsi="Times New Roman" w:cs="Times New Roman"/>
          <w:bCs w:val="0"/>
          <w:i w:val="0"/>
          <w:iCs w:val="0"/>
          <w:sz w:val="24"/>
          <w:szCs w:val="24"/>
          <w:lang w:val="en-US"/>
        </w:rPr>
        <w:t>3</w:t>
      </w:r>
      <w:r w:rsidRPr="00015734">
        <w:rPr>
          <w:rFonts w:ascii="Times New Roman" w:hAnsi="Times New Roman" w:cs="Times New Roman"/>
          <w:bCs w:val="0"/>
          <w:i w:val="0"/>
          <w:iCs w:val="0"/>
          <w:sz w:val="24"/>
          <w:szCs w:val="24"/>
          <w:lang w:val="en-US"/>
        </w:rPr>
        <w:tab/>
      </w:r>
      <w:r w:rsidR="00471213" w:rsidRPr="00015734">
        <w:rPr>
          <w:rFonts w:ascii="Times New Roman" w:hAnsi="Times New Roman" w:cs="Times New Roman"/>
          <w:bCs w:val="0"/>
          <w:i w:val="0"/>
          <w:iCs w:val="0"/>
          <w:sz w:val="24"/>
          <w:szCs w:val="24"/>
          <w:lang w:val="en-US"/>
        </w:rPr>
        <w:t>Quantity of investment risk disclosures</w:t>
      </w:r>
      <w:bookmarkEnd w:id="62"/>
    </w:p>
    <w:p w:rsidR="00492CB3" w:rsidRDefault="003E781E" w:rsidP="00961508">
      <w:pPr>
        <w:spacing w:line="360" w:lineRule="auto"/>
        <w:jc w:val="both"/>
        <w:rPr>
          <w:lang w:val="en-US"/>
        </w:rPr>
      </w:pPr>
      <w:r>
        <w:rPr>
          <w:lang w:val="en-US"/>
        </w:rPr>
        <w:t>Initially, the intention was to measure the quantity of investment risk disclosures by counting the words regarding the investment risks in the risk paragraph. However, going properly through the financial statements, it became clear that, in conformity with RJ 610.405, the disclosure of investment risks was not restricted to the risk paragraph</w:t>
      </w:r>
      <w:r w:rsidRPr="00492CB3">
        <w:rPr>
          <w:lang w:val="en-US"/>
        </w:rPr>
        <w:t xml:space="preserve">. As </w:t>
      </w:r>
      <w:r w:rsidR="00641A1B" w:rsidRPr="00492CB3">
        <w:rPr>
          <w:lang w:val="en-US"/>
        </w:rPr>
        <w:t xml:space="preserve">described in RJ 610.405 (see </w:t>
      </w:r>
      <w:r w:rsidRPr="00492CB3">
        <w:rPr>
          <w:lang w:val="en-US"/>
        </w:rPr>
        <w:t xml:space="preserve">appendix </w:t>
      </w:r>
      <w:r w:rsidR="001062C7">
        <w:rPr>
          <w:lang w:val="en-US"/>
        </w:rPr>
        <w:t>5</w:t>
      </w:r>
      <w:r w:rsidR="00641A1B" w:rsidRPr="00492CB3">
        <w:rPr>
          <w:lang w:val="en-US"/>
        </w:rPr>
        <w:t>)</w:t>
      </w:r>
      <w:r w:rsidR="00492CB3" w:rsidRPr="00492CB3">
        <w:rPr>
          <w:lang w:val="en-US"/>
        </w:rPr>
        <w:t>, the preparers of the financial statements have also</w:t>
      </w:r>
      <w:r w:rsidR="00492CB3">
        <w:rPr>
          <w:lang w:val="en-US"/>
        </w:rPr>
        <w:t xml:space="preserve"> the possibility to present investment risk disclosures in the notes to specific items in the annual accounts. Obviously, this was the case in the financial statements of the researched pension funds.</w:t>
      </w:r>
    </w:p>
    <w:p w:rsidR="00195F84" w:rsidRDefault="00195F84" w:rsidP="00961508">
      <w:pPr>
        <w:spacing w:line="360" w:lineRule="auto"/>
        <w:jc w:val="both"/>
        <w:rPr>
          <w:lang w:val="en-US"/>
        </w:rPr>
      </w:pPr>
    </w:p>
    <w:p w:rsidR="00195F84" w:rsidRDefault="00195F84" w:rsidP="00961508">
      <w:pPr>
        <w:spacing w:line="360" w:lineRule="auto"/>
        <w:jc w:val="both"/>
        <w:rPr>
          <w:lang w:val="en-US"/>
        </w:rPr>
      </w:pPr>
      <w:r w:rsidRPr="003151A1">
        <w:rPr>
          <w:lang w:val="en-US"/>
        </w:rPr>
        <w:t xml:space="preserve">For this reason, to measure the quantity of investment risk disclosure, the number of times  words regarding investment risk have been </w:t>
      </w:r>
      <w:r>
        <w:rPr>
          <w:lang w:val="en-US"/>
        </w:rPr>
        <w:t xml:space="preserve">disclosed throughout </w:t>
      </w:r>
      <w:r w:rsidRPr="003151A1">
        <w:rPr>
          <w:lang w:val="en-US"/>
        </w:rPr>
        <w:t xml:space="preserve">the </w:t>
      </w:r>
      <w:r>
        <w:rPr>
          <w:lang w:val="en-US"/>
        </w:rPr>
        <w:t xml:space="preserve">whole </w:t>
      </w:r>
      <w:r w:rsidRPr="003151A1">
        <w:rPr>
          <w:lang w:val="en-US"/>
        </w:rPr>
        <w:t xml:space="preserve">financial statement have been counted. In appendix </w:t>
      </w:r>
      <w:r w:rsidR="001062C7">
        <w:rPr>
          <w:lang w:val="en-US"/>
        </w:rPr>
        <w:t>7</w:t>
      </w:r>
      <w:r w:rsidRPr="003151A1">
        <w:rPr>
          <w:lang w:val="en-US"/>
        </w:rPr>
        <w:t xml:space="preserve">, the words regarding investments risks that have been included in the </w:t>
      </w:r>
      <w:r>
        <w:rPr>
          <w:lang w:val="en-US"/>
        </w:rPr>
        <w:t>re</w:t>
      </w:r>
      <w:r w:rsidRPr="003151A1">
        <w:rPr>
          <w:lang w:val="en-US"/>
        </w:rPr>
        <w:t>search, have been presented.</w:t>
      </w:r>
    </w:p>
    <w:tbl>
      <w:tblPr>
        <w:tblW w:w="822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2"/>
        <w:gridCol w:w="1822"/>
        <w:gridCol w:w="1984"/>
        <w:gridCol w:w="851"/>
        <w:gridCol w:w="1842"/>
        <w:gridCol w:w="851"/>
      </w:tblGrid>
      <w:tr w:rsidR="004B574E" w:rsidRPr="00D13BE1" w:rsidTr="00682D04">
        <w:trPr>
          <w:cantSplit/>
          <w:trHeight w:val="952"/>
          <w:tblHeader/>
        </w:trPr>
        <w:tc>
          <w:tcPr>
            <w:tcW w:w="87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B574E" w:rsidRPr="00D13BE1" w:rsidRDefault="004B574E"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 xml:space="preserve">Pension </w:t>
            </w:r>
            <w:proofErr w:type="spellStart"/>
            <w:r w:rsidRPr="00D13BE1">
              <w:rPr>
                <w:rFonts w:ascii="Arial" w:hAnsi="Arial" w:cs="Arial"/>
                <w:color w:val="000000"/>
                <w:sz w:val="18"/>
                <w:szCs w:val="18"/>
                <w:lang w:val="nl-NL" w:eastAsia="en-US" w:bidi="ar-SA"/>
              </w:rPr>
              <w:t>fund</w:t>
            </w:r>
            <w:proofErr w:type="spellEnd"/>
            <w:r w:rsidRPr="00D13BE1">
              <w:rPr>
                <w:rFonts w:ascii="Arial" w:hAnsi="Arial" w:cs="Arial"/>
                <w:color w:val="000000"/>
                <w:sz w:val="18"/>
                <w:szCs w:val="18"/>
                <w:lang w:val="nl-NL" w:eastAsia="en-US" w:bidi="ar-SA"/>
              </w:rPr>
              <w:t xml:space="preserve"> </w:t>
            </w:r>
            <w:proofErr w:type="spellStart"/>
            <w:r w:rsidRPr="00D13BE1">
              <w:rPr>
                <w:rFonts w:ascii="Arial" w:hAnsi="Arial" w:cs="Arial"/>
                <w:color w:val="000000"/>
                <w:sz w:val="18"/>
                <w:szCs w:val="18"/>
                <w:lang w:val="nl-NL" w:eastAsia="en-US" w:bidi="ar-SA"/>
              </w:rPr>
              <w:t>size</w:t>
            </w:r>
            <w:proofErr w:type="spellEnd"/>
            <w:r w:rsidRPr="00D13BE1">
              <w:rPr>
                <w:rFonts w:ascii="Arial" w:hAnsi="Arial" w:cs="Arial"/>
                <w:color w:val="000000"/>
                <w:sz w:val="18"/>
                <w:szCs w:val="18"/>
                <w:lang w:val="nl-NL" w:eastAsia="en-US" w:bidi="ar-SA"/>
              </w:rPr>
              <w:tab/>
            </w:r>
          </w:p>
        </w:tc>
        <w:tc>
          <w:tcPr>
            <w:tcW w:w="1822" w:type="dxa"/>
            <w:tcBorders>
              <w:top w:val="single" w:sz="16" w:space="0" w:color="000000"/>
              <w:left w:val="single" w:sz="16" w:space="0" w:color="000000"/>
              <w:bottom w:val="single" w:sz="16" w:space="0" w:color="000000"/>
            </w:tcBorders>
            <w:shd w:val="clear" w:color="auto" w:fill="FFFFFF"/>
            <w:vAlign w:val="bottom"/>
          </w:tcPr>
          <w:p w:rsidR="004B574E" w:rsidRPr="00D13BE1" w:rsidRDefault="004B574E" w:rsidP="00682D04">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D13BE1">
              <w:rPr>
                <w:rFonts w:ascii="Arial" w:hAnsi="Arial" w:cs="Arial"/>
                <w:color w:val="000000"/>
                <w:sz w:val="18"/>
                <w:szCs w:val="18"/>
                <w:lang w:val="en-US" w:eastAsia="en-US" w:bidi="ar-SA"/>
              </w:rPr>
              <w:t>Financial statements 200</w:t>
            </w:r>
            <w:r>
              <w:rPr>
                <w:rFonts w:ascii="Arial" w:hAnsi="Arial" w:cs="Arial"/>
                <w:color w:val="000000"/>
                <w:sz w:val="18"/>
                <w:szCs w:val="18"/>
                <w:lang w:val="en-US" w:eastAsia="en-US" w:bidi="ar-SA"/>
              </w:rPr>
              <w:t>6 w</w:t>
            </w:r>
            <w:r w:rsidRPr="00D13BE1">
              <w:rPr>
                <w:rFonts w:ascii="Arial" w:hAnsi="Arial" w:cs="Arial"/>
                <w:color w:val="000000"/>
                <w:sz w:val="18"/>
                <w:szCs w:val="18"/>
                <w:lang w:val="en-US" w:eastAsia="en-US" w:bidi="ar-SA"/>
              </w:rPr>
              <w:t>ord count investment risk</w:t>
            </w:r>
            <w:r>
              <w:rPr>
                <w:rFonts w:ascii="Arial" w:hAnsi="Arial" w:cs="Arial"/>
                <w:color w:val="000000"/>
                <w:sz w:val="18"/>
                <w:szCs w:val="18"/>
                <w:lang w:val="en-US" w:eastAsia="en-US" w:bidi="ar-SA"/>
              </w:rPr>
              <w:t xml:space="preserve"> (a)</w:t>
            </w:r>
          </w:p>
        </w:tc>
        <w:tc>
          <w:tcPr>
            <w:tcW w:w="1984" w:type="dxa"/>
            <w:tcBorders>
              <w:top w:val="single" w:sz="16" w:space="0" w:color="000000"/>
              <w:bottom w:val="single" w:sz="16" w:space="0" w:color="000000"/>
            </w:tcBorders>
            <w:shd w:val="clear" w:color="auto" w:fill="FFFFFF"/>
            <w:vAlign w:val="bottom"/>
          </w:tcPr>
          <w:p w:rsidR="004B574E" w:rsidRPr="00D13BE1" w:rsidRDefault="004B574E" w:rsidP="00682D04">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Financial statements 2007 w</w:t>
            </w:r>
            <w:r w:rsidRPr="00D13BE1">
              <w:rPr>
                <w:rFonts w:ascii="Arial" w:hAnsi="Arial" w:cs="Arial"/>
                <w:color w:val="000000"/>
                <w:sz w:val="18"/>
                <w:szCs w:val="18"/>
                <w:lang w:val="en-US" w:eastAsia="en-US" w:bidi="ar-SA"/>
              </w:rPr>
              <w:t>ord count investment risk</w:t>
            </w:r>
            <w:r>
              <w:rPr>
                <w:rFonts w:ascii="Arial" w:hAnsi="Arial" w:cs="Arial"/>
                <w:color w:val="000000"/>
                <w:sz w:val="18"/>
                <w:szCs w:val="18"/>
                <w:lang w:val="en-US" w:eastAsia="en-US" w:bidi="ar-SA"/>
              </w:rPr>
              <w:t xml:space="preserve"> (b)</w:t>
            </w:r>
          </w:p>
        </w:tc>
        <w:tc>
          <w:tcPr>
            <w:tcW w:w="851" w:type="dxa"/>
            <w:tcBorders>
              <w:top w:val="single" w:sz="16" w:space="0" w:color="000000"/>
              <w:bottom w:val="single" w:sz="16" w:space="0" w:color="000000"/>
            </w:tcBorders>
            <w:shd w:val="clear" w:color="auto" w:fill="FFFFFF"/>
          </w:tcPr>
          <w:p w:rsidR="004B574E" w:rsidRDefault="004B574E" w:rsidP="00682D04">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 xml:space="preserve">Mutation (b-a)/a </w:t>
            </w:r>
            <w:proofErr w:type="spellStart"/>
            <w:r>
              <w:rPr>
                <w:rFonts w:ascii="Arial" w:hAnsi="Arial" w:cs="Arial"/>
                <w:color w:val="000000"/>
                <w:sz w:val="18"/>
                <w:szCs w:val="18"/>
                <w:lang w:val="en-US" w:eastAsia="en-US" w:bidi="ar-SA"/>
              </w:rPr>
              <w:t>in</w:t>
            </w:r>
            <w:proofErr w:type="spellEnd"/>
            <w:r>
              <w:rPr>
                <w:rFonts w:ascii="Arial" w:hAnsi="Arial" w:cs="Arial"/>
                <w:color w:val="000000"/>
                <w:sz w:val="18"/>
                <w:szCs w:val="18"/>
                <w:lang w:val="en-US" w:eastAsia="en-US" w:bidi="ar-SA"/>
              </w:rPr>
              <w:t xml:space="preserve"> %</w:t>
            </w:r>
          </w:p>
        </w:tc>
        <w:tc>
          <w:tcPr>
            <w:tcW w:w="1842" w:type="dxa"/>
            <w:tcBorders>
              <w:top w:val="single" w:sz="16" w:space="0" w:color="000000"/>
              <w:bottom w:val="single" w:sz="16" w:space="0" w:color="000000"/>
            </w:tcBorders>
            <w:shd w:val="clear" w:color="auto" w:fill="FFFFFF"/>
          </w:tcPr>
          <w:p w:rsidR="004B574E" w:rsidRDefault="004B574E" w:rsidP="00682D04">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 xml:space="preserve">Financial statements </w:t>
            </w:r>
          </w:p>
          <w:p w:rsidR="004B574E" w:rsidRDefault="004B574E" w:rsidP="00682D04">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2011 w</w:t>
            </w:r>
            <w:r w:rsidRPr="00D13BE1">
              <w:rPr>
                <w:rFonts w:ascii="Arial" w:hAnsi="Arial" w:cs="Arial"/>
                <w:color w:val="000000"/>
                <w:sz w:val="18"/>
                <w:szCs w:val="18"/>
                <w:lang w:val="en-US" w:eastAsia="en-US" w:bidi="ar-SA"/>
              </w:rPr>
              <w:t>ord</w:t>
            </w:r>
            <w:r>
              <w:rPr>
                <w:rFonts w:ascii="Arial" w:hAnsi="Arial" w:cs="Arial"/>
                <w:color w:val="000000"/>
                <w:sz w:val="18"/>
                <w:szCs w:val="18"/>
                <w:lang w:val="en-US" w:eastAsia="en-US" w:bidi="ar-SA"/>
              </w:rPr>
              <w:t xml:space="preserve"> </w:t>
            </w:r>
            <w:r w:rsidRPr="00D13BE1">
              <w:rPr>
                <w:rFonts w:ascii="Arial" w:hAnsi="Arial" w:cs="Arial"/>
                <w:color w:val="000000"/>
                <w:sz w:val="18"/>
                <w:szCs w:val="18"/>
                <w:lang w:val="en-US" w:eastAsia="en-US" w:bidi="ar-SA"/>
              </w:rPr>
              <w:t xml:space="preserve">count </w:t>
            </w:r>
          </w:p>
          <w:p w:rsidR="004B574E" w:rsidRDefault="004B574E" w:rsidP="00682D04">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D13BE1">
              <w:rPr>
                <w:rFonts w:ascii="Arial" w:hAnsi="Arial" w:cs="Arial"/>
                <w:color w:val="000000"/>
                <w:sz w:val="18"/>
                <w:szCs w:val="18"/>
                <w:lang w:val="en-US" w:eastAsia="en-US" w:bidi="ar-SA"/>
              </w:rPr>
              <w:t>investment risk</w:t>
            </w:r>
            <w:r>
              <w:rPr>
                <w:rFonts w:ascii="Arial" w:hAnsi="Arial" w:cs="Arial"/>
                <w:color w:val="000000"/>
                <w:sz w:val="18"/>
                <w:szCs w:val="18"/>
                <w:lang w:val="en-US" w:eastAsia="en-US" w:bidi="ar-SA"/>
              </w:rPr>
              <w:t xml:space="preserve"> (c)</w:t>
            </w:r>
          </w:p>
        </w:tc>
        <w:tc>
          <w:tcPr>
            <w:tcW w:w="851" w:type="dxa"/>
            <w:tcBorders>
              <w:top w:val="single" w:sz="16" w:space="0" w:color="000000"/>
              <w:bottom w:val="single" w:sz="16" w:space="0" w:color="000000"/>
              <w:right w:val="single" w:sz="16" w:space="0" w:color="000000"/>
            </w:tcBorders>
            <w:shd w:val="clear" w:color="auto" w:fill="FFFFFF"/>
            <w:vAlign w:val="bottom"/>
          </w:tcPr>
          <w:p w:rsidR="004B574E" w:rsidRPr="00D13BE1" w:rsidRDefault="004B574E" w:rsidP="00682D04">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Mutation (c-b)/b in %</w:t>
            </w:r>
          </w:p>
        </w:tc>
      </w:tr>
      <w:tr w:rsidR="004B574E" w:rsidRPr="00D13BE1" w:rsidTr="00682D04">
        <w:trPr>
          <w:cantSplit/>
          <w:trHeight w:val="317"/>
          <w:tblHeader/>
        </w:trPr>
        <w:tc>
          <w:tcPr>
            <w:tcW w:w="872" w:type="dxa"/>
            <w:tcBorders>
              <w:top w:val="single" w:sz="16" w:space="0" w:color="000000"/>
              <w:left w:val="single" w:sz="16" w:space="0" w:color="000000"/>
              <w:bottom w:val="nil"/>
              <w:right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 xml:space="preserve">X </w:t>
            </w:r>
            <w:proofErr w:type="spellStart"/>
            <w:r w:rsidRPr="00D13BE1">
              <w:rPr>
                <w:rFonts w:ascii="Arial" w:hAnsi="Arial" w:cs="Arial"/>
                <w:color w:val="000000"/>
                <w:sz w:val="18"/>
                <w:szCs w:val="18"/>
                <w:lang w:val="nl-NL" w:eastAsia="en-US" w:bidi="ar-SA"/>
              </w:rPr>
              <w:t>Large</w:t>
            </w:r>
            <w:proofErr w:type="spellEnd"/>
          </w:p>
        </w:tc>
        <w:tc>
          <w:tcPr>
            <w:tcW w:w="1822" w:type="dxa"/>
            <w:tcBorders>
              <w:top w:val="single" w:sz="16" w:space="0" w:color="000000"/>
              <w:left w:val="single" w:sz="16" w:space="0" w:color="000000"/>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38.80</w:t>
            </w:r>
          </w:p>
        </w:tc>
        <w:tc>
          <w:tcPr>
            <w:tcW w:w="1984" w:type="dxa"/>
            <w:tcBorders>
              <w:top w:val="single" w:sz="16" w:space="0" w:color="000000"/>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58.40</w:t>
            </w:r>
          </w:p>
        </w:tc>
        <w:tc>
          <w:tcPr>
            <w:tcW w:w="851" w:type="dxa"/>
            <w:tcBorders>
              <w:top w:val="single" w:sz="16" w:space="0" w:color="000000"/>
              <w:bottom w:val="nil"/>
            </w:tcBorders>
            <w:shd w:val="clear" w:color="auto" w:fill="FFFFFF"/>
          </w:tcPr>
          <w:p w:rsidR="004B574E" w:rsidRPr="00D13BE1" w:rsidRDefault="00AD23D6"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51</w:t>
            </w:r>
          </w:p>
        </w:tc>
        <w:tc>
          <w:tcPr>
            <w:tcW w:w="1842" w:type="dxa"/>
            <w:tcBorders>
              <w:top w:val="single" w:sz="16" w:space="0" w:color="000000"/>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88.20</w:t>
            </w:r>
          </w:p>
        </w:tc>
        <w:tc>
          <w:tcPr>
            <w:tcW w:w="851" w:type="dxa"/>
            <w:tcBorders>
              <w:top w:val="single" w:sz="16" w:space="0" w:color="000000"/>
              <w:bottom w:val="nil"/>
              <w:right w:val="single" w:sz="16" w:space="0" w:color="000000"/>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51</w:t>
            </w:r>
          </w:p>
        </w:tc>
      </w:tr>
      <w:tr w:rsidR="004B574E" w:rsidRPr="00D13BE1" w:rsidTr="00682D04">
        <w:trPr>
          <w:cantSplit/>
          <w:trHeight w:val="317"/>
          <w:tblHeader/>
        </w:trPr>
        <w:tc>
          <w:tcPr>
            <w:tcW w:w="872" w:type="dxa"/>
            <w:tcBorders>
              <w:top w:val="nil"/>
              <w:left w:val="single" w:sz="16" w:space="0" w:color="000000"/>
              <w:bottom w:val="nil"/>
              <w:right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13BE1">
              <w:rPr>
                <w:rFonts w:ascii="Arial" w:hAnsi="Arial" w:cs="Arial"/>
                <w:color w:val="000000"/>
                <w:sz w:val="18"/>
                <w:szCs w:val="18"/>
                <w:lang w:val="nl-NL" w:eastAsia="en-US" w:bidi="ar-SA"/>
              </w:rPr>
              <w:t>Large</w:t>
            </w:r>
            <w:proofErr w:type="spellEnd"/>
          </w:p>
        </w:tc>
        <w:tc>
          <w:tcPr>
            <w:tcW w:w="1822" w:type="dxa"/>
            <w:tcBorders>
              <w:top w:val="nil"/>
              <w:left w:val="single" w:sz="16" w:space="0" w:color="000000"/>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13.00</w:t>
            </w:r>
          </w:p>
        </w:tc>
        <w:tc>
          <w:tcPr>
            <w:tcW w:w="1984" w:type="dxa"/>
            <w:tcBorders>
              <w:top w:val="nil"/>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52.40</w:t>
            </w:r>
          </w:p>
        </w:tc>
        <w:tc>
          <w:tcPr>
            <w:tcW w:w="851" w:type="dxa"/>
            <w:tcBorders>
              <w:top w:val="nil"/>
              <w:bottom w:val="nil"/>
            </w:tcBorders>
            <w:shd w:val="clear" w:color="auto" w:fill="FFFFFF"/>
          </w:tcPr>
          <w:p w:rsidR="004B574E" w:rsidRPr="00D13BE1" w:rsidRDefault="00AD23D6"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303</w:t>
            </w:r>
          </w:p>
        </w:tc>
        <w:tc>
          <w:tcPr>
            <w:tcW w:w="1842" w:type="dxa"/>
            <w:tcBorders>
              <w:top w:val="nil"/>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71.60</w:t>
            </w:r>
          </w:p>
        </w:tc>
        <w:tc>
          <w:tcPr>
            <w:tcW w:w="851" w:type="dxa"/>
            <w:tcBorders>
              <w:top w:val="nil"/>
              <w:bottom w:val="nil"/>
              <w:right w:val="single" w:sz="16" w:space="0" w:color="000000"/>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37</w:t>
            </w:r>
          </w:p>
        </w:tc>
      </w:tr>
      <w:tr w:rsidR="004B574E" w:rsidRPr="00D13BE1" w:rsidTr="00682D04">
        <w:trPr>
          <w:cantSplit/>
          <w:trHeight w:val="317"/>
          <w:tblHeader/>
        </w:trPr>
        <w:tc>
          <w:tcPr>
            <w:tcW w:w="872" w:type="dxa"/>
            <w:tcBorders>
              <w:top w:val="nil"/>
              <w:left w:val="single" w:sz="16" w:space="0" w:color="000000"/>
              <w:bottom w:val="nil"/>
              <w:right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Medium</w:t>
            </w:r>
          </w:p>
        </w:tc>
        <w:tc>
          <w:tcPr>
            <w:tcW w:w="1822" w:type="dxa"/>
            <w:tcBorders>
              <w:top w:val="nil"/>
              <w:left w:val="single" w:sz="16" w:space="0" w:color="000000"/>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20.80</w:t>
            </w:r>
          </w:p>
        </w:tc>
        <w:tc>
          <w:tcPr>
            <w:tcW w:w="1984" w:type="dxa"/>
            <w:tcBorders>
              <w:top w:val="nil"/>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49.00</w:t>
            </w:r>
          </w:p>
        </w:tc>
        <w:tc>
          <w:tcPr>
            <w:tcW w:w="851" w:type="dxa"/>
            <w:tcBorders>
              <w:top w:val="nil"/>
              <w:bottom w:val="nil"/>
            </w:tcBorders>
            <w:shd w:val="clear" w:color="auto" w:fill="FFFFFF"/>
          </w:tcPr>
          <w:p w:rsidR="004B574E" w:rsidRPr="00D13BE1" w:rsidRDefault="00AD23D6"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136</w:t>
            </w:r>
          </w:p>
        </w:tc>
        <w:tc>
          <w:tcPr>
            <w:tcW w:w="1842" w:type="dxa"/>
            <w:tcBorders>
              <w:top w:val="nil"/>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82.00</w:t>
            </w:r>
          </w:p>
        </w:tc>
        <w:tc>
          <w:tcPr>
            <w:tcW w:w="851" w:type="dxa"/>
            <w:tcBorders>
              <w:top w:val="nil"/>
              <w:bottom w:val="nil"/>
              <w:right w:val="single" w:sz="16" w:space="0" w:color="000000"/>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67</w:t>
            </w:r>
          </w:p>
        </w:tc>
      </w:tr>
      <w:tr w:rsidR="004B574E" w:rsidRPr="00D13BE1" w:rsidTr="00682D04">
        <w:trPr>
          <w:cantSplit/>
          <w:trHeight w:val="317"/>
          <w:tblHeader/>
        </w:trPr>
        <w:tc>
          <w:tcPr>
            <w:tcW w:w="872" w:type="dxa"/>
            <w:tcBorders>
              <w:top w:val="nil"/>
              <w:left w:val="single" w:sz="16" w:space="0" w:color="000000"/>
              <w:bottom w:val="nil"/>
              <w:right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13BE1">
              <w:rPr>
                <w:rFonts w:ascii="Arial" w:hAnsi="Arial" w:cs="Arial"/>
                <w:color w:val="000000"/>
                <w:sz w:val="18"/>
                <w:szCs w:val="18"/>
                <w:lang w:val="nl-NL" w:eastAsia="en-US" w:bidi="ar-SA"/>
              </w:rPr>
              <w:t>Small</w:t>
            </w:r>
            <w:proofErr w:type="spellEnd"/>
          </w:p>
        </w:tc>
        <w:tc>
          <w:tcPr>
            <w:tcW w:w="1822" w:type="dxa"/>
            <w:tcBorders>
              <w:top w:val="nil"/>
              <w:left w:val="single" w:sz="16" w:space="0" w:color="000000"/>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16.00</w:t>
            </w:r>
          </w:p>
        </w:tc>
        <w:tc>
          <w:tcPr>
            <w:tcW w:w="1984" w:type="dxa"/>
            <w:tcBorders>
              <w:top w:val="nil"/>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56.40</w:t>
            </w:r>
          </w:p>
        </w:tc>
        <w:tc>
          <w:tcPr>
            <w:tcW w:w="851" w:type="dxa"/>
            <w:tcBorders>
              <w:top w:val="nil"/>
              <w:bottom w:val="nil"/>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253</w:t>
            </w:r>
          </w:p>
        </w:tc>
        <w:tc>
          <w:tcPr>
            <w:tcW w:w="1842" w:type="dxa"/>
            <w:tcBorders>
              <w:top w:val="nil"/>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68.00</w:t>
            </w:r>
          </w:p>
        </w:tc>
        <w:tc>
          <w:tcPr>
            <w:tcW w:w="851" w:type="dxa"/>
            <w:tcBorders>
              <w:top w:val="nil"/>
              <w:bottom w:val="nil"/>
              <w:right w:val="single" w:sz="16" w:space="0" w:color="000000"/>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21</w:t>
            </w:r>
          </w:p>
        </w:tc>
      </w:tr>
      <w:tr w:rsidR="004B574E" w:rsidRPr="00D13BE1" w:rsidTr="00682D04">
        <w:trPr>
          <w:cantSplit/>
          <w:trHeight w:val="334"/>
          <w:tblHeader/>
        </w:trPr>
        <w:tc>
          <w:tcPr>
            <w:tcW w:w="872" w:type="dxa"/>
            <w:tcBorders>
              <w:top w:val="nil"/>
              <w:left w:val="single" w:sz="16" w:space="0" w:color="000000"/>
              <w:bottom w:val="nil"/>
              <w:right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 xml:space="preserve">X </w:t>
            </w:r>
            <w:proofErr w:type="spellStart"/>
            <w:r w:rsidRPr="00D13BE1">
              <w:rPr>
                <w:rFonts w:ascii="Arial" w:hAnsi="Arial" w:cs="Arial"/>
                <w:color w:val="000000"/>
                <w:sz w:val="18"/>
                <w:szCs w:val="18"/>
                <w:lang w:val="nl-NL" w:eastAsia="en-US" w:bidi="ar-SA"/>
              </w:rPr>
              <w:t>Small</w:t>
            </w:r>
            <w:proofErr w:type="spellEnd"/>
          </w:p>
        </w:tc>
        <w:tc>
          <w:tcPr>
            <w:tcW w:w="1822" w:type="dxa"/>
            <w:tcBorders>
              <w:top w:val="nil"/>
              <w:left w:val="single" w:sz="16" w:space="0" w:color="000000"/>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11.60</w:t>
            </w:r>
          </w:p>
        </w:tc>
        <w:tc>
          <w:tcPr>
            <w:tcW w:w="1984" w:type="dxa"/>
            <w:tcBorders>
              <w:top w:val="nil"/>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44.40</w:t>
            </w:r>
          </w:p>
        </w:tc>
        <w:tc>
          <w:tcPr>
            <w:tcW w:w="851" w:type="dxa"/>
            <w:tcBorders>
              <w:top w:val="nil"/>
              <w:bottom w:val="nil"/>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283</w:t>
            </w:r>
          </w:p>
        </w:tc>
        <w:tc>
          <w:tcPr>
            <w:tcW w:w="1842" w:type="dxa"/>
            <w:tcBorders>
              <w:top w:val="nil"/>
              <w:bottom w:val="nil"/>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77.80</w:t>
            </w:r>
          </w:p>
        </w:tc>
        <w:tc>
          <w:tcPr>
            <w:tcW w:w="851" w:type="dxa"/>
            <w:tcBorders>
              <w:top w:val="nil"/>
              <w:bottom w:val="nil"/>
              <w:right w:val="single" w:sz="16" w:space="0" w:color="000000"/>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75</w:t>
            </w:r>
          </w:p>
        </w:tc>
      </w:tr>
      <w:tr w:rsidR="004B574E" w:rsidRPr="00D13BE1" w:rsidTr="00682D04">
        <w:trPr>
          <w:cantSplit/>
          <w:trHeight w:val="334"/>
        </w:trPr>
        <w:tc>
          <w:tcPr>
            <w:tcW w:w="872" w:type="dxa"/>
            <w:tcBorders>
              <w:top w:val="nil"/>
              <w:left w:val="single" w:sz="16" w:space="0" w:color="000000"/>
              <w:bottom w:val="single" w:sz="16" w:space="0" w:color="000000"/>
              <w:right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Total</w:t>
            </w:r>
          </w:p>
        </w:tc>
        <w:tc>
          <w:tcPr>
            <w:tcW w:w="1822" w:type="dxa"/>
            <w:tcBorders>
              <w:top w:val="nil"/>
              <w:left w:val="single" w:sz="16" w:space="0" w:color="000000"/>
              <w:bottom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20.04</w:t>
            </w:r>
          </w:p>
        </w:tc>
        <w:tc>
          <w:tcPr>
            <w:tcW w:w="1984" w:type="dxa"/>
            <w:tcBorders>
              <w:top w:val="nil"/>
              <w:bottom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52.12</w:t>
            </w:r>
          </w:p>
        </w:tc>
        <w:tc>
          <w:tcPr>
            <w:tcW w:w="851" w:type="dxa"/>
            <w:tcBorders>
              <w:top w:val="nil"/>
              <w:bottom w:val="single" w:sz="16" w:space="0" w:color="000000"/>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160</w:t>
            </w:r>
          </w:p>
        </w:tc>
        <w:tc>
          <w:tcPr>
            <w:tcW w:w="1842" w:type="dxa"/>
            <w:tcBorders>
              <w:top w:val="nil"/>
              <w:bottom w:val="single" w:sz="16" w:space="0" w:color="000000"/>
            </w:tcBorders>
            <w:shd w:val="clear" w:color="auto" w:fill="FFFFFF"/>
          </w:tcPr>
          <w:p w:rsidR="004B574E" w:rsidRPr="00D13BE1" w:rsidRDefault="004B574E"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13BE1">
              <w:rPr>
                <w:rFonts w:ascii="Arial" w:hAnsi="Arial" w:cs="Arial"/>
                <w:color w:val="000000"/>
                <w:sz w:val="18"/>
                <w:szCs w:val="18"/>
                <w:lang w:val="nl-NL" w:eastAsia="en-US" w:bidi="ar-SA"/>
              </w:rPr>
              <w:t>77.52</w:t>
            </w:r>
          </w:p>
        </w:tc>
        <w:tc>
          <w:tcPr>
            <w:tcW w:w="851" w:type="dxa"/>
            <w:tcBorders>
              <w:top w:val="nil"/>
              <w:bottom w:val="single" w:sz="16" w:space="0" w:color="000000"/>
              <w:right w:val="single" w:sz="16" w:space="0" w:color="000000"/>
            </w:tcBorders>
            <w:shd w:val="clear" w:color="auto" w:fill="FFFFFF"/>
          </w:tcPr>
          <w:p w:rsidR="004B574E" w:rsidRPr="00D13BE1" w:rsidRDefault="00CA3BB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49</w:t>
            </w:r>
          </w:p>
        </w:tc>
      </w:tr>
    </w:tbl>
    <w:p w:rsidR="00D13BE1" w:rsidRPr="0006603A" w:rsidRDefault="00AB5CB6" w:rsidP="00504A73">
      <w:pPr>
        <w:autoSpaceDE w:val="0"/>
        <w:autoSpaceDN w:val="0"/>
        <w:adjustRightInd w:val="0"/>
        <w:spacing w:line="320" w:lineRule="atLeast"/>
        <w:rPr>
          <w:rFonts w:cs="Times New Roman"/>
          <w:sz w:val="20"/>
          <w:szCs w:val="20"/>
          <w:lang w:val="en-US" w:eastAsia="en-US" w:bidi="ar-SA"/>
        </w:rPr>
      </w:pPr>
      <w:r>
        <w:rPr>
          <w:rFonts w:cs="Times New Roman"/>
          <w:sz w:val="20"/>
          <w:szCs w:val="20"/>
          <w:lang w:val="en-US" w:eastAsia="en-US" w:bidi="ar-SA"/>
        </w:rPr>
        <w:t>Table 11</w:t>
      </w:r>
      <w:r w:rsidR="00D13BE1" w:rsidRPr="0006603A">
        <w:rPr>
          <w:rFonts w:cs="Times New Roman"/>
          <w:sz w:val="20"/>
          <w:szCs w:val="20"/>
          <w:lang w:val="en-US" w:eastAsia="en-US" w:bidi="ar-SA"/>
        </w:rPr>
        <w:t xml:space="preserve">: Average number of times words regarding </w:t>
      </w:r>
      <w:r w:rsidR="005B6AAE">
        <w:rPr>
          <w:rFonts w:cs="Times New Roman"/>
          <w:sz w:val="20"/>
          <w:szCs w:val="20"/>
          <w:lang w:val="en-US" w:eastAsia="en-US" w:bidi="ar-SA"/>
        </w:rPr>
        <w:t>“investment risks” are disclosed</w:t>
      </w:r>
      <w:r w:rsidR="00D13BE1" w:rsidRPr="0006603A">
        <w:rPr>
          <w:rFonts w:cs="Times New Roman"/>
          <w:sz w:val="20"/>
          <w:szCs w:val="20"/>
          <w:lang w:val="en-US" w:eastAsia="en-US" w:bidi="ar-SA"/>
        </w:rPr>
        <w:t xml:space="preserve"> in the financial statements of 2006, 2007 and 2011 per pension fund size category.</w:t>
      </w:r>
    </w:p>
    <w:p w:rsidR="002C040A" w:rsidRDefault="002C040A" w:rsidP="00D13BE1">
      <w:pPr>
        <w:autoSpaceDE w:val="0"/>
        <w:autoSpaceDN w:val="0"/>
        <w:adjustRightInd w:val="0"/>
        <w:spacing w:line="400" w:lineRule="atLeast"/>
        <w:rPr>
          <w:rFonts w:cs="Times New Roman"/>
          <w:lang w:val="en-US" w:eastAsia="en-US" w:bidi="ar-SA"/>
        </w:rPr>
      </w:pPr>
    </w:p>
    <w:p w:rsidR="005B6AAE" w:rsidRPr="005B6AAE" w:rsidRDefault="005B6AAE"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 xml:space="preserve">It is </w:t>
      </w:r>
      <w:r w:rsidR="00FA38C1">
        <w:rPr>
          <w:rFonts w:cs="Times New Roman"/>
          <w:lang w:val="en-US" w:eastAsia="en-US" w:bidi="ar-SA"/>
        </w:rPr>
        <w:t xml:space="preserve">remarkable that </w:t>
      </w:r>
      <w:r>
        <w:rPr>
          <w:rFonts w:cs="Times New Roman"/>
          <w:lang w:val="en-US" w:eastAsia="en-US" w:bidi="ar-SA"/>
        </w:rPr>
        <w:t>the average number of times words regarding investment risks are disclosed in the fi</w:t>
      </w:r>
      <w:r w:rsidR="00FA38C1">
        <w:rPr>
          <w:rFonts w:cs="Times New Roman"/>
          <w:lang w:val="en-US" w:eastAsia="en-US" w:bidi="ar-SA"/>
        </w:rPr>
        <w:t>nancial statements has at least doubled</w:t>
      </w:r>
      <w:r>
        <w:rPr>
          <w:rFonts w:cs="Times New Roman"/>
          <w:lang w:val="en-US" w:eastAsia="en-US" w:bidi="ar-SA"/>
        </w:rPr>
        <w:t xml:space="preserve"> for all pension fund size categories between 2006 and 2007, with the exception of the category of X Large pension funds. It seems that the quantity of the investment risk disclosures of the X Large pension funds was already moderately high in 2006 compared to the other pension fund size categories.</w:t>
      </w:r>
      <w:r w:rsidR="00EE0B9D">
        <w:rPr>
          <w:rFonts w:cs="Times New Roman"/>
          <w:lang w:val="en-US" w:eastAsia="en-US" w:bidi="ar-SA"/>
        </w:rPr>
        <w:t xml:space="preserve"> </w:t>
      </w:r>
      <w:r w:rsidR="001062C7">
        <w:rPr>
          <w:rFonts w:cs="Times New Roman"/>
          <w:lang w:val="en-US" w:eastAsia="en-US" w:bidi="ar-SA"/>
        </w:rPr>
        <w:t xml:space="preserve">Apparently, </w:t>
      </w:r>
      <w:r w:rsidR="00EE0B9D">
        <w:rPr>
          <w:rFonts w:cs="Times New Roman"/>
          <w:lang w:val="en-US" w:eastAsia="en-US" w:bidi="ar-SA"/>
        </w:rPr>
        <w:t xml:space="preserve">the X large pension funds are companies that employ highly skilled employers that </w:t>
      </w:r>
      <w:r w:rsidR="00566947">
        <w:rPr>
          <w:rFonts w:cs="Times New Roman"/>
          <w:lang w:val="en-US" w:eastAsia="en-US" w:bidi="ar-SA"/>
        </w:rPr>
        <w:t>already recognized the importance of investment risks in 2006</w:t>
      </w:r>
      <w:r w:rsidR="00DA79E4">
        <w:rPr>
          <w:rFonts w:cs="Times New Roman"/>
          <w:lang w:val="en-US" w:eastAsia="en-US" w:bidi="ar-SA"/>
        </w:rPr>
        <w:t xml:space="preserve"> in accordance with the </w:t>
      </w:r>
      <w:r w:rsidR="001062C7">
        <w:rPr>
          <w:rFonts w:cs="Times New Roman"/>
          <w:lang w:val="en-US" w:eastAsia="en-US" w:bidi="ar-SA"/>
        </w:rPr>
        <w:t>theories of</w:t>
      </w:r>
      <w:r w:rsidR="00EE3BED">
        <w:rPr>
          <w:rFonts w:cs="Times New Roman"/>
          <w:lang w:val="en-US" w:eastAsia="en-US" w:bidi="ar-SA"/>
        </w:rPr>
        <w:t xml:space="preserve"> </w:t>
      </w:r>
      <w:proofErr w:type="spellStart"/>
      <w:r w:rsidR="009452F7">
        <w:rPr>
          <w:rFonts w:cs="Times New Roman"/>
          <w:lang w:val="en-US" w:eastAsia="en-US" w:bidi="ar-SA"/>
        </w:rPr>
        <w:t>Buzby</w:t>
      </w:r>
      <w:proofErr w:type="spellEnd"/>
      <w:r w:rsidR="009452F7">
        <w:rPr>
          <w:rFonts w:cs="Times New Roman"/>
          <w:lang w:val="en-US" w:eastAsia="en-US" w:bidi="ar-SA"/>
        </w:rPr>
        <w:t xml:space="preserve"> (1975) and Cooke (1989) </w:t>
      </w:r>
      <w:r w:rsidR="001062C7">
        <w:rPr>
          <w:rFonts w:cs="Times New Roman"/>
          <w:lang w:val="en-US" w:eastAsia="en-US" w:bidi="ar-SA"/>
        </w:rPr>
        <w:t xml:space="preserve">which have been </w:t>
      </w:r>
      <w:r w:rsidR="006C34CC">
        <w:rPr>
          <w:rFonts w:cs="Times New Roman"/>
          <w:lang w:val="en-US" w:eastAsia="en-US" w:bidi="ar-SA"/>
        </w:rPr>
        <w:t>described in paragraph 2.8.</w:t>
      </w:r>
      <w:r w:rsidR="00166395">
        <w:rPr>
          <w:rFonts w:cs="Times New Roman"/>
          <w:lang w:val="en-US" w:eastAsia="en-US" w:bidi="ar-SA"/>
        </w:rPr>
        <w:t xml:space="preserve"> In 2007 and 2011, the average number of times </w:t>
      </w:r>
      <w:r w:rsidR="001062C7">
        <w:rPr>
          <w:rFonts w:cs="Times New Roman"/>
          <w:lang w:val="en-US" w:eastAsia="en-US" w:bidi="ar-SA"/>
        </w:rPr>
        <w:t xml:space="preserve">that </w:t>
      </w:r>
      <w:r w:rsidR="009128BD">
        <w:rPr>
          <w:rFonts w:cs="Times New Roman"/>
          <w:lang w:val="en-US" w:eastAsia="en-US" w:bidi="ar-SA"/>
        </w:rPr>
        <w:t xml:space="preserve">investment risks </w:t>
      </w:r>
      <w:r w:rsidR="001062C7">
        <w:rPr>
          <w:rFonts w:cs="Times New Roman"/>
          <w:lang w:val="en-US" w:eastAsia="en-US" w:bidi="ar-SA"/>
        </w:rPr>
        <w:t xml:space="preserve">were </w:t>
      </w:r>
      <w:r w:rsidR="009128BD">
        <w:rPr>
          <w:rFonts w:cs="Times New Roman"/>
          <w:lang w:val="en-US" w:eastAsia="en-US" w:bidi="ar-SA"/>
        </w:rPr>
        <w:t>disclosed by the pension fund size categories excluding X large pension funds came closer to the disclosure quant</w:t>
      </w:r>
      <w:r w:rsidR="001062C7">
        <w:rPr>
          <w:rFonts w:cs="Times New Roman"/>
          <w:lang w:val="en-US" w:eastAsia="en-US" w:bidi="ar-SA"/>
        </w:rPr>
        <w:t>ity of X large pension funds</w:t>
      </w:r>
      <w:r w:rsidR="009128BD">
        <w:rPr>
          <w:rFonts w:cs="Times New Roman"/>
          <w:lang w:val="en-US" w:eastAsia="en-US" w:bidi="ar-SA"/>
        </w:rPr>
        <w:t xml:space="preserve">. However, the disclosure quantity of X large pension funds is in 2007 and 2011 </w:t>
      </w:r>
      <w:r w:rsidR="001062C7">
        <w:rPr>
          <w:rFonts w:cs="Times New Roman"/>
          <w:lang w:val="en-US" w:eastAsia="en-US" w:bidi="ar-SA"/>
        </w:rPr>
        <w:t xml:space="preserve">also </w:t>
      </w:r>
      <w:r w:rsidR="009128BD">
        <w:rPr>
          <w:rFonts w:cs="Times New Roman"/>
          <w:lang w:val="en-US" w:eastAsia="en-US" w:bidi="ar-SA"/>
        </w:rPr>
        <w:t>larger</w:t>
      </w:r>
      <w:r w:rsidR="001062C7">
        <w:rPr>
          <w:rFonts w:cs="Times New Roman"/>
          <w:lang w:val="en-US" w:eastAsia="en-US" w:bidi="ar-SA"/>
        </w:rPr>
        <w:t xml:space="preserve">, </w:t>
      </w:r>
      <w:r w:rsidR="009128BD">
        <w:rPr>
          <w:rFonts w:cs="Times New Roman"/>
          <w:lang w:val="en-US" w:eastAsia="en-US" w:bidi="ar-SA"/>
        </w:rPr>
        <w:t xml:space="preserve">keeping intact the ideas of </w:t>
      </w:r>
      <w:proofErr w:type="spellStart"/>
      <w:r w:rsidR="009128BD">
        <w:rPr>
          <w:rFonts w:cs="Times New Roman"/>
          <w:lang w:val="en-US" w:eastAsia="en-US" w:bidi="ar-SA"/>
        </w:rPr>
        <w:t>Buzby</w:t>
      </w:r>
      <w:proofErr w:type="spellEnd"/>
      <w:r w:rsidR="009128BD">
        <w:rPr>
          <w:rFonts w:cs="Times New Roman"/>
          <w:lang w:val="en-US" w:eastAsia="en-US" w:bidi="ar-SA"/>
        </w:rPr>
        <w:t xml:space="preserve"> (1975) and Cooke (1989).</w:t>
      </w:r>
    </w:p>
    <w:p w:rsidR="005B6AAE" w:rsidRDefault="005B6AAE" w:rsidP="00961508">
      <w:pPr>
        <w:autoSpaceDE w:val="0"/>
        <w:autoSpaceDN w:val="0"/>
        <w:adjustRightInd w:val="0"/>
        <w:spacing w:line="360" w:lineRule="auto"/>
        <w:jc w:val="both"/>
        <w:rPr>
          <w:rFonts w:cs="Times New Roman"/>
          <w:b/>
          <w:i/>
          <w:lang w:val="en-US" w:eastAsia="en-US" w:bidi="ar-SA"/>
        </w:rPr>
      </w:pPr>
    </w:p>
    <w:p w:rsidR="00D91755" w:rsidRPr="00693070" w:rsidRDefault="00D91755" w:rsidP="00961508">
      <w:pPr>
        <w:autoSpaceDE w:val="0"/>
        <w:autoSpaceDN w:val="0"/>
        <w:adjustRightInd w:val="0"/>
        <w:spacing w:line="360" w:lineRule="auto"/>
        <w:jc w:val="both"/>
        <w:rPr>
          <w:rFonts w:cs="Times New Roman"/>
          <w:b/>
          <w:i/>
          <w:lang w:val="en-US" w:eastAsia="en-US" w:bidi="ar-SA"/>
        </w:rPr>
      </w:pPr>
      <w:r w:rsidRPr="00693070">
        <w:rPr>
          <w:rFonts w:cs="Times New Roman"/>
          <w:b/>
          <w:i/>
          <w:lang w:val="en-US" w:eastAsia="en-US" w:bidi="ar-SA"/>
        </w:rPr>
        <w:t>Quantity</w:t>
      </w:r>
      <w:r>
        <w:rPr>
          <w:rFonts w:cs="Times New Roman"/>
          <w:b/>
          <w:i/>
          <w:lang w:val="en-US" w:eastAsia="en-US" w:bidi="ar-SA"/>
        </w:rPr>
        <w:t xml:space="preserve"> of investment risk disclosures compared between 2006, 2007 and 2011 </w:t>
      </w:r>
      <w:r w:rsidRPr="00693070">
        <w:rPr>
          <w:rFonts w:cs="Times New Roman"/>
          <w:b/>
          <w:i/>
          <w:lang w:val="en-US" w:eastAsia="en-US" w:bidi="ar-SA"/>
        </w:rPr>
        <w:t xml:space="preserve"> </w:t>
      </w:r>
    </w:p>
    <w:p w:rsidR="00D91755" w:rsidRDefault="00D91755"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 xml:space="preserve">Looking at table </w:t>
      </w:r>
      <w:r w:rsidR="00376F7D">
        <w:rPr>
          <w:rFonts w:cs="Times New Roman"/>
          <w:lang w:val="en-US" w:eastAsia="en-US" w:bidi="ar-SA"/>
        </w:rPr>
        <w:t>11</w:t>
      </w:r>
      <w:r>
        <w:rPr>
          <w:rFonts w:cs="Times New Roman"/>
          <w:lang w:val="en-US" w:eastAsia="en-US" w:bidi="ar-SA"/>
        </w:rPr>
        <w:t>, it seems that since 2006, the disclosure of investment risks has increased considerab</w:t>
      </w:r>
      <w:r w:rsidR="001062C7">
        <w:rPr>
          <w:rFonts w:cs="Times New Roman"/>
          <w:lang w:val="en-US" w:eastAsia="en-US" w:bidi="ar-SA"/>
        </w:rPr>
        <w:t xml:space="preserve">ly. In this paragraph will also </w:t>
      </w:r>
      <w:r>
        <w:rPr>
          <w:rFonts w:cs="Times New Roman"/>
          <w:lang w:val="en-US" w:eastAsia="en-US" w:bidi="ar-SA"/>
        </w:rPr>
        <w:t xml:space="preserve">be researched if this increase is significant. </w:t>
      </w:r>
    </w:p>
    <w:p w:rsidR="00D91755" w:rsidRDefault="00D91755" w:rsidP="00961508">
      <w:pPr>
        <w:autoSpaceDE w:val="0"/>
        <w:autoSpaceDN w:val="0"/>
        <w:adjustRightInd w:val="0"/>
        <w:spacing w:line="360" w:lineRule="auto"/>
        <w:jc w:val="both"/>
        <w:rPr>
          <w:rFonts w:cs="Times New Roman"/>
          <w:lang w:val="en-US" w:eastAsia="en-US" w:bidi="ar-SA"/>
        </w:rPr>
      </w:pPr>
    </w:p>
    <w:p w:rsidR="00D91755" w:rsidRDefault="00D91755" w:rsidP="00961508">
      <w:pPr>
        <w:autoSpaceDE w:val="0"/>
        <w:autoSpaceDN w:val="0"/>
        <w:adjustRightInd w:val="0"/>
        <w:spacing w:line="360" w:lineRule="auto"/>
        <w:jc w:val="both"/>
        <w:rPr>
          <w:rFonts w:cs="Times New Roman"/>
          <w:i/>
          <w:lang w:val="en-US" w:eastAsia="en-US" w:bidi="ar-SA"/>
        </w:rPr>
      </w:pPr>
      <w:r>
        <w:rPr>
          <w:rFonts w:cs="Times New Roman"/>
          <w:i/>
          <w:lang w:val="en-US" w:eastAsia="en-US" w:bidi="ar-SA"/>
        </w:rPr>
        <w:t>Selection of appropriate statistical test</w:t>
      </w:r>
    </w:p>
    <w:p w:rsidR="00D91755" w:rsidRDefault="00D91755"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To select an appropriate statistical test</w:t>
      </w:r>
      <w:r w:rsidR="00F8420C">
        <w:rPr>
          <w:rFonts w:cs="Times New Roman"/>
          <w:lang w:val="en-US" w:eastAsia="en-US" w:bidi="ar-SA"/>
        </w:rPr>
        <w:t>, first</w:t>
      </w:r>
      <w:r>
        <w:rPr>
          <w:rFonts w:cs="Times New Roman"/>
          <w:lang w:val="en-US" w:eastAsia="en-US" w:bidi="ar-SA"/>
        </w:rPr>
        <w:t xml:space="preserve"> has to be determined if the 2006, 2007 and 2011 distributions regarding the frequency of disclosure of words with regard to investment risks are close to normality (parametric) or not (nonparametric). For the same reasons as elaborated in the previous paragraph, the Shapiro-</w:t>
      </w:r>
      <w:proofErr w:type="spellStart"/>
      <w:r>
        <w:rPr>
          <w:rFonts w:cs="Times New Roman"/>
          <w:lang w:val="en-US" w:eastAsia="en-US" w:bidi="ar-SA"/>
        </w:rPr>
        <w:t>Wilk</w:t>
      </w:r>
      <w:proofErr w:type="spellEnd"/>
      <w:r>
        <w:rPr>
          <w:rFonts w:cs="Times New Roman"/>
          <w:lang w:val="en-US" w:eastAsia="en-US" w:bidi="ar-SA"/>
        </w:rPr>
        <w:t xml:space="preserve"> test will be applied to determine if the distributions are parametric or nonparametric.</w:t>
      </w:r>
    </w:p>
    <w:tbl>
      <w:tblPr>
        <w:tblW w:w="8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11"/>
        <w:gridCol w:w="1010"/>
        <w:gridCol w:w="1010"/>
        <w:gridCol w:w="1010"/>
        <w:gridCol w:w="1010"/>
        <w:gridCol w:w="1010"/>
      </w:tblGrid>
      <w:tr w:rsidR="00D91755" w:rsidRPr="007A2E7E" w:rsidTr="00EF6972">
        <w:trPr>
          <w:cantSplit/>
          <w:tblHeader/>
        </w:trPr>
        <w:tc>
          <w:tcPr>
            <w:tcW w:w="8488" w:type="dxa"/>
            <w:gridSpan w:val="7"/>
            <w:tcBorders>
              <w:top w:val="nil"/>
              <w:left w:val="nil"/>
              <w:bottom w:val="nil"/>
              <w:right w:val="nil"/>
            </w:tcBorders>
            <w:shd w:val="clear" w:color="auto" w:fill="FFFFFF"/>
            <w:vAlign w:val="center"/>
          </w:tcPr>
          <w:p w:rsidR="00D91755" w:rsidRPr="007A2E7E" w:rsidRDefault="00D91755" w:rsidP="009440AE">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7A2E7E">
              <w:rPr>
                <w:rFonts w:ascii="Arial" w:hAnsi="Arial" w:cs="Arial"/>
                <w:b/>
                <w:bCs/>
                <w:color w:val="000000"/>
                <w:sz w:val="18"/>
                <w:szCs w:val="18"/>
                <w:lang w:val="nl-NL" w:eastAsia="en-US" w:bidi="ar-SA"/>
              </w:rPr>
              <w:t xml:space="preserve">Tests of </w:t>
            </w:r>
            <w:proofErr w:type="spellStart"/>
            <w:r w:rsidRPr="007A2E7E">
              <w:rPr>
                <w:rFonts w:ascii="Arial" w:hAnsi="Arial" w:cs="Arial"/>
                <w:b/>
                <w:bCs/>
                <w:color w:val="000000"/>
                <w:sz w:val="18"/>
                <w:szCs w:val="18"/>
                <w:lang w:val="nl-NL" w:eastAsia="en-US" w:bidi="ar-SA"/>
              </w:rPr>
              <w:t>Normality</w:t>
            </w:r>
            <w:proofErr w:type="spellEnd"/>
          </w:p>
        </w:tc>
      </w:tr>
      <w:tr w:rsidR="00D91755" w:rsidRPr="007A2E7E" w:rsidTr="00EF6972">
        <w:trPr>
          <w:cantSplit/>
          <w:tblHeader/>
        </w:trPr>
        <w:tc>
          <w:tcPr>
            <w:tcW w:w="242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91755" w:rsidRPr="007A2E7E" w:rsidRDefault="00D91755" w:rsidP="00682D04">
            <w:pPr>
              <w:autoSpaceDE w:val="0"/>
              <w:autoSpaceDN w:val="0"/>
              <w:adjustRightInd w:val="0"/>
              <w:spacing w:line="276" w:lineRule="auto"/>
              <w:jc w:val="center"/>
              <w:rPr>
                <w:rFonts w:cs="Times New Roman"/>
                <w:lang w:val="nl-NL" w:eastAsia="en-US" w:bidi="ar-SA"/>
              </w:rPr>
            </w:pPr>
          </w:p>
        </w:tc>
        <w:tc>
          <w:tcPr>
            <w:tcW w:w="3031" w:type="dxa"/>
            <w:gridSpan w:val="3"/>
            <w:tcBorders>
              <w:top w:val="single" w:sz="16" w:space="0" w:color="000000"/>
              <w:left w:val="single" w:sz="16" w:space="0" w:color="000000"/>
            </w:tcBorders>
            <w:shd w:val="clear" w:color="auto" w:fill="FFFFFF"/>
            <w:vAlign w:val="bottom"/>
          </w:tcPr>
          <w:p w:rsidR="00D91755" w:rsidRPr="007A2E7E" w:rsidRDefault="00D91755"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A2E7E">
              <w:rPr>
                <w:rFonts w:ascii="Arial" w:hAnsi="Arial" w:cs="Arial"/>
                <w:color w:val="000000"/>
                <w:sz w:val="18"/>
                <w:szCs w:val="18"/>
                <w:lang w:val="nl-NL" w:eastAsia="en-US" w:bidi="ar-SA"/>
              </w:rPr>
              <w:t>Kolmogorov-Smirnov</w:t>
            </w:r>
            <w:r w:rsidRPr="007A2E7E">
              <w:rPr>
                <w:rFonts w:ascii="Arial" w:hAnsi="Arial" w:cs="Arial"/>
                <w:color w:val="000000"/>
                <w:sz w:val="18"/>
                <w:szCs w:val="18"/>
                <w:vertAlign w:val="superscript"/>
                <w:lang w:val="nl-NL" w:eastAsia="en-US" w:bidi="ar-SA"/>
              </w:rPr>
              <w:t>a</w:t>
            </w:r>
            <w:proofErr w:type="spellEnd"/>
          </w:p>
        </w:tc>
        <w:tc>
          <w:tcPr>
            <w:tcW w:w="3030" w:type="dxa"/>
            <w:gridSpan w:val="3"/>
            <w:tcBorders>
              <w:top w:val="single" w:sz="16" w:space="0" w:color="000000"/>
              <w:right w:val="single" w:sz="16" w:space="0" w:color="000000"/>
            </w:tcBorders>
            <w:shd w:val="clear" w:color="auto" w:fill="FFFFFF"/>
            <w:vAlign w:val="bottom"/>
          </w:tcPr>
          <w:p w:rsidR="00D91755" w:rsidRPr="007A2E7E" w:rsidRDefault="00D91755"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A2E7E">
              <w:rPr>
                <w:rFonts w:ascii="Arial" w:hAnsi="Arial" w:cs="Arial"/>
                <w:color w:val="000000"/>
                <w:sz w:val="18"/>
                <w:szCs w:val="18"/>
                <w:lang w:val="nl-NL" w:eastAsia="en-US" w:bidi="ar-SA"/>
              </w:rPr>
              <w:t>Shapiro-Wilk</w:t>
            </w:r>
            <w:proofErr w:type="spellEnd"/>
          </w:p>
        </w:tc>
      </w:tr>
      <w:tr w:rsidR="00D91755" w:rsidRPr="007A2E7E" w:rsidTr="00EF6972">
        <w:trPr>
          <w:cantSplit/>
          <w:tblHeader/>
        </w:trPr>
        <w:tc>
          <w:tcPr>
            <w:tcW w:w="242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91755" w:rsidRPr="007A2E7E" w:rsidRDefault="00D91755" w:rsidP="00682D04">
            <w:pPr>
              <w:autoSpaceDE w:val="0"/>
              <w:autoSpaceDN w:val="0"/>
              <w:adjustRightInd w:val="0"/>
              <w:spacing w:line="276" w:lineRule="auto"/>
              <w:rPr>
                <w:rFonts w:ascii="Arial" w:hAnsi="Arial" w:cs="Arial"/>
                <w:color w:val="000000"/>
                <w:sz w:val="18"/>
                <w:szCs w:val="18"/>
                <w:lang w:val="nl-NL" w:eastAsia="en-US" w:bidi="ar-SA"/>
              </w:rPr>
            </w:pPr>
          </w:p>
        </w:tc>
        <w:tc>
          <w:tcPr>
            <w:tcW w:w="1011" w:type="dxa"/>
            <w:tcBorders>
              <w:left w:val="single" w:sz="16" w:space="0" w:color="000000"/>
              <w:bottom w:val="single" w:sz="16" w:space="0" w:color="000000"/>
            </w:tcBorders>
            <w:shd w:val="clear" w:color="auto" w:fill="FFFFFF"/>
            <w:vAlign w:val="bottom"/>
          </w:tcPr>
          <w:p w:rsidR="00D91755" w:rsidRPr="007A2E7E" w:rsidRDefault="00D91755"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A2E7E">
              <w:rPr>
                <w:rFonts w:ascii="Arial" w:hAnsi="Arial" w:cs="Arial"/>
                <w:color w:val="000000"/>
                <w:sz w:val="18"/>
                <w:szCs w:val="18"/>
                <w:lang w:val="nl-NL" w:eastAsia="en-US" w:bidi="ar-SA"/>
              </w:rPr>
              <w:t>Statistic</w:t>
            </w:r>
            <w:proofErr w:type="spellEnd"/>
          </w:p>
        </w:tc>
        <w:tc>
          <w:tcPr>
            <w:tcW w:w="1010" w:type="dxa"/>
            <w:tcBorders>
              <w:bottom w:val="single" w:sz="16" w:space="0" w:color="000000"/>
            </w:tcBorders>
            <w:shd w:val="clear" w:color="auto" w:fill="FFFFFF"/>
            <w:vAlign w:val="bottom"/>
          </w:tcPr>
          <w:p w:rsidR="00D91755" w:rsidRPr="007A2E7E" w:rsidRDefault="00AB5CB6"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A2E7E">
              <w:rPr>
                <w:rFonts w:ascii="Arial" w:hAnsi="Arial" w:cs="Arial"/>
                <w:color w:val="000000"/>
                <w:sz w:val="18"/>
                <w:szCs w:val="18"/>
                <w:lang w:val="nl-NL" w:eastAsia="en-US" w:bidi="ar-SA"/>
              </w:rPr>
              <w:t>D</w:t>
            </w:r>
            <w:r w:rsidR="00D91755" w:rsidRPr="007A2E7E">
              <w:rPr>
                <w:rFonts w:ascii="Arial" w:hAnsi="Arial" w:cs="Arial"/>
                <w:color w:val="000000"/>
                <w:sz w:val="18"/>
                <w:szCs w:val="18"/>
                <w:lang w:val="nl-NL" w:eastAsia="en-US" w:bidi="ar-SA"/>
              </w:rPr>
              <w:t>f</w:t>
            </w:r>
            <w:proofErr w:type="spellEnd"/>
          </w:p>
        </w:tc>
        <w:tc>
          <w:tcPr>
            <w:tcW w:w="1010" w:type="dxa"/>
            <w:tcBorders>
              <w:bottom w:val="single" w:sz="16" w:space="0" w:color="000000"/>
            </w:tcBorders>
            <w:shd w:val="clear" w:color="auto" w:fill="FFFFFF"/>
            <w:vAlign w:val="bottom"/>
          </w:tcPr>
          <w:p w:rsidR="00D91755" w:rsidRPr="007A2E7E" w:rsidRDefault="00D91755"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A2E7E">
              <w:rPr>
                <w:rFonts w:ascii="Arial" w:hAnsi="Arial" w:cs="Arial"/>
                <w:color w:val="000000"/>
                <w:sz w:val="18"/>
                <w:szCs w:val="18"/>
                <w:lang w:val="nl-NL" w:eastAsia="en-US" w:bidi="ar-SA"/>
              </w:rPr>
              <w:t>Sig</w:t>
            </w:r>
            <w:proofErr w:type="spellEnd"/>
            <w:r w:rsidRPr="007A2E7E">
              <w:rPr>
                <w:rFonts w:ascii="Arial" w:hAnsi="Arial" w:cs="Arial"/>
                <w:color w:val="000000"/>
                <w:sz w:val="18"/>
                <w:szCs w:val="18"/>
                <w:lang w:val="nl-NL" w:eastAsia="en-US" w:bidi="ar-SA"/>
              </w:rPr>
              <w:t>.</w:t>
            </w:r>
          </w:p>
        </w:tc>
        <w:tc>
          <w:tcPr>
            <w:tcW w:w="1010" w:type="dxa"/>
            <w:tcBorders>
              <w:bottom w:val="single" w:sz="16" w:space="0" w:color="000000"/>
            </w:tcBorders>
            <w:shd w:val="clear" w:color="auto" w:fill="FFFFFF"/>
            <w:vAlign w:val="bottom"/>
          </w:tcPr>
          <w:p w:rsidR="00D91755" w:rsidRPr="007A2E7E" w:rsidRDefault="00D91755"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A2E7E">
              <w:rPr>
                <w:rFonts w:ascii="Arial" w:hAnsi="Arial" w:cs="Arial"/>
                <w:color w:val="000000"/>
                <w:sz w:val="18"/>
                <w:szCs w:val="18"/>
                <w:lang w:val="nl-NL" w:eastAsia="en-US" w:bidi="ar-SA"/>
              </w:rPr>
              <w:t>Statistic</w:t>
            </w:r>
            <w:proofErr w:type="spellEnd"/>
          </w:p>
        </w:tc>
        <w:tc>
          <w:tcPr>
            <w:tcW w:w="1010" w:type="dxa"/>
            <w:tcBorders>
              <w:bottom w:val="single" w:sz="16" w:space="0" w:color="000000"/>
            </w:tcBorders>
            <w:shd w:val="clear" w:color="auto" w:fill="FFFFFF"/>
            <w:vAlign w:val="bottom"/>
          </w:tcPr>
          <w:p w:rsidR="00D91755" w:rsidRPr="007A2E7E" w:rsidRDefault="00D91755"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A2E7E">
              <w:rPr>
                <w:rFonts w:ascii="Arial" w:hAnsi="Arial" w:cs="Arial"/>
                <w:color w:val="000000"/>
                <w:sz w:val="18"/>
                <w:szCs w:val="18"/>
                <w:lang w:val="nl-NL" w:eastAsia="en-US" w:bidi="ar-SA"/>
              </w:rPr>
              <w:t>df</w:t>
            </w:r>
            <w:proofErr w:type="spellEnd"/>
          </w:p>
        </w:tc>
        <w:tc>
          <w:tcPr>
            <w:tcW w:w="1010" w:type="dxa"/>
            <w:tcBorders>
              <w:bottom w:val="single" w:sz="16" w:space="0" w:color="000000"/>
              <w:right w:val="single" w:sz="16" w:space="0" w:color="000000"/>
            </w:tcBorders>
            <w:shd w:val="clear" w:color="auto" w:fill="FFFFFF"/>
            <w:vAlign w:val="bottom"/>
          </w:tcPr>
          <w:p w:rsidR="00D91755" w:rsidRPr="007A2E7E" w:rsidRDefault="00D91755"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A2E7E">
              <w:rPr>
                <w:rFonts w:ascii="Arial" w:hAnsi="Arial" w:cs="Arial"/>
                <w:color w:val="000000"/>
                <w:sz w:val="18"/>
                <w:szCs w:val="18"/>
                <w:lang w:val="nl-NL" w:eastAsia="en-US" w:bidi="ar-SA"/>
              </w:rPr>
              <w:t>Sig</w:t>
            </w:r>
            <w:proofErr w:type="spellEnd"/>
            <w:r w:rsidRPr="007A2E7E">
              <w:rPr>
                <w:rFonts w:ascii="Arial" w:hAnsi="Arial" w:cs="Arial"/>
                <w:color w:val="000000"/>
                <w:sz w:val="18"/>
                <w:szCs w:val="18"/>
                <w:lang w:val="nl-NL" w:eastAsia="en-US" w:bidi="ar-SA"/>
              </w:rPr>
              <w:t>.</w:t>
            </w:r>
          </w:p>
        </w:tc>
      </w:tr>
      <w:tr w:rsidR="00D91755" w:rsidRPr="007A2E7E" w:rsidTr="00EF6972">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 xml:space="preserve">2006 Word </w:t>
            </w:r>
            <w:proofErr w:type="spellStart"/>
            <w:r w:rsidRPr="007A2E7E">
              <w:rPr>
                <w:rFonts w:ascii="Arial" w:hAnsi="Arial" w:cs="Arial"/>
                <w:color w:val="000000"/>
                <w:sz w:val="18"/>
                <w:szCs w:val="18"/>
                <w:lang w:val="nl-NL" w:eastAsia="en-US" w:bidi="ar-SA"/>
              </w:rPr>
              <w:t>count</w:t>
            </w:r>
            <w:proofErr w:type="spellEnd"/>
            <w:r w:rsidRPr="007A2E7E">
              <w:rPr>
                <w:rFonts w:ascii="Arial" w:hAnsi="Arial" w:cs="Arial"/>
                <w:color w:val="000000"/>
                <w:sz w:val="18"/>
                <w:szCs w:val="18"/>
                <w:lang w:val="nl-NL" w:eastAsia="en-US" w:bidi="ar-SA"/>
              </w:rPr>
              <w:t xml:space="preserve"> </w:t>
            </w:r>
            <w:proofErr w:type="spellStart"/>
            <w:r w:rsidRPr="007A2E7E">
              <w:rPr>
                <w:rFonts w:ascii="Arial" w:hAnsi="Arial" w:cs="Arial"/>
                <w:color w:val="000000"/>
                <w:sz w:val="18"/>
                <w:szCs w:val="18"/>
                <w:lang w:val="nl-NL" w:eastAsia="en-US" w:bidi="ar-SA"/>
              </w:rPr>
              <w:t>investment</w:t>
            </w:r>
            <w:proofErr w:type="spellEnd"/>
            <w:r w:rsidRPr="007A2E7E">
              <w:rPr>
                <w:rFonts w:ascii="Arial" w:hAnsi="Arial" w:cs="Arial"/>
                <w:color w:val="000000"/>
                <w:sz w:val="18"/>
                <w:szCs w:val="18"/>
                <w:lang w:val="nl-NL" w:eastAsia="en-US" w:bidi="ar-SA"/>
              </w:rPr>
              <w:t xml:space="preserve"> risk</w:t>
            </w:r>
          </w:p>
        </w:tc>
        <w:tc>
          <w:tcPr>
            <w:tcW w:w="1011" w:type="dxa"/>
            <w:tcBorders>
              <w:top w:val="single" w:sz="16" w:space="0" w:color="000000"/>
              <w:left w:val="single" w:sz="16" w:space="0" w:color="000000"/>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.199</w:t>
            </w:r>
          </w:p>
        </w:tc>
        <w:tc>
          <w:tcPr>
            <w:tcW w:w="1010" w:type="dxa"/>
            <w:tcBorders>
              <w:top w:val="single" w:sz="16" w:space="0" w:color="000000"/>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25</w:t>
            </w:r>
          </w:p>
        </w:tc>
        <w:tc>
          <w:tcPr>
            <w:tcW w:w="1010" w:type="dxa"/>
            <w:tcBorders>
              <w:top w:val="single" w:sz="16" w:space="0" w:color="000000"/>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.012</w:t>
            </w:r>
          </w:p>
        </w:tc>
        <w:tc>
          <w:tcPr>
            <w:tcW w:w="1010" w:type="dxa"/>
            <w:tcBorders>
              <w:top w:val="single" w:sz="16" w:space="0" w:color="000000"/>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.828</w:t>
            </w:r>
          </w:p>
        </w:tc>
        <w:tc>
          <w:tcPr>
            <w:tcW w:w="1010" w:type="dxa"/>
            <w:tcBorders>
              <w:top w:val="single" w:sz="16" w:space="0" w:color="000000"/>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25</w:t>
            </w:r>
          </w:p>
        </w:tc>
        <w:tc>
          <w:tcPr>
            <w:tcW w:w="1010" w:type="dxa"/>
            <w:tcBorders>
              <w:top w:val="single" w:sz="16" w:space="0" w:color="000000"/>
              <w:bottom w:val="nil"/>
              <w:right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.001</w:t>
            </w:r>
          </w:p>
        </w:tc>
      </w:tr>
      <w:tr w:rsidR="00D91755" w:rsidRPr="007A2E7E" w:rsidTr="00EF6972">
        <w:trPr>
          <w:cantSplit/>
          <w:tblHeader/>
        </w:trPr>
        <w:tc>
          <w:tcPr>
            <w:tcW w:w="2427" w:type="dxa"/>
            <w:tcBorders>
              <w:top w:val="nil"/>
              <w:left w:val="single" w:sz="16" w:space="0" w:color="000000"/>
              <w:bottom w:val="nil"/>
              <w:right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 xml:space="preserve">2007 Word </w:t>
            </w:r>
            <w:proofErr w:type="spellStart"/>
            <w:r w:rsidRPr="007A2E7E">
              <w:rPr>
                <w:rFonts w:ascii="Arial" w:hAnsi="Arial" w:cs="Arial"/>
                <w:color w:val="000000"/>
                <w:sz w:val="18"/>
                <w:szCs w:val="18"/>
                <w:lang w:val="nl-NL" w:eastAsia="en-US" w:bidi="ar-SA"/>
              </w:rPr>
              <w:t>count</w:t>
            </w:r>
            <w:proofErr w:type="spellEnd"/>
            <w:r w:rsidRPr="007A2E7E">
              <w:rPr>
                <w:rFonts w:ascii="Arial" w:hAnsi="Arial" w:cs="Arial"/>
                <w:color w:val="000000"/>
                <w:sz w:val="18"/>
                <w:szCs w:val="18"/>
                <w:lang w:val="nl-NL" w:eastAsia="en-US" w:bidi="ar-SA"/>
              </w:rPr>
              <w:t xml:space="preserve"> </w:t>
            </w:r>
            <w:proofErr w:type="spellStart"/>
            <w:r w:rsidRPr="007A2E7E">
              <w:rPr>
                <w:rFonts w:ascii="Arial" w:hAnsi="Arial" w:cs="Arial"/>
                <w:color w:val="000000"/>
                <w:sz w:val="18"/>
                <w:szCs w:val="18"/>
                <w:lang w:val="nl-NL" w:eastAsia="en-US" w:bidi="ar-SA"/>
              </w:rPr>
              <w:t>investment</w:t>
            </w:r>
            <w:proofErr w:type="spellEnd"/>
            <w:r w:rsidRPr="007A2E7E">
              <w:rPr>
                <w:rFonts w:ascii="Arial" w:hAnsi="Arial" w:cs="Arial"/>
                <w:color w:val="000000"/>
                <w:sz w:val="18"/>
                <w:szCs w:val="18"/>
                <w:lang w:val="nl-NL" w:eastAsia="en-US" w:bidi="ar-SA"/>
              </w:rPr>
              <w:t xml:space="preserve"> risk</w:t>
            </w:r>
          </w:p>
        </w:tc>
        <w:tc>
          <w:tcPr>
            <w:tcW w:w="1011" w:type="dxa"/>
            <w:tcBorders>
              <w:top w:val="nil"/>
              <w:left w:val="single" w:sz="16" w:space="0" w:color="000000"/>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.088</w:t>
            </w:r>
          </w:p>
        </w:tc>
        <w:tc>
          <w:tcPr>
            <w:tcW w:w="1010" w:type="dxa"/>
            <w:tcBorders>
              <w:top w:val="nil"/>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25</w:t>
            </w:r>
          </w:p>
        </w:tc>
        <w:tc>
          <w:tcPr>
            <w:tcW w:w="1010" w:type="dxa"/>
            <w:tcBorders>
              <w:top w:val="nil"/>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.200</w:t>
            </w:r>
            <w:r w:rsidRPr="007A2E7E">
              <w:rPr>
                <w:rFonts w:ascii="Arial" w:hAnsi="Arial" w:cs="Arial"/>
                <w:color w:val="000000"/>
                <w:sz w:val="18"/>
                <w:szCs w:val="18"/>
                <w:vertAlign w:val="superscript"/>
                <w:lang w:val="nl-NL" w:eastAsia="en-US" w:bidi="ar-SA"/>
              </w:rPr>
              <w:t>*</w:t>
            </w:r>
          </w:p>
        </w:tc>
        <w:tc>
          <w:tcPr>
            <w:tcW w:w="1010" w:type="dxa"/>
            <w:tcBorders>
              <w:top w:val="nil"/>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.970</w:t>
            </w:r>
          </w:p>
        </w:tc>
        <w:tc>
          <w:tcPr>
            <w:tcW w:w="1010" w:type="dxa"/>
            <w:tcBorders>
              <w:top w:val="nil"/>
              <w:bottom w:val="nil"/>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25</w:t>
            </w:r>
          </w:p>
        </w:tc>
        <w:tc>
          <w:tcPr>
            <w:tcW w:w="1010" w:type="dxa"/>
            <w:tcBorders>
              <w:top w:val="nil"/>
              <w:bottom w:val="nil"/>
              <w:right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.633</w:t>
            </w:r>
          </w:p>
        </w:tc>
      </w:tr>
      <w:tr w:rsidR="00D91755" w:rsidRPr="007A2E7E" w:rsidTr="00EF6972">
        <w:trPr>
          <w:cantSplit/>
          <w:tblHeader/>
        </w:trPr>
        <w:tc>
          <w:tcPr>
            <w:tcW w:w="2427" w:type="dxa"/>
            <w:tcBorders>
              <w:top w:val="nil"/>
              <w:left w:val="single" w:sz="16" w:space="0" w:color="000000"/>
              <w:bottom w:val="single" w:sz="16" w:space="0" w:color="000000"/>
              <w:right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 xml:space="preserve">2011 Word </w:t>
            </w:r>
            <w:proofErr w:type="spellStart"/>
            <w:r w:rsidRPr="007A2E7E">
              <w:rPr>
                <w:rFonts w:ascii="Arial" w:hAnsi="Arial" w:cs="Arial"/>
                <w:color w:val="000000"/>
                <w:sz w:val="18"/>
                <w:szCs w:val="18"/>
                <w:lang w:val="nl-NL" w:eastAsia="en-US" w:bidi="ar-SA"/>
              </w:rPr>
              <w:t>count</w:t>
            </w:r>
            <w:proofErr w:type="spellEnd"/>
            <w:r w:rsidRPr="007A2E7E">
              <w:rPr>
                <w:rFonts w:ascii="Arial" w:hAnsi="Arial" w:cs="Arial"/>
                <w:color w:val="000000"/>
                <w:sz w:val="18"/>
                <w:szCs w:val="18"/>
                <w:lang w:val="nl-NL" w:eastAsia="en-US" w:bidi="ar-SA"/>
              </w:rPr>
              <w:t xml:space="preserve"> </w:t>
            </w:r>
            <w:proofErr w:type="spellStart"/>
            <w:r w:rsidRPr="007A2E7E">
              <w:rPr>
                <w:rFonts w:ascii="Arial" w:hAnsi="Arial" w:cs="Arial"/>
                <w:color w:val="000000"/>
                <w:sz w:val="18"/>
                <w:szCs w:val="18"/>
                <w:lang w:val="nl-NL" w:eastAsia="en-US" w:bidi="ar-SA"/>
              </w:rPr>
              <w:t>investment</w:t>
            </w:r>
            <w:proofErr w:type="spellEnd"/>
            <w:r w:rsidRPr="007A2E7E">
              <w:rPr>
                <w:rFonts w:ascii="Arial" w:hAnsi="Arial" w:cs="Arial"/>
                <w:color w:val="000000"/>
                <w:sz w:val="18"/>
                <w:szCs w:val="18"/>
                <w:lang w:val="nl-NL" w:eastAsia="en-US" w:bidi="ar-SA"/>
              </w:rPr>
              <w:t xml:space="preserve"> risk</w:t>
            </w:r>
          </w:p>
        </w:tc>
        <w:tc>
          <w:tcPr>
            <w:tcW w:w="1011" w:type="dxa"/>
            <w:tcBorders>
              <w:top w:val="nil"/>
              <w:left w:val="single" w:sz="16" w:space="0" w:color="000000"/>
              <w:bottom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.092</w:t>
            </w:r>
          </w:p>
        </w:tc>
        <w:tc>
          <w:tcPr>
            <w:tcW w:w="1010" w:type="dxa"/>
            <w:tcBorders>
              <w:top w:val="nil"/>
              <w:bottom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25</w:t>
            </w:r>
          </w:p>
        </w:tc>
        <w:tc>
          <w:tcPr>
            <w:tcW w:w="1010" w:type="dxa"/>
            <w:tcBorders>
              <w:top w:val="nil"/>
              <w:bottom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.200</w:t>
            </w:r>
            <w:r w:rsidRPr="007A2E7E">
              <w:rPr>
                <w:rFonts w:ascii="Arial" w:hAnsi="Arial" w:cs="Arial"/>
                <w:color w:val="000000"/>
                <w:sz w:val="18"/>
                <w:szCs w:val="18"/>
                <w:vertAlign w:val="superscript"/>
                <w:lang w:val="nl-NL" w:eastAsia="en-US" w:bidi="ar-SA"/>
              </w:rPr>
              <w:t>*</w:t>
            </w:r>
          </w:p>
        </w:tc>
        <w:tc>
          <w:tcPr>
            <w:tcW w:w="1010" w:type="dxa"/>
            <w:tcBorders>
              <w:top w:val="nil"/>
              <w:bottom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.978</w:t>
            </w:r>
          </w:p>
        </w:tc>
        <w:tc>
          <w:tcPr>
            <w:tcW w:w="1010" w:type="dxa"/>
            <w:tcBorders>
              <w:top w:val="nil"/>
              <w:bottom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25</w:t>
            </w:r>
          </w:p>
        </w:tc>
        <w:tc>
          <w:tcPr>
            <w:tcW w:w="1010" w:type="dxa"/>
            <w:tcBorders>
              <w:top w:val="nil"/>
              <w:bottom w:val="single" w:sz="16" w:space="0" w:color="000000"/>
              <w:right w:val="single" w:sz="16" w:space="0" w:color="000000"/>
            </w:tcBorders>
            <w:shd w:val="clear" w:color="auto" w:fill="FFFFFF"/>
          </w:tcPr>
          <w:p w:rsidR="00D91755" w:rsidRPr="007A2E7E" w:rsidRDefault="00D91755"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7A2E7E">
              <w:rPr>
                <w:rFonts w:ascii="Arial" w:hAnsi="Arial" w:cs="Arial"/>
                <w:color w:val="000000"/>
                <w:sz w:val="18"/>
                <w:szCs w:val="18"/>
                <w:lang w:val="nl-NL" w:eastAsia="en-US" w:bidi="ar-SA"/>
              </w:rPr>
              <w:t>.850</w:t>
            </w:r>
          </w:p>
        </w:tc>
      </w:tr>
      <w:tr w:rsidR="00D91755" w:rsidRPr="007A2E7E" w:rsidTr="00EF6972">
        <w:trPr>
          <w:cantSplit/>
        </w:trPr>
        <w:tc>
          <w:tcPr>
            <w:tcW w:w="8488" w:type="dxa"/>
            <w:gridSpan w:val="7"/>
            <w:tcBorders>
              <w:top w:val="nil"/>
              <w:left w:val="nil"/>
              <w:bottom w:val="nil"/>
              <w:right w:val="nil"/>
            </w:tcBorders>
            <w:shd w:val="clear" w:color="auto" w:fill="FFFFFF"/>
          </w:tcPr>
          <w:p w:rsidR="00D91755" w:rsidRPr="007A2E7E" w:rsidRDefault="00D91755" w:rsidP="009440AE">
            <w:pPr>
              <w:autoSpaceDE w:val="0"/>
              <w:autoSpaceDN w:val="0"/>
              <w:adjustRightInd w:val="0"/>
              <w:spacing w:line="320" w:lineRule="atLeast"/>
              <w:ind w:left="60" w:right="60"/>
              <w:rPr>
                <w:rFonts w:ascii="Arial" w:hAnsi="Arial" w:cs="Arial"/>
                <w:color w:val="000000"/>
                <w:sz w:val="18"/>
                <w:szCs w:val="18"/>
                <w:lang w:val="en-US" w:eastAsia="en-US" w:bidi="ar-SA"/>
              </w:rPr>
            </w:pPr>
            <w:r w:rsidRPr="007A2E7E">
              <w:rPr>
                <w:rFonts w:ascii="Arial" w:hAnsi="Arial" w:cs="Arial"/>
                <w:color w:val="000000"/>
                <w:sz w:val="18"/>
                <w:szCs w:val="18"/>
                <w:lang w:val="en-US" w:eastAsia="en-US" w:bidi="ar-SA"/>
              </w:rPr>
              <w:t xml:space="preserve">a. </w:t>
            </w:r>
            <w:proofErr w:type="spellStart"/>
            <w:r w:rsidRPr="007A2E7E">
              <w:rPr>
                <w:rFonts w:ascii="Arial" w:hAnsi="Arial" w:cs="Arial"/>
                <w:color w:val="000000"/>
                <w:sz w:val="18"/>
                <w:szCs w:val="18"/>
                <w:lang w:val="en-US" w:eastAsia="en-US" w:bidi="ar-SA"/>
              </w:rPr>
              <w:t>Lilliefors</w:t>
            </w:r>
            <w:proofErr w:type="spellEnd"/>
            <w:r w:rsidRPr="007A2E7E">
              <w:rPr>
                <w:rFonts w:ascii="Arial" w:hAnsi="Arial" w:cs="Arial"/>
                <w:color w:val="000000"/>
                <w:sz w:val="18"/>
                <w:szCs w:val="18"/>
                <w:lang w:val="en-US" w:eastAsia="en-US" w:bidi="ar-SA"/>
              </w:rPr>
              <w:t xml:space="preserve"> Significance Correction</w:t>
            </w:r>
          </w:p>
          <w:p w:rsidR="00D91755" w:rsidRPr="007A2E7E" w:rsidRDefault="00D91755" w:rsidP="009440AE">
            <w:pPr>
              <w:autoSpaceDE w:val="0"/>
              <w:autoSpaceDN w:val="0"/>
              <w:adjustRightInd w:val="0"/>
              <w:spacing w:line="320" w:lineRule="atLeast"/>
              <w:ind w:left="60" w:right="60"/>
              <w:rPr>
                <w:rFonts w:ascii="Arial" w:hAnsi="Arial" w:cs="Arial"/>
                <w:color w:val="000000"/>
                <w:sz w:val="18"/>
                <w:szCs w:val="18"/>
                <w:lang w:val="en-US" w:eastAsia="en-US" w:bidi="ar-SA"/>
              </w:rPr>
            </w:pPr>
            <w:r w:rsidRPr="007A2E7E">
              <w:rPr>
                <w:rFonts w:ascii="Arial" w:hAnsi="Arial" w:cs="Arial"/>
                <w:color w:val="000000"/>
                <w:sz w:val="18"/>
                <w:szCs w:val="18"/>
                <w:lang w:val="en-US" w:eastAsia="en-US" w:bidi="ar-SA"/>
              </w:rPr>
              <w:t>*. This is a lower bound of the true significance.</w:t>
            </w:r>
          </w:p>
        </w:tc>
      </w:tr>
    </w:tbl>
    <w:p w:rsidR="00D91755" w:rsidRDefault="00EF6972" w:rsidP="00D91755">
      <w:pPr>
        <w:autoSpaceDE w:val="0"/>
        <w:autoSpaceDN w:val="0"/>
        <w:adjustRightInd w:val="0"/>
        <w:spacing w:line="400" w:lineRule="atLeast"/>
        <w:rPr>
          <w:rFonts w:cs="Times New Roman"/>
          <w:lang w:val="en-US" w:eastAsia="en-US" w:bidi="ar-SA"/>
        </w:rPr>
      </w:pPr>
      <w:r w:rsidRPr="0006603A">
        <w:rPr>
          <w:rFonts w:cs="Times New Roman"/>
          <w:sz w:val="20"/>
          <w:szCs w:val="20"/>
          <w:lang w:val="en-US" w:eastAsia="en-US" w:bidi="ar-SA"/>
        </w:rPr>
        <w:t>Table</w:t>
      </w:r>
      <w:r w:rsidR="00AB5CB6">
        <w:rPr>
          <w:rFonts w:cs="Times New Roman"/>
          <w:sz w:val="20"/>
          <w:szCs w:val="20"/>
          <w:lang w:val="en-US" w:eastAsia="en-US" w:bidi="ar-SA"/>
        </w:rPr>
        <w:t>12</w:t>
      </w:r>
      <w:r w:rsidRPr="0006603A">
        <w:rPr>
          <w:rFonts w:cs="Times New Roman"/>
          <w:sz w:val="20"/>
          <w:szCs w:val="20"/>
          <w:lang w:val="en-US" w:eastAsia="en-US" w:bidi="ar-SA"/>
        </w:rPr>
        <w:t xml:space="preserve">: </w:t>
      </w:r>
      <w:r>
        <w:rPr>
          <w:rFonts w:cs="Times New Roman"/>
          <w:sz w:val="20"/>
          <w:szCs w:val="20"/>
          <w:lang w:val="en-US" w:eastAsia="en-US" w:bidi="ar-SA"/>
        </w:rPr>
        <w:t>Test of normality applied to word count investment risk 2006, 2007 and 2011</w:t>
      </w:r>
    </w:p>
    <w:p w:rsidR="00EF6972" w:rsidRDefault="00EF6972" w:rsidP="00D91755">
      <w:pPr>
        <w:autoSpaceDE w:val="0"/>
        <w:autoSpaceDN w:val="0"/>
        <w:adjustRightInd w:val="0"/>
        <w:spacing w:line="400" w:lineRule="atLeast"/>
        <w:rPr>
          <w:rFonts w:cs="Times New Roman"/>
          <w:lang w:val="en-US" w:eastAsia="en-US" w:bidi="ar-SA"/>
        </w:rPr>
      </w:pPr>
    </w:p>
    <w:p w:rsidR="00D91755" w:rsidRDefault="00D91755" w:rsidP="00961508">
      <w:pPr>
        <w:spacing w:line="360" w:lineRule="auto"/>
        <w:jc w:val="both"/>
        <w:rPr>
          <w:lang w:val="en-US"/>
        </w:rPr>
      </w:pPr>
      <w:r w:rsidRPr="003C0656">
        <w:rPr>
          <w:lang w:val="en-US"/>
        </w:rPr>
        <w:t>Applying the Shapiro-</w:t>
      </w:r>
      <w:proofErr w:type="spellStart"/>
      <w:r w:rsidRPr="003C0656">
        <w:rPr>
          <w:lang w:val="en-US"/>
        </w:rPr>
        <w:t>W</w:t>
      </w:r>
      <w:r>
        <w:rPr>
          <w:lang w:val="en-US"/>
        </w:rPr>
        <w:t>ilk</w:t>
      </w:r>
      <w:proofErr w:type="spellEnd"/>
      <w:r>
        <w:rPr>
          <w:lang w:val="en-US"/>
        </w:rPr>
        <w:t xml:space="preserve"> test, the significant value is with 0.001 </w:t>
      </w:r>
      <w:r w:rsidRPr="003C0656">
        <w:rPr>
          <w:lang w:val="en-US"/>
        </w:rPr>
        <w:t xml:space="preserve">regarding the word count investment risk in </w:t>
      </w:r>
      <w:r>
        <w:rPr>
          <w:lang w:val="en-US"/>
        </w:rPr>
        <w:t>2006</w:t>
      </w:r>
      <w:r w:rsidRPr="003C0656">
        <w:rPr>
          <w:lang w:val="en-US"/>
        </w:rPr>
        <w:t xml:space="preserve"> </w:t>
      </w:r>
      <w:r>
        <w:rPr>
          <w:lang w:val="en-US"/>
        </w:rPr>
        <w:t>lower</w:t>
      </w:r>
      <w:r w:rsidRPr="003C0656">
        <w:rPr>
          <w:lang w:val="en-US"/>
        </w:rPr>
        <w:t xml:space="preserve"> than 0.05. Th</w:t>
      </w:r>
      <w:r>
        <w:rPr>
          <w:lang w:val="en-US"/>
        </w:rPr>
        <w:t>erefore, the 2006 data is not normally distributed. With regard to the 2007 and 2011 data, the significant values are higher than 0.05, and the distributions can be considered as normally distributed.</w:t>
      </w:r>
    </w:p>
    <w:p w:rsidR="00D91755" w:rsidRDefault="00D91755" w:rsidP="00961508">
      <w:pPr>
        <w:spacing w:line="360" w:lineRule="auto"/>
        <w:jc w:val="both"/>
        <w:rPr>
          <w:lang w:val="en-US"/>
        </w:rPr>
      </w:pPr>
    </w:p>
    <w:p w:rsidR="00017045" w:rsidRDefault="007E4534" w:rsidP="00D370CB">
      <w:pPr>
        <w:spacing w:line="360" w:lineRule="auto"/>
        <w:jc w:val="both"/>
        <w:rPr>
          <w:lang w:val="en-US"/>
        </w:rPr>
      </w:pPr>
      <w:r>
        <w:rPr>
          <w:lang w:val="en-US"/>
        </w:rPr>
        <w:t>In figure 4, 5 and 6</w:t>
      </w:r>
      <w:r w:rsidR="00D91755">
        <w:rPr>
          <w:lang w:val="en-US"/>
        </w:rPr>
        <w:t xml:space="preserve">, the normal Q-Q charts plot the expected values in case of a normal distribution against the values that have actually been observed in the financial statements (Field, 2005). This supports also visually that the 2007 and 2011 data are normally distributed as the majority of the observed values, depicted as dots, are plotted very close to the expected values which have been depicted as the straight line (Field, 2005). </w:t>
      </w:r>
      <w:r w:rsidR="00E727A2">
        <w:rPr>
          <w:lang w:val="en-US"/>
        </w:rPr>
        <w:t xml:space="preserve">It is remarkable that the 2006 figures are that distant of normality, compared to the 2007 and 2011 figures. </w:t>
      </w:r>
      <w:r w:rsidR="00F2535D">
        <w:rPr>
          <w:lang w:val="en-US"/>
        </w:rPr>
        <w:t xml:space="preserve">The earlier in this paragraph referenced theories of </w:t>
      </w:r>
      <w:proofErr w:type="spellStart"/>
      <w:r w:rsidR="00F2535D">
        <w:rPr>
          <w:lang w:val="en-US"/>
        </w:rPr>
        <w:t>Buz</w:t>
      </w:r>
      <w:r w:rsidR="001D1D88">
        <w:rPr>
          <w:lang w:val="en-US"/>
        </w:rPr>
        <w:t>by</w:t>
      </w:r>
      <w:proofErr w:type="spellEnd"/>
      <w:r w:rsidR="001D1D88">
        <w:rPr>
          <w:lang w:val="en-US"/>
        </w:rPr>
        <w:t xml:space="preserve"> (1975) and Cooke (1989) will have had their</w:t>
      </w:r>
      <w:r w:rsidR="00F2535D">
        <w:rPr>
          <w:lang w:val="en-US"/>
        </w:rPr>
        <w:t xml:space="preserve"> impact on the nonparametric features of the 2006 figures.</w:t>
      </w:r>
    </w:p>
    <w:p w:rsidR="00D91755" w:rsidRPr="003C0656" w:rsidRDefault="00E727A2" w:rsidP="00D370CB">
      <w:pPr>
        <w:spacing w:line="360" w:lineRule="auto"/>
        <w:jc w:val="both"/>
        <w:rPr>
          <w:lang w:val="en-US"/>
        </w:rPr>
      </w:pPr>
      <w:r>
        <w:rPr>
          <w:lang w:val="en-US"/>
        </w:rPr>
        <w:t xml:space="preserve"> </w:t>
      </w:r>
    </w:p>
    <w:p w:rsidR="00D91755" w:rsidRPr="00996C4E" w:rsidRDefault="00D91755" w:rsidP="00D91755">
      <w:pPr>
        <w:autoSpaceDE w:val="0"/>
        <w:autoSpaceDN w:val="0"/>
        <w:adjustRightInd w:val="0"/>
        <w:spacing w:line="320" w:lineRule="atLeast"/>
        <w:ind w:left="60" w:right="60"/>
        <w:rPr>
          <w:rFonts w:cs="Times New Roman"/>
          <w:color w:val="000000"/>
          <w:lang w:val="en-US" w:eastAsia="en-US" w:bidi="ar-SA"/>
        </w:rPr>
      </w:pPr>
      <w:r>
        <w:rPr>
          <w:rFonts w:cs="Times New Roman"/>
          <w:noProof/>
          <w:color w:val="000000"/>
          <w:lang w:val="nl-NL" w:eastAsia="nl-NL" w:bidi="ar-SA"/>
        </w:rPr>
        <w:drawing>
          <wp:inline distT="0" distB="0" distL="0" distR="0">
            <wp:extent cx="2685795" cy="2147776"/>
            <wp:effectExtent l="19050" t="0" r="255" b="0"/>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03864" cy="2162225"/>
                    </a:xfrm>
                    <a:prstGeom prst="rect">
                      <a:avLst/>
                    </a:prstGeom>
                    <a:noFill/>
                    <a:ln w="9525">
                      <a:noFill/>
                      <a:miter lim="800000"/>
                      <a:headEnd/>
                      <a:tailEnd/>
                    </a:ln>
                  </pic:spPr>
                </pic:pic>
              </a:graphicData>
            </a:graphic>
          </wp:inline>
        </w:drawing>
      </w:r>
      <w:r>
        <w:rPr>
          <w:rFonts w:cs="Times New Roman"/>
          <w:color w:val="000000"/>
          <w:lang w:val="en-US" w:eastAsia="en-US" w:bidi="ar-SA"/>
        </w:rPr>
        <w:t xml:space="preserve">  </w:t>
      </w:r>
      <w:r w:rsidRPr="007A2E7E">
        <w:rPr>
          <w:rFonts w:cs="Times New Roman"/>
          <w:noProof/>
          <w:color w:val="000000"/>
          <w:lang w:val="nl-NL" w:eastAsia="nl-NL" w:bidi="ar-SA"/>
        </w:rPr>
        <w:drawing>
          <wp:inline distT="0" distB="0" distL="0" distR="0">
            <wp:extent cx="2681659" cy="2146149"/>
            <wp:effectExtent l="19050" t="0" r="4391"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693581" cy="2155691"/>
                    </a:xfrm>
                    <a:prstGeom prst="rect">
                      <a:avLst/>
                    </a:prstGeom>
                    <a:noFill/>
                    <a:ln w="9525">
                      <a:noFill/>
                      <a:miter lim="800000"/>
                      <a:headEnd/>
                      <a:tailEnd/>
                    </a:ln>
                  </pic:spPr>
                </pic:pic>
              </a:graphicData>
            </a:graphic>
          </wp:inline>
        </w:drawing>
      </w:r>
    </w:p>
    <w:p w:rsidR="00D91755" w:rsidRPr="0006603A" w:rsidRDefault="00D91755" w:rsidP="00D91755">
      <w:pPr>
        <w:autoSpaceDE w:val="0"/>
        <w:autoSpaceDN w:val="0"/>
        <w:adjustRightInd w:val="0"/>
        <w:spacing w:line="320" w:lineRule="atLeast"/>
        <w:ind w:left="60" w:right="60"/>
        <w:rPr>
          <w:rFonts w:cs="Times New Roman"/>
          <w:color w:val="000000"/>
          <w:sz w:val="20"/>
          <w:szCs w:val="20"/>
          <w:lang w:val="en-US" w:eastAsia="en-US" w:bidi="ar-SA"/>
        </w:rPr>
      </w:pPr>
      <w:r>
        <w:rPr>
          <w:rFonts w:cs="Times New Roman"/>
          <w:color w:val="000000"/>
          <w:sz w:val="20"/>
          <w:szCs w:val="20"/>
          <w:lang w:val="en-US" w:eastAsia="en-US" w:bidi="ar-SA"/>
        </w:rPr>
        <w:t xml:space="preserve">Figure </w:t>
      </w:r>
      <w:r w:rsidR="007E4534">
        <w:rPr>
          <w:rFonts w:cs="Times New Roman"/>
          <w:color w:val="000000"/>
          <w:sz w:val="20"/>
          <w:szCs w:val="20"/>
          <w:lang w:val="en-US" w:eastAsia="en-US" w:bidi="ar-SA"/>
        </w:rPr>
        <w:t>4</w:t>
      </w:r>
      <w:r w:rsidRPr="0006603A">
        <w:rPr>
          <w:rFonts w:cs="Times New Roman"/>
          <w:color w:val="000000"/>
          <w:sz w:val="20"/>
          <w:szCs w:val="20"/>
          <w:lang w:val="en-US" w:eastAsia="en-US" w:bidi="ar-SA"/>
        </w:rPr>
        <w:t xml:space="preserve">: Normal QQ-plot word count           </w:t>
      </w:r>
      <w:r w:rsidR="007E4534">
        <w:rPr>
          <w:rFonts w:cs="Times New Roman"/>
          <w:color w:val="000000"/>
          <w:sz w:val="20"/>
          <w:szCs w:val="20"/>
          <w:lang w:val="en-US" w:eastAsia="en-US" w:bidi="ar-SA"/>
        </w:rPr>
        <w:t xml:space="preserve">               Figure 5</w:t>
      </w:r>
      <w:r w:rsidRPr="0006603A">
        <w:rPr>
          <w:rFonts w:cs="Times New Roman"/>
          <w:color w:val="000000"/>
          <w:sz w:val="20"/>
          <w:szCs w:val="20"/>
          <w:lang w:val="en-US" w:eastAsia="en-US" w:bidi="ar-SA"/>
        </w:rPr>
        <w:t xml:space="preserve">: Normal QQ-plot word count </w:t>
      </w:r>
    </w:p>
    <w:p w:rsidR="00D91755" w:rsidRDefault="00526130" w:rsidP="00D91755">
      <w:pPr>
        <w:autoSpaceDE w:val="0"/>
        <w:autoSpaceDN w:val="0"/>
        <w:adjustRightInd w:val="0"/>
        <w:spacing w:line="320" w:lineRule="atLeast"/>
        <w:ind w:left="60" w:right="60"/>
        <w:rPr>
          <w:rFonts w:cs="Times New Roman"/>
          <w:color w:val="000000"/>
          <w:sz w:val="20"/>
          <w:szCs w:val="20"/>
          <w:lang w:val="en-US" w:eastAsia="en-US" w:bidi="ar-SA"/>
        </w:rPr>
      </w:pPr>
      <w:r>
        <w:rPr>
          <w:rFonts w:cs="Times New Roman"/>
          <w:color w:val="000000"/>
          <w:sz w:val="20"/>
          <w:szCs w:val="20"/>
          <w:lang w:val="en-US" w:eastAsia="en-US" w:bidi="ar-SA"/>
        </w:rPr>
        <w:t>i</w:t>
      </w:r>
      <w:r w:rsidR="00D91755" w:rsidRPr="0006603A">
        <w:rPr>
          <w:rFonts w:cs="Times New Roman"/>
          <w:color w:val="000000"/>
          <w:sz w:val="20"/>
          <w:szCs w:val="20"/>
          <w:lang w:val="en-US" w:eastAsia="en-US" w:bidi="ar-SA"/>
        </w:rPr>
        <w:t>nvestmen</w:t>
      </w:r>
      <w:r>
        <w:rPr>
          <w:rFonts w:cs="Times New Roman"/>
          <w:color w:val="000000"/>
          <w:sz w:val="20"/>
          <w:szCs w:val="20"/>
          <w:lang w:val="en-US" w:eastAsia="en-US" w:bidi="ar-SA"/>
        </w:rPr>
        <w:t xml:space="preserve">t </w:t>
      </w:r>
      <w:r w:rsidR="00D91755">
        <w:rPr>
          <w:rFonts w:cs="Times New Roman"/>
          <w:color w:val="000000"/>
          <w:sz w:val="20"/>
          <w:szCs w:val="20"/>
          <w:lang w:val="en-US" w:eastAsia="en-US" w:bidi="ar-SA"/>
        </w:rPr>
        <w:t>risk financial statements 2006</w:t>
      </w:r>
      <w:r w:rsidR="00D91755" w:rsidRPr="0006603A">
        <w:rPr>
          <w:rFonts w:cs="Times New Roman"/>
          <w:color w:val="000000"/>
          <w:sz w:val="20"/>
          <w:szCs w:val="20"/>
          <w:lang w:val="en-US" w:eastAsia="en-US" w:bidi="ar-SA"/>
        </w:rPr>
        <w:t xml:space="preserve">     </w:t>
      </w:r>
      <w:r w:rsidR="00D91755">
        <w:rPr>
          <w:rFonts w:cs="Times New Roman"/>
          <w:color w:val="000000"/>
          <w:sz w:val="20"/>
          <w:szCs w:val="20"/>
          <w:lang w:val="en-US" w:eastAsia="en-US" w:bidi="ar-SA"/>
        </w:rPr>
        <w:t xml:space="preserve">               </w:t>
      </w:r>
      <w:r w:rsidR="00D91755" w:rsidRPr="0006603A">
        <w:rPr>
          <w:rFonts w:cs="Times New Roman"/>
          <w:color w:val="000000"/>
          <w:sz w:val="20"/>
          <w:szCs w:val="20"/>
          <w:lang w:val="en-US" w:eastAsia="en-US" w:bidi="ar-SA"/>
        </w:rPr>
        <w:t xml:space="preserve"> investmen</w:t>
      </w:r>
      <w:r w:rsidR="00D91755">
        <w:rPr>
          <w:rFonts w:cs="Times New Roman"/>
          <w:color w:val="000000"/>
          <w:sz w:val="20"/>
          <w:szCs w:val="20"/>
          <w:lang w:val="en-US" w:eastAsia="en-US" w:bidi="ar-SA"/>
        </w:rPr>
        <w:t>t risk financial statements 2007</w:t>
      </w:r>
      <w:r w:rsidR="00D91755" w:rsidRPr="0006603A">
        <w:rPr>
          <w:rFonts w:cs="Times New Roman"/>
          <w:color w:val="000000"/>
          <w:sz w:val="20"/>
          <w:szCs w:val="20"/>
          <w:lang w:val="en-US" w:eastAsia="en-US" w:bidi="ar-SA"/>
        </w:rPr>
        <w:t xml:space="preserve">  </w:t>
      </w:r>
    </w:p>
    <w:p w:rsidR="00D91755" w:rsidRDefault="00D91755" w:rsidP="00D91755">
      <w:pPr>
        <w:autoSpaceDE w:val="0"/>
        <w:autoSpaceDN w:val="0"/>
        <w:adjustRightInd w:val="0"/>
        <w:spacing w:line="320" w:lineRule="atLeast"/>
        <w:ind w:left="60" w:right="60"/>
        <w:rPr>
          <w:rFonts w:cs="Times New Roman"/>
          <w:color w:val="000000"/>
          <w:sz w:val="20"/>
          <w:szCs w:val="20"/>
          <w:lang w:val="en-US" w:eastAsia="en-US" w:bidi="ar-SA"/>
        </w:rPr>
      </w:pPr>
    </w:p>
    <w:p w:rsidR="00D91755" w:rsidRDefault="00D91755" w:rsidP="00D91755">
      <w:pPr>
        <w:autoSpaceDE w:val="0"/>
        <w:autoSpaceDN w:val="0"/>
        <w:adjustRightInd w:val="0"/>
        <w:spacing w:line="320" w:lineRule="atLeast"/>
        <w:ind w:left="60" w:right="60"/>
        <w:rPr>
          <w:rFonts w:cs="Times New Roman"/>
          <w:color w:val="000000"/>
          <w:sz w:val="20"/>
          <w:szCs w:val="20"/>
          <w:lang w:val="en-US" w:eastAsia="en-US" w:bidi="ar-SA"/>
        </w:rPr>
      </w:pPr>
      <w:r w:rsidRPr="007A2E7E">
        <w:rPr>
          <w:rFonts w:cs="Times New Roman"/>
          <w:noProof/>
          <w:color w:val="000000"/>
          <w:sz w:val="20"/>
          <w:szCs w:val="20"/>
          <w:lang w:val="nl-NL" w:eastAsia="nl-NL" w:bidi="ar-SA"/>
        </w:rPr>
        <w:drawing>
          <wp:inline distT="0" distB="0" distL="0" distR="0">
            <wp:extent cx="2554029" cy="2042405"/>
            <wp:effectExtent l="19050" t="0" r="0" b="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561784" cy="2048607"/>
                    </a:xfrm>
                    <a:prstGeom prst="rect">
                      <a:avLst/>
                    </a:prstGeom>
                    <a:noFill/>
                    <a:ln w="9525">
                      <a:noFill/>
                      <a:miter lim="800000"/>
                      <a:headEnd/>
                      <a:tailEnd/>
                    </a:ln>
                  </pic:spPr>
                </pic:pic>
              </a:graphicData>
            </a:graphic>
          </wp:inline>
        </w:drawing>
      </w:r>
    </w:p>
    <w:p w:rsidR="00D91755" w:rsidRPr="0006603A" w:rsidRDefault="00D91755" w:rsidP="00D91755">
      <w:pPr>
        <w:autoSpaceDE w:val="0"/>
        <w:autoSpaceDN w:val="0"/>
        <w:adjustRightInd w:val="0"/>
        <w:spacing w:line="320" w:lineRule="atLeast"/>
        <w:ind w:left="60" w:right="60"/>
        <w:rPr>
          <w:rFonts w:cs="Times New Roman"/>
          <w:color w:val="000000"/>
          <w:sz w:val="20"/>
          <w:szCs w:val="20"/>
          <w:lang w:val="en-US" w:eastAsia="en-US" w:bidi="ar-SA"/>
        </w:rPr>
      </w:pPr>
      <w:r w:rsidRPr="0006603A">
        <w:rPr>
          <w:rFonts w:cs="Times New Roman"/>
          <w:color w:val="000000"/>
          <w:sz w:val="20"/>
          <w:szCs w:val="20"/>
          <w:lang w:val="en-US" w:eastAsia="en-US" w:bidi="ar-SA"/>
        </w:rPr>
        <w:t xml:space="preserve">Figure </w:t>
      </w:r>
      <w:r w:rsidR="007E4534">
        <w:rPr>
          <w:rFonts w:cs="Times New Roman"/>
          <w:color w:val="000000"/>
          <w:sz w:val="20"/>
          <w:szCs w:val="20"/>
          <w:lang w:val="en-US" w:eastAsia="en-US" w:bidi="ar-SA"/>
        </w:rPr>
        <w:t>6</w:t>
      </w:r>
      <w:r w:rsidRPr="0006603A">
        <w:rPr>
          <w:rFonts w:cs="Times New Roman"/>
          <w:color w:val="000000"/>
          <w:sz w:val="20"/>
          <w:szCs w:val="20"/>
          <w:lang w:val="en-US" w:eastAsia="en-US" w:bidi="ar-SA"/>
        </w:rPr>
        <w:t xml:space="preserve">: Normal QQ-plot word count           </w:t>
      </w:r>
      <w:r>
        <w:rPr>
          <w:rFonts w:cs="Times New Roman"/>
          <w:color w:val="000000"/>
          <w:sz w:val="20"/>
          <w:szCs w:val="20"/>
          <w:lang w:val="en-US" w:eastAsia="en-US" w:bidi="ar-SA"/>
        </w:rPr>
        <w:t xml:space="preserve">               </w:t>
      </w:r>
    </w:p>
    <w:p w:rsidR="00D91755" w:rsidRPr="0006603A" w:rsidRDefault="00D91755" w:rsidP="00D91755">
      <w:pPr>
        <w:autoSpaceDE w:val="0"/>
        <w:autoSpaceDN w:val="0"/>
        <w:adjustRightInd w:val="0"/>
        <w:spacing w:line="320" w:lineRule="atLeast"/>
        <w:ind w:left="60" w:right="60"/>
        <w:rPr>
          <w:rFonts w:cs="Times New Roman"/>
          <w:color w:val="000000"/>
          <w:sz w:val="20"/>
          <w:szCs w:val="20"/>
          <w:lang w:val="en-US" w:eastAsia="en-US" w:bidi="ar-SA"/>
        </w:rPr>
      </w:pPr>
      <w:r w:rsidRPr="0006603A">
        <w:rPr>
          <w:rFonts w:cs="Times New Roman"/>
          <w:color w:val="000000"/>
          <w:sz w:val="20"/>
          <w:szCs w:val="20"/>
          <w:lang w:val="en-US" w:eastAsia="en-US" w:bidi="ar-SA"/>
        </w:rPr>
        <w:t>investmen</w:t>
      </w:r>
      <w:r>
        <w:rPr>
          <w:rFonts w:cs="Times New Roman"/>
          <w:color w:val="000000"/>
          <w:sz w:val="20"/>
          <w:szCs w:val="20"/>
          <w:lang w:val="en-US" w:eastAsia="en-US" w:bidi="ar-SA"/>
        </w:rPr>
        <w:t>t risk financial statements 2011</w:t>
      </w:r>
    </w:p>
    <w:p w:rsidR="00D91755" w:rsidRDefault="00D91755" w:rsidP="00D91755">
      <w:pPr>
        <w:autoSpaceDE w:val="0"/>
        <w:autoSpaceDN w:val="0"/>
        <w:adjustRightInd w:val="0"/>
        <w:spacing w:line="360" w:lineRule="auto"/>
        <w:rPr>
          <w:rFonts w:cs="Times New Roman"/>
          <w:lang w:val="en-US" w:eastAsia="en-US" w:bidi="ar-SA"/>
        </w:rPr>
      </w:pPr>
    </w:p>
    <w:p w:rsidR="00D91755" w:rsidRDefault="00D91755" w:rsidP="00961508">
      <w:pPr>
        <w:autoSpaceDE w:val="0"/>
        <w:autoSpaceDN w:val="0"/>
        <w:adjustRightInd w:val="0"/>
        <w:spacing w:line="360" w:lineRule="auto"/>
        <w:jc w:val="both"/>
        <w:rPr>
          <w:rFonts w:cs="Times New Roman"/>
          <w:lang w:val="en-US" w:eastAsia="en-US" w:bidi="ar-SA"/>
        </w:rPr>
      </w:pPr>
      <w:r w:rsidRPr="002D2C78">
        <w:rPr>
          <w:rFonts w:cs="Times New Roman"/>
          <w:lang w:val="en-US" w:eastAsia="en-US" w:bidi="ar-SA"/>
        </w:rPr>
        <w:t xml:space="preserve">Field (2005) describes Friedman’s ANOVA as a method to test differences between  more than two experimental conditions </w:t>
      </w:r>
      <w:r w:rsidR="00825FED">
        <w:rPr>
          <w:rFonts w:cs="Times New Roman"/>
          <w:lang w:val="en-US" w:eastAsia="en-US" w:bidi="ar-SA"/>
        </w:rPr>
        <w:t>in the situation that</w:t>
      </w:r>
      <w:r w:rsidRPr="002D2C78">
        <w:rPr>
          <w:rFonts w:cs="Times New Roman"/>
          <w:lang w:val="en-US" w:eastAsia="en-US" w:bidi="ar-SA"/>
        </w:rPr>
        <w:t xml:space="preserve"> not all data have been distributed normally. Field (2005) continues that Friedman’s ANOVA may only be applied when in all the conditions the same participants are included.</w:t>
      </w:r>
      <w:r>
        <w:rPr>
          <w:rFonts w:cs="Times New Roman"/>
          <w:lang w:val="en-US" w:eastAsia="en-US" w:bidi="ar-SA"/>
        </w:rPr>
        <w:t xml:space="preserve"> Applied to this case, in condition 2006  (the year before the start of the financial crisis), 2007 and 2011 (respectively one and four years after the start of the financial crisis) the data have been extracted from the same </w:t>
      </w:r>
      <w:r w:rsidR="00504A73">
        <w:rPr>
          <w:rFonts w:cs="Times New Roman"/>
          <w:lang w:val="en-US" w:eastAsia="en-US" w:bidi="ar-SA"/>
        </w:rPr>
        <w:t xml:space="preserve">sample of </w:t>
      </w:r>
      <w:r>
        <w:rPr>
          <w:rFonts w:cs="Times New Roman"/>
          <w:lang w:val="en-US" w:eastAsia="en-US" w:bidi="ar-SA"/>
        </w:rPr>
        <w:t xml:space="preserve">Dutch pension funds. Therefore, Friedman’s ANOVA will be applied. </w:t>
      </w:r>
    </w:p>
    <w:p w:rsidR="00682D04" w:rsidRDefault="00682D04" w:rsidP="00876084">
      <w:pPr>
        <w:autoSpaceDE w:val="0"/>
        <w:autoSpaceDN w:val="0"/>
        <w:adjustRightInd w:val="0"/>
        <w:spacing w:line="360" w:lineRule="auto"/>
        <w:rPr>
          <w:rFonts w:cs="Times New Roman"/>
          <w:i/>
          <w:lang w:val="en-US" w:eastAsia="en-US" w:bidi="ar-SA"/>
        </w:rPr>
      </w:pPr>
    </w:p>
    <w:tbl>
      <w:tblPr>
        <w:tblpPr w:leftFromText="141" w:rightFromText="141" w:vertAnchor="text" w:horzAnchor="page" w:tblpX="6301" w:tblpY="1044"/>
        <w:tblW w:w="2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21"/>
        <w:gridCol w:w="1010"/>
      </w:tblGrid>
      <w:tr w:rsidR="007343A7" w:rsidRPr="00EF6972" w:rsidTr="007343A7">
        <w:trPr>
          <w:cantSplit/>
          <w:tblHeader/>
        </w:trPr>
        <w:tc>
          <w:tcPr>
            <w:tcW w:w="2631" w:type="dxa"/>
            <w:gridSpan w:val="2"/>
            <w:tcBorders>
              <w:top w:val="nil"/>
              <w:left w:val="nil"/>
              <w:bottom w:val="single" w:sz="16" w:space="0" w:color="000000"/>
              <w:right w:val="nil"/>
            </w:tcBorders>
            <w:shd w:val="clear" w:color="auto" w:fill="FFFFFF"/>
            <w:vAlign w:val="center"/>
          </w:tcPr>
          <w:p w:rsidR="007343A7" w:rsidRPr="00EF6972" w:rsidRDefault="007343A7" w:rsidP="007343A7">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EF6972">
              <w:rPr>
                <w:rFonts w:ascii="Arial" w:hAnsi="Arial" w:cs="Arial"/>
                <w:b/>
                <w:bCs/>
                <w:color w:val="000000"/>
                <w:sz w:val="18"/>
                <w:szCs w:val="18"/>
                <w:lang w:val="nl-NL" w:eastAsia="en-US" w:bidi="ar-SA"/>
              </w:rPr>
              <w:t xml:space="preserve">Test </w:t>
            </w:r>
            <w:proofErr w:type="spellStart"/>
            <w:r w:rsidRPr="00EF6972">
              <w:rPr>
                <w:rFonts w:ascii="Arial" w:hAnsi="Arial" w:cs="Arial"/>
                <w:b/>
                <w:bCs/>
                <w:color w:val="000000"/>
                <w:sz w:val="18"/>
                <w:szCs w:val="18"/>
                <w:lang w:val="nl-NL" w:eastAsia="en-US" w:bidi="ar-SA"/>
              </w:rPr>
              <w:t>Statistics</w:t>
            </w:r>
            <w:r w:rsidRPr="00EF6972">
              <w:rPr>
                <w:rFonts w:ascii="Arial" w:hAnsi="Arial" w:cs="Arial"/>
                <w:b/>
                <w:bCs/>
                <w:color w:val="000000"/>
                <w:sz w:val="18"/>
                <w:szCs w:val="18"/>
                <w:vertAlign w:val="superscript"/>
                <w:lang w:val="nl-NL" w:eastAsia="en-US" w:bidi="ar-SA"/>
              </w:rPr>
              <w:t>a</w:t>
            </w:r>
            <w:proofErr w:type="spellEnd"/>
          </w:p>
        </w:tc>
      </w:tr>
      <w:tr w:rsidR="007343A7" w:rsidRPr="00EF6972" w:rsidTr="007343A7">
        <w:trPr>
          <w:cantSplit/>
          <w:tblHeader/>
        </w:trPr>
        <w:tc>
          <w:tcPr>
            <w:tcW w:w="1621" w:type="dxa"/>
            <w:tcBorders>
              <w:top w:val="single" w:sz="16" w:space="0" w:color="000000"/>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N</w:t>
            </w:r>
          </w:p>
        </w:tc>
        <w:tc>
          <w:tcPr>
            <w:tcW w:w="1010" w:type="dxa"/>
            <w:tcBorders>
              <w:top w:val="single" w:sz="16" w:space="0" w:color="000000"/>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25</w:t>
            </w:r>
          </w:p>
        </w:tc>
      </w:tr>
      <w:tr w:rsidR="007343A7" w:rsidRPr="00EF6972" w:rsidTr="007343A7">
        <w:trPr>
          <w:cantSplit/>
          <w:tblHeader/>
        </w:trPr>
        <w:tc>
          <w:tcPr>
            <w:tcW w:w="1621" w:type="dxa"/>
            <w:tcBorders>
              <w:top w:val="nil"/>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EF6972">
              <w:rPr>
                <w:rFonts w:ascii="Arial" w:hAnsi="Arial" w:cs="Arial"/>
                <w:color w:val="000000"/>
                <w:sz w:val="18"/>
                <w:szCs w:val="18"/>
                <w:lang w:val="nl-NL" w:eastAsia="en-US" w:bidi="ar-SA"/>
              </w:rPr>
              <w:t>Chi-Square</w:t>
            </w:r>
            <w:proofErr w:type="spellEnd"/>
          </w:p>
        </w:tc>
        <w:tc>
          <w:tcPr>
            <w:tcW w:w="1010" w:type="dxa"/>
            <w:tcBorders>
              <w:top w:val="nil"/>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46.080</w:t>
            </w:r>
          </w:p>
        </w:tc>
      </w:tr>
      <w:tr w:rsidR="007343A7" w:rsidRPr="00EF6972" w:rsidTr="007343A7">
        <w:trPr>
          <w:cantSplit/>
          <w:tblHeader/>
        </w:trPr>
        <w:tc>
          <w:tcPr>
            <w:tcW w:w="1621" w:type="dxa"/>
            <w:tcBorders>
              <w:top w:val="nil"/>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EF6972">
              <w:rPr>
                <w:rFonts w:ascii="Arial" w:hAnsi="Arial" w:cs="Arial"/>
                <w:color w:val="000000"/>
                <w:sz w:val="18"/>
                <w:szCs w:val="18"/>
                <w:lang w:val="nl-NL" w:eastAsia="en-US" w:bidi="ar-SA"/>
              </w:rPr>
              <w:t>Df</w:t>
            </w:r>
            <w:proofErr w:type="spellEnd"/>
          </w:p>
        </w:tc>
        <w:tc>
          <w:tcPr>
            <w:tcW w:w="1010" w:type="dxa"/>
            <w:tcBorders>
              <w:top w:val="nil"/>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2</w:t>
            </w:r>
          </w:p>
        </w:tc>
      </w:tr>
      <w:tr w:rsidR="007343A7" w:rsidRPr="00EF6972" w:rsidTr="007343A7">
        <w:trPr>
          <w:cantSplit/>
          <w:tblHeader/>
        </w:trPr>
        <w:tc>
          <w:tcPr>
            <w:tcW w:w="1621" w:type="dxa"/>
            <w:tcBorders>
              <w:top w:val="nil"/>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EF6972">
              <w:rPr>
                <w:rFonts w:ascii="Arial" w:hAnsi="Arial" w:cs="Arial"/>
                <w:color w:val="000000"/>
                <w:sz w:val="18"/>
                <w:szCs w:val="18"/>
                <w:lang w:val="nl-NL" w:eastAsia="en-US" w:bidi="ar-SA"/>
              </w:rPr>
              <w:t>Asymp</w:t>
            </w:r>
            <w:proofErr w:type="spellEnd"/>
            <w:r w:rsidRPr="00EF6972">
              <w:rPr>
                <w:rFonts w:ascii="Arial" w:hAnsi="Arial" w:cs="Arial"/>
                <w:color w:val="000000"/>
                <w:sz w:val="18"/>
                <w:szCs w:val="18"/>
                <w:lang w:val="nl-NL" w:eastAsia="en-US" w:bidi="ar-SA"/>
              </w:rPr>
              <w:t xml:space="preserve">. </w:t>
            </w:r>
            <w:proofErr w:type="spellStart"/>
            <w:r w:rsidRPr="00EF6972">
              <w:rPr>
                <w:rFonts w:ascii="Arial" w:hAnsi="Arial" w:cs="Arial"/>
                <w:color w:val="000000"/>
                <w:sz w:val="18"/>
                <w:szCs w:val="18"/>
                <w:lang w:val="nl-NL" w:eastAsia="en-US" w:bidi="ar-SA"/>
              </w:rPr>
              <w:t>Sig</w:t>
            </w:r>
            <w:proofErr w:type="spellEnd"/>
            <w:r w:rsidRPr="00EF6972">
              <w:rPr>
                <w:rFonts w:ascii="Arial" w:hAnsi="Arial" w:cs="Arial"/>
                <w:color w:val="000000"/>
                <w:sz w:val="18"/>
                <w:szCs w:val="18"/>
                <w:lang w:val="nl-NL" w:eastAsia="en-US" w:bidi="ar-SA"/>
              </w:rPr>
              <w:t>.</w:t>
            </w:r>
          </w:p>
        </w:tc>
        <w:tc>
          <w:tcPr>
            <w:tcW w:w="1010" w:type="dxa"/>
            <w:tcBorders>
              <w:top w:val="nil"/>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.000</w:t>
            </w:r>
          </w:p>
        </w:tc>
      </w:tr>
      <w:tr w:rsidR="007343A7" w:rsidRPr="00EF6972" w:rsidTr="007343A7">
        <w:trPr>
          <w:cantSplit/>
          <w:tblHeader/>
        </w:trPr>
        <w:tc>
          <w:tcPr>
            <w:tcW w:w="1621" w:type="dxa"/>
            <w:tcBorders>
              <w:top w:val="nil"/>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 xml:space="preserve">Exact </w:t>
            </w:r>
            <w:proofErr w:type="spellStart"/>
            <w:r w:rsidRPr="00EF6972">
              <w:rPr>
                <w:rFonts w:ascii="Arial" w:hAnsi="Arial" w:cs="Arial"/>
                <w:color w:val="000000"/>
                <w:sz w:val="18"/>
                <w:szCs w:val="18"/>
                <w:lang w:val="nl-NL" w:eastAsia="en-US" w:bidi="ar-SA"/>
              </w:rPr>
              <w:t>Sig</w:t>
            </w:r>
            <w:proofErr w:type="spellEnd"/>
            <w:r w:rsidRPr="00EF6972">
              <w:rPr>
                <w:rFonts w:ascii="Arial" w:hAnsi="Arial" w:cs="Arial"/>
                <w:color w:val="000000"/>
                <w:sz w:val="18"/>
                <w:szCs w:val="18"/>
                <w:lang w:val="nl-NL" w:eastAsia="en-US" w:bidi="ar-SA"/>
              </w:rPr>
              <w:t>.</w:t>
            </w:r>
          </w:p>
        </w:tc>
        <w:tc>
          <w:tcPr>
            <w:tcW w:w="1010" w:type="dxa"/>
            <w:tcBorders>
              <w:top w:val="nil"/>
              <w:left w:val="single" w:sz="16" w:space="0" w:color="000000"/>
              <w:bottom w:val="nil"/>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.000</w:t>
            </w:r>
          </w:p>
        </w:tc>
      </w:tr>
      <w:tr w:rsidR="007343A7" w:rsidRPr="00EF6972" w:rsidTr="007343A7">
        <w:trPr>
          <w:cantSplit/>
          <w:tblHeader/>
        </w:trPr>
        <w:tc>
          <w:tcPr>
            <w:tcW w:w="1621" w:type="dxa"/>
            <w:tcBorders>
              <w:top w:val="nil"/>
              <w:left w:val="single" w:sz="16" w:space="0" w:color="000000"/>
              <w:bottom w:val="single" w:sz="16" w:space="0" w:color="000000"/>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 xml:space="preserve">Point </w:t>
            </w:r>
            <w:proofErr w:type="spellStart"/>
            <w:r w:rsidRPr="00EF6972">
              <w:rPr>
                <w:rFonts w:ascii="Arial" w:hAnsi="Arial" w:cs="Arial"/>
                <w:color w:val="000000"/>
                <w:sz w:val="18"/>
                <w:szCs w:val="18"/>
                <w:lang w:val="nl-NL" w:eastAsia="en-US" w:bidi="ar-SA"/>
              </w:rPr>
              <w:t>Probability</w:t>
            </w:r>
            <w:proofErr w:type="spellEnd"/>
          </w:p>
        </w:tc>
        <w:tc>
          <w:tcPr>
            <w:tcW w:w="1010" w:type="dxa"/>
            <w:tcBorders>
              <w:top w:val="nil"/>
              <w:left w:val="single" w:sz="16" w:space="0" w:color="000000"/>
              <w:bottom w:val="single" w:sz="16" w:space="0" w:color="000000"/>
              <w:right w:val="single" w:sz="16" w:space="0" w:color="000000"/>
            </w:tcBorders>
            <w:shd w:val="clear" w:color="auto" w:fill="FFFFFF"/>
          </w:tcPr>
          <w:p w:rsidR="007343A7" w:rsidRPr="00EF6972" w:rsidRDefault="007343A7" w:rsidP="007343A7">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.000</w:t>
            </w:r>
          </w:p>
        </w:tc>
      </w:tr>
      <w:tr w:rsidR="007343A7" w:rsidRPr="00EF6972" w:rsidTr="007343A7">
        <w:trPr>
          <w:cantSplit/>
        </w:trPr>
        <w:tc>
          <w:tcPr>
            <w:tcW w:w="2631" w:type="dxa"/>
            <w:gridSpan w:val="2"/>
            <w:tcBorders>
              <w:top w:val="nil"/>
              <w:left w:val="nil"/>
              <w:bottom w:val="nil"/>
              <w:right w:val="nil"/>
            </w:tcBorders>
            <w:shd w:val="clear" w:color="auto" w:fill="FFFFFF"/>
          </w:tcPr>
          <w:p w:rsidR="007343A7" w:rsidRPr="00EF6972" w:rsidRDefault="007343A7" w:rsidP="007343A7">
            <w:pPr>
              <w:autoSpaceDE w:val="0"/>
              <w:autoSpaceDN w:val="0"/>
              <w:adjustRightInd w:val="0"/>
              <w:spacing w:line="320" w:lineRule="atLeast"/>
              <w:ind w:left="60" w:right="60"/>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 xml:space="preserve">a. </w:t>
            </w:r>
            <w:proofErr w:type="spellStart"/>
            <w:r w:rsidRPr="00EF6972">
              <w:rPr>
                <w:rFonts w:ascii="Arial" w:hAnsi="Arial" w:cs="Arial"/>
                <w:color w:val="000000"/>
                <w:sz w:val="18"/>
                <w:szCs w:val="18"/>
                <w:lang w:val="nl-NL" w:eastAsia="en-US" w:bidi="ar-SA"/>
              </w:rPr>
              <w:t>Friedman</w:t>
            </w:r>
            <w:proofErr w:type="spellEnd"/>
            <w:r w:rsidRPr="00EF6972">
              <w:rPr>
                <w:rFonts w:ascii="Arial" w:hAnsi="Arial" w:cs="Arial"/>
                <w:color w:val="000000"/>
                <w:sz w:val="18"/>
                <w:szCs w:val="18"/>
                <w:lang w:val="nl-NL" w:eastAsia="en-US" w:bidi="ar-SA"/>
              </w:rPr>
              <w:t xml:space="preserve"> Test</w:t>
            </w:r>
          </w:p>
        </w:tc>
      </w:tr>
    </w:tbl>
    <w:p w:rsidR="007343A7" w:rsidRDefault="00D91755" w:rsidP="007343A7">
      <w:pPr>
        <w:autoSpaceDE w:val="0"/>
        <w:autoSpaceDN w:val="0"/>
        <w:adjustRightInd w:val="0"/>
        <w:spacing w:line="360" w:lineRule="auto"/>
        <w:rPr>
          <w:rFonts w:cs="Times New Roman"/>
          <w:i/>
          <w:lang w:val="en-US" w:eastAsia="en-US" w:bidi="ar-SA"/>
        </w:rPr>
      </w:pPr>
      <w:r w:rsidRPr="002D2C78">
        <w:rPr>
          <w:rFonts w:cs="Times New Roman"/>
          <w:i/>
          <w:lang w:val="en-US" w:eastAsia="en-US" w:bidi="ar-SA"/>
        </w:rPr>
        <w:t>Friedman’</w:t>
      </w:r>
      <w:r>
        <w:rPr>
          <w:rFonts w:cs="Times New Roman"/>
          <w:i/>
          <w:lang w:val="en-US" w:eastAsia="en-US" w:bidi="ar-SA"/>
        </w:rPr>
        <w:t>s ANOVA</w:t>
      </w:r>
      <w:r w:rsidR="007343A7">
        <w:rPr>
          <w:rFonts w:cs="Times New Roman"/>
          <w:i/>
          <w:lang w:val="en-US" w:eastAsia="en-US" w:bidi="ar-SA"/>
        </w:rPr>
        <w:t xml:space="preserve"> applied to the quantity of investment risk disclosures</w:t>
      </w:r>
    </w:p>
    <w:p w:rsidR="00682D04" w:rsidRDefault="007343A7" w:rsidP="00876084">
      <w:pPr>
        <w:autoSpaceDE w:val="0"/>
        <w:autoSpaceDN w:val="0"/>
        <w:adjustRightInd w:val="0"/>
        <w:spacing w:line="360" w:lineRule="auto"/>
        <w:rPr>
          <w:rFonts w:cs="Times New Roman"/>
          <w:i/>
          <w:lang w:val="en-US" w:eastAsia="en-US" w:bidi="ar-SA"/>
        </w:rPr>
      </w:pPr>
      <w:r>
        <w:rPr>
          <w:rFonts w:cs="Times New Roman"/>
          <w:lang w:val="en-US" w:eastAsia="en-US" w:bidi="ar-SA"/>
        </w:rPr>
        <w:t>Field (2005) emphasizes that Friedman’s ANOVA uses ranks and not the scores.</w:t>
      </w:r>
    </w:p>
    <w:p w:rsidR="007343A7" w:rsidRDefault="007343A7" w:rsidP="007343A7">
      <w:pPr>
        <w:autoSpaceDE w:val="0"/>
        <w:autoSpaceDN w:val="0"/>
        <w:adjustRightInd w:val="0"/>
        <w:spacing w:line="320" w:lineRule="atLeast"/>
        <w:ind w:left="1500" w:right="60"/>
        <w:rPr>
          <w:rFonts w:cs="Times New Roman"/>
          <w:i/>
          <w:lang w:val="en-US" w:eastAsia="en-US" w:bidi="ar-SA"/>
        </w:rPr>
      </w:pPr>
      <w:r w:rsidRPr="00EF6972">
        <w:rPr>
          <w:rFonts w:ascii="Arial" w:hAnsi="Arial" w:cs="Arial"/>
          <w:b/>
          <w:bCs/>
          <w:color w:val="000000"/>
          <w:sz w:val="18"/>
          <w:szCs w:val="18"/>
          <w:lang w:val="nl-NL" w:eastAsia="en-US" w:bidi="ar-SA"/>
        </w:rPr>
        <w:t>Ranks</w:t>
      </w:r>
    </w:p>
    <w:tbl>
      <w:tblPr>
        <w:tblW w:w="3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30"/>
      </w:tblGrid>
      <w:tr w:rsidR="00682D04" w:rsidRPr="00EF6972" w:rsidTr="007659D5">
        <w:trPr>
          <w:cantSplit/>
          <w:tblHeader/>
        </w:trPr>
        <w:tc>
          <w:tcPr>
            <w:tcW w:w="242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82D04" w:rsidRPr="007343A7" w:rsidRDefault="00682D04" w:rsidP="00682D04">
            <w:pPr>
              <w:autoSpaceDE w:val="0"/>
              <w:autoSpaceDN w:val="0"/>
              <w:adjustRightInd w:val="0"/>
              <w:spacing w:line="276" w:lineRule="auto"/>
              <w:jc w:val="center"/>
              <w:rPr>
                <w:rFonts w:cs="Times New Roman"/>
                <w:lang w:val="en-US" w:eastAsia="en-US" w:bidi="ar-SA"/>
              </w:rPr>
            </w:pPr>
          </w:p>
        </w:tc>
        <w:tc>
          <w:tcPr>
            <w:tcW w:w="123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82D04" w:rsidRPr="00EF6972" w:rsidRDefault="00682D04" w:rsidP="00682D0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EF6972">
              <w:rPr>
                <w:rFonts w:ascii="Arial" w:hAnsi="Arial" w:cs="Arial"/>
                <w:color w:val="000000"/>
                <w:sz w:val="18"/>
                <w:szCs w:val="18"/>
                <w:lang w:val="nl-NL" w:eastAsia="en-US" w:bidi="ar-SA"/>
              </w:rPr>
              <w:t>Mean</w:t>
            </w:r>
            <w:proofErr w:type="spellEnd"/>
            <w:r w:rsidRPr="00EF6972">
              <w:rPr>
                <w:rFonts w:ascii="Arial" w:hAnsi="Arial" w:cs="Arial"/>
                <w:color w:val="000000"/>
                <w:sz w:val="18"/>
                <w:szCs w:val="18"/>
                <w:lang w:val="nl-NL" w:eastAsia="en-US" w:bidi="ar-SA"/>
              </w:rPr>
              <w:t xml:space="preserve"> Rank</w:t>
            </w:r>
          </w:p>
        </w:tc>
      </w:tr>
      <w:tr w:rsidR="00682D04" w:rsidRPr="00EF6972" w:rsidTr="007659D5">
        <w:trPr>
          <w:cantSplit/>
          <w:tblHeader/>
        </w:trPr>
        <w:tc>
          <w:tcPr>
            <w:tcW w:w="2426" w:type="dxa"/>
            <w:tcBorders>
              <w:top w:val="single" w:sz="16" w:space="0" w:color="000000"/>
              <w:left w:val="single" w:sz="16" w:space="0" w:color="000000"/>
              <w:bottom w:val="nil"/>
              <w:right w:val="single" w:sz="16" w:space="0" w:color="000000"/>
            </w:tcBorders>
            <w:shd w:val="clear" w:color="auto" w:fill="FFFFFF"/>
          </w:tcPr>
          <w:p w:rsidR="00682D04" w:rsidRPr="00EF6972" w:rsidRDefault="00682D04"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 xml:space="preserve">2006 Word </w:t>
            </w:r>
            <w:proofErr w:type="spellStart"/>
            <w:r w:rsidRPr="00EF6972">
              <w:rPr>
                <w:rFonts w:ascii="Arial" w:hAnsi="Arial" w:cs="Arial"/>
                <w:color w:val="000000"/>
                <w:sz w:val="18"/>
                <w:szCs w:val="18"/>
                <w:lang w:val="nl-NL" w:eastAsia="en-US" w:bidi="ar-SA"/>
              </w:rPr>
              <w:t>count</w:t>
            </w:r>
            <w:proofErr w:type="spellEnd"/>
            <w:r w:rsidRPr="00EF6972">
              <w:rPr>
                <w:rFonts w:ascii="Arial" w:hAnsi="Arial" w:cs="Arial"/>
                <w:color w:val="000000"/>
                <w:sz w:val="18"/>
                <w:szCs w:val="18"/>
                <w:lang w:val="nl-NL" w:eastAsia="en-US" w:bidi="ar-SA"/>
              </w:rPr>
              <w:t xml:space="preserve"> </w:t>
            </w:r>
            <w:proofErr w:type="spellStart"/>
            <w:r w:rsidRPr="00EF6972">
              <w:rPr>
                <w:rFonts w:ascii="Arial" w:hAnsi="Arial" w:cs="Arial"/>
                <w:color w:val="000000"/>
                <w:sz w:val="18"/>
                <w:szCs w:val="18"/>
                <w:lang w:val="nl-NL" w:eastAsia="en-US" w:bidi="ar-SA"/>
              </w:rPr>
              <w:t>investment</w:t>
            </w:r>
            <w:proofErr w:type="spellEnd"/>
            <w:r w:rsidRPr="00EF6972">
              <w:rPr>
                <w:rFonts w:ascii="Arial" w:hAnsi="Arial" w:cs="Arial"/>
                <w:color w:val="000000"/>
                <w:sz w:val="18"/>
                <w:szCs w:val="18"/>
                <w:lang w:val="nl-NL" w:eastAsia="en-US" w:bidi="ar-SA"/>
              </w:rPr>
              <w:t xml:space="preserve"> risk</w:t>
            </w:r>
          </w:p>
        </w:tc>
        <w:tc>
          <w:tcPr>
            <w:tcW w:w="1230" w:type="dxa"/>
            <w:tcBorders>
              <w:top w:val="single" w:sz="16" w:space="0" w:color="000000"/>
              <w:left w:val="single" w:sz="16" w:space="0" w:color="000000"/>
              <w:bottom w:val="nil"/>
              <w:right w:val="single" w:sz="16" w:space="0" w:color="000000"/>
            </w:tcBorders>
            <w:shd w:val="clear" w:color="auto" w:fill="FFFFFF"/>
          </w:tcPr>
          <w:p w:rsidR="00682D04" w:rsidRPr="00EF6972" w:rsidRDefault="00682D04"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1.04</w:t>
            </w:r>
          </w:p>
        </w:tc>
      </w:tr>
      <w:tr w:rsidR="00682D04" w:rsidRPr="00EF6972" w:rsidTr="007659D5">
        <w:trPr>
          <w:cantSplit/>
          <w:tblHeader/>
        </w:trPr>
        <w:tc>
          <w:tcPr>
            <w:tcW w:w="2426" w:type="dxa"/>
            <w:tcBorders>
              <w:top w:val="nil"/>
              <w:left w:val="single" w:sz="16" w:space="0" w:color="000000"/>
              <w:bottom w:val="nil"/>
              <w:right w:val="single" w:sz="16" w:space="0" w:color="000000"/>
            </w:tcBorders>
            <w:shd w:val="clear" w:color="auto" w:fill="FFFFFF"/>
          </w:tcPr>
          <w:p w:rsidR="00682D04" w:rsidRPr="00EF6972" w:rsidRDefault="00682D04"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 xml:space="preserve">2007 Word </w:t>
            </w:r>
            <w:proofErr w:type="spellStart"/>
            <w:r w:rsidRPr="00EF6972">
              <w:rPr>
                <w:rFonts w:ascii="Arial" w:hAnsi="Arial" w:cs="Arial"/>
                <w:color w:val="000000"/>
                <w:sz w:val="18"/>
                <w:szCs w:val="18"/>
                <w:lang w:val="nl-NL" w:eastAsia="en-US" w:bidi="ar-SA"/>
              </w:rPr>
              <w:t>count</w:t>
            </w:r>
            <w:proofErr w:type="spellEnd"/>
            <w:r w:rsidRPr="00EF6972">
              <w:rPr>
                <w:rFonts w:ascii="Arial" w:hAnsi="Arial" w:cs="Arial"/>
                <w:color w:val="000000"/>
                <w:sz w:val="18"/>
                <w:szCs w:val="18"/>
                <w:lang w:val="nl-NL" w:eastAsia="en-US" w:bidi="ar-SA"/>
              </w:rPr>
              <w:t xml:space="preserve"> </w:t>
            </w:r>
            <w:proofErr w:type="spellStart"/>
            <w:r w:rsidRPr="00EF6972">
              <w:rPr>
                <w:rFonts w:ascii="Arial" w:hAnsi="Arial" w:cs="Arial"/>
                <w:color w:val="000000"/>
                <w:sz w:val="18"/>
                <w:szCs w:val="18"/>
                <w:lang w:val="nl-NL" w:eastAsia="en-US" w:bidi="ar-SA"/>
              </w:rPr>
              <w:t>investment</w:t>
            </w:r>
            <w:proofErr w:type="spellEnd"/>
            <w:r w:rsidRPr="00EF6972">
              <w:rPr>
                <w:rFonts w:ascii="Arial" w:hAnsi="Arial" w:cs="Arial"/>
                <w:color w:val="000000"/>
                <w:sz w:val="18"/>
                <w:szCs w:val="18"/>
                <w:lang w:val="nl-NL" w:eastAsia="en-US" w:bidi="ar-SA"/>
              </w:rPr>
              <w:t xml:space="preserve"> risk</w:t>
            </w:r>
          </w:p>
        </w:tc>
        <w:tc>
          <w:tcPr>
            <w:tcW w:w="1230" w:type="dxa"/>
            <w:tcBorders>
              <w:top w:val="nil"/>
              <w:left w:val="single" w:sz="16" w:space="0" w:color="000000"/>
              <w:bottom w:val="nil"/>
              <w:right w:val="single" w:sz="16" w:space="0" w:color="000000"/>
            </w:tcBorders>
            <w:shd w:val="clear" w:color="auto" w:fill="FFFFFF"/>
          </w:tcPr>
          <w:p w:rsidR="00682D04" w:rsidRPr="00EF6972" w:rsidRDefault="00682D04"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2.00</w:t>
            </w:r>
          </w:p>
        </w:tc>
      </w:tr>
      <w:tr w:rsidR="00682D04" w:rsidRPr="00EF6972" w:rsidTr="007659D5">
        <w:trPr>
          <w:cantSplit/>
        </w:trPr>
        <w:tc>
          <w:tcPr>
            <w:tcW w:w="2426" w:type="dxa"/>
            <w:tcBorders>
              <w:top w:val="nil"/>
              <w:left w:val="single" w:sz="16" w:space="0" w:color="000000"/>
              <w:bottom w:val="single" w:sz="16" w:space="0" w:color="000000"/>
              <w:right w:val="single" w:sz="16" w:space="0" w:color="000000"/>
            </w:tcBorders>
            <w:shd w:val="clear" w:color="auto" w:fill="FFFFFF"/>
          </w:tcPr>
          <w:p w:rsidR="00682D04" w:rsidRPr="00EF6972" w:rsidRDefault="00682D04" w:rsidP="00682D04">
            <w:pPr>
              <w:autoSpaceDE w:val="0"/>
              <w:autoSpaceDN w:val="0"/>
              <w:adjustRightInd w:val="0"/>
              <w:spacing w:line="276" w:lineRule="auto"/>
              <w:ind w:left="60" w:right="60"/>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 xml:space="preserve">2011 Word </w:t>
            </w:r>
            <w:proofErr w:type="spellStart"/>
            <w:r w:rsidRPr="00EF6972">
              <w:rPr>
                <w:rFonts w:ascii="Arial" w:hAnsi="Arial" w:cs="Arial"/>
                <w:color w:val="000000"/>
                <w:sz w:val="18"/>
                <w:szCs w:val="18"/>
                <w:lang w:val="nl-NL" w:eastAsia="en-US" w:bidi="ar-SA"/>
              </w:rPr>
              <w:t>count</w:t>
            </w:r>
            <w:proofErr w:type="spellEnd"/>
            <w:r w:rsidRPr="00EF6972">
              <w:rPr>
                <w:rFonts w:ascii="Arial" w:hAnsi="Arial" w:cs="Arial"/>
                <w:color w:val="000000"/>
                <w:sz w:val="18"/>
                <w:szCs w:val="18"/>
                <w:lang w:val="nl-NL" w:eastAsia="en-US" w:bidi="ar-SA"/>
              </w:rPr>
              <w:t xml:space="preserve"> </w:t>
            </w:r>
            <w:proofErr w:type="spellStart"/>
            <w:r w:rsidRPr="00EF6972">
              <w:rPr>
                <w:rFonts w:ascii="Arial" w:hAnsi="Arial" w:cs="Arial"/>
                <w:color w:val="000000"/>
                <w:sz w:val="18"/>
                <w:szCs w:val="18"/>
                <w:lang w:val="nl-NL" w:eastAsia="en-US" w:bidi="ar-SA"/>
              </w:rPr>
              <w:t>investment</w:t>
            </w:r>
            <w:proofErr w:type="spellEnd"/>
            <w:r w:rsidRPr="00EF6972">
              <w:rPr>
                <w:rFonts w:ascii="Arial" w:hAnsi="Arial" w:cs="Arial"/>
                <w:color w:val="000000"/>
                <w:sz w:val="18"/>
                <w:szCs w:val="18"/>
                <w:lang w:val="nl-NL" w:eastAsia="en-US" w:bidi="ar-SA"/>
              </w:rPr>
              <w:t xml:space="preserve"> risk</w:t>
            </w:r>
          </w:p>
        </w:tc>
        <w:tc>
          <w:tcPr>
            <w:tcW w:w="1230" w:type="dxa"/>
            <w:tcBorders>
              <w:top w:val="nil"/>
              <w:left w:val="single" w:sz="16" w:space="0" w:color="000000"/>
              <w:bottom w:val="single" w:sz="16" w:space="0" w:color="000000"/>
              <w:right w:val="single" w:sz="16" w:space="0" w:color="000000"/>
            </w:tcBorders>
            <w:shd w:val="clear" w:color="auto" w:fill="FFFFFF"/>
          </w:tcPr>
          <w:p w:rsidR="00682D04" w:rsidRPr="00EF6972" w:rsidRDefault="00682D04" w:rsidP="00682D04">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EF6972">
              <w:rPr>
                <w:rFonts w:ascii="Arial" w:hAnsi="Arial" w:cs="Arial"/>
                <w:color w:val="000000"/>
                <w:sz w:val="18"/>
                <w:szCs w:val="18"/>
                <w:lang w:val="nl-NL" w:eastAsia="en-US" w:bidi="ar-SA"/>
              </w:rPr>
              <w:t>2.96</w:t>
            </w:r>
          </w:p>
        </w:tc>
      </w:tr>
    </w:tbl>
    <w:p w:rsidR="00EF6972" w:rsidRDefault="00682D04" w:rsidP="007343A7">
      <w:pPr>
        <w:autoSpaceDE w:val="0"/>
        <w:autoSpaceDN w:val="0"/>
        <w:adjustRightInd w:val="0"/>
        <w:spacing w:line="276" w:lineRule="auto"/>
        <w:rPr>
          <w:rFonts w:cs="Times New Roman"/>
          <w:lang w:val="en-US" w:eastAsia="en-US" w:bidi="ar-SA"/>
        </w:rPr>
      </w:pPr>
      <w:r>
        <w:rPr>
          <w:rFonts w:cs="Times New Roman"/>
          <w:lang w:val="nl-NL" w:eastAsia="en-US" w:bidi="ar-SA"/>
        </w:rPr>
        <w:t xml:space="preserve">   </w:t>
      </w:r>
      <w:r w:rsidR="00876084">
        <w:rPr>
          <w:rFonts w:cs="Times New Roman"/>
          <w:lang w:val="en-US" w:eastAsia="en-US" w:bidi="ar-SA"/>
        </w:rPr>
        <w:t xml:space="preserve">  </w:t>
      </w:r>
    </w:p>
    <w:p w:rsidR="00EF6972" w:rsidRDefault="00876084" w:rsidP="00876084">
      <w:pPr>
        <w:autoSpaceDE w:val="0"/>
        <w:autoSpaceDN w:val="0"/>
        <w:adjustRightInd w:val="0"/>
        <w:spacing w:line="320" w:lineRule="atLeast"/>
        <w:rPr>
          <w:rFonts w:cs="Times New Roman"/>
          <w:sz w:val="20"/>
          <w:szCs w:val="20"/>
          <w:lang w:val="en-US" w:eastAsia="en-US" w:bidi="ar-SA"/>
        </w:rPr>
      </w:pPr>
      <w:r w:rsidRPr="00876084">
        <w:rPr>
          <w:rFonts w:cs="Times New Roman"/>
          <w:sz w:val="20"/>
          <w:szCs w:val="20"/>
          <w:lang w:val="en-US" w:eastAsia="en-US" w:bidi="ar-SA"/>
        </w:rPr>
        <w:t>Table 1</w:t>
      </w:r>
      <w:r w:rsidR="00AB5CB6">
        <w:rPr>
          <w:rFonts w:cs="Times New Roman"/>
          <w:sz w:val="20"/>
          <w:szCs w:val="20"/>
          <w:lang w:val="en-US" w:eastAsia="en-US" w:bidi="ar-SA"/>
        </w:rPr>
        <w:t>3</w:t>
      </w:r>
      <w:r w:rsidRPr="00876084">
        <w:rPr>
          <w:rFonts w:cs="Times New Roman"/>
          <w:sz w:val="20"/>
          <w:szCs w:val="20"/>
          <w:lang w:val="en-US" w:eastAsia="en-US" w:bidi="ar-SA"/>
        </w:rPr>
        <w:t xml:space="preserve">: </w:t>
      </w:r>
      <w:r>
        <w:rPr>
          <w:rFonts w:cs="Times New Roman"/>
          <w:sz w:val="20"/>
          <w:szCs w:val="20"/>
          <w:lang w:val="en-US" w:eastAsia="en-US" w:bidi="ar-SA"/>
        </w:rPr>
        <w:t xml:space="preserve">Ranks </w:t>
      </w:r>
      <w:r w:rsidR="00AB5CB6">
        <w:rPr>
          <w:rFonts w:cs="Times New Roman"/>
          <w:sz w:val="20"/>
          <w:szCs w:val="20"/>
          <w:lang w:val="en-US" w:eastAsia="en-US" w:bidi="ar-SA"/>
        </w:rPr>
        <w:t xml:space="preserve">from Friedman’s ANOVA </w:t>
      </w:r>
      <w:r w:rsidR="00AB5CB6">
        <w:rPr>
          <w:rFonts w:cs="Times New Roman"/>
          <w:sz w:val="20"/>
          <w:szCs w:val="20"/>
          <w:lang w:val="en-US" w:eastAsia="en-US" w:bidi="ar-SA"/>
        </w:rPr>
        <w:tab/>
      </w:r>
      <w:r w:rsidR="00AB5CB6">
        <w:rPr>
          <w:rFonts w:cs="Times New Roman"/>
          <w:sz w:val="20"/>
          <w:szCs w:val="20"/>
          <w:lang w:val="en-US" w:eastAsia="en-US" w:bidi="ar-SA"/>
        </w:rPr>
        <w:tab/>
        <w:t>Table 14</w:t>
      </w:r>
      <w:r>
        <w:rPr>
          <w:rFonts w:cs="Times New Roman"/>
          <w:sz w:val="20"/>
          <w:szCs w:val="20"/>
          <w:lang w:val="en-US" w:eastAsia="en-US" w:bidi="ar-SA"/>
        </w:rPr>
        <w:t>: Output Friedman’s ANOVA test</w:t>
      </w:r>
    </w:p>
    <w:p w:rsidR="00876084" w:rsidRPr="00876084" w:rsidRDefault="00876084" w:rsidP="00876084">
      <w:pPr>
        <w:autoSpaceDE w:val="0"/>
        <w:autoSpaceDN w:val="0"/>
        <w:adjustRightInd w:val="0"/>
        <w:spacing w:line="320" w:lineRule="atLeast"/>
        <w:rPr>
          <w:rFonts w:cs="Times New Roman"/>
          <w:sz w:val="20"/>
          <w:szCs w:val="20"/>
          <w:lang w:val="en-US" w:eastAsia="en-US" w:bidi="ar-SA"/>
        </w:rPr>
      </w:pPr>
      <w:r>
        <w:rPr>
          <w:rFonts w:cs="Times New Roman"/>
          <w:sz w:val="20"/>
          <w:szCs w:val="20"/>
          <w:lang w:val="en-US" w:eastAsia="en-US" w:bidi="ar-SA"/>
        </w:rPr>
        <w:t>a</w:t>
      </w:r>
      <w:r w:rsidRPr="00876084">
        <w:rPr>
          <w:rFonts w:cs="Times New Roman"/>
          <w:sz w:val="20"/>
          <w:szCs w:val="20"/>
          <w:lang w:val="en-US" w:eastAsia="en-US" w:bidi="ar-SA"/>
        </w:rPr>
        <w:t>pplied to word count i</w:t>
      </w:r>
      <w:r>
        <w:rPr>
          <w:rFonts w:cs="Times New Roman"/>
          <w:sz w:val="20"/>
          <w:szCs w:val="20"/>
          <w:lang w:val="en-US" w:eastAsia="en-US" w:bidi="ar-SA"/>
        </w:rPr>
        <w:t>nvestment risk</w:t>
      </w:r>
      <w:r>
        <w:rPr>
          <w:rFonts w:cs="Times New Roman"/>
          <w:sz w:val="20"/>
          <w:szCs w:val="20"/>
          <w:lang w:val="en-US" w:eastAsia="en-US" w:bidi="ar-SA"/>
        </w:rPr>
        <w:tab/>
      </w:r>
      <w:r>
        <w:rPr>
          <w:rFonts w:cs="Times New Roman"/>
          <w:sz w:val="20"/>
          <w:szCs w:val="20"/>
          <w:lang w:val="en-US" w:eastAsia="en-US" w:bidi="ar-SA"/>
        </w:rPr>
        <w:tab/>
        <w:t>a</w:t>
      </w:r>
      <w:r w:rsidRPr="00876084">
        <w:rPr>
          <w:rFonts w:cs="Times New Roman"/>
          <w:sz w:val="20"/>
          <w:szCs w:val="20"/>
          <w:lang w:val="en-US" w:eastAsia="en-US" w:bidi="ar-SA"/>
        </w:rPr>
        <w:t>pplied to word count i</w:t>
      </w:r>
      <w:r>
        <w:rPr>
          <w:rFonts w:cs="Times New Roman"/>
          <w:sz w:val="20"/>
          <w:szCs w:val="20"/>
          <w:lang w:val="en-US" w:eastAsia="en-US" w:bidi="ar-SA"/>
        </w:rPr>
        <w:t>nvestment risk</w:t>
      </w:r>
    </w:p>
    <w:p w:rsidR="00EF6972" w:rsidRDefault="00EF6972" w:rsidP="00EF6972">
      <w:pPr>
        <w:autoSpaceDE w:val="0"/>
        <w:autoSpaceDN w:val="0"/>
        <w:adjustRightInd w:val="0"/>
        <w:spacing w:line="400" w:lineRule="atLeast"/>
        <w:rPr>
          <w:rFonts w:cs="Times New Roman"/>
          <w:lang w:val="en-US" w:eastAsia="en-US" w:bidi="ar-SA"/>
        </w:rPr>
      </w:pPr>
    </w:p>
    <w:p w:rsidR="00223A22" w:rsidRDefault="00223A22" w:rsidP="00961508">
      <w:pPr>
        <w:autoSpaceDE w:val="0"/>
        <w:autoSpaceDN w:val="0"/>
        <w:adjustRightInd w:val="0"/>
        <w:spacing w:line="400" w:lineRule="atLeast"/>
        <w:jc w:val="both"/>
        <w:rPr>
          <w:rFonts w:cs="Times New Roman"/>
          <w:lang w:val="en-US" w:eastAsia="en-US" w:bidi="ar-SA"/>
        </w:rPr>
      </w:pPr>
      <w:r w:rsidRPr="00223A22">
        <w:rPr>
          <w:rFonts w:cs="Times New Roman"/>
          <w:lang w:val="en-US" w:eastAsia="en-US" w:bidi="ar-SA"/>
        </w:rPr>
        <w:t xml:space="preserve">For each pension fund, </w:t>
      </w:r>
      <w:r>
        <w:rPr>
          <w:rFonts w:cs="Times New Roman"/>
          <w:lang w:val="en-US" w:eastAsia="en-US" w:bidi="ar-SA"/>
        </w:rPr>
        <w:t>the data in the three condition</w:t>
      </w:r>
      <w:r w:rsidR="00E70094">
        <w:rPr>
          <w:rFonts w:cs="Times New Roman"/>
          <w:lang w:val="en-US" w:eastAsia="en-US" w:bidi="ar-SA"/>
        </w:rPr>
        <w:t>s</w:t>
      </w:r>
      <w:r>
        <w:rPr>
          <w:rFonts w:cs="Times New Roman"/>
          <w:lang w:val="en-US" w:eastAsia="en-US" w:bidi="ar-SA"/>
        </w:rPr>
        <w:t xml:space="preserve"> (word count in 2006, 2007 and 2011) have been ranked, giving the lowest frequency of investment risk in the financial statements a rank of 1, the next a 2 and the highest a 3. Table 1</w:t>
      </w:r>
      <w:r w:rsidR="00376F7D">
        <w:rPr>
          <w:rFonts w:cs="Times New Roman"/>
          <w:lang w:val="en-US" w:eastAsia="en-US" w:bidi="ar-SA"/>
        </w:rPr>
        <w:t>3</w:t>
      </w:r>
      <w:r>
        <w:rPr>
          <w:rFonts w:cs="Times New Roman"/>
          <w:lang w:val="en-US" w:eastAsia="en-US" w:bidi="ar-SA"/>
        </w:rPr>
        <w:t xml:space="preserve"> reveals that nearly all pension funds in the sample had their lowest rank in 2006, all pension funds had their second highest rank in 2007 and nearly all pension funds in the sample had their highest ran</w:t>
      </w:r>
      <w:r w:rsidR="0084641B">
        <w:rPr>
          <w:rFonts w:cs="Times New Roman"/>
          <w:lang w:val="en-US" w:eastAsia="en-US" w:bidi="ar-SA"/>
        </w:rPr>
        <w:t>k</w:t>
      </w:r>
      <w:r>
        <w:rPr>
          <w:rFonts w:cs="Times New Roman"/>
          <w:lang w:val="en-US" w:eastAsia="en-US" w:bidi="ar-SA"/>
        </w:rPr>
        <w:t xml:space="preserve"> in 2011.</w:t>
      </w:r>
    </w:p>
    <w:p w:rsidR="00223A22" w:rsidRPr="00EF6972" w:rsidRDefault="00223A22" w:rsidP="00961508">
      <w:pPr>
        <w:autoSpaceDE w:val="0"/>
        <w:autoSpaceDN w:val="0"/>
        <w:adjustRightInd w:val="0"/>
        <w:spacing w:line="400" w:lineRule="atLeast"/>
        <w:jc w:val="both"/>
        <w:rPr>
          <w:rFonts w:cs="Times New Roman"/>
          <w:lang w:val="en-US" w:eastAsia="en-US" w:bidi="ar-SA"/>
        </w:rPr>
      </w:pPr>
      <w:r w:rsidRPr="00223A22">
        <w:rPr>
          <w:rFonts w:cs="Times New Roman"/>
          <w:lang w:val="en-US" w:eastAsia="en-US" w:bidi="ar-SA"/>
        </w:rPr>
        <w:t>Given these ranks, it i</w:t>
      </w:r>
      <w:r>
        <w:rPr>
          <w:rFonts w:cs="Times New Roman"/>
          <w:lang w:val="en-US" w:eastAsia="en-US" w:bidi="ar-SA"/>
        </w:rPr>
        <w:t>s not surprising that the significance value depicted in table 1</w:t>
      </w:r>
      <w:r w:rsidR="00376F7D">
        <w:rPr>
          <w:rFonts w:cs="Times New Roman"/>
          <w:lang w:val="en-US" w:eastAsia="en-US" w:bidi="ar-SA"/>
        </w:rPr>
        <w:t>4</w:t>
      </w:r>
      <w:r>
        <w:rPr>
          <w:rFonts w:cs="Times New Roman"/>
          <w:lang w:val="en-US" w:eastAsia="en-US" w:bidi="ar-SA"/>
        </w:rPr>
        <w:t xml:space="preserve"> is </w:t>
      </w:r>
      <w:r w:rsidR="00DF4F7C">
        <w:rPr>
          <w:rFonts w:cs="Times New Roman"/>
          <w:lang w:val="en-US" w:eastAsia="en-US" w:bidi="ar-SA"/>
        </w:rPr>
        <w:t xml:space="preserve">with </w:t>
      </w:r>
      <w:r>
        <w:rPr>
          <w:rFonts w:cs="Times New Roman"/>
          <w:lang w:val="en-US" w:eastAsia="en-US" w:bidi="ar-SA"/>
        </w:rPr>
        <w:t>0.000</w:t>
      </w:r>
      <w:r w:rsidR="00DF4F7C">
        <w:rPr>
          <w:rFonts w:cs="Times New Roman"/>
          <w:lang w:val="en-US" w:eastAsia="en-US" w:bidi="ar-SA"/>
        </w:rPr>
        <w:t xml:space="preserve"> far below 0.05. T</w:t>
      </w:r>
      <w:r>
        <w:rPr>
          <w:rFonts w:cs="Times New Roman"/>
          <w:lang w:val="en-US" w:eastAsia="en-US" w:bidi="ar-SA"/>
        </w:rPr>
        <w:t>herefore can be concluded that</w:t>
      </w:r>
      <w:r w:rsidR="00DF4F7C">
        <w:rPr>
          <w:rFonts w:cs="Times New Roman"/>
          <w:lang w:val="en-US" w:eastAsia="en-US" w:bidi="ar-SA"/>
        </w:rPr>
        <w:t xml:space="preserve"> since 2006, the year before the start of the financial crisis, the frequency of the use of the word investment risk has increased significantly in 2007 and 2011.</w:t>
      </w:r>
      <w:r>
        <w:rPr>
          <w:rFonts w:cs="Times New Roman"/>
          <w:lang w:val="en-US" w:eastAsia="en-US" w:bidi="ar-SA"/>
        </w:rPr>
        <w:t xml:space="preserve"> </w:t>
      </w:r>
    </w:p>
    <w:p w:rsidR="00DF4F7C" w:rsidRDefault="00DF4F7C" w:rsidP="002C040A">
      <w:pPr>
        <w:autoSpaceDE w:val="0"/>
        <w:autoSpaceDN w:val="0"/>
        <w:adjustRightInd w:val="0"/>
        <w:spacing w:line="400" w:lineRule="atLeast"/>
        <w:rPr>
          <w:rFonts w:cs="Times New Roman"/>
          <w:b/>
          <w:i/>
          <w:lang w:val="en-US" w:eastAsia="en-US" w:bidi="ar-SA"/>
        </w:rPr>
      </w:pPr>
    </w:p>
    <w:p w:rsidR="00410912" w:rsidRPr="00410912" w:rsidRDefault="00410912" w:rsidP="002C040A">
      <w:pPr>
        <w:autoSpaceDE w:val="0"/>
        <w:autoSpaceDN w:val="0"/>
        <w:adjustRightInd w:val="0"/>
        <w:spacing w:line="400" w:lineRule="atLeast"/>
        <w:rPr>
          <w:rFonts w:cs="Times New Roman"/>
          <w:b/>
          <w:i/>
          <w:lang w:val="en-US" w:eastAsia="en-US" w:bidi="ar-SA"/>
        </w:rPr>
      </w:pPr>
      <w:r>
        <w:rPr>
          <w:rFonts w:cs="Times New Roman"/>
          <w:b/>
          <w:i/>
          <w:lang w:val="en-US" w:eastAsia="en-US" w:bidi="ar-SA"/>
        </w:rPr>
        <w:t>Quantity of investment risk disclosures and pension fund size</w:t>
      </w:r>
    </w:p>
    <w:p w:rsidR="002C040A" w:rsidRDefault="002C040A" w:rsidP="00961508">
      <w:pPr>
        <w:autoSpaceDE w:val="0"/>
        <w:autoSpaceDN w:val="0"/>
        <w:adjustRightInd w:val="0"/>
        <w:spacing w:line="400" w:lineRule="atLeast"/>
        <w:jc w:val="both"/>
        <w:rPr>
          <w:rFonts w:cs="Times New Roman"/>
          <w:lang w:val="en-US" w:eastAsia="en-US" w:bidi="ar-SA"/>
        </w:rPr>
      </w:pPr>
      <w:r>
        <w:rPr>
          <w:rFonts w:cs="Times New Roman"/>
          <w:lang w:val="en-US" w:eastAsia="en-US" w:bidi="ar-SA"/>
        </w:rPr>
        <w:t>Unlike table 5</w:t>
      </w:r>
      <w:r w:rsidR="00E147E5">
        <w:rPr>
          <w:rFonts w:cs="Times New Roman"/>
          <w:lang w:val="en-US" w:eastAsia="en-US" w:bidi="ar-SA"/>
        </w:rPr>
        <w:t>,</w:t>
      </w:r>
      <w:r>
        <w:rPr>
          <w:rFonts w:cs="Times New Roman"/>
          <w:lang w:val="en-US" w:eastAsia="en-US" w:bidi="ar-SA"/>
        </w:rPr>
        <w:t xml:space="preserve"> regarding the average number of times the word “crisis” had been presented in the financial statements, with regard to “investment risks”</w:t>
      </w:r>
      <w:r w:rsidR="00E147E5">
        <w:rPr>
          <w:rFonts w:cs="Times New Roman"/>
          <w:lang w:val="en-US" w:eastAsia="en-US" w:bidi="ar-SA"/>
        </w:rPr>
        <w:t>, a potential relation</w:t>
      </w:r>
      <w:r>
        <w:rPr>
          <w:rFonts w:cs="Times New Roman"/>
          <w:lang w:val="en-US" w:eastAsia="en-US" w:bidi="ar-SA"/>
        </w:rPr>
        <w:t xml:space="preserve"> between pension fund size and disclosure quantity is more difficult to detect at first sight</w:t>
      </w:r>
      <w:r w:rsidR="00376F7D">
        <w:rPr>
          <w:rFonts w:cs="Times New Roman"/>
          <w:lang w:val="en-US" w:eastAsia="en-US" w:bidi="ar-SA"/>
        </w:rPr>
        <w:t xml:space="preserve"> as presented in table 11</w:t>
      </w:r>
      <w:r w:rsidR="00E16160">
        <w:rPr>
          <w:rFonts w:cs="Times New Roman"/>
          <w:lang w:val="en-US" w:eastAsia="en-US" w:bidi="ar-SA"/>
        </w:rPr>
        <w:t>, especially in 2007 and 2011</w:t>
      </w:r>
      <w:r>
        <w:rPr>
          <w:rFonts w:cs="Times New Roman"/>
          <w:lang w:val="en-US" w:eastAsia="en-US" w:bidi="ar-SA"/>
        </w:rPr>
        <w:t xml:space="preserve">. </w:t>
      </w:r>
    </w:p>
    <w:p w:rsidR="002C040A" w:rsidRDefault="002C040A" w:rsidP="00D13BE1">
      <w:pPr>
        <w:autoSpaceDE w:val="0"/>
        <w:autoSpaceDN w:val="0"/>
        <w:adjustRightInd w:val="0"/>
        <w:spacing w:line="400" w:lineRule="atLeast"/>
        <w:rPr>
          <w:rFonts w:cs="Times New Roman"/>
          <w:lang w:val="en-US" w:eastAsia="en-US" w:bidi="ar-SA"/>
        </w:rPr>
      </w:pPr>
    </w:p>
    <w:p w:rsidR="001B349A" w:rsidRDefault="000F5FFF" w:rsidP="00D13BE1">
      <w:pPr>
        <w:autoSpaceDE w:val="0"/>
        <w:autoSpaceDN w:val="0"/>
        <w:adjustRightInd w:val="0"/>
        <w:spacing w:line="400" w:lineRule="atLeast"/>
        <w:rPr>
          <w:rFonts w:cs="Times New Roman"/>
          <w:i/>
          <w:lang w:val="en-US" w:eastAsia="en-US" w:bidi="ar-SA"/>
        </w:rPr>
      </w:pPr>
      <w:r>
        <w:rPr>
          <w:rFonts w:cs="Times New Roman"/>
          <w:i/>
          <w:lang w:val="en-US" w:eastAsia="en-US" w:bidi="ar-SA"/>
        </w:rPr>
        <w:t>Selection of app</w:t>
      </w:r>
      <w:r w:rsidR="00DE09EC">
        <w:rPr>
          <w:rFonts w:cs="Times New Roman"/>
          <w:i/>
          <w:lang w:val="en-US" w:eastAsia="en-US" w:bidi="ar-SA"/>
        </w:rPr>
        <w:t>ropriate statistical test</w:t>
      </w:r>
    </w:p>
    <w:p w:rsidR="000541B6" w:rsidRDefault="000541B6" w:rsidP="000541B6">
      <w:pPr>
        <w:autoSpaceDE w:val="0"/>
        <w:autoSpaceDN w:val="0"/>
        <w:adjustRightInd w:val="0"/>
        <w:spacing w:line="320" w:lineRule="atLeast"/>
        <w:ind w:left="60" w:right="60"/>
        <w:rPr>
          <w:rFonts w:cs="Times New Roman"/>
          <w:color w:val="000000"/>
          <w:lang w:val="en-US" w:eastAsia="en-US" w:bidi="ar-SA"/>
        </w:rPr>
      </w:pPr>
    </w:p>
    <w:p w:rsidR="000541B6" w:rsidRPr="006A2D6E" w:rsidRDefault="000541B6" w:rsidP="00961508">
      <w:pPr>
        <w:autoSpaceDE w:val="0"/>
        <w:autoSpaceDN w:val="0"/>
        <w:adjustRightInd w:val="0"/>
        <w:spacing w:line="360" w:lineRule="auto"/>
        <w:ind w:right="60"/>
        <w:jc w:val="both"/>
        <w:rPr>
          <w:rFonts w:cs="Times New Roman"/>
          <w:lang w:val="en-US" w:eastAsia="en-US" w:bidi="ar-SA"/>
        </w:rPr>
      </w:pPr>
      <w:r w:rsidRPr="006A2D6E">
        <w:rPr>
          <w:rFonts w:cs="Times New Roman"/>
          <w:lang w:val="en-US" w:eastAsia="en-US" w:bidi="ar-SA"/>
        </w:rPr>
        <w:t xml:space="preserve">The decision schedule of Field (2005), depicted in appendix 11, has been applied to decide which </w:t>
      </w:r>
      <w:r w:rsidR="00DE09EC">
        <w:rPr>
          <w:rFonts w:cs="Times New Roman"/>
          <w:lang w:val="en-US" w:eastAsia="en-US" w:bidi="ar-SA"/>
        </w:rPr>
        <w:t>statistical test</w:t>
      </w:r>
      <w:r w:rsidRPr="006A2D6E">
        <w:rPr>
          <w:rFonts w:cs="Times New Roman"/>
          <w:lang w:val="en-US" w:eastAsia="en-US" w:bidi="ar-SA"/>
        </w:rPr>
        <w:t xml:space="preserve"> fits the best to research the relation between the pension fund size and the frequency of the </w:t>
      </w:r>
      <w:r w:rsidR="00200A23">
        <w:rPr>
          <w:rFonts w:cs="Times New Roman"/>
          <w:lang w:val="en-US" w:eastAsia="en-US" w:bidi="ar-SA"/>
        </w:rPr>
        <w:t xml:space="preserve">disclosure </w:t>
      </w:r>
      <w:r w:rsidRPr="006A2D6E">
        <w:rPr>
          <w:rFonts w:cs="Times New Roman"/>
          <w:lang w:val="en-US" w:eastAsia="en-US" w:bidi="ar-SA"/>
        </w:rPr>
        <w:t>of words regarding investment r</w:t>
      </w:r>
      <w:r w:rsidR="006A2D6E" w:rsidRPr="006A2D6E">
        <w:rPr>
          <w:rFonts w:cs="Times New Roman"/>
          <w:lang w:val="en-US" w:eastAsia="en-US" w:bidi="ar-SA"/>
        </w:rPr>
        <w:t xml:space="preserve">isks in the 2006, 2007 and 2011 </w:t>
      </w:r>
      <w:r w:rsidRPr="006A2D6E">
        <w:rPr>
          <w:rFonts w:cs="Times New Roman"/>
          <w:lang w:val="en-US" w:eastAsia="en-US" w:bidi="ar-SA"/>
        </w:rPr>
        <w:t>financial statements.</w:t>
      </w:r>
    </w:p>
    <w:p w:rsidR="00AC6381" w:rsidRDefault="00131501" w:rsidP="00961508">
      <w:pPr>
        <w:autoSpaceDE w:val="0"/>
        <w:autoSpaceDN w:val="0"/>
        <w:adjustRightInd w:val="0"/>
        <w:spacing w:line="360" w:lineRule="auto"/>
        <w:jc w:val="both"/>
        <w:rPr>
          <w:rFonts w:cs="Times New Roman"/>
          <w:lang w:val="en-US" w:eastAsia="en-US" w:bidi="ar-SA"/>
        </w:rPr>
      </w:pPr>
      <w:r>
        <w:rPr>
          <w:rFonts w:cs="Times New Roman"/>
          <w:lang w:val="en-US" w:eastAsia="en-US" w:bidi="ar-SA"/>
        </w:rPr>
        <w:t xml:space="preserve">There is one outcome variable, </w:t>
      </w:r>
      <w:r w:rsidR="00CE4F46">
        <w:rPr>
          <w:rFonts w:cs="Times New Roman"/>
          <w:lang w:val="en-US" w:eastAsia="en-US" w:bidi="ar-SA"/>
        </w:rPr>
        <w:t xml:space="preserve">the frequency of the use </w:t>
      </w:r>
      <w:r w:rsidR="00E70094">
        <w:rPr>
          <w:rFonts w:cs="Times New Roman"/>
          <w:lang w:val="en-US" w:eastAsia="en-US" w:bidi="ar-SA"/>
        </w:rPr>
        <w:t xml:space="preserve">of </w:t>
      </w:r>
      <w:r>
        <w:rPr>
          <w:rFonts w:cs="Times New Roman"/>
          <w:lang w:val="en-US" w:eastAsia="en-US" w:bidi="ar-SA"/>
        </w:rPr>
        <w:t>word</w:t>
      </w:r>
      <w:r w:rsidR="00CE4F46">
        <w:rPr>
          <w:rFonts w:cs="Times New Roman"/>
          <w:lang w:val="en-US" w:eastAsia="en-US" w:bidi="ar-SA"/>
        </w:rPr>
        <w:t>s regarding investment risks</w:t>
      </w:r>
      <w:r>
        <w:rPr>
          <w:rFonts w:cs="Times New Roman"/>
          <w:lang w:val="en-US" w:eastAsia="en-US" w:bidi="ar-SA"/>
        </w:rPr>
        <w:t xml:space="preserve">, which is a continuous outcome variable. Furthermore, for the purpose of this research, there is one </w:t>
      </w:r>
      <w:r w:rsidR="00030D65">
        <w:rPr>
          <w:rFonts w:cs="Times New Roman"/>
          <w:lang w:val="en-US" w:eastAsia="en-US" w:bidi="ar-SA"/>
        </w:rPr>
        <w:t xml:space="preserve">predictor variable, </w:t>
      </w:r>
      <w:r>
        <w:rPr>
          <w:rFonts w:cs="Times New Roman"/>
          <w:lang w:val="en-US" w:eastAsia="en-US" w:bidi="ar-SA"/>
        </w:rPr>
        <w:t>the pension fund</w:t>
      </w:r>
      <w:r w:rsidR="00030D65">
        <w:rPr>
          <w:rFonts w:cs="Times New Roman"/>
          <w:lang w:val="en-US" w:eastAsia="en-US" w:bidi="ar-SA"/>
        </w:rPr>
        <w:t xml:space="preserve"> size</w:t>
      </w:r>
      <w:r>
        <w:rPr>
          <w:rFonts w:cs="Times New Roman"/>
          <w:lang w:val="en-US" w:eastAsia="en-US" w:bidi="ar-SA"/>
        </w:rPr>
        <w:t xml:space="preserve">, which is a continuous variable. </w:t>
      </w:r>
      <w:r w:rsidR="00200A23">
        <w:rPr>
          <w:rFonts w:cs="Times New Roman"/>
          <w:lang w:val="en-US" w:eastAsia="en-US" w:bidi="ar-SA"/>
        </w:rPr>
        <w:t xml:space="preserve">In the previous paragraph has already been concluded that the AUM distributions of 2006, 2007 and 2011 are not normally distributed, therefore a nonparametric test </w:t>
      </w:r>
      <w:r w:rsidR="00030D65">
        <w:rPr>
          <w:rFonts w:cs="Times New Roman"/>
          <w:lang w:val="en-US" w:eastAsia="en-US" w:bidi="ar-SA"/>
        </w:rPr>
        <w:t>will</w:t>
      </w:r>
      <w:r w:rsidR="00200A23">
        <w:rPr>
          <w:rFonts w:cs="Times New Roman"/>
          <w:lang w:val="en-US" w:eastAsia="en-US" w:bidi="ar-SA"/>
        </w:rPr>
        <w:t xml:space="preserve"> be conducted. Applying</w:t>
      </w:r>
      <w:r w:rsidR="00AC6381">
        <w:rPr>
          <w:rFonts w:cs="Times New Roman"/>
          <w:lang w:val="en-US" w:eastAsia="en-US" w:bidi="ar-SA"/>
        </w:rPr>
        <w:t xml:space="preserve"> the decisio</w:t>
      </w:r>
      <w:r w:rsidR="00200A23">
        <w:rPr>
          <w:rFonts w:cs="Times New Roman"/>
          <w:lang w:val="en-US" w:eastAsia="en-US" w:bidi="ar-SA"/>
        </w:rPr>
        <w:t xml:space="preserve">n schedule of Field (2005), there are </w:t>
      </w:r>
      <w:r w:rsidR="00AC6381">
        <w:rPr>
          <w:rFonts w:cs="Times New Roman"/>
          <w:lang w:val="en-US" w:eastAsia="en-US" w:bidi="ar-SA"/>
        </w:rPr>
        <w:t>two possible nonparametric test</w:t>
      </w:r>
      <w:r w:rsidR="00030D65">
        <w:rPr>
          <w:rFonts w:cs="Times New Roman"/>
          <w:lang w:val="en-US" w:eastAsia="en-US" w:bidi="ar-SA"/>
        </w:rPr>
        <w:t>s</w:t>
      </w:r>
      <w:r w:rsidR="00AC6381">
        <w:rPr>
          <w:rFonts w:cs="Times New Roman"/>
          <w:lang w:val="en-US" w:eastAsia="en-US" w:bidi="ar-SA"/>
        </w:rPr>
        <w:t xml:space="preserve">, Spearman correlation and Kendall’s Tau. Field (2005) describes that Kendall’s Tau should be preferred over Spearman’s correlation when all the scores are ranked and a lot of these scores have the same rank. However, </w:t>
      </w:r>
      <w:r w:rsidR="000F5FFF">
        <w:rPr>
          <w:rFonts w:cs="Times New Roman"/>
          <w:lang w:val="en-US" w:eastAsia="en-US" w:bidi="ar-SA"/>
        </w:rPr>
        <w:t>only a few scores have the same rank</w:t>
      </w:r>
      <w:r w:rsidR="00AC6381">
        <w:rPr>
          <w:rFonts w:cs="Times New Roman"/>
          <w:lang w:val="en-US" w:eastAsia="en-US" w:bidi="ar-SA"/>
        </w:rPr>
        <w:t>, therefore, Spearman’s Correlation will be applied.</w:t>
      </w:r>
    </w:p>
    <w:p w:rsidR="00AC6381" w:rsidRDefault="00AC6381" w:rsidP="00961508">
      <w:pPr>
        <w:autoSpaceDE w:val="0"/>
        <w:autoSpaceDN w:val="0"/>
        <w:adjustRightInd w:val="0"/>
        <w:spacing w:line="360" w:lineRule="auto"/>
        <w:jc w:val="both"/>
        <w:rPr>
          <w:rFonts w:cs="Times New Roman"/>
          <w:lang w:val="en-US" w:eastAsia="en-US" w:bidi="ar-SA"/>
        </w:rPr>
      </w:pPr>
    </w:p>
    <w:p w:rsidR="00742C40" w:rsidRDefault="00742C40" w:rsidP="00961508">
      <w:pPr>
        <w:autoSpaceDE w:val="0"/>
        <w:autoSpaceDN w:val="0"/>
        <w:adjustRightInd w:val="0"/>
        <w:spacing w:line="360" w:lineRule="auto"/>
        <w:jc w:val="both"/>
        <w:rPr>
          <w:rFonts w:cs="Times New Roman"/>
          <w:lang w:val="en-US" w:eastAsia="en-US" w:bidi="ar-SA"/>
        </w:rPr>
      </w:pPr>
      <w:r>
        <w:rPr>
          <w:rFonts w:cs="Times New Roman"/>
          <w:i/>
          <w:lang w:val="en-US" w:eastAsia="en-US" w:bidi="ar-SA"/>
        </w:rPr>
        <w:t xml:space="preserve">Spearman’s Correlation applied to predictor variable pension fund size and outcome variable frequency of the use of words regarding investment risks </w:t>
      </w:r>
      <w:r w:rsidR="003C53C8">
        <w:rPr>
          <w:rFonts w:cs="Times New Roman"/>
          <w:i/>
          <w:lang w:val="en-US" w:eastAsia="en-US" w:bidi="ar-SA"/>
        </w:rPr>
        <w:t>in the f</w:t>
      </w:r>
      <w:r>
        <w:rPr>
          <w:rFonts w:cs="Times New Roman"/>
          <w:i/>
          <w:lang w:val="en-US" w:eastAsia="en-US" w:bidi="ar-SA"/>
        </w:rPr>
        <w:t xml:space="preserve">inancial statements </w:t>
      </w: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21"/>
        <w:gridCol w:w="2426"/>
        <w:gridCol w:w="2136"/>
        <w:gridCol w:w="1139"/>
        <w:gridCol w:w="2459"/>
      </w:tblGrid>
      <w:tr w:rsidR="009A446C" w:rsidRPr="009A446C" w:rsidTr="009A446C">
        <w:trPr>
          <w:cantSplit/>
          <w:tblHeader/>
        </w:trPr>
        <w:tc>
          <w:tcPr>
            <w:tcW w:w="9781" w:type="dxa"/>
            <w:gridSpan w:val="5"/>
            <w:tcBorders>
              <w:top w:val="nil"/>
              <w:left w:val="nil"/>
              <w:bottom w:val="nil"/>
              <w:right w:val="nil"/>
            </w:tcBorders>
            <w:shd w:val="clear" w:color="auto" w:fill="FFFFFF"/>
            <w:vAlign w:val="center"/>
          </w:tcPr>
          <w:p w:rsidR="009A446C" w:rsidRPr="009A446C" w:rsidRDefault="009A446C" w:rsidP="009A446C">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9A446C">
              <w:rPr>
                <w:rFonts w:ascii="Arial" w:hAnsi="Arial" w:cs="Arial"/>
                <w:b/>
                <w:bCs/>
                <w:color w:val="000000"/>
                <w:sz w:val="18"/>
                <w:szCs w:val="18"/>
                <w:lang w:val="nl-NL" w:eastAsia="en-US" w:bidi="ar-SA"/>
              </w:rPr>
              <w:t>Correlations</w:t>
            </w:r>
            <w:proofErr w:type="spellEnd"/>
          </w:p>
        </w:tc>
      </w:tr>
      <w:tr w:rsidR="009A446C" w:rsidRPr="009A446C" w:rsidTr="009A446C">
        <w:trPr>
          <w:cantSplit/>
          <w:tblHeader/>
        </w:trPr>
        <w:tc>
          <w:tcPr>
            <w:tcW w:w="618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446C" w:rsidRPr="009A446C" w:rsidRDefault="009A446C" w:rsidP="003D4A1D">
            <w:pPr>
              <w:autoSpaceDE w:val="0"/>
              <w:autoSpaceDN w:val="0"/>
              <w:adjustRightInd w:val="0"/>
              <w:spacing w:line="276" w:lineRule="auto"/>
              <w:jc w:val="center"/>
              <w:rPr>
                <w:rFonts w:cs="Times New Roman"/>
                <w:lang w:val="nl-NL" w:eastAsia="en-US" w:bidi="ar-SA"/>
              </w:rPr>
            </w:pPr>
          </w:p>
        </w:tc>
        <w:tc>
          <w:tcPr>
            <w:tcW w:w="1139" w:type="dxa"/>
            <w:tcBorders>
              <w:top w:val="single" w:sz="16" w:space="0" w:color="000000"/>
              <w:left w:val="single" w:sz="16" w:space="0" w:color="000000"/>
              <w:bottom w:val="single" w:sz="16" w:space="0" w:color="000000"/>
            </w:tcBorders>
            <w:shd w:val="clear" w:color="auto" w:fill="FFFFFF"/>
            <w:vAlign w:val="bottom"/>
          </w:tcPr>
          <w:p w:rsidR="009A446C" w:rsidRPr="009A446C" w:rsidRDefault="009A446C" w:rsidP="003D4A1D">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AUM 2006</w:t>
            </w:r>
          </w:p>
        </w:tc>
        <w:tc>
          <w:tcPr>
            <w:tcW w:w="2459" w:type="dxa"/>
            <w:tcBorders>
              <w:top w:val="single" w:sz="16" w:space="0" w:color="000000"/>
              <w:bottom w:val="single" w:sz="16" w:space="0" w:color="000000"/>
              <w:right w:val="single" w:sz="16" w:space="0" w:color="000000"/>
            </w:tcBorders>
            <w:shd w:val="clear" w:color="auto" w:fill="FFFFFF"/>
            <w:vAlign w:val="bottom"/>
          </w:tcPr>
          <w:p w:rsidR="009A446C" w:rsidRPr="009A446C" w:rsidRDefault="009A446C" w:rsidP="003D4A1D">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9A446C">
              <w:rPr>
                <w:rFonts w:ascii="Arial" w:hAnsi="Arial" w:cs="Arial"/>
                <w:color w:val="000000"/>
                <w:sz w:val="18"/>
                <w:szCs w:val="18"/>
                <w:lang w:val="en-US" w:eastAsia="en-US" w:bidi="ar-SA"/>
              </w:rPr>
              <w:t>Financial statements 2006 word count investment risk</w:t>
            </w:r>
          </w:p>
        </w:tc>
      </w:tr>
      <w:tr w:rsidR="009A446C" w:rsidRPr="009A446C" w:rsidTr="009A446C">
        <w:trPr>
          <w:cantSplit/>
          <w:tblHeader/>
        </w:trPr>
        <w:tc>
          <w:tcPr>
            <w:tcW w:w="1621" w:type="dxa"/>
            <w:vMerge w:val="restart"/>
            <w:tcBorders>
              <w:top w:val="single" w:sz="16" w:space="0" w:color="000000"/>
              <w:left w:val="single" w:sz="16" w:space="0" w:color="000000"/>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9A446C">
              <w:rPr>
                <w:rFonts w:ascii="Arial" w:hAnsi="Arial" w:cs="Arial"/>
                <w:color w:val="000000"/>
                <w:sz w:val="18"/>
                <w:szCs w:val="18"/>
                <w:lang w:val="nl-NL" w:eastAsia="en-US" w:bidi="ar-SA"/>
              </w:rPr>
              <w:t>Spearman's</w:t>
            </w:r>
            <w:proofErr w:type="spellEnd"/>
            <w:r w:rsidRPr="009A446C">
              <w:rPr>
                <w:rFonts w:ascii="Arial" w:hAnsi="Arial" w:cs="Arial"/>
                <w:color w:val="000000"/>
                <w:sz w:val="18"/>
                <w:szCs w:val="18"/>
                <w:lang w:val="nl-NL" w:eastAsia="en-US" w:bidi="ar-SA"/>
              </w:rPr>
              <w:t xml:space="preserve"> </w:t>
            </w:r>
            <w:proofErr w:type="spellStart"/>
            <w:r w:rsidRPr="009A446C">
              <w:rPr>
                <w:rFonts w:ascii="Arial" w:hAnsi="Arial" w:cs="Arial"/>
                <w:color w:val="000000"/>
                <w:sz w:val="18"/>
                <w:szCs w:val="18"/>
                <w:lang w:val="nl-NL" w:eastAsia="en-US" w:bidi="ar-SA"/>
              </w:rPr>
              <w:t>rho</w:t>
            </w:r>
            <w:proofErr w:type="spellEnd"/>
          </w:p>
        </w:tc>
        <w:tc>
          <w:tcPr>
            <w:tcW w:w="2426" w:type="dxa"/>
            <w:vMerge w:val="restart"/>
            <w:tcBorders>
              <w:top w:val="single" w:sz="16" w:space="0" w:color="000000"/>
              <w:left w:val="nil"/>
              <w:right w:val="nil"/>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AUM 2006</w:t>
            </w:r>
          </w:p>
        </w:tc>
        <w:tc>
          <w:tcPr>
            <w:tcW w:w="2136" w:type="dxa"/>
            <w:tcBorders>
              <w:top w:val="single" w:sz="16" w:space="0" w:color="000000"/>
              <w:left w:val="nil"/>
              <w:bottom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9A446C">
              <w:rPr>
                <w:rFonts w:ascii="Arial" w:hAnsi="Arial" w:cs="Arial"/>
                <w:color w:val="000000"/>
                <w:sz w:val="18"/>
                <w:szCs w:val="18"/>
                <w:lang w:val="nl-NL" w:eastAsia="en-US" w:bidi="ar-SA"/>
              </w:rPr>
              <w:t>Correlation</w:t>
            </w:r>
            <w:proofErr w:type="spellEnd"/>
            <w:r w:rsidRPr="009A446C">
              <w:rPr>
                <w:rFonts w:ascii="Arial" w:hAnsi="Arial" w:cs="Arial"/>
                <w:color w:val="000000"/>
                <w:sz w:val="18"/>
                <w:szCs w:val="18"/>
                <w:lang w:val="nl-NL" w:eastAsia="en-US" w:bidi="ar-SA"/>
              </w:rPr>
              <w:t xml:space="preserve"> </w:t>
            </w:r>
            <w:proofErr w:type="spellStart"/>
            <w:r w:rsidRPr="009A446C">
              <w:rPr>
                <w:rFonts w:ascii="Arial" w:hAnsi="Arial" w:cs="Arial"/>
                <w:color w:val="000000"/>
                <w:sz w:val="18"/>
                <w:szCs w:val="18"/>
                <w:lang w:val="nl-NL" w:eastAsia="en-US" w:bidi="ar-SA"/>
              </w:rPr>
              <w:t>Coefficient</w:t>
            </w:r>
            <w:proofErr w:type="spellEnd"/>
          </w:p>
        </w:tc>
        <w:tc>
          <w:tcPr>
            <w:tcW w:w="1139" w:type="dxa"/>
            <w:tcBorders>
              <w:top w:val="single" w:sz="16" w:space="0" w:color="000000"/>
              <w:left w:val="single" w:sz="16" w:space="0" w:color="000000"/>
              <w:bottom w:val="nil"/>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1.000</w:t>
            </w:r>
          </w:p>
        </w:tc>
        <w:tc>
          <w:tcPr>
            <w:tcW w:w="2459" w:type="dxa"/>
            <w:tcBorders>
              <w:top w:val="single" w:sz="16" w:space="0" w:color="000000"/>
              <w:bottom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.42</w:t>
            </w:r>
            <w:r w:rsidR="00D24F00">
              <w:rPr>
                <w:rFonts w:ascii="Arial" w:hAnsi="Arial" w:cs="Arial"/>
                <w:color w:val="000000"/>
                <w:sz w:val="18"/>
                <w:szCs w:val="18"/>
                <w:lang w:val="nl-NL" w:eastAsia="en-US" w:bidi="ar-SA"/>
              </w:rPr>
              <w:t>9</w:t>
            </w:r>
            <w:r w:rsidRPr="009A446C">
              <w:rPr>
                <w:rFonts w:ascii="Arial" w:hAnsi="Arial" w:cs="Arial"/>
                <w:color w:val="000000"/>
                <w:sz w:val="18"/>
                <w:szCs w:val="18"/>
                <w:vertAlign w:val="superscript"/>
                <w:lang w:val="nl-NL" w:eastAsia="en-US" w:bidi="ar-SA"/>
              </w:rPr>
              <w:t>*</w:t>
            </w:r>
          </w:p>
        </w:tc>
      </w:tr>
      <w:tr w:rsidR="009A446C" w:rsidRPr="009A446C" w:rsidTr="009A446C">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tcBorders>
              <w:top w:val="single" w:sz="16" w:space="0" w:color="000000"/>
              <w:left w:val="nil"/>
              <w:right w:val="nil"/>
            </w:tcBorders>
            <w:shd w:val="clear" w:color="auto" w:fill="FFFFFF"/>
          </w:tcPr>
          <w:p w:rsidR="009A446C" w:rsidRPr="009A446C" w:rsidRDefault="009A446C" w:rsidP="003D4A1D">
            <w:pPr>
              <w:autoSpaceDE w:val="0"/>
              <w:autoSpaceDN w:val="0"/>
              <w:adjustRightInd w:val="0"/>
              <w:spacing w:line="276" w:lineRule="auto"/>
              <w:rPr>
                <w:rFonts w:ascii="Arial" w:hAnsi="Arial" w:cs="Arial"/>
                <w:color w:val="000000"/>
                <w:sz w:val="18"/>
                <w:szCs w:val="18"/>
                <w:lang w:val="nl-NL" w:eastAsia="en-US" w:bidi="ar-SA"/>
              </w:rPr>
            </w:pPr>
          </w:p>
        </w:tc>
        <w:tc>
          <w:tcPr>
            <w:tcW w:w="2136" w:type="dxa"/>
            <w:tcBorders>
              <w:top w:val="nil"/>
              <w:left w:val="nil"/>
              <w:bottom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9A446C">
              <w:rPr>
                <w:rFonts w:ascii="Arial" w:hAnsi="Arial" w:cs="Arial"/>
                <w:color w:val="000000"/>
                <w:sz w:val="18"/>
                <w:szCs w:val="18"/>
                <w:lang w:val="nl-NL" w:eastAsia="en-US" w:bidi="ar-SA"/>
              </w:rPr>
              <w:t>Sig</w:t>
            </w:r>
            <w:proofErr w:type="spellEnd"/>
            <w:r w:rsidRPr="009A446C">
              <w:rPr>
                <w:rFonts w:ascii="Arial" w:hAnsi="Arial" w:cs="Arial"/>
                <w:color w:val="000000"/>
                <w:sz w:val="18"/>
                <w:szCs w:val="18"/>
                <w:lang w:val="nl-NL" w:eastAsia="en-US" w:bidi="ar-SA"/>
              </w:rPr>
              <w:t>. (1-tailed)</w:t>
            </w:r>
          </w:p>
        </w:tc>
        <w:tc>
          <w:tcPr>
            <w:tcW w:w="1139" w:type="dxa"/>
            <w:tcBorders>
              <w:top w:val="nil"/>
              <w:left w:val="single" w:sz="16" w:space="0" w:color="000000"/>
              <w:bottom w:val="nil"/>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w:t>
            </w:r>
          </w:p>
        </w:tc>
        <w:tc>
          <w:tcPr>
            <w:tcW w:w="2459" w:type="dxa"/>
            <w:tcBorders>
              <w:top w:val="nil"/>
              <w:bottom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.01</w:t>
            </w:r>
            <w:r w:rsidR="00D24F00">
              <w:rPr>
                <w:rFonts w:ascii="Arial" w:hAnsi="Arial" w:cs="Arial"/>
                <w:color w:val="000000"/>
                <w:sz w:val="18"/>
                <w:szCs w:val="18"/>
                <w:lang w:val="nl-NL" w:eastAsia="en-US" w:bidi="ar-SA"/>
              </w:rPr>
              <w:t>6</w:t>
            </w:r>
          </w:p>
        </w:tc>
      </w:tr>
      <w:tr w:rsidR="009A446C" w:rsidRPr="009A446C" w:rsidTr="009A446C">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tcBorders>
              <w:top w:val="single" w:sz="16" w:space="0" w:color="000000"/>
              <w:left w:val="nil"/>
              <w:right w:val="nil"/>
            </w:tcBorders>
            <w:shd w:val="clear" w:color="auto" w:fill="FFFFFF"/>
          </w:tcPr>
          <w:p w:rsidR="009A446C" w:rsidRPr="009A446C" w:rsidRDefault="009A446C" w:rsidP="003D4A1D">
            <w:pPr>
              <w:autoSpaceDE w:val="0"/>
              <w:autoSpaceDN w:val="0"/>
              <w:adjustRightInd w:val="0"/>
              <w:spacing w:line="276" w:lineRule="auto"/>
              <w:rPr>
                <w:rFonts w:ascii="Arial" w:hAnsi="Arial" w:cs="Arial"/>
                <w:color w:val="000000"/>
                <w:sz w:val="18"/>
                <w:szCs w:val="18"/>
                <w:lang w:val="nl-NL" w:eastAsia="en-US" w:bidi="ar-SA"/>
              </w:rPr>
            </w:pPr>
          </w:p>
        </w:tc>
        <w:tc>
          <w:tcPr>
            <w:tcW w:w="2136" w:type="dxa"/>
            <w:tcBorders>
              <w:top w:val="nil"/>
              <w:left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N</w:t>
            </w:r>
          </w:p>
        </w:tc>
        <w:tc>
          <w:tcPr>
            <w:tcW w:w="1139" w:type="dxa"/>
            <w:tcBorders>
              <w:top w:val="nil"/>
              <w:lef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25</w:t>
            </w:r>
          </w:p>
        </w:tc>
        <w:tc>
          <w:tcPr>
            <w:tcW w:w="2459" w:type="dxa"/>
            <w:tcBorders>
              <w:top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25</w:t>
            </w:r>
          </w:p>
        </w:tc>
      </w:tr>
      <w:tr w:rsidR="009A446C" w:rsidRPr="009A446C" w:rsidTr="009A446C">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val="restart"/>
            <w:tcBorders>
              <w:left w:val="nil"/>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en-US" w:eastAsia="en-US" w:bidi="ar-SA"/>
              </w:rPr>
            </w:pPr>
            <w:r w:rsidRPr="009A446C">
              <w:rPr>
                <w:rFonts w:ascii="Arial" w:hAnsi="Arial" w:cs="Arial"/>
                <w:color w:val="000000"/>
                <w:sz w:val="18"/>
                <w:szCs w:val="18"/>
                <w:lang w:val="en-US" w:eastAsia="en-US" w:bidi="ar-SA"/>
              </w:rPr>
              <w:t>Financial statements 2006 word count investment risk</w:t>
            </w:r>
          </w:p>
        </w:tc>
        <w:tc>
          <w:tcPr>
            <w:tcW w:w="2136" w:type="dxa"/>
            <w:tcBorders>
              <w:left w:val="nil"/>
              <w:bottom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9A446C">
              <w:rPr>
                <w:rFonts w:ascii="Arial" w:hAnsi="Arial" w:cs="Arial"/>
                <w:color w:val="000000"/>
                <w:sz w:val="18"/>
                <w:szCs w:val="18"/>
                <w:lang w:val="nl-NL" w:eastAsia="en-US" w:bidi="ar-SA"/>
              </w:rPr>
              <w:t>Correlation</w:t>
            </w:r>
            <w:proofErr w:type="spellEnd"/>
            <w:r w:rsidRPr="009A446C">
              <w:rPr>
                <w:rFonts w:ascii="Arial" w:hAnsi="Arial" w:cs="Arial"/>
                <w:color w:val="000000"/>
                <w:sz w:val="18"/>
                <w:szCs w:val="18"/>
                <w:lang w:val="nl-NL" w:eastAsia="en-US" w:bidi="ar-SA"/>
              </w:rPr>
              <w:t xml:space="preserve"> </w:t>
            </w:r>
            <w:proofErr w:type="spellStart"/>
            <w:r w:rsidRPr="009A446C">
              <w:rPr>
                <w:rFonts w:ascii="Arial" w:hAnsi="Arial" w:cs="Arial"/>
                <w:color w:val="000000"/>
                <w:sz w:val="18"/>
                <w:szCs w:val="18"/>
                <w:lang w:val="nl-NL" w:eastAsia="en-US" w:bidi="ar-SA"/>
              </w:rPr>
              <w:t>Coefficient</w:t>
            </w:r>
            <w:proofErr w:type="spellEnd"/>
          </w:p>
        </w:tc>
        <w:tc>
          <w:tcPr>
            <w:tcW w:w="1139" w:type="dxa"/>
            <w:tcBorders>
              <w:left w:val="single" w:sz="16" w:space="0" w:color="000000"/>
              <w:bottom w:val="nil"/>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.42</w:t>
            </w:r>
            <w:r w:rsidR="000410CD">
              <w:rPr>
                <w:rFonts w:ascii="Arial" w:hAnsi="Arial" w:cs="Arial"/>
                <w:color w:val="000000"/>
                <w:sz w:val="18"/>
                <w:szCs w:val="18"/>
                <w:lang w:val="nl-NL" w:eastAsia="en-US" w:bidi="ar-SA"/>
              </w:rPr>
              <w:t>9</w:t>
            </w:r>
            <w:r w:rsidRPr="009A446C">
              <w:rPr>
                <w:rFonts w:ascii="Arial" w:hAnsi="Arial" w:cs="Arial"/>
                <w:color w:val="000000"/>
                <w:sz w:val="18"/>
                <w:szCs w:val="18"/>
                <w:vertAlign w:val="superscript"/>
                <w:lang w:val="nl-NL" w:eastAsia="en-US" w:bidi="ar-SA"/>
              </w:rPr>
              <w:t>*</w:t>
            </w:r>
          </w:p>
        </w:tc>
        <w:tc>
          <w:tcPr>
            <w:tcW w:w="2459" w:type="dxa"/>
            <w:tcBorders>
              <w:bottom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1.000</w:t>
            </w:r>
          </w:p>
        </w:tc>
      </w:tr>
      <w:tr w:rsidR="009A446C" w:rsidRPr="009A446C" w:rsidTr="009A446C">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rPr>
                <w:rFonts w:cs="Times New Roman"/>
                <w:lang w:val="nl-NL" w:eastAsia="en-US" w:bidi="ar-SA"/>
              </w:rPr>
            </w:pPr>
          </w:p>
        </w:tc>
        <w:tc>
          <w:tcPr>
            <w:tcW w:w="2426" w:type="dxa"/>
            <w:vMerge/>
            <w:tcBorders>
              <w:left w:val="nil"/>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rPr>
                <w:rFonts w:cs="Times New Roman"/>
                <w:lang w:val="nl-NL" w:eastAsia="en-US" w:bidi="ar-SA"/>
              </w:rPr>
            </w:pPr>
          </w:p>
        </w:tc>
        <w:tc>
          <w:tcPr>
            <w:tcW w:w="2136" w:type="dxa"/>
            <w:tcBorders>
              <w:top w:val="nil"/>
              <w:left w:val="nil"/>
              <w:bottom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9A446C">
              <w:rPr>
                <w:rFonts w:ascii="Arial" w:hAnsi="Arial" w:cs="Arial"/>
                <w:color w:val="000000"/>
                <w:sz w:val="18"/>
                <w:szCs w:val="18"/>
                <w:lang w:val="nl-NL" w:eastAsia="en-US" w:bidi="ar-SA"/>
              </w:rPr>
              <w:t>Sig</w:t>
            </w:r>
            <w:proofErr w:type="spellEnd"/>
            <w:r w:rsidRPr="009A446C">
              <w:rPr>
                <w:rFonts w:ascii="Arial" w:hAnsi="Arial" w:cs="Arial"/>
                <w:color w:val="000000"/>
                <w:sz w:val="18"/>
                <w:szCs w:val="18"/>
                <w:lang w:val="nl-NL" w:eastAsia="en-US" w:bidi="ar-SA"/>
              </w:rPr>
              <w:t>. (1-tailed)</w:t>
            </w:r>
          </w:p>
        </w:tc>
        <w:tc>
          <w:tcPr>
            <w:tcW w:w="1139" w:type="dxa"/>
            <w:tcBorders>
              <w:top w:val="nil"/>
              <w:left w:val="single" w:sz="16" w:space="0" w:color="000000"/>
              <w:bottom w:val="nil"/>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.01</w:t>
            </w:r>
            <w:r w:rsidR="00D24F00">
              <w:rPr>
                <w:rFonts w:ascii="Arial" w:hAnsi="Arial" w:cs="Arial"/>
                <w:color w:val="000000"/>
                <w:sz w:val="18"/>
                <w:szCs w:val="18"/>
                <w:lang w:val="nl-NL" w:eastAsia="en-US" w:bidi="ar-SA"/>
              </w:rPr>
              <w:t>6</w:t>
            </w:r>
          </w:p>
        </w:tc>
        <w:tc>
          <w:tcPr>
            <w:tcW w:w="2459" w:type="dxa"/>
            <w:tcBorders>
              <w:top w:val="nil"/>
              <w:bottom w:val="nil"/>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w:t>
            </w:r>
          </w:p>
        </w:tc>
      </w:tr>
      <w:tr w:rsidR="009A446C" w:rsidRPr="009A446C" w:rsidTr="009A446C">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rPr>
                <w:rFonts w:cs="Times New Roman"/>
                <w:lang w:val="nl-NL" w:eastAsia="en-US" w:bidi="ar-SA"/>
              </w:rPr>
            </w:pPr>
          </w:p>
        </w:tc>
        <w:tc>
          <w:tcPr>
            <w:tcW w:w="2426" w:type="dxa"/>
            <w:vMerge/>
            <w:tcBorders>
              <w:left w:val="nil"/>
              <w:bottom w:val="single" w:sz="16" w:space="0" w:color="000000"/>
              <w:right w:val="nil"/>
            </w:tcBorders>
            <w:shd w:val="clear" w:color="auto" w:fill="FFFFFF"/>
          </w:tcPr>
          <w:p w:rsidR="009A446C" w:rsidRPr="009A446C" w:rsidRDefault="009A446C" w:rsidP="003D4A1D">
            <w:pPr>
              <w:autoSpaceDE w:val="0"/>
              <w:autoSpaceDN w:val="0"/>
              <w:adjustRightInd w:val="0"/>
              <w:spacing w:line="276" w:lineRule="auto"/>
              <w:rPr>
                <w:rFonts w:cs="Times New Roman"/>
                <w:lang w:val="nl-NL" w:eastAsia="en-US" w:bidi="ar-SA"/>
              </w:rPr>
            </w:pPr>
          </w:p>
        </w:tc>
        <w:tc>
          <w:tcPr>
            <w:tcW w:w="2136" w:type="dxa"/>
            <w:tcBorders>
              <w:top w:val="nil"/>
              <w:left w:val="nil"/>
              <w:bottom w:val="single" w:sz="16" w:space="0" w:color="000000"/>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N</w:t>
            </w:r>
          </w:p>
        </w:tc>
        <w:tc>
          <w:tcPr>
            <w:tcW w:w="1139" w:type="dxa"/>
            <w:tcBorders>
              <w:top w:val="nil"/>
              <w:left w:val="single" w:sz="16" w:space="0" w:color="000000"/>
              <w:bottom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25</w:t>
            </w:r>
          </w:p>
        </w:tc>
        <w:tc>
          <w:tcPr>
            <w:tcW w:w="2459" w:type="dxa"/>
            <w:tcBorders>
              <w:top w:val="nil"/>
              <w:bottom w:val="single" w:sz="16" w:space="0" w:color="000000"/>
              <w:right w:val="single" w:sz="16" w:space="0" w:color="000000"/>
            </w:tcBorders>
            <w:shd w:val="clear" w:color="auto" w:fill="FFFFFF"/>
          </w:tcPr>
          <w:p w:rsidR="009A446C" w:rsidRPr="009A446C" w:rsidRDefault="009A446C"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9A446C">
              <w:rPr>
                <w:rFonts w:ascii="Arial" w:hAnsi="Arial" w:cs="Arial"/>
                <w:color w:val="000000"/>
                <w:sz w:val="18"/>
                <w:szCs w:val="18"/>
                <w:lang w:val="nl-NL" w:eastAsia="en-US" w:bidi="ar-SA"/>
              </w:rPr>
              <w:t>25</w:t>
            </w:r>
          </w:p>
        </w:tc>
      </w:tr>
      <w:tr w:rsidR="009A446C" w:rsidRPr="009A446C" w:rsidTr="009A446C">
        <w:trPr>
          <w:cantSplit/>
        </w:trPr>
        <w:tc>
          <w:tcPr>
            <w:tcW w:w="9781" w:type="dxa"/>
            <w:gridSpan w:val="5"/>
            <w:tcBorders>
              <w:top w:val="nil"/>
              <w:left w:val="nil"/>
              <w:bottom w:val="nil"/>
              <w:right w:val="nil"/>
            </w:tcBorders>
            <w:shd w:val="clear" w:color="auto" w:fill="FFFFFF"/>
          </w:tcPr>
          <w:p w:rsidR="009A446C" w:rsidRPr="009A446C" w:rsidRDefault="009A446C" w:rsidP="003D4A1D">
            <w:pPr>
              <w:autoSpaceDE w:val="0"/>
              <w:autoSpaceDN w:val="0"/>
              <w:adjustRightInd w:val="0"/>
              <w:spacing w:line="320" w:lineRule="atLeast"/>
              <w:ind w:left="60" w:right="60"/>
              <w:rPr>
                <w:rFonts w:ascii="Arial" w:hAnsi="Arial" w:cs="Arial"/>
                <w:color w:val="000000"/>
                <w:sz w:val="18"/>
                <w:szCs w:val="18"/>
                <w:lang w:val="en-US" w:eastAsia="en-US" w:bidi="ar-SA"/>
              </w:rPr>
            </w:pPr>
            <w:r w:rsidRPr="009A446C">
              <w:rPr>
                <w:rFonts w:ascii="Arial" w:hAnsi="Arial" w:cs="Arial"/>
                <w:color w:val="000000"/>
                <w:sz w:val="18"/>
                <w:szCs w:val="18"/>
                <w:lang w:val="en-US" w:eastAsia="en-US" w:bidi="ar-SA"/>
              </w:rPr>
              <w:t>*. Correlation is significant at the 0.05 level (1-tailed).</w:t>
            </w:r>
          </w:p>
        </w:tc>
      </w:tr>
    </w:tbl>
    <w:p w:rsidR="00742C40" w:rsidRDefault="00742C40" w:rsidP="00504A73">
      <w:pPr>
        <w:autoSpaceDE w:val="0"/>
        <w:autoSpaceDN w:val="0"/>
        <w:adjustRightInd w:val="0"/>
        <w:spacing w:line="320" w:lineRule="atLeast"/>
        <w:rPr>
          <w:rFonts w:cs="Times New Roman"/>
          <w:sz w:val="20"/>
          <w:szCs w:val="20"/>
          <w:lang w:val="en-US" w:eastAsia="en-US" w:bidi="ar-SA"/>
        </w:rPr>
      </w:pPr>
      <w:r w:rsidRPr="00FF3D15">
        <w:rPr>
          <w:rFonts w:cs="Times New Roman"/>
          <w:sz w:val="20"/>
          <w:szCs w:val="20"/>
          <w:lang w:val="en-US" w:eastAsia="en-US" w:bidi="ar-SA"/>
        </w:rPr>
        <w:t xml:space="preserve">Table </w:t>
      </w:r>
      <w:r w:rsidR="00D07C47">
        <w:rPr>
          <w:rFonts w:cs="Times New Roman"/>
          <w:sz w:val="20"/>
          <w:szCs w:val="20"/>
          <w:lang w:val="en-US" w:eastAsia="en-US" w:bidi="ar-SA"/>
        </w:rPr>
        <w:t>1</w:t>
      </w:r>
      <w:r w:rsidR="00376F7D">
        <w:rPr>
          <w:rFonts w:cs="Times New Roman"/>
          <w:sz w:val="20"/>
          <w:szCs w:val="20"/>
          <w:lang w:val="en-US" w:eastAsia="en-US" w:bidi="ar-SA"/>
        </w:rPr>
        <w:t>5</w:t>
      </w:r>
      <w:r w:rsidRPr="00FF3D15">
        <w:rPr>
          <w:rFonts w:cs="Times New Roman"/>
          <w:sz w:val="20"/>
          <w:szCs w:val="20"/>
          <w:lang w:val="en-US" w:eastAsia="en-US" w:bidi="ar-SA"/>
        </w:rPr>
        <w:t xml:space="preserve">: Spearman’s correlation between the variables ‘Financial </w:t>
      </w:r>
      <w:r w:rsidR="00FF3D15">
        <w:rPr>
          <w:rFonts w:cs="Times New Roman"/>
          <w:sz w:val="20"/>
          <w:szCs w:val="20"/>
          <w:lang w:val="en-US" w:eastAsia="en-US" w:bidi="ar-SA"/>
        </w:rPr>
        <w:t>statements 2006</w:t>
      </w:r>
      <w:r w:rsidRPr="00FF3D15">
        <w:rPr>
          <w:rFonts w:cs="Times New Roman"/>
          <w:sz w:val="20"/>
          <w:szCs w:val="20"/>
          <w:lang w:val="en-US" w:eastAsia="en-US" w:bidi="ar-SA"/>
        </w:rPr>
        <w:t xml:space="preserve"> word count “</w:t>
      </w:r>
      <w:r w:rsidR="00FF3D15">
        <w:rPr>
          <w:rFonts w:cs="Times New Roman"/>
          <w:sz w:val="20"/>
          <w:szCs w:val="20"/>
          <w:lang w:val="en-US" w:eastAsia="en-US" w:bidi="ar-SA"/>
        </w:rPr>
        <w:t>investment risk</w:t>
      </w:r>
      <w:r w:rsidRPr="00FF3D15">
        <w:rPr>
          <w:rFonts w:cs="Times New Roman"/>
          <w:sz w:val="20"/>
          <w:szCs w:val="20"/>
          <w:lang w:val="en-US" w:eastAsia="en-US" w:bidi="ar-SA"/>
        </w:rPr>
        <w:t>”</w:t>
      </w:r>
      <w:r w:rsidR="00FF3D15">
        <w:rPr>
          <w:rFonts w:cs="Times New Roman"/>
          <w:sz w:val="20"/>
          <w:szCs w:val="20"/>
          <w:lang w:val="en-US" w:eastAsia="en-US" w:bidi="ar-SA"/>
        </w:rPr>
        <w:t>’</w:t>
      </w:r>
      <w:r w:rsidRPr="00FF3D15">
        <w:rPr>
          <w:rFonts w:cs="Times New Roman"/>
          <w:sz w:val="20"/>
          <w:szCs w:val="20"/>
          <w:lang w:val="en-US" w:eastAsia="en-US" w:bidi="ar-SA"/>
        </w:rPr>
        <w:t xml:space="preserve"> and ‘AUM 200</w:t>
      </w:r>
      <w:r w:rsidR="00FF3D15">
        <w:rPr>
          <w:rFonts w:cs="Times New Roman"/>
          <w:sz w:val="20"/>
          <w:szCs w:val="20"/>
          <w:lang w:val="en-US" w:eastAsia="en-US" w:bidi="ar-SA"/>
        </w:rPr>
        <w:t>6</w:t>
      </w:r>
      <w:r w:rsidRPr="00FF3D15">
        <w:rPr>
          <w:rFonts w:cs="Times New Roman"/>
          <w:sz w:val="20"/>
          <w:szCs w:val="20"/>
          <w:lang w:val="en-US" w:eastAsia="en-US" w:bidi="ar-SA"/>
        </w:rPr>
        <w:t xml:space="preserve">’ </w:t>
      </w:r>
    </w:p>
    <w:p w:rsidR="000F5FFF" w:rsidRPr="00FF3D15" w:rsidRDefault="000F5FFF" w:rsidP="00742C40">
      <w:pPr>
        <w:autoSpaceDE w:val="0"/>
        <w:autoSpaceDN w:val="0"/>
        <w:adjustRightInd w:val="0"/>
        <w:spacing w:line="400" w:lineRule="atLeast"/>
        <w:rPr>
          <w:rFonts w:cs="Times New Roman"/>
          <w:sz w:val="20"/>
          <w:szCs w:val="20"/>
          <w:lang w:val="en-US" w:eastAsia="en-US" w:bidi="ar-SA"/>
        </w:rPr>
      </w:pPr>
    </w:p>
    <w:p w:rsidR="00030D65" w:rsidRDefault="00742C40" w:rsidP="003C53C8">
      <w:pPr>
        <w:autoSpaceDE w:val="0"/>
        <w:autoSpaceDN w:val="0"/>
        <w:adjustRightInd w:val="0"/>
        <w:spacing w:line="400" w:lineRule="atLeast"/>
        <w:jc w:val="both"/>
        <w:rPr>
          <w:rFonts w:cs="Times New Roman"/>
          <w:lang w:val="en-US" w:eastAsia="en-US" w:bidi="ar-SA"/>
        </w:rPr>
      </w:pPr>
      <w:r>
        <w:rPr>
          <w:lang w:val="en-US"/>
        </w:rPr>
        <w:t>The significance value for the correlation coefficient is</w:t>
      </w:r>
      <w:r w:rsidR="00B6476E">
        <w:rPr>
          <w:lang w:val="en-US"/>
        </w:rPr>
        <w:t>, as depicted in table 1</w:t>
      </w:r>
      <w:r w:rsidR="003554A7">
        <w:rPr>
          <w:lang w:val="en-US"/>
        </w:rPr>
        <w:t>5</w:t>
      </w:r>
      <w:r w:rsidR="00B6476E">
        <w:rPr>
          <w:lang w:val="en-US"/>
        </w:rPr>
        <w:t xml:space="preserve">, </w:t>
      </w:r>
      <w:r w:rsidR="00D24F00">
        <w:rPr>
          <w:lang w:val="en-US"/>
        </w:rPr>
        <w:t xml:space="preserve">with 0.016 </w:t>
      </w:r>
      <w:r>
        <w:rPr>
          <w:lang w:val="en-US"/>
        </w:rPr>
        <w:t xml:space="preserve">below 0.05. Therefore can be concluded that the relation between </w:t>
      </w:r>
      <w:r>
        <w:rPr>
          <w:rFonts w:cs="Times New Roman"/>
          <w:lang w:val="en-US" w:eastAsia="en-US" w:bidi="ar-SA"/>
        </w:rPr>
        <w:t>the variables ‘Financial statements 200</w:t>
      </w:r>
      <w:r w:rsidR="00FF3D15">
        <w:rPr>
          <w:rFonts w:cs="Times New Roman"/>
          <w:lang w:val="en-US" w:eastAsia="en-US" w:bidi="ar-SA"/>
        </w:rPr>
        <w:t>6</w:t>
      </w:r>
      <w:r>
        <w:rPr>
          <w:rFonts w:cs="Times New Roman"/>
          <w:lang w:val="en-US" w:eastAsia="en-US" w:bidi="ar-SA"/>
        </w:rPr>
        <w:t xml:space="preserve"> word count “</w:t>
      </w:r>
      <w:r w:rsidR="00FF3D15">
        <w:rPr>
          <w:rFonts w:cs="Times New Roman"/>
          <w:lang w:val="en-US" w:eastAsia="en-US" w:bidi="ar-SA"/>
        </w:rPr>
        <w:t>investment risk</w:t>
      </w:r>
      <w:r>
        <w:rPr>
          <w:rFonts w:cs="Times New Roman"/>
          <w:lang w:val="en-US" w:eastAsia="en-US" w:bidi="ar-SA"/>
        </w:rPr>
        <w:t>”’ and ‘AUM 200</w:t>
      </w:r>
      <w:r w:rsidR="00FF3D15">
        <w:rPr>
          <w:rFonts w:cs="Times New Roman"/>
          <w:lang w:val="en-US" w:eastAsia="en-US" w:bidi="ar-SA"/>
        </w:rPr>
        <w:t>6</w:t>
      </w:r>
      <w:r w:rsidR="009A446C">
        <w:rPr>
          <w:rFonts w:cs="Times New Roman"/>
          <w:lang w:val="en-US" w:eastAsia="en-US" w:bidi="ar-SA"/>
        </w:rPr>
        <w:t>’ is significant. The correlation coefficient is</w:t>
      </w:r>
      <w:r>
        <w:rPr>
          <w:rFonts w:cs="Times New Roman"/>
          <w:lang w:val="en-US" w:eastAsia="en-US" w:bidi="ar-SA"/>
        </w:rPr>
        <w:t xml:space="preserve"> </w:t>
      </w:r>
      <w:r w:rsidR="00410912">
        <w:rPr>
          <w:rFonts w:cs="Times New Roman"/>
          <w:lang w:val="en-US" w:eastAsia="en-US" w:bidi="ar-SA"/>
        </w:rPr>
        <w:t xml:space="preserve">significant and </w:t>
      </w:r>
      <w:r>
        <w:rPr>
          <w:rFonts w:cs="Times New Roman"/>
          <w:lang w:val="en-US" w:eastAsia="en-US" w:bidi="ar-SA"/>
        </w:rPr>
        <w:t xml:space="preserve">positive, so </w:t>
      </w:r>
      <w:r w:rsidR="009A446C">
        <w:rPr>
          <w:rFonts w:cs="Times New Roman"/>
          <w:lang w:val="en-US" w:eastAsia="en-US" w:bidi="ar-SA"/>
        </w:rPr>
        <w:t>regarding the year 2006</w:t>
      </w:r>
      <w:r>
        <w:rPr>
          <w:rFonts w:cs="Times New Roman"/>
          <w:lang w:val="en-US" w:eastAsia="en-US" w:bidi="ar-SA"/>
        </w:rPr>
        <w:t xml:space="preserve"> can be concluded </w:t>
      </w:r>
      <w:r w:rsidR="009A446C">
        <w:rPr>
          <w:rFonts w:cs="Times New Roman"/>
          <w:lang w:val="en-US" w:eastAsia="en-US" w:bidi="ar-SA"/>
        </w:rPr>
        <w:t>th</w:t>
      </w:r>
      <w:r>
        <w:rPr>
          <w:rFonts w:cs="Times New Roman"/>
          <w:lang w:val="en-US" w:eastAsia="en-US" w:bidi="ar-SA"/>
        </w:rPr>
        <w:t xml:space="preserve">at the larger a pension fund, the more frequent the </w:t>
      </w:r>
      <w:r w:rsidR="00D24F00">
        <w:rPr>
          <w:rFonts w:cs="Times New Roman"/>
          <w:lang w:val="en-US" w:eastAsia="en-US" w:bidi="ar-SA"/>
        </w:rPr>
        <w:t>disclosure of investment risks</w:t>
      </w:r>
      <w:r>
        <w:rPr>
          <w:rFonts w:cs="Times New Roman"/>
          <w:lang w:val="en-US" w:eastAsia="en-US" w:bidi="ar-SA"/>
        </w:rPr>
        <w:t xml:space="preserve"> in the </w:t>
      </w:r>
      <w:r w:rsidR="00D24F00">
        <w:rPr>
          <w:rFonts w:cs="Times New Roman"/>
          <w:lang w:val="en-US" w:eastAsia="en-US" w:bidi="ar-SA"/>
        </w:rPr>
        <w:t xml:space="preserve">2006 </w:t>
      </w:r>
      <w:r>
        <w:rPr>
          <w:rFonts w:cs="Times New Roman"/>
          <w:lang w:val="en-US" w:eastAsia="en-US" w:bidi="ar-SA"/>
        </w:rPr>
        <w:t>financial statements.</w:t>
      </w:r>
    </w:p>
    <w:p w:rsidR="00030D65" w:rsidRDefault="00030D65" w:rsidP="003C53C8">
      <w:pPr>
        <w:autoSpaceDE w:val="0"/>
        <w:autoSpaceDN w:val="0"/>
        <w:adjustRightInd w:val="0"/>
        <w:spacing w:line="400" w:lineRule="atLeast"/>
        <w:jc w:val="both"/>
        <w:rPr>
          <w:rFonts w:cs="Times New Roman"/>
          <w:lang w:val="en-US" w:eastAsia="en-US" w:bidi="ar-SA"/>
        </w:rPr>
      </w:pPr>
    </w:p>
    <w:p w:rsidR="00030D65" w:rsidRDefault="00030D65" w:rsidP="003C53C8">
      <w:pPr>
        <w:autoSpaceDE w:val="0"/>
        <w:autoSpaceDN w:val="0"/>
        <w:adjustRightInd w:val="0"/>
        <w:spacing w:line="400" w:lineRule="atLeast"/>
        <w:jc w:val="both"/>
        <w:rPr>
          <w:rFonts w:cs="Times New Roman"/>
          <w:lang w:val="en-US" w:eastAsia="en-US" w:bidi="ar-SA"/>
        </w:rPr>
      </w:pPr>
    </w:p>
    <w:p w:rsidR="00742C40" w:rsidRDefault="009A446C" w:rsidP="003C53C8">
      <w:pPr>
        <w:autoSpaceDE w:val="0"/>
        <w:autoSpaceDN w:val="0"/>
        <w:adjustRightInd w:val="0"/>
        <w:spacing w:line="400" w:lineRule="atLeast"/>
        <w:jc w:val="both"/>
        <w:rPr>
          <w:lang w:val="en-US"/>
        </w:rPr>
      </w:pPr>
      <w:r>
        <w:rPr>
          <w:rFonts w:cs="Times New Roman"/>
          <w:lang w:val="en-US" w:eastAsia="en-US" w:bidi="ar-SA"/>
        </w:rPr>
        <w:t xml:space="preserve"> </w:t>
      </w:r>
      <w:r w:rsidR="00742C40">
        <w:rPr>
          <w:rFonts w:cs="Times New Roman"/>
          <w:lang w:val="en-US" w:eastAsia="en-US" w:bidi="ar-SA"/>
        </w:rPr>
        <w:t xml:space="preserve"> </w:t>
      </w:r>
    </w:p>
    <w:p w:rsidR="002861B0" w:rsidRPr="00E70094" w:rsidRDefault="002861B0" w:rsidP="002861B0">
      <w:pPr>
        <w:autoSpaceDE w:val="0"/>
        <w:autoSpaceDN w:val="0"/>
        <w:adjustRightInd w:val="0"/>
        <w:rPr>
          <w:rFonts w:cs="Times New Roman"/>
          <w:lang w:val="en-US" w:eastAsia="en-US" w:bidi="ar-SA"/>
        </w:rPr>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21"/>
        <w:gridCol w:w="2426"/>
        <w:gridCol w:w="2136"/>
        <w:gridCol w:w="1139"/>
        <w:gridCol w:w="2459"/>
      </w:tblGrid>
      <w:tr w:rsidR="002861B0" w:rsidRPr="002861B0" w:rsidTr="002861B0">
        <w:trPr>
          <w:cantSplit/>
          <w:tblHeader/>
        </w:trPr>
        <w:tc>
          <w:tcPr>
            <w:tcW w:w="9781" w:type="dxa"/>
            <w:gridSpan w:val="5"/>
            <w:tcBorders>
              <w:top w:val="nil"/>
              <w:left w:val="nil"/>
              <w:bottom w:val="nil"/>
              <w:right w:val="nil"/>
            </w:tcBorders>
            <w:shd w:val="clear" w:color="auto" w:fill="FFFFFF"/>
            <w:vAlign w:val="center"/>
          </w:tcPr>
          <w:p w:rsidR="002861B0" w:rsidRPr="002861B0" w:rsidRDefault="002861B0" w:rsidP="002861B0">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2861B0">
              <w:rPr>
                <w:rFonts w:ascii="Arial" w:hAnsi="Arial" w:cs="Arial"/>
                <w:b/>
                <w:bCs/>
                <w:color w:val="000000"/>
                <w:sz w:val="18"/>
                <w:szCs w:val="18"/>
                <w:lang w:val="nl-NL" w:eastAsia="en-US" w:bidi="ar-SA"/>
              </w:rPr>
              <w:t>Correlations</w:t>
            </w:r>
            <w:proofErr w:type="spellEnd"/>
          </w:p>
        </w:tc>
      </w:tr>
      <w:tr w:rsidR="002861B0" w:rsidRPr="002861B0" w:rsidTr="002861B0">
        <w:trPr>
          <w:cantSplit/>
          <w:tblHeader/>
        </w:trPr>
        <w:tc>
          <w:tcPr>
            <w:tcW w:w="618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2861B0" w:rsidRPr="002861B0" w:rsidRDefault="002861B0" w:rsidP="003D4A1D">
            <w:pPr>
              <w:autoSpaceDE w:val="0"/>
              <w:autoSpaceDN w:val="0"/>
              <w:adjustRightInd w:val="0"/>
              <w:spacing w:line="276" w:lineRule="auto"/>
              <w:jc w:val="center"/>
              <w:rPr>
                <w:rFonts w:cs="Times New Roman"/>
                <w:lang w:val="nl-NL" w:eastAsia="en-US" w:bidi="ar-SA"/>
              </w:rPr>
            </w:pPr>
          </w:p>
        </w:tc>
        <w:tc>
          <w:tcPr>
            <w:tcW w:w="1139" w:type="dxa"/>
            <w:tcBorders>
              <w:top w:val="single" w:sz="16" w:space="0" w:color="000000"/>
              <w:left w:val="single" w:sz="16" w:space="0" w:color="000000"/>
              <w:bottom w:val="single" w:sz="16" w:space="0" w:color="000000"/>
            </w:tcBorders>
            <w:shd w:val="clear" w:color="auto" w:fill="FFFFFF"/>
            <w:vAlign w:val="bottom"/>
          </w:tcPr>
          <w:p w:rsidR="002861B0" w:rsidRPr="002861B0" w:rsidRDefault="002861B0" w:rsidP="003D4A1D">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AUM 2007</w:t>
            </w:r>
          </w:p>
        </w:tc>
        <w:tc>
          <w:tcPr>
            <w:tcW w:w="2459" w:type="dxa"/>
            <w:tcBorders>
              <w:top w:val="single" w:sz="16" w:space="0" w:color="000000"/>
              <w:bottom w:val="single" w:sz="16" w:space="0" w:color="000000"/>
              <w:right w:val="single" w:sz="16" w:space="0" w:color="000000"/>
            </w:tcBorders>
            <w:shd w:val="clear" w:color="auto" w:fill="FFFFFF"/>
            <w:vAlign w:val="bottom"/>
          </w:tcPr>
          <w:p w:rsidR="002861B0" w:rsidRPr="002861B0" w:rsidRDefault="002861B0" w:rsidP="003D4A1D">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9A446C">
              <w:rPr>
                <w:rFonts w:ascii="Arial" w:hAnsi="Arial" w:cs="Arial"/>
                <w:color w:val="000000"/>
                <w:sz w:val="18"/>
                <w:szCs w:val="18"/>
                <w:lang w:val="en-US" w:eastAsia="en-US" w:bidi="ar-SA"/>
              </w:rPr>
              <w:t>Financial statements 200</w:t>
            </w:r>
            <w:r>
              <w:rPr>
                <w:rFonts w:ascii="Arial" w:hAnsi="Arial" w:cs="Arial"/>
                <w:color w:val="000000"/>
                <w:sz w:val="18"/>
                <w:szCs w:val="18"/>
                <w:lang w:val="en-US" w:eastAsia="en-US" w:bidi="ar-SA"/>
              </w:rPr>
              <w:t>7</w:t>
            </w:r>
            <w:r w:rsidRPr="009A446C">
              <w:rPr>
                <w:rFonts w:ascii="Arial" w:hAnsi="Arial" w:cs="Arial"/>
                <w:color w:val="000000"/>
                <w:sz w:val="18"/>
                <w:szCs w:val="18"/>
                <w:lang w:val="en-US" w:eastAsia="en-US" w:bidi="ar-SA"/>
              </w:rPr>
              <w:t xml:space="preserve"> word count investment risk</w:t>
            </w:r>
          </w:p>
        </w:tc>
      </w:tr>
      <w:tr w:rsidR="002861B0" w:rsidRPr="002861B0" w:rsidTr="002861B0">
        <w:trPr>
          <w:cantSplit/>
          <w:tblHeader/>
        </w:trPr>
        <w:tc>
          <w:tcPr>
            <w:tcW w:w="1621" w:type="dxa"/>
            <w:vMerge w:val="restart"/>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Spearman's</w:t>
            </w:r>
            <w:proofErr w:type="spellEnd"/>
            <w:r w:rsidRPr="002861B0">
              <w:rPr>
                <w:rFonts w:ascii="Arial" w:hAnsi="Arial" w:cs="Arial"/>
                <w:color w:val="000000"/>
                <w:sz w:val="18"/>
                <w:szCs w:val="18"/>
                <w:lang w:val="nl-NL" w:eastAsia="en-US" w:bidi="ar-SA"/>
              </w:rPr>
              <w:t xml:space="preserve"> </w:t>
            </w:r>
            <w:proofErr w:type="spellStart"/>
            <w:r w:rsidRPr="002861B0">
              <w:rPr>
                <w:rFonts w:ascii="Arial" w:hAnsi="Arial" w:cs="Arial"/>
                <w:color w:val="000000"/>
                <w:sz w:val="18"/>
                <w:szCs w:val="18"/>
                <w:lang w:val="nl-NL" w:eastAsia="en-US" w:bidi="ar-SA"/>
              </w:rPr>
              <w:t>rho</w:t>
            </w:r>
            <w:proofErr w:type="spellEnd"/>
          </w:p>
        </w:tc>
        <w:tc>
          <w:tcPr>
            <w:tcW w:w="2426" w:type="dxa"/>
            <w:vMerge w:val="restart"/>
            <w:tcBorders>
              <w:top w:val="single" w:sz="16" w:space="0" w:color="000000"/>
              <w:left w:val="nil"/>
              <w:right w:val="nil"/>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AUM 2007</w:t>
            </w:r>
          </w:p>
        </w:tc>
        <w:tc>
          <w:tcPr>
            <w:tcW w:w="2136" w:type="dxa"/>
            <w:tcBorders>
              <w:top w:val="single" w:sz="16" w:space="0" w:color="000000"/>
              <w:left w:val="nil"/>
              <w:bottom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Correlation</w:t>
            </w:r>
            <w:proofErr w:type="spellEnd"/>
            <w:r w:rsidRPr="002861B0">
              <w:rPr>
                <w:rFonts w:ascii="Arial" w:hAnsi="Arial" w:cs="Arial"/>
                <w:color w:val="000000"/>
                <w:sz w:val="18"/>
                <w:szCs w:val="18"/>
                <w:lang w:val="nl-NL" w:eastAsia="en-US" w:bidi="ar-SA"/>
              </w:rPr>
              <w:t xml:space="preserve"> </w:t>
            </w:r>
            <w:proofErr w:type="spellStart"/>
            <w:r w:rsidRPr="002861B0">
              <w:rPr>
                <w:rFonts w:ascii="Arial" w:hAnsi="Arial" w:cs="Arial"/>
                <w:color w:val="000000"/>
                <w:sz w:val="18"/>
                <w:szCs w:val="18"/>
                <w:lang w:val="nl-NL" w:eastAsia="en-US" w:bidi="ar-SA"/>
              </w:rPr>
              <w:t>Coefficient</w:t>
            </w:r>
            <w:proofErr w:type="spellEnd"/>
          </w:p>
        </w:tc>
        <w:tc>
          <w:tcPr>
            <w:tcW w:w="1139" w:type="dxa"/>
            <w:tcBorders>
              <w:top w:val="single" w:sz="16" w:space="0" w:color="000000"/>
              <w:left w:val="single" w:sz="16" w:space="0" w:color="000000"/>
              <w:bottom w:val="nil"/>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1.000</w:t>
            </w:r>
          </w:p>
        </w:tc>
        <w:tc>
          <w:tcPr>
            <w:tcW w:w="2459" w:type="dxa"/>
            <w:tcBorders>
              <w:top w:val="single" w:sz="16" w:space="0" w:color="000000"/>
              <w:bottom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.190</w:t>
            </w:r>
          </w:p>
        </w:tc>
      </w:tr>
      <w:tr w:rsidR="002861B0" w:rsidRPr="002861B0" w:rsidTr="002861B0">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tcBorders>
              <w:top w:val="single" w:sz="16" w:space="0" w:color="000000"/>
              <w:left w:val="nil"/>
              <w:right w:val="nil"/>
            </w:tcBorders>
            <w:shd w:val="clear" w:color="auto" w:fill="FFFFFF"/>
          </w:tcPr>
          <w:p w:rsidR="002861B0" w:rsidRPr="002861B0" w:rsidRDefault="002861B0" w:rsidP="003D4A1D">
            <w:pPr>
              <w:autoSpaceDE w:val="0"/>
              <w:autoSpaceDN w:val="0"/>
              <w:adjustRightInd w:val="0"/>
              <w:spacing w:line="276" w:lineRule="auto"/>
              <w:rPr>
                <w:rFonts w:ascii="Arial" w:hAnsi="Arial" w:cs="Arial"/>
                <w:color w:val="000000"/>
                <w:sz w:val="18"/>
                <w:szCs w:val="18"/>
                <w:lang w:val="nl-NL" w:eastAsia="en-US" w:bidi="ar-SA"/>
              </w:rPr>
            </w:pPr>
          </w:p>
        </w:tc>
        <w:tc>
          <w:tcPr>
            <w:tcW w:w="2136" w:type="dxa"/>
            <w:tcBorders>
              <w:top w:val="nil"/>
              <w:left w:val="nil"/>
              <w:bottom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Sig</w:t>
            </w:r>
            <w:proofErr w:type="spellEnd"/>
            <w:r w:rsidRPr="002861B0">
              <w:rPr>
                <w:rFonts w:ascii="Arial" w:hAnsi="Arial" w:cs="Arial"/>
                <w:color w:val="000000"/>
                <w:sz w:val="18"/>
                <w:szCs w:val="18"/>
                <w:lang w:val="nl-NL" w:eastAsia="en-US" w:bidi="ar-SA"/>
              </w:rPr>
              <w:t>. (1-tailed)</w:t>
            </w:r>
          </w:p>
        </w:tc>
        <w:tc>
          <w:tcPr>
            <w:tcW w:w="1139" w:type="dxa"/>
            <w:tcBorders>
              <w:top w:val="nil"/>
              <w:left w:val="single" w:sz="16" w:space="0" w:color="000000"/>
              <w:bottom w:val="nil"/>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w:t>
            </w:r>
          </w:p>
        </w:tc>
        <w:tc>
          <w:tcPr>
            <w:tcW w:w="2459" w:type="dxa"/>
            <w:tcBorders>
              <w:top w:val="nil"/>
              <w:bottom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.182</w:t>
            </w:r>
          </w:p>
        </w:tc>
      </w:tr>
      <w:tr w:rsidR="002861B0" w:rsidRPr="002861B0" w:rsidTr="002861B0">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tcBorders>
              <w:top w:val="single" w:sz="16" w:space="0" w:color="000000"/>
              <w:left w:val="nil"/>
              <w:right w:val="nil"/>
            </w:tcBorders>
            <w:shd w:val="clear" w:color="auto" w:fill="FFFFFF"/>
          </w:tcPr>
          <w:p w:rsidR="002861B0" w:rsidRPr="002861B0" w:rsidRDefault="002861B0" w:rsidP="003D4A1D">
            <w:pPr>
              <w:autoSpaceDE w:val="0"/>
              <w:autoSpaceDN w:val="0"/>
              <w:adjustRightInd w:val="0"/>
              <w:spacing w:line="276" w:lineRule="auto"/>
              <w:rPr>
                <w:rFonts w:ascii="Arial" w:hAnsi="Arial" w:cs="Arial"/>
                <w:color w:val="000000"/>
                <w:sz w:val="18"/>
                <w:szCs w:val="18"/>
                <w:lang w:val="nl-NL" w:eastAsia="en-US" w:bidi="ar-SA"/>
              </w:rPr>
            </w:pPr>
          </w:p>
        </w:tc>
        <w:tc>
          <w:tcPr>
            <w:tcW w:w="2136" w:type="dxa"/>
            <w:tcBorders>
              <w:top w:val="nil"/>
              <w:left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N</w:t>
            </w:r>
          </w:p>
        </w:tc>
        <w:tc>
          <w:tcPr>
            <w:tcW w:w="1139" w:type="dxa"/>
            <w:tcBorders>
              <w:top w:val="nil"/>
              <w:lef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25</w:t>
            </w:r>
          </w:p>
        </w:tc>
        <w:tc>
          <w:tcPr>
            <w:tcW w:w="2459" w:type="dxa"/>
            <w:tcBorders>
              <w:top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25</w:t>
            </w:r>
          </w:p>
        </w:tc>
      </w:tr>
      <w:tr w:rsidR="002861B0" w:rsidRPr="002861B0" w:rsidTr="002861B0">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val="restart"/>
            <w:tcBorders>
              <w:left w:val="nil"/>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en-US" w:eastAsia="en-US" w:bidi="ar-SA"/>
              </w:rPr>
            </w:pPr>
            <w:r w:rsidRPr="009A446C">
              <w:rPr>
                <w:rFonts w:ascii="Arial" w:hAnsi="Arial" w:cs="Arial"/>
                <w:color w:val="000000"/>
                <w:sz w:val="18"/>
                <w:szCs w:val="18"/>
                <w:lang w:val="en-US" w:eastAsia="en-US" w:bidi="ar-SA"/>
              </w:rPr>
              <w:t>Financial statements 200</w:t>
            </w:r>
            <w:r>
              <w:rPr>
                <w:rFonts w:ascii="Arial" w:hAnsi="Arial" w:cs="Arial"/>
                <w:color w:val="000000"/>
                <w:sz w:val="18"/>
                <w:szCs w:val="18"/>
                <w:lang w:val="en-US" w:eastAsia="en-US" w:bidi="ar-SA"/>
              </w:rPr>
              <w:t>7</w:t>
            </w:r>
            <w:r w:rsidRPr="009A446C">
              <w:rPr>
                <w:rFonts w:ascii="Arial" w:hAnsi="Arial" w:cs="Arial"/>
                <w:color w:val="000000"/>
                <w:sz w:val="18"/>
                <w:szCs w:val="18"/>
                <w:lang w:val="en-US" w:eastAsia="en-US" w:bidi="ar-SA"/>
              </w:rPr>
              <w:t xml:space="preserve"> word count investment risk</w:t>
            </w:r>
          </w:p>
        </w:tc>
        <w:tc>
          <w:tcPr>
            <w:tcW w:w="2136" w:type="dxa"/>
            <w:tcBorders>
              <w:left w:val="nil"/>
              <w:bottom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Correlation</w:t>
            </w:r>
            <w:proofErr w:type="spellEnd"/>
            <w:r w:rsidRPr="002861B0">
              <w:rPr>
                <w:rFonts w:ascii="Arial" w:hAnsi="Arial" w:cs="Arial"/>
                <w:color w:val="000000"/>
                <w:sz w:val="18"/>
                <w:szCs w:val="18"/>
                <w:lang w:val="nl-NL" w:eastAsia="en-US" w:bidi="ar-SA"/>
              </w:rPr>
              <w:t xml:space="preserve"> </w:t>
            </w:r>
            <w:proofErr w:type="spellStart"/>
            <w:r w:rsidRPr="002861B0">
              <w:rPr>
                <w:rFonts w:ascii="Arial" w:hAnsi="Arial" w:cs="Arial"/>
                <w:color w:val="000000"/>
                <w:sz w:val="18"/>
                <w:szCs w:val="18"/>
                <w:lang w:val="nl-NL" w:eastAsia="en-US" w:bidi="ar-SA"/>
              </w:rPr>
              <w:t>Coefficient</w:t>
            </w:r>
            <w:proofErr w:type="spellEnd"/>
          </w:p>
        </w:tc>
        <w:tc>
          <w:tcPr>
            <w:tcW w:w="1139" w:type="dxa"/>
            <w:tcBorders>
              <w:left w:val="single" w:sz="16" w:space="0" w:color="000000"/>
              <w:bottom w:val="nil"/>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.190</w:t>
            </w:r>
          </w:p>
        </w:tc>
        <w:tc>
          <w:tcPr>
            <w:tcW w:w="2459" w:type="dxa"/>
            <w:tcBorders>
              <w:bottom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1.000</w:t>
            </w:r>
          </w:p>
        </w:tc>
      </w:tr>
      <w:tr w:rsidR="002861B0" w:rsidRPr="002861B0" w:rsidTr="002861B0">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rPr>
                <w:rFonts w:cs="Times New Roman"/>
                <w:lang w:val="nl-NL" w:eastAsia="en-US" w:bidi="ar-SA"/>
              </w:rPr>
            </w:pPr>
          </w:p>
        </w:tc>
        <w:tc>
          <w:tcPr>
            <w:tcW w:w="2426" w:type="dxa"/>
            <w:vMerge/>
            <w:tcBorders>
              <w:left w:val="nil"/>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rPr>
                <w:rFonts w:cs="Times New Roman"/>
                <w:lang w:val="nl-NL" w:eastAsia="en-US" w:bidi="ar-SA"/>
              </w:rPr>
            </w:pPr>
          </w:p>
        </w:tc>
        <w:tc>
          <w:tcPr>
            <w:tcW w:w="2136" w:type="dxa"/>
            <w:tcBorders>
              <w:top w:val="nil"/>
              <w:left w:val="nil"/>
              <w:bottom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Sig</w:t>
            </w:r>
            <w:proofErr w:type="spellEnd"/>
            <w:r w:rsidRPr="002861B0">
              <w:rPr>
                <w:rFonts w:ascii="Arial" w:hAnsi="Arial" w:cs="Arial"/>
                <w:color w:val="000000"/>
                <w:sz w:val="18"/>
                <w:szCs w:val="18"/>
                <w:lang w:val="nl-NL" w:eastAsia="en-US" w:bidi="ar-SA"/>
              </w:rPr>
              <w:t>. (1-tailed)</w:t>
            </w:r>
          </w:p>
        </w:tc>
        <w:tc>
          <w:tcPr>
            <w:tcW w:w="1139" w:type="dxa"/>
            <w:tcBorders>
              <w:top w:val="nil"/>
              <w:left w:val="single" w:sz="16" w:space="0" w:color="000000"/>
              <w:bottom w:val="nil"/>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.182</w:t>
            </w:r>
          </w:p>
        </w:tc>
        <w:tc>
          <w:tcPr>
            <w:tcW w:w="2459" w:type="dxa"/>
            <w:tcBorders>
              <w:top w:val="nil"/>
              <w:bottom w:val="nil"/>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w:t>
            </w:r>
          </w:p>
        </w:tc>
      </w:tr>
      <w:tr w:rsidR="002861B0" w:rsidRPr="002861B0" w:rsidTr="002861B0">
        <w:trPr>
          <w:cantSplit/>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rPr>
                <w:rFonts w:cs="Times New Roman"/>
                <w:lang w:val="nl-NL" w:eastAsia="en-US" w:bidi="ar-SA"/>
              </w:rPr>
            </w:pPr>
          </w:p>
        </w:tc>
        <w:tc>
          <w:tcPr>
            <w:tcW w:w="2426" w:type="dxa"/>
            <w:vMerge/>
            <w:tcBorders>
              <w:left w:val="nil"/>
              <w:bottom w:val="single" w:sz="16" w:space="0" w:color="000000"/>
              <w:right w:val="nil"/>
            </w:tcBorders>
            <w:shd w:val="clear" w:color="auto" w:fill="FFFFFF"/>
          </w:tcPr>
          <w:p w:rsidR="002861B0" w:rsidRPr="002861B0" w:rsidRDefault="002861B0" w:rsidP="003D4A1D">
            <w:pPr>
              <w:autoSpaceDE w:val="0"/>
              <w:autoSpaceDN w:val="0"/>
              <w:adjustRightInd w:val="0"/>
              <w:spacing w:line="276" w:lineRule="auto"/>
              <w:rPr>
                <w:rFonts w:cs="Times New Roman"/>
                <w:lang w:val="nl-NL" w:eastAsia="en-US" w:bidi="ar-SA"/>
              </w:rPr>
            </w:pPr>
          </w:p>
        </w:tc>
        <w:tc>
          <w:tcPr>
            <w:tcW w:w="2136" w:type="dxa"/>
            <w:tcBorders>
              <w:top w:val="nil"/>
              <w:left w:val="nil"/>
              <w:bottom w:val="single" w:sz="16" w:space="0" w:color="000000"/>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N</w:t>
            </w:r>
          </w:p>
        </w:tc>
        <w:tc>
          <w:tcPr>
            <w:tcW w:w="1139" w:type="dxa"/>
            <w:tcBorders>
              <w:top w:val="nil"/>
              <w:left w:val="single" w:sz="16" w:space="0" w:color="000000"/>
              <w:bottom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25</w:t>
            </w:r>
          </w:p>
        </w:tc>
        <w:tc>
          <w:tcPr>
            <w:tcW w:w="2459" w:type="dxa"/>
            <w:tcBorders>
              <w:top w:val="nil"/>
              <w:bottom w:val="single" w:sz="16" w:space="0" w:color="000000"/>
              <w:right w:val="single" w:sz="16" w:space="0" w:color="000000"/>
            </w:tcBorders>
            <w:shd w:val="clear" w:color="auto" w:fill="FFFFFF"/>
          </w:tcPr>
          <w:p w:rsidR="002861B0" w:rsidRPr="002861B0" w:rsidRDefault="002861B0" w:rsidP="003D4A1D">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25</w:t>
            </w:r>
          </w:p>
        </w:tc>
      </w:tr>
      <w:tr w:rsidR="002861B0" w:rsidRPr="002861B0" w:rsidTr="002861B0">
        <w:trPr>
          <w:cantSplit/>
          <w:tblHeader/>
        </w:trPr>
        <w:tc>
          <w:tcPr>
            <w:tcW w:w="9781" w:type="dxa"/>
            <w:gridSpan w:val="5"/>
            <w:tcBorders>
              <w:top w:val="nil"/>
              <w:left w:val="nil"/>
              <w:bottom w:val="nil"/>
              <w:right w:val="nil"/>
            </w:tcBorders>
            <w:shd w:val="clear" w:color="auto" w:fill="FFFFFF"/>
            <w:vAlign w:val="center"/>
          </w:tcPr>
          <w:p w:rsidR="002861B0" w:rsidRPr="002861B0" w:rsidRDefault="002861B0" w:rsidP="002861B0">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2861B0">
              <w:rPr>
                <w:rFonts w:ascii="Arial" w:hAnsi="Arial" w:cs="Arial"/>
                <w:b/>
                <w:bCs/>
                <w:color w:val="000000"/>
                <w:sz w:val="18"/>
                <w:szCs w:val="18"/>
                <w:lang w:val="nl-NL" w:eastAsia="en-US" w:bidi="ar-SA"/>
              </w:rPr>
              <w:t>Correlations</w:t>
            </w:r>
            <w:proofErr w:type="spellEnd"/>
          </w:p>
        </w:tc>
      </w:tr>
      <w:tr w:rsidR="002861B0" w:rsidRPr="002861B0" w:rsidTr="002861B0">
        <w:trPr>
          <w:cantSplit/>
          <w:tblHeader/>
        </w:trPr>
        <w:tc>
          <w:tcPr>
            <w:tcW w:w="618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2861B0" w:rsidRPr="002861B0" w:rsidRDefault="002861B0" w:rsidP="00793AEB">
            <w:pPr>
              <w:autoSpaceDE w:val="0"/>
              <w:autoSpaceDN w:val="0"/>
              <w:adjustRightInd w:val="0"/>
              <w:spacing w:line="276" w:lineRule="auto"/>
              <w:jc w:val="center"/>
              <w:rPr>
                <w:rFonts w:cs="Times New Roman"/>
                <w:lang w:val="nl-NL" w:eastAsia="en-US" w:bidi="ar-SA"/>
              </w:rPr>
            </w:pPr>
          </w:p>
        </w:tc>
        <w:tc>
          <w:tcPr>
            <w:tcW w:w="1139" w:type="dxa"/>
            <w:tcBorders>
              <w:top w:val="single" w:sz="16" w:space="0" w:color="000000"/>
              <w:left w:val="single" w:sz="16" w:space="0" w:color="000000"/>
              <w:bottom w:val="single" w:sz="16" w:space="0" w:color="000000"/>
            </w:tcBorders>
            <w:shd w:val="clear" w:color="auto" w:fill="FFFFFF"/>
            <w:vAlign w:val="bottom"/>
          </w:tcPr>
          <w:p w:rsidR="002861B0" w:rsidRPr="002861B0" w:rsidRDefault="002861B0" w:rsidP="00793AEB">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AUM 2011</w:t>
            </w:r>
          </w:p>
        </w:tc>
        <w:tc>
          <w:tcPr>
            <w:tcW w:w="2459" w:type="dxa"/>
            <w:tcBorders>
              <w:top w:val="single" w:sz="16" w:space="0" w:color="000000"/>
              <w:bottom w:val="single" w:sz="16" w:space="0" w:color="000000"/>
              <w:right w:val="single" w:sz="16" w:space="0" w:color="000000"/>
            </w:tcBorders>
            <w:shd w:val="clear" w:color="auto" w:fill="FFFFFF"/>
            <w:vAlign w:val="bottom"/>
          </w:tcPr>
          <w:p w:rsidR="002861B0" w:rsidRPr="002861B0" w:rsidRDefault="002861B0" w:rsidP="00793AEB">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 xml:space="preserve">2011 Word </w:t>
            </w:r>
            <w:proofErr w:type="spellStart"/>
            <w:r w:rsidRPr="002861B0">
              <w:rPr>
                <w:rFonts w:ascii="Arial" w:hAnsi="Arial" w:cs="Arial"/>
                <w:color w:val="000000"/>
                <w:sz w:val="18"/>
                <w:szCs w:val="18"/>
                <w:lang w:val="nl-NL" w:eastAsia="en-US" w:bidi="ar-SA"/>
              </w:rPr>
              <w:t>count</w:t>
            </w:r>
            <w:proofErr w:type="spellEnd"/>
            <w:r w:rsidRPr="002861B0">
              <w:rPr>
                <w:rFonts w:ascii="Arial" w:hAnsi="Arial" w:cs="Arial"/>
                <w:color w:val="000000"/>
                <w:sz w:val="18"/>
                <w:szCs w:val="18"/>
                <w:lang w:val="nl-NL" w:eastAsia="en-US" w:bidi="ar-SA"/>
              </w:rPr>
              <w:t xml:space="preserve"> </w:t>
            </w:r>
            <w:proofErr w:type="spellStart"/>
            <w:r w:rsidRPr="002861B0">
              <w:rPr>
                <w:rFonts w:ascii="Arial" w:hAnsi="Arial" w:cs="Arial"/>
                <w:color w:val="000000"/>
                <w:sz w:val="18"/>
                <w:szCs w:val="18"/>
                <w:lang w:val="nl-NL" w:eastAsia="en-US" w:bidi="ar-SA"/>
              </w:rPr>
              <w:t>investment</w:t>
            </w:r>
            <w:proofErr w:type="spellEnd"/>
            <w:r w:rsidRPr="002861B0">
              <w:rPr>
                <w:rFonts w:ascii="Arial" w:hAnsi="Arial" w:cs="Arial"/>
                <w:color w:val="000000"/>
                <w:sz w:val="18"/>
                <w:szCs w:val="18"/>
                <w:lang w:val="nl-NL" w:eastAsia="en-US" w:bidi="ar-SA"/>
              </w:rPr>
              <w:t xml:space="preserve"> risk</w:t>
            </w:r>
          </w:p>
        </w:tc>
      </w:tr>
      <w:tr w:rsidR="002861B0" w:rsidRPr="002861B0" w:rsidTr="002861B0">
        <w:trPr>
          <w:cantSplit/>
          <w:tblHeader/>
        </w:trPr>
        <w:tc>
          <w:tcPr>
            <w:tcW w:w="1621" w:type="dxa"/>
            <w:vMerge w:val="restart"/>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793AEB">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Spearman's</w:t>
            </w:r>
            <w:proofErr w:type="spellEnd"/>
            <w:r w:rsidRPr="002861B0">
              <w:rPr>
                <w:rFonts w:ascii="Arial" w:hAnsi="Arial" w:cs="Arial"/>
                <w:color w:val="000000"/>
                <w:sz w:val="18"/>
                <w:szCs w:val="18"/>
                <w:lang w:val="nl-NL" w:eastAsia="en-US" w:bidi="ar-SA"/>
              </w:rPr>
              <w:t xml:space="preserve"> </w:t>
            </w:r>
            <w:proofErr w:type="spellStart"/>
            <w:r w:rsidRPr="002861B0">
              <w:rPr>
                <w:rFonts w:ascii="Arial" w:hAnsi="Arial" w:cs="Arial"/>
                <w:color w:val="000000"/>
                <w:sz w:val="18"/>
                <w:szCs w:val="18"/>
                <w:lang w:val="nl-NL" w:eastAsia="en-US" w:bidi="ar-SA"/>
              </w:rPr>
              <w:t>rho</w:t>
            </w:r>
            <w:proofErr w:type="spellEnd"/>
          </w:p>
        </w:tc>
        <w:tc>
          <w:tcPr>
            <w:tcW w:w="2426" w:type="dxa"/>
            <w:vMerge w:val="restart"/>
            <w:tcBorders>
              <w:top w:val="single" w:sz="16" w:space="0" w:color="000000"/>
              <w:left w:val="nil"/>
              <w:right w:val="nil"/>
            </w:tcBorders>
            <w:shd w:val="clear" w:color="auto" w:fill="FFFFFF"/>
          </w:tcPr>
          <w:p w:rsidR="002861B0" w:rsidRPr="002861B0" w:rsidRDefault="002861B0" w:rsidP="00793AEB">
            <w:pPr>
              <w:autoSpaceDE w:val="0"/>
              <w:autoSpaceDN w:val="0"/>
              <w:adjustRightInd w:val="0"/>
              <w:spacing w:line="276" w:lineRule="auto"/>
              <w:ind w:left="60" w:right="60"/>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AUM 2011</w:t>
            </w:r>
          </w:p>
        </w:tc>
        <w:tc>
          <w:tcPr>
            <w:tcW w:w="2136" w:type="dxa"/>
            <w:tcBorders>
              <w:top w:val="single" w:sz="16" w:space="0" w:color="000000"/>
              <w:left w:val="nil"/>
              <w:bottom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Correlation</w:t>
            </w:r>
            <w:proofErr w:type="spellEnd"/>
            <w:r w:rsidRPr="002861B0">
              <w:rPr>
                <w:rFonts w:ascii="Arial" w:hAnsi="Arial" w:cs="Arial"/>
                <w:color w:val="000000"/>
                <w:sz w:val="18"/>
                <w:szCs w:val="18"/>
                <w:lang w:val="nl-NL" w:eastAsia="en-US" w:bidi="ar-SA"/>
              </w:rPr>
              <w:t xml:space="preserve"> </w:t>
            </w:r>
            <w:proofErr w:type="spellStart"/>
            <w:r w:rsidRPr="002861B0">
              <w:rPr>
                <w:rFonts w:ascii="Arial" w:hAnsi="Arial" w:cs="Arial"/>
                <w:color w:val="000000"/>
                <w:sz w:val="18"/>
                <w:szCs w:val="18"/>
                <w:lang w:val="nl-NL" w:eastAsia="en-US" w:bidi="ar-SA"/>
              </w:rPr>
              <w:t>Coefficient</w:t>
            </w:r>
            <w:proofErr w:type="spellEnd"/>
          </w:p>
        </w:tc>
        <w:tc>
          <w:tcPr>
            <w:tcW w:w="1139" w:type="dxa"/>
            <w:tcBorders>
              <w:top w:val="single" w:sz="16" w:space="0" w:color="000000"/>
              <w:left w:val="single" w:sz="16" w:space="0" w:color="000000"/>
              <w:bottom w:val="nil"/>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1.000</w:t>
            </w:r>
          </w:p>
        </w:tc>
        <w:tc>
          <w:tcPr>
            <w:tcW w:w="2459" w:type="dxa"/>
            <w:tcBorders>
              <w:top w:val="single" w:sz="16" w:space="0" w:color="000000"/>
              <w:bottom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.232</w:t>
            </w:r>
          </w:p>
        </w:tc>
      </w:tr>
      <w:tr w:rsidR="002861B0" w:rsidRPr="002861B0" w:rsidTr="002861B0">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793AEB">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tcBorders>
              <w:top w:val="single" w:sz="16" w:space="0" w:color="000000"/>
              <w:left w:val="nil"/>
              <w:right w:val="nil"/>
            </w:tcBorders>
            <w:shd w:val="clear" w:color="auto" w:fill="FFFFFF"/>
          </w:tcPr>
          <w:p w:rsidR="002861B0" w:rsidRPr="002861B0" w:rsidRDefault="002861B0" w:rsidP="00793AEB">
            <w:pPr>
              <w:autoSpaceDE w:val="0"/>
              <w:autoSpaceDN w:val="0"/>
              <w:adjustRightInd w:val="0"/>
              <w:spacing w:line="276" w:lineRule="auto"/>
              <w:rPr>
                <w:rFonts w:ascii="Arial" w:hAnsi="Arial" w:cs="Arial"/>
                <w:color w:val="000000"/>
                <w:sz w:val="18"/>
                <w:szCs w:val="18"/>
                <w:lang w:val="nl-NL" w:eastAsia="en-US" w:bidi="ar-SA"/>
              </w:rPr>
            </w:pPr>
          </w:p>
        </w:tc>
        <w:tc>
          <w:tcPr>
            <w:tcW w:w="2136" w:type="dxa"/>
            <w:tcBorders>
              <w:top w:val="nil"/>
              <w:left w:val="nil"/>
              <w:bottom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Sig</w:t>
            </w:r>
            <w:proofErr w:type="spellEnd"/>
            <w:r w:rsidRPr="002861B0">
              <w:rPr>
                <w:rFonts w:ascii="Arial" w:hAnsi="Arial" w:cs="Arial"/>
                <w:color w:val="000000"/>
                <w:sz w:val="18"/>
                <w:szCs w:val="18"/>
                <w:lang w:val="nl-NL" w:eastAsia="en-US" w:bidi="ar-SA"/>
              </w:rPr>
              <w:t>. (1-tailed)</w:t>
            </w:r>
          </w:p>
        </w:tc>
        <w:tc>
          <w:tcPr>
            <w:tcW w:w="1139" w:type="dxa"/>
            <w:tcBorders>
              <w:top w:val="nil"/>
              <w:left w:val="single" w:sz="16" w:space="0" w:color="000000"/>
              <w:bottom w:val="nil"/>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w:t>
            </w:r>
          </w:p>
        </w:tc>
        <w:tc>
          <w:tcPr>
            <w:tcW w:w="2459" w:type="dxa"/>
            <w:tcBorders>
              <w:top w:val="nil"/>
              <w:bottom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.133</w:t>
            </w:r>
          </w:p>
        </w:tc>
      </w:tr>
      <w:tr w:rsidR="002861B0" w:rsidRPr="002861B0" w:rsidTr="002861B0">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793AEB">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tcBorders>
              <w:top w:val="single" w:sz="16" w:space="0" w:color="000000"/>
              <w:left w:val="nil"/>
              <w:right w:val="nil"/>
            </w:tcBorders>
            <w:shd w:val="clear" w:color="auto" w:fill="FFFFFF"/>
          </w:tcPr>
          <w:p w:rsidR="002861B0" w:rsidRPr="002861B0" w:rsidRDefault="002861B0" w:rsidP="00793AEB">
            <w:pPr>
              <w:autoSpaceDE w:val="0"/>
              <w:autoSpaceDN w:val="0"/>
              <w:adjustRightInd w:val="0"/>
              <w:spacing w:line="276" w:lineRule="auto"/>
              <w:rPr>
                <w:rFonts w:ascii="Arial" w:hAnsi="Arial" w:cs="Arial"/>
                <w:color w:val="000000"/>
                <w:sz w:val="18"/>
                <w:szCs w:val="18"/>
                <w:lang w:val="nl-NL" w:eastAsia="en-US" w:bidi="ar-SA"/>
              </w:rPr>
            </w:pPr>
          </w:p>
        </w:tc>
        <w:tc>
          <w:tcPr>
            <w:tcW w:w="2136" w:type="dxa"/>
            <w:tcBorders>
              <w:top w:val="nil"/>
              <w:left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N</w:t>
            </w:r>
          </w:p>
        </w:tc>
        <w:tc>
          <w:tcPr>
            <w:tcW w:w="1139" w:type="dxa"/>
            <w:tcBorders>
              <w:top w:val="nil"/>
              <w:lef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25</w:t>
            </w:r>
          </w:p>
        </w:tc>
        <w:tc>
          <w:tcPr>
            <w:tcW w:w="2459" w:type="dxa"/>
            <w:tcBorders>
              <w:top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25</w:t>
            </w:r>
          </w:p>
        </w:tc>
      </w:tr>
      <w:tr w:rsidR="002861B0" w:rsidRPr="002861B0" w:rsidTr="002861B0">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793AEB">
            <w:pPr>
              <w:autoSpaceDE w:val="0"/>
              <w:autoSpaceDN w:val="0"/>
              <w:adjustRightInd w:val="0"/>
              <w:spacing w:line="276" w:lineRule="auto"/>
              <w:rPr>
                <w:rFonts w:ascii="Arial" w:hAnsi="Arial" w:cs="Arial"/>
                <w:color w:val="000000"/>
                <w:sz w:val="18"/>
                <w:szCs w:val="18"/>
                <w:lang w:val="nl-NL" w:eastAsia="en-US" w:bidi="ar-SA"/>
              </w:rPr>
            </w:pPr>
          </w:p>
        </w:tc>
        <w:tc>
          <w:tcPr>
            <w:tcW w:w="2426" w:type="dxa"/>
            <w:vMerge w:val="restart"/>
            <w:tcBorders>
              <w:left w:val="nil"/>
              <w:bottom w:val="single" w:sz="16" w:space="0" w:color="000000"/>
              <w:right w:val="nil"/>
            </w:tcBorders>
            <w:shd w:val="clear" w:color="auto" w:fill="FFFFFF"/>
          </w:tcPr>
          <w:p w:rsidR="002861B0" w:rsidRPr="002861B0" w:rsidRDefault="00B8647B" w:rsidP="00793AEB">
            <w:pPr>
              <w:autoSpaceDE w:val="0"/>
              <w:autoSpaceDN w:val="0"/>
              <w:adjustRightInd w:val="0"/>
              <w:spacing w:line="276" w:lineRule="auto"/>
              <w:ind w:left="60" w:right="60"/>
              <w:rPr>
                <w:rFonts w:ascii="Arial" w:hAnsi="Arial" w:cs="Arial"/>
                <w:color w:val="000000"/>
                <w:sz w:val="18"/>
                <w:szCs w:val="18"/>
                <w:lang w:val="en-US" w:eastAsia="en-US" w:bidi="ar-SA"/>
              </w:rPr>
            </w:pPr>
            <w:r>
              <w:rPr>
                <w:rFonts w:ascii="Arial" w:hAnsi="Arial" w:cs="Arial"/>
                <w:color w:val="000000"/>
                <w:sz w:val="18"/>
                <w:szCs w:val="18"/>
                <w:lang w:val="en-US" w:eastAsia="en-US" w:bidi="ar-SA"/>
              </w:rPr>
              <w:t>Financial statements 2011</w:t>
            </w:r>
            <w:r w:rsidRPr="009A446C">
              <w:rPr>
                <w:rFonts w:ascii="Arial" w:hAnsi="Arial" w:cs="Arial"/>
                <w:color w:val="000000"/>
                <w:sz w:val="18"/>
                <w:szCs w:val="18"/>
                <w:lang w:val="en-US" w:eastAsia="en-US" w:bidi="ar-SA"/>
              </w:rPr>
              <w:t xml:space="preserve"> word count investment risk</w:t>
            </w:r>
          </w:p>
        </w:tc>
        <w:tc>
          <w:tcPr>
            <w:tcW w:w="2136" w:type="dxa"/>
            <w:tcBorders>
              <w:left w:val="nil"/>
              <w:bottom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Correlation</w:t>
            </w:r>
            <w:proofErr w:type="spellEnd"/>
            <w:r w:rsidRPr="002861B0">
              <w:rPr>
                <w:rFonts w:ascii="Arial" w:hAnsi="Arial" w:cs="Arial"/>
                <w:color w:val="000000"/>
                <w:sz w:val="18"/>
                <w:szCs w:val="18"/>
                <w:lang w:val="nl-NL" w:eastAsia="en-US" w:bidi="ar-SA"/>
              </w:rPr>
              <w:t xml:space="preserve"> </w:t>
            </w:r>
            <w:proofErr w:type="spellStart"/>
            <w:r w:rsidRPr="002861B0">
              <w:rPr>
                <w:rFonts w:ascii="Arial" w:hAnsi="Arial" w:cs="Arial"/>
                <w:color w:val="000000"/>
                <w:sz w:val="18"/>
                <w:szCs w:val="18"/>
                <w:lang w:val="nl-NL" w:eastAsia="en-US" w:bidi="ar-SA"/>
              </w:rPr>
              <w:t>Coefficient</w:t>
            </w:r>
            <w:proofErr w:type="spellEnd"/>
          </w:p>
        </w:tc>
        <w:tc>
          <w:tcPr>
            <w:tcW w:w="1139" w:type="dxa"/>
            <w:tcBorders>
              <w:left w:val="single" w:sz="16" w:space="0" w:color="000000"/>
              <w:bottom w:val="nil"/>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.232</w:t>
            </w:r>
          </w:p>
        </w:tc>
        <w:tc>
          <w:tcPr>
            <w:tcW w:w="2459" w:type="dxa"/>
            <w:tcBorders>
              <w:bottom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1.000</w:t>
            </w:r>
          </w:p>
        </w:tc>
      </w:tr>
      <w:tr w:rsidR="002861B0" w:rsidRPr="002861B0" w:rsidTr="002861B0">
        <w:trPr>
          <w:cantSplit/>
          <w:tblHeader/>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793AEB">
            <w:pPr>
              <w:autoSpaceDE w:val="0"/>
              <w:autoSpaceDN w:val="0"/>
              <w:adjustRightInd w:val="0"/>
              <w:spacing w:line="276" w:lineRule="auto"/>
              <w:rPr>
                <w:rFonts w:cs="Times New Roman"/>
                <w:lang w:val="nl-NL" w:eastAsia="en-US" w:bidi="ar-SA"/>
              </w:rPr>
            </w:pPr>
          </w:p>
        </w:tc>
        <w:tc>
          <w:tcPr>
            <w:tcW w:w="2426" w:type="dxa"/>
            <w:vMerge/>
            <w:tcBorders>
              <w:left w:val="nil"/>
              <w:bottom w:val="single" w:sz="16" w:space="0" w:color="000000"/>
              <w:right w:val="nil"/>
            </w:tcBorders>
            <w:shd w:val="clear" w:color="auto" w:fill="FFFFFF"/>
          </w:tcPr>
          <w:p w:rsidR="002861B0" w:rsidRPr="002861B0" w:rsidRDefault="002861B0" w:rsidP="00793AEB">
            <w:pPr>
              <w:autoSpaceDE w:val="0"/>
              <w:autoSpaceDN w:val="0"/>
              <w:adjustRightInd w:val="0"/>
              <w:spacing w:line="276" w:lineRule="auto"/>
              <w:rPr>
                <w:rFonts w:cs="Times New Roman"/>
                <w:lang w:val="nl-NL" w:eastAsia="en-US" w:bidi="ar-SA"/>
              </w:rPr>
            </w:pPr>
          </w:p>
        </w:tc>
        <w:tc>
          <w:tcPr>
            <w:tcW w:w="2136" w:type="dxa"/>
            <w:tcBorders>
              <w:top w:val="nil"/>
              <w:left w:val="nil"/>
              <w:bottom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2861B0">
              <w:rPr>
                <w:rFonts w:ascii="Arial" w:hAnsi="Arial" w:cs="Arial"/>
                <w:color w:val="000000"/>
                <w:sz w:val="18"/>
                <w:szCs w:val="18"/>
                <w:lang w:val="nl-NL" w:eastAsia="en-US" w:bidi="ar-SA"/>
              </w:rPr>
              <w:t>Sig</w:t>
            </w:r>
            <w:proofErr w:type="spellEnd"/>
            <w:r w:rsidRPr="002861B0">
              <w:rPr>
                <w:rFonts w:ascii="Arial" w:hAnsi="Arial" w:cs="Arial"/>
                <w:color w:val="000000"/>
                <w:sz w:val="18"/>
                <w:szCs w:val="18"/>
                <w:lang w:val="nl-NL" w:eastAsia="en-US" w:bidi="ar-SA"/>
              </w:rPr>
              <w:t>. (1-tailed)</w:t>
            </w:r>
          </w:p>
        </w:tc>
        <w:tc>
          <w:tcPr>
            <w:tcW w:w="1139" w:type="dxa"/>
            <w:tcBorders>
              <w:top w:val="nil"/>
              <w:left w:val="single" w:sz="16" w:space="0" w:color="000000"/>
              <w:bottom w:val="nil"/>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.133</w:t>
            </w:r>
          </w:p>
        </w:tc>
        <w:tc>
          <w:tcPr>
            <w:tcW w:w="2459" w:type="dxa"/>
            <w:tcBorders>
              <w:top w:val="nil"/>
              <w:bottom w:val="nil"/>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w:t>
            </w:r>
          </w:p>
        </w:tc>
      </w:tr>
      <w:tr w:rsidR="002861B0" w:rsidRPr="002861B0" w:rsidTr="002861B0">
        <w:trPr>
          <w:cantSplit/>
        </w:trPr>
        <w:tc>
          <w:tcPr>
            <w:tcW w:w="1621" w:type="dxa"/>
            <w:vMerge/>
            <w:tcBorders>
              <w:top w:val="single" w:sz="16" w:space="0" w:color="000000"/>
              <w:left w:val="single" w:sz="16" w:space="0" w:color="000000"/>
              <w:bottom w:val="single" w:sz="16" w:space="0" w:color="000000"/>
              <w:right w:val="nil"/>
            </w:tcBorders>
            <w:shd w:val="clear" w:color="auto" w:fill="FFFFFF"/>
          </w:tcPr>
          <w:p w:rsidR="002861B0" w:rsidRPr="002861B0" w:rsidRDefault="002861B0" w:rsidP="00793AEB">
            <w:pPr>
              <w:autoSpaceDE w:val="0"/>
              <w:autoSpaceDN w:val="0"/>
              <w:adjustRightInd w:val="0"/>
              <w:spacing w:line="276" w:lineRule="auto"/>
              <w:rPr>
                <w:rFonts w:cs="Times New Roman"/>
                <w:lang w:val="nl-NL" w:eastAsia="en-US" w:bidi="ar-SA"/>
              </w:rPr>
            </w:pPr>
          </w:p>
        </w:tc>
        <w:tc>
          <w:tcPr>
            <w:tcW w:w="2426" w:type="dxa"/>
            <w:vMerge/>
            <w:tcBorders>
              <w:left w:val="nil"/>
              <w:bottom w:val="single" w:sz="16" w:space="0" w:color="000000"/>
              <w:right w:val="nil"/>
            </w:tcBorders>
            <w:shd w:val="clear" w:color="auto" w:fill="FFFFFF"/>
          </w:tcPr>
          <w:p w:rsidR="002861B0" w:rsidRPr="002861B0" w:rsidRDefault="002861B0" w:rsidP="00793AEB">
            <w:pPr>
              <w:autoSpaceDE w:val="0"/>
              <w:autoSpaceDN w:val="0"/>
              <w:adjustRightInd w:val="0"/>
              <w:spacing w:line="276" w:lineRule="auto"/>
              <w:rPr>
                <w:rFonts w:cs="Times New Roman"/>
                <w:lang w:val="nl-NL" w:eastAsia="en-US" w:bidi="ar-SA"/>
              </w:rPr>
            </w:pPr>
          </w:p>
        </w:tc>
        <w:tc>
          <w:tcPr>
            <w:tcW w:w="2136" w:type="dxa"/>
            <w:tcBorders>
              <w:top w:val="nil"/>
              <w:left w:val="nil"/>
              <w:bottom w:val="single" w:sz="16" w:space="0" w:color="000000"/>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N</w:t>
            </w:r>
          </w:p>
        </w:tc>
        <w:tc>
          <w:tcPr>
            <w:tcW w:w="1139" w:type="dxa"/>
            <w:tcBorders>
              <w:top w:val="nil"/>
              <w:left w:val="single" w:sz="16" w:space="0" w:color="000000"/>
              <w:bottom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25</w:t>
            </w:r>
          </w:p>
        </w:tc>
        <w:tc>
          <w:tcPr>
            <w:tcW w:w="2459" w:type="dxa"/>
            <w:tcBorders>
              <w:top w:val="nil"/>
              <w:bottom w:val="single" w:sz="16" w:space="0" w:color="000000"/>
              <w:right w:val="single" w:sz="16" w:space="0" w:color="000000"/>
            </w:tcBorders>
            <w:shd w:val="clear" w:color="auto" w:fill="FFFFFF"/>
          </w:tcPr>
          <w:p w:rsidR="002861B0" w:rsidRPr="002861B0" w:rsidRDefault="002861B0" w:rsidP="00793AEB">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2861B0">
              <w:rPr>
                <w:rFonts w:ascii="Arial" w:hAnsi="Arial" w:cs="Arial"/>
                <w:color w:val="000000"/>
                <w:sz w:val="18"/>
                <w:szCs w:val="18"/>
                <w:lang w:val="nl-NL" w:eastAsia="en-US" w:bidi="ar-SA"/>
              </w:rPr>
              <w:t>25</w:t>
            </w:r>
          </w:p>
        </w:tc>
      </w:tr>
    </w:tbl>
    <w:p w:rsidR="00A251C2" w:rsidRDefault="00B6476E" w:rsidP="00030D65">
      <w:pPr>
        <w:autoSpaceDE w:val="0"/>
        <w:autoSpaceDN w:val="0"/>
        <w:adjustRightInd w:val="0"/>
        <w:spacing w:line="320" w:lineRule="atLeast"/>
        <w:rPr>
          <w:rFonts w:cs="Times New Roman"/>
          <w:sz w:val="20"/>
          <w:szCs w:val="20"/>
          <w:lang w:val="en-US" w:eastAsia="en-US" w:bidi="ar-SA"/>
        </w:rPr>
      </w:pPr>
      <w:r w:rsidRPr="00FF3D15">
        <w:rPr>
          <w:rFonts w:cs="Times New Roman"/>
          <w:sz w:val="20"/>
          <w:szCs w:val="20"/>
          <w:lang w:val="en-US" w:eastAsia="en-US" w:bidi="ar-SA"/>
        </w:rPr>
        <w:t xml:space="preserve">Table </w:t>
      </w:r>
      <w:r>
        <w:rPr>
          <w:rFonts w:cs="Times New Roman"/>
          <w:sz w:val="20"/>
          <w:szCs w:val="20"/>
          <w:lang w:val="en-US" w:eastAsia="en-US" w:bidi="ar-SA"/>
        </w:rPr>
        <w:t>1</w:t>
      </w:r>
      <w:r w:rsidR="00376F7D">
        <w:rPr>
          <w:rFonts w:cs="Times New Roman"/>
          <w:sz w:val="20"/>
          <w:szCs w:val="20"/>
          <w:lang w:val="en-US" w:eastAsia="en-US" w:bidi="ar-SA"/>
        </w:rPr>
        <w:t>6 and 17</w:t>
      </w:r>
      <w:r w:rsidRPr="00FF3D15">
        <w:rPr>
          <w:rFonts w:cs="Times New Roman"/>
          <w:sz w:val="20"/>
          <w:szCs w:val="20"/>
          <w:lang w:val="en-US" w:eastAsia="en-US" w:bidi="ar-SA"/>
        </w:rPr>
        <w:t xml:space="preserve">: Spearman’s correlation between the variables ‘Financial </w:t>
      </w:r>
      <w:r w:rsidR="00A251C2">
        <w:rPr>
          <w:rFonts w:cs="Times New Roman"/>
          <w:sz w:val="20"/>
          <w:szCs w:val="20"/>
          <w:lang w:val="en-US" w:eastAsia="en-US" w:bidi="ar-SA"/>
        </w:rPr>
        <w:t>statements 2007</w:t>
      </w:r>
      <w:r w:rsidRPr="00FF3D15">
        <w:rPr>
          <w:rFonts w:cs="Times New Roman"/>
          <w:sz w:val="20"/>
          <w:szCs w:val="20"/>
          <w:lang w:val="en-US" w:eastAsia="en-US" w:bidi="ar-SA"/>
        </w:rPr>
        <w:t xml:space="preserve"> </w:t>
      </w:r>
      <w:r w:rsidR="00A251C2">
        <w:rPr>
          <w:rFonts w:cs="Times New Roman"/>
          <w:sz w:val="20"/>
          <w:szCs w:val="20"/>
          <w:lang w:val="en-US" w:eastAsia="en-US" w:bidi="ar-SA"/>
        </w:rPr>
        <w:t>respectively 2011</w:t>
      </w:r>
      <w:r w:rsidRPr="00FF3D15">
        <w:rPr>
          <w:rFonts w:cs="Times New Roman"/>
          <w:sz w:val="20"/>
          <w:szCs w:val="20"/>
          <w:lang w:val="en-US" w:eastAsia="en-US" w:bidi="ar-SA"/>
        </w:rPr>
        <w:t>word count “</w:t>
      </w:r>
      <w:r>
        <w:rPr>
          <w:rFonts w:cs="Times New Roman"/>
          <w:sz w:val="20"/>
          <w:szCs w:val="20"/>
          <w:lang w:val="en-US" w:eastAsia="en-US" w:bidi="ar-SA"/>
        </w:rPr>
        <w:t>investment risk</w:t>
      </w:r>
      <w:r w:rsidRPr="00FF3D15">
        <w:rPr>
          <w:rFonts w:cs="Times New Roman"/>
          <w:sz w:val="20"/>
          <w:szCs w:val="20"/>
          <w:lang w:val="en-US" w:eastAsia="en-US" w:bidi="ar-SA"/>
        </w:rPr>
        <w:t>”</w:t>
      </w:r>
      <w:r>
        <w:rPr>
          <w:rFonts w:cs="Times New Roman"/>
          <w:sz w:val="20"/>
          <w:szCs w:val="20"/>
          <w:lang w:val="en-US" w:eastAsia="en-US" w:bidi="ar-SA"/>
        </w:rPr>
        <w:t>’</w:t>
      </w:r>
      <w:r w:rsidRPr="00FF3D15">
        <w:rPr>
          <w:rFonts w:cs="Times New Roman"/>
          <w:sz w:val="20"/>
          <w:szCs w:val="20"/>
          <w:lang w:val="en-US" w:eastAsia="en-US" w:bidi="ar-SA"/>
        </w:rPr>
        <w:t xml:space="preserve"> and ‘AUM 200</w:t>
      </w:r>
      <w:r w:rsidR="00A251C2">
        <w:rPr>
          <w:rFonts w:cs="Times New Roman"/>
          <w:sz w:val="20"/>
          <w:szCs w:val="20"/>
          <w:lang w:val="en-US" w:eastAsia="en-US" w:bidi="ar-SA"/>
        </w:rPr>
        <w:t>7</w:t>
      </w:r>
      <w:r w:rsidRPr="00FF3D15">
        <w:rPr>
          <w:rFonts w:cs="Times New Roman"/>
          <w:sz w:val="20"/>
          <w:szCs w:val="20"/>
          <w:lang w:val="en-US" w:eastAsia="en-US" w:bidi="ar-SA"/>
        </w:rPr>
        <w:t>’</w:t>
      </w:r>
      <w:r w:rsidR="00A251C2">
        <w:rPr>
          <w:rFonts w:cs="Times New Roman"/>
          <w:sz w:val="20"/>
          <w:szCs w:val="20"/>
          <w:lang w:val="en-US" w:eastAsia="en-US" w:bidi="ar-SA"/>
        </w:rPr>
        <w:t xml:space="preserve"> respectively ‘AUM 2011’.</w:t>
      </w:r>
    </w:p>
    <w:p w:rsidR="00A251C2" w:rsidRDefault="00A251C2" w:rsidP="00030D65">
      <w:pPr>
        <w:autoSpaceDE w:val="0"/>
        <w:autoSpaceDN w:val="0"/>
        <w:adjustRightInd w:val="0"/>
        <w:rPr>
          <w:rFonts w:cs="Times New Roman"/>
          <w:sz w:val="20"/>
          <w:szCs w:val="20"/>
          <w:lang w:val="en-US" w:eastAsia="en-US" w:bidi="ar-SA"/>
        </w:rPr>
      </w:pPr>
    </w:p>
    <w:p w:rsidR="00340446" w:rsidRPr="00340446" w:rsidRDefault="00340446" w:rsidP="003C53C8">
      <w:pPr>
        <w:autoSpaceDE w:val="0"/>
        <w:autoSpaceDN w:val="0"/>
        <w:adjustRightInd w:val="0"/>
        <w:spacing w:line="400" w:lineRule="atLeast"/>
        <w:jc w:val="both"/>
        <w:rPr>
          <w:rFonts w:cs="Times New Roman"/>
          <w:lang w:val="en-US" w:eastAsia="en-US" w:bidi="ar-SA"/>
        </w:rPr>
      </w:pPr>
      <w:r>
        <w:rPr>
          <w:rFonts w:cs="Times New Roman"/>
          <w:lang w:val="en-US" w:eastAsia="en-US" w:bidi="ar-SA"/>
        </w:rPr>
        <w:t>Table 1</w:t>
      </w:r>
      <w:r w:rsidR="00376F7D">
        <w:rPr>
          <w:rFonts w:cs="Times New Roman"/>
          <w:lang w:val="en-US" w:eastAsia="en-US" w:bidi="ar-SA"/>
        </w:rPr>
        <w:t>6 and 17</w:t>
      </w:r>
      <w:r>
        <w:rPr>
          <w:rFonts w:cs="Times New Roman"/>
          <w:lang w:val="en-US" w:eastAsia="en-US" w:bidi="ar-SA"/>
        </w:rPr>
        <w:t xml:space="preserve"> reveal significance values that are with 0.182 in 2007 and 0.133 in 2011 higher than 0.05. Therefore can be concluded that in 2007 and 2011, there is no (</w:t>
      </w:r>
      <w:proofErr w:type="spellStart"/>
      <w:r>
        <w:rPr>
          <w:rFonts w:cs="Times New Roman"/>
          <w:lang w:val="en-US" w:eastAsia="en-US" w:bidi="ar-SA"/>
        </w:rPr>
        <w:t>cor</w:t>
      </w:r>
      <w:proofErr w:type="spellEnd"/>
      <w:r>
        <w:rPr>
          <w:rFonts w:cs="Times New Roman"/>
          <w:lang w:val="en-US" w:eastAsia="en-US" w:bidi="ar-SA"/>
        </w:rPr>
        <w:t>)relation between pension fund size and the frequency of the use of the word investment risk in the financial statements of 2007 respectively 2011.</w:t>
      </w:r>
    </w:p>
    <w:p w:rsidR="00B6476E" w:rsidRDefault="00B6476E" w:rsidP="00030D65">
      <w:pPr>
        <w:autoSpaceDE w:val="0"/>
        <w:autoSpaceDN w:val="0"/>
        <w:adjustRightInd w:val="0"/>
        <w:rPr>
          <w:rFonts w:cs="Times New Roman"/>
          <w:sz w:val="20"/>
          <w:szCs w:val="20"/>
          <w:lang w:val="en-US" w:eastAsia="en-US" w:bidi="ar-SA"/>
        </w:rPr>
      </w:pPr>
      <w:r w:rsidRPr="00FF3D15">
        <w:rPr>
          <w:rFonts w:cs="Times New Roman"/>
          <w:sz w:val="20"/>
          <w:szCs w:val="20"/>
          <w:lang w:val="en-US" w:eastAsia="en-US" w:bidi="ar-SA"/>
        </w:rPr>
        <w:t xml:space="preserve"> </w:t>
      </w:r>
    </w:p>
    <w:p w:rsidR="00D56786" w:rsidRDefault="009D154F" w:rsidP="000541B6">
      <w:pPr>
        <w:pStyle w:val="Kop2"/>
        <w:numPr>
          <w:ilvl w:val="0"/>
          <w:numId w:val="0"/>
        </w:numPr>
        <w:spacing w:line="360" w:lineRule="auto"/>
        <w:ind w:left="576" w:hanging="576"/>
        <w:jc w:val="both"/>
        <w:rPr>
          <w:rFonts w:ascii="Times New Roman" w:hAnsi="Times New Roman" w:cs="Times New Roman"/>
          <w:bCs w:val="0"/>
          <w:i w:val="0"/>
          <w:iCs w:val="0"/>
          <w:sz w:val="24"/>
          <w:szCs w:val="24"/>
          <w:lang w:val="en-US"/>
        </w:rPr>
      </w:pPr>
      <w:bookmarkStart w:id="63" w:name="_Toc355387312"/>
      <w:r>
        <w:rPr>
          <w:rFonts w:ascii="Times New Roman" w:hAnsi="Times New Roman" w:cs="Times New Roman"/>
          <w:bCs w:val="0"/>
          <w:i w:val="0"/>
          <w:iCs w:val="0"/>
          <w:sz w:val="24"/>
          <w:szCs w:val="24"/>
          <w:lang w:val="en-US"/>
        </w:rPr>
        <w:t>4.4</w:t>
      </w:r>
      <w:r w:rsidR="00D56786">
        <w:rPr>
          <w:rFonts w:ascii="Times New Roman" w:hAnsi="Times New Roman" w:cs="Times New Roman"/>
          <w:bCs w:val="0"/>
          <w:i w:val="0"/>
          <w:iCs w:val="0"/>
          <w:sz w:val="24"/>
          <w:szCs w:val="24"/>
          <w:lang w:val="en-US"/>
        </w:rPr>
        <w:tab/>
        <w:t>Quality of investment risk disclosures</w:t>
      </w:r>
      <w:bookmarkEnd w:id="63"/>
    </w:p>
    <w:p w:rsidR="006238CD" w:rsidRDefault="00102C5C" w:rsidP="003C53C8">
      <w:pPr>
        <w:spacing w:line="360" w:lineRule="auto"/>
        <w:jc w:val="both"/>
        <w:rPr>
          <w:lang w:val="en-US"/>
        </w:rPr>
      </w:pPr>
      <w:r>
        <w:rPr>
          <w:lang w:val="en-US"/>
        </w:rPr>
        <w:t>As described in paragraph 2.</w:t>
      </w:r>
      <w:r w:rsidR="000C55F6">
        <w:rPr>
          <w:lang w:val="en-US"/>
        </w:rPr>
        <w:t xml:space="preserve">9, Beretta and </w:t>
      </w:r>
      <w:proofErr w:type="spellStart"/>
      <w:r w:rsidR="000C55F6">
        <w:rPr>
          <w:lang w:val="en-US"/>
        </w:rPr>
        <w:t>Bozzolan</w:t>
      </w:r>
      <w:proofErr w:type="spellEnd"/>
      <w:r w:rsidR="000C55F6">
        <w:rPr>
          <w:lang w:val="en-US"/>
        </w:rPr>
        <w:t xml:space="preserve"> (2004) state</w:t>
      </w:r>
      <w:r w:rsidR="00077117">
        <w:rPr>
          <w:lang w:val="en-US"/>
        </w:rPr>
        <w:t xml:space="preserve"> that only taking into account</w:t>
      </w:r>
      <w:r>
        <w:rPr>
          <w:lang w:val="en-US"/>
        </w:rPr>
        <w:t xml:space="preserve"> the quantity of risk disclosures is not sufficient to measure the</w:t>
      </w:r>
      <w:r w:rsidR="000C55F6">
        <w:rPr>
          <w:lang w:val="en-US"/>
        </w:rPr>
        <w:t xml:space="preserve"> disclosure quality. Beretta and </w:t>
      </w:r>
      <w:proofErr w:type="spellStart"/>
      <w:r w:rsidR="000C55F6">
        <w:rPr>
          <w:lang w:val="en-US"/>
        </w:rPr>
        <w:t>Bozzolan</w:t>
      </w:r>
      <w:proofErr w:type="spellEnd"/>
      <w:r w:rsidR="000C55F6">
        <w:rPr>
          <w:lang w:val="en-US"/>
        </w:rPr>
        <w:t xml:space="preserve"> (2004) emphasize that also “what” and “in which way” is disclosed should be part of the research.</w:t>
      </w:r>
      <w:r w:rsidR="00C513F5">
        <w:rPr>
          <w:lang w:val="en-US"/>
        </w:rPr>
        <w:t xml:space="preserve"> </w:t>
      </w:r>
      <w:r w:rsidR="00374A77">
        <w:rPr>
          <w:lang w:val="en-US"/>
        </w:rPr>
        <w:t>As explained in paragraph 3.2, the research regarding disclosure quality will focus on the asset catego</w:t>
      </w:r>
      <w:r w:rsidR="00607130">
        <w:rPr>
          <w:lang w:val="en-US"/>
        </w:rPr>
        <w:t xml:space="preserve">ries real estate and </w:t>
      </w:r>
      <w:r w:rsidR="00374A77">
        <w:rPr>
          <w:lang w:val="en-US"/>
        </w:rPr>
        <w:t>bonds</w:t>
      </w:r>
      <w:r w:rsidR="008D6ABB">
        <w:rPr>
          <w:lang w:val="en-US"/>
        </w:rPr>
        <w:t xml:space="preserve">, because these </w:t>
      </w:r>
      <w:r w:rsidR="0072461C">
        <w:rPr>
          <w:lang w:val="en-US"/>
        </w:rPr>
        <w:t xml:space="preserve">asset </w:t>
      </w:r>
      <w:r w:rsidR="008D6ABB">
        <w:rPr>
          <w:lang w:val="en-US"/>
        </w:rPr>
        <w:t xml:space="preserve">categories have been </w:t>
      </w:r>
      <w:r w:rsidR="006238CD">
        <w:rPr>
          <w:lang w:val="en-US"/>
        </w:rPr>
        <w:t>strongly affected by the financial crisis.</w:t>
      </w:r>
    </w:p>
    <w:p w:rsidR="006E6F5F" w:rsidRDefault="006E6F5F" w:rsidP="00601477">
      <w:pPr>
        <w:pStyle w:val="Kop2"/>
        <w:numPr>
          <w:ilvl w:val="0"/>
          <w:numId w:val="0"/>
        </w:numPr>
        <w:spacing w:line="360" w:lineRule="auto"/>
        <w:ind w:left="576" w:hanging="576"/>
        <w:jc w:val="both"/>
        <w:rPr>
          <w:rStyle w:val="Nadruk"/>
          <w:rFonts w:ascii="Times New Roman" w:hAnsi="Times New Roman"/>
          <w:b/>
          <w:sz w:val="24"/>
          <w:szCs w:val="24"/>
          <w:lang w:val="en-US"/>
        </w:rPr>
      </w:pPr>
      <w:bookmarkStart w:id="64" w:name="_Toc355387313"/>
      <w:r>
        <w:rPr>
          <w:rStyle w:val="Nadruk"/>
          <w:rFonts w:ascii="Times New Roman" w:hAnsi="Times New Roman"/>
          <w:b/>
          <w:sz w:val="24"/>
          <w:szCs w:val="24"/>
          <w:lang w:val="en-US"/>
        </w:rPr>
        <w:t>4</w:t>
      </w:r>
      <w:r w:rsidRPr="00067EF2">
        <w:rPr>
          <w:rStyle w:val="Nadruk"/>
          <w:rFonts w:ascii="Times New Roman" w:hAnsi="Times New Roman"/>
          <w:b/>
          <w:sz w:val="24"/>
          <w:szCs w:val="24"/>
          <w:lang w:val="en-US"/>
        </w:rPr>
        <w:t>.</w:t>
      </w:r>
      <w:r w:rsidR="00601477">
        <w:rPr>
          <w:rStyle w:val="Nadruk"/>
          <w:rFonts w:ascii="Times New Roman" w:hAnsi="Times New Roman"/>
          <w:b/>
          <w:sz w:val="24"/>
          <w:szCs w:val="24"/>
          <w:lang w:val="en-US"/>
        </w:rPr>
        <w:t>4.</w:t>
      </w:r>
      <w:r>
        <w:rPr>
          <w:rStyle w:val="Nadruk"/>
          <w:rFonts w:ascii="Times New Roman" w:hAnsi="Times New Roman"/>
          <w:b/>
          <w:sz w:val="24"/>
          <w:szCs w:val="24"/>
          <w:lang w:val="en-US"/>
        </w:rPr>
        <w:t>1</w:t>
      </w:r>
      <w:r w:rsidRPr="00067EF2">
        <w:rPr>
          <w:rStyle w:val="Nadruk"/>
          <w:rFonts w:ascii="Times New Roman" w:hAnsi="Times New Roman"/>
          <w:b/>
          <w:sz w:val="24"/>
          <w:szCs w:val="24"/>
          <w:lang w:val="en-US"/>
        </w:rPr>
        <w:tab/>
      </w:r>
      <w:r>
        <w:rPr>
          <w:rStyle w:val="Nadruk"/>
          <w:rFonts w:ascii="Times New Roman" w:hAnsi="Times New Roman"/>
          <w:b/>
          <w:sz w:val="24"/>
          <w:szCs w:val="24"/>
          <w:lang w:val="en-US"/>
        </w:rPr>
        <w:t>Real estate</w:t>
      </w:r>
      <w:bookmarkEnd w:id="64"/>
    </w:p>
    <w:p w:rsidR="00892883" w:rsidRDefault="00892883" w:rsidP="00892883">
      <w:pPr>
        <w:autoSpaceDE w:val="0"/>
        <w:autoSpaceDN w:val="0"/>
        <w:adjustRightInd w:val="0"/>
        <w:spacing w:line="360" w:lineRule="auto"/>
        <w:ind w:right="60"/>
        <w:jc w:val="both"/>
        <w:rPr>
          <w:lang w:val="en-US"/>
        </w:rPr>
      </w:pPr>
      <w:r>
        <w:rPr>
          <w:lang w:val="en-US"/>
        </w:rPr>
        <w:t xml:space="preserve">Before continuing with further analysis, first has to be determined </w:t>
      </w:r>
      <w:r w:rsidR="003554A7">
        <w:rPr>
          <w:lang w:val="en-US"/>
        </w:rPr>
        <w:t>if there are pension funds that</w:t>
      </w:r>
      <w:r>
        <w:rPr>
          <w:lang w:val="en-US"/>
        </w:rPr>
        <w:t xml:space="preserve"> have no </w:t>
      </w:r>
      <w:r w:rsidR="003554A7">
        <w:rPr>
          <w:lang w:val="en-US"/>
        </w:rPr>
        <w:t xml:space="preserve">or </w:t>
      </w:r>
      <w:r>
        <w:rPr>
          <w:lang w:val="en-US"/>
        </w:rPr>
        <w:t>relatively very small position</w:t>
      </w:r>
      <w:r w:rsidR="003554A7">
        <w:rPr>
          <w:lang w:val="en-US"/>
        </w:rPr>
        <w:t>s</w:t>
      </w:r>
      <w:r>
        <w:rPr>
          <w:lang w:val="en-US"/>
        </w:rPr>
        <w:t xml:space="preserve"> in real estate. These pension funds will not be taken into account during further analysis. One might not expect pension funds to disclose many data in high quality on non-existent or very small real estate positions. The remaining pension funds will be further analyzed regarding regio</w:t>
      </w:r>
      <w:r w:rsidR="003554A7">
        <w:rPr>
          <w:lang w:val="en-US"/>
        </w:rPr>
        <w:t>n, sector and position allocations</w:t>
      </w:r>
      <w:r>
        <w:rPr>
          <w:lang w:val="en-US"/>
        </w:rPr>
        <w:t>.</w:t>
      </w:r>
    </w:p>
    <w:p w:rsidR="00892883" w:rsidRDefault="00892883" w:rsidP="00892883">
      <w:pPr>
        <w:rPr>
          <w:lang w:val="en-US"/>
        </w:rPr>
      </w:pPr>
    </w:p>
    <w:tbl>
      <w:tblPr>
        <w:tblW w:w="8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850"/>
        <w:gridCol w:w="846"/>
        <w:gridCol w:w="1010"/>
        <w:gridCol w:w="1011"/>
        <w:gridCol w:w="1011"/>
        <w:gridCol w:w="1011"/>
        <w:gridCol w:w="1011"/>
        <w:gridCol w:w="1011"/>
      </w:tblGrid>
      <w:tr w:rsidR="0055584C" w:rsidRPr="0055584C" w:rsidTr="0055584C">
        <w:trPr>
          <w:cantSplit/>
          <w:tblHeader/>
        </w:trPr>
        <w:tc>
          <w:tcPr>
            <w:tcW w:w="8754" w:type="dxa"/>
            <w:gridSpan w:val="9"/>
            <w:tcBorders>
              <w:top w:val="nil"/>
              <w:left w:val="nil"/>
              <w:bottom w:val="nil"/>
              <w:right w:val="nil"/>
            </w:tcBorders>
            <w:shd w:val="clear" w:color="auto" w:fill="FFFFFF"/>
            <w:vAlign w:val="center"/>
          </w:tcPr>
          <w:p w:rsidR="00732D6D" w:rsidRPr="00732D6D" w:rsidRDefault="00732D6D" w:rsidP="007E786C">
            <w:pPr>
              <w:autoSpaceDE w:val="0"/>
              <w:autoSpaceDN w:val="0"/>
              <w:adjustRightInd w:val="0"/>
              <w:spacing w:line="360" w:lineRule="auto"/>
              <w:ind w:right="60"/>
              <w:rPr>
                <w:rFonts w:ascii="Arial" w:hAnsi="Arial" w:cs="Arial"/>
                <w:b/>
                <w:i/>
                <w:color w:val="000000"/>
                <w:sz w:val="18"/>
                <w:szCs w:val="18"/>
                <w:lang w:val="en-US" w:eastAsia="en-US" w:bidi="ar-SA"/>
              </w:rPr>
            </w:pPr>
            <w:r w:rsidRPr="00732D6D">
              <w:rPr>
                <w:b/>
                <w:i/>
                <w:lang w:val="en-US"/>
              </w:rPr>
              <w:t>Position in real estate</w:t>
            </w:r>
          </w:p>
        </w:tc>
      </w:tr>
      <w:tr w:rsidR="0055584C" w:rsidRPr="0055584C" w:rsidTr="00FC24CF">
        <w:trPr>
          <w:cantSplit/>
          <w:tblHeader/>
        </w:trPr>
        <w:tc>
          <w:tcPr>
            <w:tcW w:w="184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5584C" w:rsidRPr="007E786C" w:rsidRDefault="0055584C" w:rsidP="008C49DE">
            <w:pPr>
              <w:autoSpaceDE w:val="0"/>
              <w:autoSpaceDN w:val="0"/>
              <w:adjustRightInd w:val="0"/>
              <w:spacing w:line="276" w:lineRule="auto"/>
              <w:jc w:val="center"/>
              <w:rPr>
                <w:rFonts w:cs="Times New Roman"/>
                <w:lang w:val="en-US" w:eastAsia="en-US" w:bidi="ar-SA"/>
              </w:rPr>
            </w:pPr>
          </w:p>
        </w:tc>
        <w:tc>
          <w:tcPr>
            <w:tcW w:w="5900" w:type="dxa"/>
            <w:gridSpan w:val="6"/>
            <w:tcBorders>
              <w:top w:val="single" w:sz="16" w:space="0" w:color="000000"/>
              <w:left w:val="single" w:sz="16" w:space="0" w:color="000000"/>
            </w:tcBorders>
            <w:shd w:val="clear" w:color="auto" w:fill="FFFFFF"/>
            <w:vAlign w:val="bottom"/>
          </w:tcPr>
          <w:p w:rsidR="0055584C" w:rsidRPr="00FC24CF" w:rsidRDefault="000E247D"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R</w:t>
            </w:r>
            <w:r w:rsidR="0055584C" w:rsidRPr="00FC24CF">
              <w:rPr>
                <w:rFonts w:ascii="Arial" w:hAnsi="Arial" w:cs="Arial"/>
                <w:color w:val="000000"/>
                <w:sz w:val="18"/>
                <w:szCs w:val="18"/>
                <w:lang w:val="en-US" w:eastAsia="en-US" w:bidi="ar-SA"/>
              </w:rPr>
              <w:t>eal estate 2006</w:t>
            </w:r>
            <w:r w:rsidR="00FC24CF" w:rsidRPr="00FC24CF">
              <w:rPr>
                <w:rFonts w:ascii="Arial" w:hAnsi="Arial" w:cs="Arial"/>
                <w:color w:val="000000"/>
                <w:sz w:val="18"/>
                <w:szCs w:val="18"/>
                <w:lang w:val="en-US" w:eastAsia="en-US" w:bidi="ar-SA"/>
              </w:rPr>
              <w:t xml:space="preserve"> </w:t>
            </w:r>
            <w:r>
              <w:rPr>
                <w:rFonts w:ascii="Arial" w:hAnsi="Arial" w:cs="Arial"/>
                <w:color w:val="000000"/>
                <w:sz w:val="18"/>
                <w:szCs w:val="18"/>
                <w:lang w:val="en-US" w:eastAsia="en-US" w:bidi="ar-SA"/>
              </w:rPr>
              <w:t xml:space="preserve">as a percentage </w:t>
            </w:r>
            <w:r w:rsidR="00FC24CF" w:rsidRPr="00FC24CF">
              <w:rPr>
                <w:rFonts w:ascii="Arial" w:hAnsi="Arial" w:cs="Arial"/>
                <w:color w:val="000000"/>
                <w:sz w:val="18"/>
                <w:szCs w:val="18"/>
                <w:lang w:val="en-US" w:eastAsia="en-US" w:bidi="ar-SA"/>
              </w:rPr>
              <w:t>of A</w:t>
            </w:r>
            <w:r w:rsidR="00FC24CF">
              <w:rPr>
                <w:rFonts w:ascii="Arial" w:hAnsi="Arial" w:cs="Arial"/>
                <w:color w:val="000000"/>
                <w:sz w:val="18"/>
                <w:szCs w:val="18"/>
                <w:lang w:val="en-US" w:eastAsia="en-US" w:bidi="ar-SA"/>
              </w:rPr>
              <w:t>UM 2006</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55584C" w:rsidRPr="0055584C" w:rsidRDefault="0055584C"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Total</w:t>
            </w:r>
          </w:p>
        </w:tc>
      </w:tr>
      <w:tr w:rsidR="0055584C" w:rsidRPr="0055584C" w:rsidTr="00FC24CF">
        <w:trPr>
          <w:cantSplit/>
          <w:tblHeader/>
        </w:trPr>
        <w:tc>
          <w:tcPr>
            <w:tcW w:w="184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5584C" w:rsidRPr="0055584C" w:rsidRDefault="0055584C" w:rsidP="008C49DE">
            <w:pPr>
              <w:autoSpaceDE w:val="0"/>
              <w:autoSpaceDN w:val="0"/>
              <w:adjustRightInd w:val="0"/>
              <w:spacing w:line="276" w:lineRule="auto"/>
              <w:rPr>
                <w:rFonts w:ascii="Arial" w:hAnsi="Arial" w:cs="Arial"/>
                <w:color w:val="000000"/>
                <w:sz w:val="18"/>
                <w:szCs w:val="18"/>
                <w:lang w:val="nl-NL" w:eastAsia="en-US" w:bidi="ar-SA"/>
              </w:rPr>
            </w:pPr>
          </w:p>
        </w:tc>
        <w:tc>
          <w:tcPr>
            <w:tcW w:w="846" w:type="dxa"/>
            <w:tcBorders>
              <w:left w:val="single" w:sz="16" w:space="0" w:color="000000"/>
              <w:bottom w:val="single" w:sz="16" w:space="0" w:color="000000"/>
            </w:tcBorders>
            <w:shd w:val="clear" w:color="auto" w:fill="FFFFFF"/>
            <w:vAlign w:val="bottom"/>
          </w:tcPr>
          <w:p w:rsidR="0055584C" w:rsidRPr="0055584C" w:rsidRDefault="0055584C"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0" w:type="dxa"/>
            <w:tcBorders>
              <w:bottom w:val="single" w:sz="16" w:space="0" w:color="000000"/>
            </w:tcBorders>
            <w:shd w:val="clear" w:color="auto" w:fill="FFFFFF"/>
            <w:vAlign w:val="bottom"/>
          </w:tcPr>
          <w:p w:rsidR="0055584C" w:rsidRPr="0055584C" w:rsidRDefault="0055584C"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0-2</w:t>
            </w:r>
          </w:p>
        </w:tc>
        <w:tc>
          <w:tcPr>
            <w:tcW w:w="1011" w:type="dxa"/>
            <w:tcBorders>
              <w:bottom w:val="single" w:sz="16" w:space="0" w:color="000000"/>
            </w:tcBorders>
            <w:shd w:val="clear" w:color="auto" w:fill="FFFFFF"/>
            <w:vAlign w:val="bottom"/>
          </w:tcPr>
          <w:p w:rsidR="0055584C" w:rsidRPr="0055584C" w:rsidRDefault="0055584C"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2-5</w:t>
            </w:r>
          </w:p>
        </w:tc>
        <w:tc>
          <w:tcPr>
            <w:tcW w:w="1011" w:type="dxa"/>
            <w:tcBorders>
              <w:bottom w:val="single" w:sz="16" w:space="0" w:color="000000"/>
            </w:tcBorders>
            <w:shd w:val="clear" w:color="auto" w:fill="FFFFFF"/>
            <w:vAlign w:val="bottom"/>
          </w:tcPr>
          <w:p w:rsidR="0055584C" w:rsidRPr="0055584C" w:rsidRDefault="0055584C"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5-10</w:t>
            </w:r>
          </w:p>
        </w:tc>
        <w:tc>
          <w:tcPr>
            <w:tcW w:w="1011" w:type="dxa"/>
            <w:tcBorders>
              <w:bottom w:val="single" w:sz="16" w:space="0" w:color="000000"/>
            </w:tcBorders>
            <w:shd w:val="clear" w:color="auto" w:fill="FFFFFF"/>
            <w:vAlign w:val="bottom"/>
          </w:tcPr>
          <w:p w:rsidR="0055584C" w:rsidRPr="0055584C" w:rsidRDefault="0055584C"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10-20</w:t>
            </w:r>
          </w:p>
        </w:tc>
        <w:tc>
          <w:tcPr>
            <w:tcW w:w="1011" w:type="dxa"/>
            <w:tcBorders>
              <w:bottom w:val="single" w:sz="16" w:space="0" w:color="000000"/>
            </w:tcBorders>
            <w:shd w:val="clear" w:color="auto" w:fill="FFFFFF"/>
            <w:vAlign w:val="bottom"/>
          </w:tcPr>
          <w:p w:rsidR="0055584C" w:rsidRPr="0055584C" w:rsidRDefault="0055584C"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&gt;20</w:t>
            </w:r>
          </w:p>
        </w:tc>
        <w:tc>
          <w:tcPr>
            <w:tcW w:w="1011" w:type="dxa"/>
            <w:vMerge/>
            <w:tcBorders>
              <w:top w:val="single" w:sz="16" w:space="0" w:color="000000"/>
              <w:bottom w:val="single" w:sz="16" w:space="0" w:color="000000"/>
              <w:right w:val="single" w:sz="16" w:space="0" w:color="000000"/>
            </w:tcBorders>
            <w:shd w:val="clear" w:color="auto" w:fill="FFFFFF"/>
            <w:vAlign w:val="bottom"/>
          </w:tcPr>
          <w:p w:rsidR="0055584C" w:rsidRPr="0055584C" w:rsidRDefault="0055584C" w:rsidP="008C49DE">
            <w:pPr>
              <w:autoSpaceDE w:val="0"/>
              <w:autoSpaceDN w:val="0"/>
              <w:adjustRightInd w:val="0"/>
              <w:spacing w:line="276" w:lineRule="auto"/>
              <w:rPr>
                <w:rFonts w:ascii="Arial" w:hAnsi="Arial" w:cs="Arial"/>
                <w:color w:val="000000"/>
                <w:sz w:val="18"/>
                <w:szCs w:val="18"/>
                <w:lang w:val="nl-NL" w:eastAsia="en-US" w:bidi="ar-SA"/>
              </w:rPr>
            </w:pPr>
          </w:p>
        </w:tc>
      </w:tr>
      <w:tr w:rsidR="0055584C" w:rsidRPr="0055584C" w:rsidTr="000E247D">
        <w:trPr>
          <w:cantSplit/>
          <w:tblHeader/>
        </w:trPr>
        <w:tc>
          <w:tcPr>
            <w:tcW w:w="993" w:type="dxa"/>
            <w:vMerge w:val="restart"/>
            <w:tcBorders>
              <w:top w:val="single" w:sz="16" w:space="0" w:color="000000"/>
              <w:left w:val="single" w:sz="16" w:space="0" w:color="000000"/>
              <w:bottom w:val="nil"/>
              <w:right w:val="nil"/>
            </w:tcBorders>
            <w:shd w:val="clear" w:color="auto" w:fill="FFFFFF"/>
          </w:tcPr>
          <w:p w:rsidR="0055584C" w:rsidRPr="0055584C" w:rsidRDefault="00FC24CF" w:rsidP="008C49DE">
            <w:pPr>
              <w:autoSpaceDE w:val="0"/>
              <w:autoSpaceDN w:val="0"/>
              <w:adjustRightInd w:val="0"/>
              <w:spacing w:line="276"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Pension </w:t>
            </w:r>
            <w:proofErr w:type="spellStart"/>
            <w:r>
              <w:rPr>
                <w:rFonts w:ascii="Arial" w:hAnsi="Arial" w:cs="Arial"/>
                <w:color w:val="000000"/>
                <w:sz w:val="18"/>
                <w:szCs w:val="18"/>
                <w:lang w:val="nl-NL" w:eastAsia="en-US" w:bidi="ar-SA"/>
              </w:rPr>
              <w:t>fund</w:t>
            </w:r>
            <w:proofErr w:type="spellEnd"/>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s</w:t>
            </w:r>
            <w:r w:rsidR="0055584C" w:rsidRPr="0055584C">
              <w:rPr>
                <w:rFonts w:ascii="Arial" w:hAnsi="Arial" w:cs="Arial"/>
                <w:color w:val="000000"/>
                <w:sz w:val="18"/>
                <w:szCs w:val="18"/>
                <w:lang w:val="nl-NL" w:eastAsia="en-US" w:bidi="ar-SA"/>
              </w:rPr>
              <w:t>ize</w:t>
            </w:r>
            <w:proofErr w:type="spellEnd"/>
          </w:p>
        </w:tc>
        <w:tc>
          <w:tcPr>
            <w:tcW w:w="850" w:type="dxa"/>
            <w:tcBorders>
              <w:top w:val="single" w:sz="16" w:space="0" w:color="000000"/>
              <w:left w:val="nil"/>
              <w:bottom w:val="nil"/>
              <w:right w:val="single" w:sz="16" w:space="0" w:color="000000"/>
            </w:tcBorders>
            <w:shd w:val="clear" w:color="auto" w:fill="FFFFFF"/>
          </w:tcPr>
          <w:p w:rsidR="0055584C" w:rsidRPr="0055584C" w:rsidRDefault="00FC24CF" w:rsidP="008C49DE">
            <w:pPr>
              <w:autoSpaceDE w:val="0"/>
              <w:autoSpaceDN w:val="0"/>
              <w:adjustRightInd w:val="0"/>
              <w:spacing w:line="276"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w:t>
            </w:r>
            <w:r w:rsidR="0055584C" w:rsidRPr="0055584C">
              <w:rPr>
                <w:rFonts w:ascii="Arial" w:hAnsi="Arial" w:cs="Arial"/>
                <w:color w:val="000000"/>
                <w:sz w:val="18"/>
                <w:szCs w:val="18"/>
                <w:lang w:val="nl-NL" w:eastAsia="en-US" w:bidi="ar-SA"/>
              </w:rPr>
              <w:t xml:space="preserve">X </w:t>
            </w:r>
            <w:proofErr w:type="spellStart"/>
            <w:r w:rsidR="0055584C" w:rsidRPr="0055584C">
              <w:rPr>
                <w:rFonts w:ascii="Arial" w:hAnsi="Arial" w:cs="Arial"/>
                <w:color w:val="000000"/>
                <w:sz w:val="18"/>
                <w:szCs w:val="18"/>
                <w:lang w:val="nl-NL" w:eastAsia="en-US" w:bidi="ar-SA"/>
              </w:rPr>
              <w:t>Large</w:t>
            </w:r>
            <w:proofErr w:type="spellEnd"/>
          </w:p>
        </w:tc>
        <w:tc>
          <w:tcPr>
            <w:tcW w:w="846" w:type="dxa"/>
            <w:tcBorders>
              <w:top w:val="single" w:sz="16" w:space="0" w:color="000000"/>
              <w:left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0" w:type="dxa"/>
            <w:tcBorders>
              <w:top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3</w:t>
            </w:r>
          </w:p>
        </w:tc>
        <w:tc>
          <w:tcPr>
            <w:tcW w:w="1011" w:type="dxa"/>
            <w:tcBorders>
              <w:top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single" w:sz="16" w:space="0" w:color="000000"/>
              <w:bottom w:val="nil"/>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5</w:t>
            </w:r>
          </w:p>
        </w:tc>
      </w:tr>
      <w:tr w:rsidR="0055584C" w:rsidRPr="0055584C" w:rsidTr="000E247D">
        <w:trPr>
          <w:cantSplit/>
          <w:tblHeader/>
        </w:trPr>
        <w:tc>
          <w:tcPr>
            <w:tcW w:w="993" w:type="dxa"/>
            <w:vMerge/>
            <w:tcBorders>
              <w:top w:val="single" w:sz="16" w:space="0" w:color="000000"/>
              <w:left w:val="single" w:sz="16" w:space="0" w:color="000000"/>
              <w:bottom w:val="nil"/>
              <w:right w:val="nil"/>
            </w:tcBorders>
            <w:shd w:val="clear" w:color="auto" w:fill="FFFFFF"/>
          </w:tcPr>
          <w:p w:rsidR="0055584C" w:rsidRPr="0055584C" w:rsidRDefault="0055584C" w:rsidP="008C49DE">
            <w:pPr>
              <w:autoSpaceDE w:val="0"/>
              <w:autoSpaceDN w:val="0"/>
              <w:adjustRightInd w:val="0"/>
              <w:spacing w:line="276" w:lineRule="auto"/>
              <w:rPr>
                <w:rFonts w:ascii="Arial" w:hAnsi="Arial" w:cs="Arial"/>
                <w:color w:val="000000"/>
                <w:sz w:val="18"/>
                <w:szCs w:val="18"/>
                <w:lang w:val="nl-NL" w:eastAsia="en-US" w:bidi="ar-SA"/>
              </w:rPr>
            </w:pPr>
          </w:p>
        </w:tc>
        <w:tc>
          <w:tcPr>
            <w:tcW w:w="850" w:type="dxa"/>
            <w:tcBorders>
              <w:top w:val="nil"/>
              <w:left w:val="nil"/>
              <w:bottom w:val="nil"/>
              <w:right w:val="single" w:sz="16" w:space="0" w:color="000000"/>
            </w:tcBorders>
            <w:shd w:val="clear" w:color="auto" w:fill="FFFFFF"/>
          </w:tcPr>
          <w:p w:rsidR="0055584C" w:rsidRPr="0055584C" w:rsidRDefault="00FC24CF" w:rsidP="008C49DE">
            <w:pPr>
              <w:autoSpaceDE w:val="0"/>
              <w:autoSpaceDN w:val="0"/>
              <w:adjustRightInd w:val="0"/>
              <w:spacing w:line="276"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w:t>
            </w:r>
            <w:proofErr w:type="spellStart"/>
            <w:r w:rsidR="0055584C" w:rsidRPr="0055584C">
              <w:rPr>
                <w:rFonts w:ascii="Arial" w:hAnsi="Arial" w:cs="Arial"/>
                <w:color w:val="000000"/>
                <w:sz w:val="18"/>
                <w:szCs w:val="18"/>
                <w:lang w:val="nl-NL" w:eastAsia="en-US" w:bidi="ar-SA"/>
              </w:rPr>
              <w:t>Large</w:t>
            </w:r>
            <w:proofErr w:type="spellEnd"/>
          </w:p>
        </w:tc>
        <w:tc>
          <w:tcPr>
            <w:tcW w:w="846" w:type="dxa"/>
            <w:tcBorders>
              <w:top w:val="nil"/>
              <w:left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0"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4</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nil"/>
              <w:bottom w:val="nil"/>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5</w:t>
            </w:r>
          </w:p>
        </w:tc>
      </w:tr>
      <w:tr w:rsidR="0055584C" w:rsidRPr="0055584C" w:rsidTr="000E247D">
        <w:trPr>
          <w:cantSplit/>
          <w:tblHeader/>
        </w:trPr>
        <w:tc>
          <w:tcPr>
            <w:tcW w:w="993" w:type="dxa"/>
            <w:vMerge/>
            <w:tcBorders>
              <w:top w:val="single" w:sz="16" w:space="0" w:color="000000"/>
              <w:left w:val="single" w:sz="16" w:space="0" w:color="000000"/>
              <w:bottom w:val="nil"/>
              <w:right w:val="nil"/>
            </w:tcBorders>
            <w:shd w:val="clear" w:color="auto" w:fill="FFFFFF"/>
          </w:tcPr>
          <w:p w:rsidR="0055584C" w:rsidRPr="0055584C" w:rsidRDefault="0055584C" w:rsidP="008C49DE">
            <w:pPr>
              <w:autoSpaceDE w:val="0"/>
              <w:autoSpaceDN w:val="0"/>
              <w:adjustRightInd w:val="0"/>
              <w:spacing w:line="276" w:lineRule="auto"/>
              <w:rPr>
                <w:rFonts w:ascii="Arial" w:hAnsi="Arial" w:cs="Arial"/>
                <w:color w:val="000000"/>
                <w:sz w:val="18"/>
                <w:szCs w:val="18"/>
                <w:lang w:val="nl-NL" w:eastAsia="en-US" w:bidi="ar-SA"/>
              </w:rPr>
            </w:pPr>
          </w:p>
        </w:tc>
        <w:tc>
          <w:tcPr>
            <w:tcW w:w="850" w:type="dxa"/>
            <w:tcBorders>
              <w:top w:val="nil"/>
              <w:left w:val="nil"/>
              <w:bottom w:val="nil"/>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Medium</w:t>
            </w:r>
          </w:p>
        </w:tc>
        <w:tc>
          <w:tcPr>
            <w:tcW w:w="846" w:type="dxa"/>
            <w:tcBorders>
              <w:top w:val="nil"/>
              <w:left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0"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3</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5</w:t>
            </w:r>
          </w:p>
        </w:tc>
      </w:tr>
      <w:tr w:rsidR="0055584C" w:rsidRPr="0055584C" w:rsidTr="000E247D">
        <w:trPr>
          <w:cantSplit/>
          <w:tblHeader/>
        </w:trPr>
        <w:tc>
          <w:tcPr>
            <w:tcW w:w="993" w:type="dxa"/>
            <w:vMerge/>
            <w:tcBorders>
              <w:top w:val="single" w:sz="16" w:space="0" w:color="000000"/>
              <w:left w:val="single" w:sz="16" w:space="0" w:color="000000"/>
              <w:bottom w:val="nil"/>
              <w:right w:val="nil"/>
            </w:tcBorders>
            <w:shd w:val="clear" w:color="auto" w:fill="FFFFFF"/>
          </w:tcPr>
          <w:p w:rsidR="0055584C" w:rsidRPr="0055584C" w:rsidRDefault="0055584C" w:rsidP="008C49DE">
            <w:pPr>
              <w:autoSpaceDE w:val="0"/>
              <w:autoSpaceDN w:val="0"/>
              <w:adjustRightInd w:val="0"/>
              <w:spacing w:line="276" w:lineRule="auto"/>
              <w:rPr>
                <w:rFonts w:ascii="Arial" w:hAnsi="Arial" w:cs="Arial"/>
                <w:color w:val="000000"/>
                <w:sz w:val="18"/>
                <w:szCs w:val="18"/>
                <w:lang w:val="nl-NL" w:eastAsia="en-US" w:bidi="ar-SA"/>
              </w:rPr>
            </w:pPr>
          </w:p>
        </w:tc>
        <w:tc>
          <w:tcPr>
            <w:tcW w:w="850" w:type="dxa"/>
            <w:tcBorders>
              <w:top w:val="nil"/>
              <w:left w:val="nil"/>
              <w:bottom w:val="nil"/>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55584C">
              <w:rPr>
                <w:rFonts w:ascii="Arial" w:hAnsi="Arial" w:cs="Arial"/>
                <w:color w:val="000000"/>
                <w:sz w:val="18"/>
                <w:szCs w:val="18"/>
                <w:lang w:val="nl-NL" w:eastAsia="en-US" w:bidi="ar-SA"/>
              </w:rPr>
              <w:t>Small</w:t>
            </w:r>
            <w:proofErr w:type="spellEnd"/>
          </w:p>
        </w:tc>
        <w:tc>
          <w:tcPr>
            <w:tcW w:w="846" w:type="dxa"/>
            <w:tcBorders>
              <w:top w:val="nil"/>
              <w:left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0"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5</w:t>
            </w:r>
          </w:p>
        </w:tc>
      </w:tr>
      <w:tr w:rsidR="0055584C" w:rsidRPr="0055584C" w:rsidTr="000E247D">
        <w:trPr>
          <w:cantSplit/>
          <w:tblHeader/>
        </w:trPr>
        <w:tc>
          <w:tcPr>
            <w:tcW w:w="993" w:type="dxa"/>
            <w:vMerge/>
            <w:tcBorders>
              <w:top w:val="single" w:sz="16" w:space="0" w:color="000000"/>
              <w:left w:val="single" w:sz="16" w:space="0" w:color="000000"/>
              <w:bottom w:val="nil"/>
              <w:right w:val="nil"/>
            </w:tcBorders>
            <w:shd w:val="clear" w:color="auto" w:fill="FFFFFF"/>
          </w:tcPr>
          <w:p w:rsidR="0055584C" w:rsidRPr="0055584C" w:rsidRDefault="0055584C" w:rsidP="008C49DE">
            <w:pPr>
              <w:autoSpaceDE w:val="0"/>
              <w:autoSpaceDN w:val="0"/>
              <w:adjustRightInd w:val="0"/>
              <w:spacing w:line="276" w:lineRule="auto"/>
              <w:rPr>
                <w:rFonts w:ascii="Arial" w:hAnsi="Arial" w:cs="Arial"/>
                <w:color w:val="000000"/>
                <w:sz w:val="18"/>
                <w:szCs w:val="18"/>
                <w:lang w:val="nl-NL" w:eastAsia="en-US" w:bidi="ar-SA"/>
              </w:rPr>
            </w:pPr>
          </w:p>
        </w:tc>
        <w:tc>
          <w:tcPr>
            <w:tcW w:w="850" w:type="dxa"/>
            <w:tcBorders>
              <w:top w:val="nil"/>
              <w:left w:val="nil"/>
              <w:bottom w:val="nil"/>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 xml:space="preserve">X </w:t>
            </w:r>
            <w:proofErr w:type="spellStart"/>
            <w:r w:rsidRPr="0055584C">
              <w:rPr>
                <w:rFonts w:ascii="Arial" w:hAnsi="Arial" w:cs="Arial"/>
                <w:color w:val="000000"/>
                <w:sz w:val="18"/>
                <w:szCs w:val="18"/>
                <w:lang w:val="nl-NL" w:eastAsia="en-US" w:bidi="ar-SA"/>
              </w:rPr>
              <w:t>Small</w:t>
            </w:r>
            <w:proofErr w:type="spellEnd"/>
          </w:p>
        </w:tc>
        <w:tc>
          <w:tcPr>
            <w:tcW w:w="846" w:type="dxa"/>
            <w:tcBorders>
              <w:top w:val="nil"/>
              <w:left w:val="single" w:sz="16" w:space="0" w:color="000000"/>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2</w:t>
            </w:r>
          </w:p>
        </w:tc>
        <w:tc>
          <w:tcPr>
            <w:tcW w:w="1010"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2</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0</w:t>
            </w:r>
          </w:p>
        </w:tc>
        <w:tc>
          <w:tcPr>
            <w:tcW w:w="1011" w:type="dxa"/>
            <w:tcBorders>
              <w:top w:val="nil"/>
              <w:bottom w:val="nil"/>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5</w:t>
            </w:r>
          </w:p>
        </w:tc>
      </w:tr>
      <w:tr w:rsidR="0055584C" w:rsidRPr="0055584C" w:rsidTr="00FC24CF">
        <w:trPr>
          <w:cantSplit/>
        </w:trPr>
        <w:tc>
          <w:tcPr>
            <w:tcW w:w="1843" w:type="dxa"/>
            <w:gridSpan w:val="2"/>
            <w:tcBorders>
              <w:top w:val="nil"/>
              <w:left w:val="single" w:sz="16" w:space="0" w:color="000000"/>
              <w:bottom w:val="single" w:sz="16" w:space="0" w:color="000000"/>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Total</w:t>
            </w:r>
          </w:p>
        </w:tc>
        <w:tc>
          <w:tcPr>
            <w:tcW w:w="846" w:type="dxa"/>
            <w:tcBorders>
              <w:top w:val="nil"/>
              <w:left w:val="single" w:sz="16" w:space="0" w:color="000000"/>
              <w:bottom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2</w:t>
            </w:r>
          </w:p>
        </w:tc>
        <w:tc>
          <w:tcPr>
            <w:tcW w:w="1010" w:type="dxa"/>
            <w:tcBorders>
              <w:top w:val="nil"/>
              <w:bottom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2</w:t>
            </w:r>
          </w:p>
        </w:tc>
        <w:tc>
          <w:tcPr>
            <w:tcW w:w="1011" w:type="dxa"/>
            <w:tcBorders>
              <w:top w:val="nil"/>
              <w:bottom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w:t>
            </w:r>
          </w:p>
        </w:tc>
        <w:tc>
          <w:tcPr>
            <w:tcW w:w="1011" w:type="dxa"/>
            <w:tcBorders>
              <w:top w:val="nil"/>
              <w:bottom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11</w:t>
            </w:r>
          </w:p>
        </w:tc>
        <w:tc>
          <w:tcPr>
            <w:tcW w:w="1011" w:type="dxa"/>
            <w:tcBorders>
              <w:top w:val="nil"/>
              <w:bottom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6</w:t>
            </w:r>
          </w:p>
        </w:tc>
        <w:tc>
          <w:tcPr>
            <w:tcW w:w="1011" w:type="dxa"/>
            <w:tcBorders>
              <w:top w:val="nil"/>
              <w:bottom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3</w:t>
            </w:r>
          </w:p>
        </w:tc>
        <w:tc>
          <w:tcPr>
            <w:tcW w:w="1011" w:type="dxa"/>
            <w:tcBorders>
              <w:top w:val="nil"/>
              <w:bottom w:val="single" w:sz="16" w:space="0" w:color="000000"/>
              <w:right w:val="single" w:sz="16" w:space="0" w:color="000000"/>
            </w:tcBorders>
            <w:shd w:val="clear" w:color="auto" w:fill="FFFFFF"/>
          </w:tcPr>
          <w:p w:rsidR="0055584C" w:rsidRPr="0055584C" w:rsidRDefault="0055584C"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55584C">
              <w:rPr>
                <w:rFonts w:ascii="Arial" w:hAnsi="Arial" w:cs="Arial"/>
                <w:color w:val="000000"/>
                <w:sz w:val="18"/>
                <w:szCs w:val="18"/>
                <w:lang w:val="nl-NL" w:eastAsia="en-US" w:bidi="ar-SA"/>
              </w:rPr>
              <w:t>25</w:t>
            </w:r>
          </w:p>
        </w:tc>
      </w:tr>
    </w:tbl>
    <w:p w:rsidR="0055584C" w:rsidRPr="0055584C" w:rsidRDefault="0055584C" w:rsidP="0055584C">
      <w:pPr>
        <w:autoSpaceDE w:val="0"/>
        <w:autoSpaceDN w:val="0"/>
        <w:adjustRightInd w:val="0"/>
        <w:spacing w:line="400" w:lineRule="atLeast"/>
        <w:rPr>
          <w:rFonts w:cs="Times New Roman"/>
          <w:lang w:val="nl-NL" w:eastAsia="en-US" w:bidi="ar-SA"/>
        </w:rPr>
      </w:pPr>
    </w:p>
    <w:tbl>
      <w:tblPr>
        <w:tblW w:w="87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850"/>
        <w:gridCol w:w="846"/>
        <w:gridCol w:w="1010"/>
        <w:gridCol w:w="1011"/>
        <w:gridCol w:w="1011"/>
        <w:gridCol w:w="1011"/>
        <w:gridCol w:w="1011"/>
        <w:gridCol w:w="1011"/>
      </w:tblGrid>
      <w:tr w:rsidR="000E247D" w:rsidRPr="000E247D" w:rsidTr="000E247D">
        <w:trPr>
          <w:cantSplit/>
          <w:tblHeader/>
        </w:trPr>
        <w:tc>
          <w:tcPr>
            <w:tcW w:w="184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E247D" w:rsidRPr="000E247D" w:rsidRDefault="000E247D" w:rsidP="008C49DE">
            <w:pPr>
              <w:spacing w:line="276" w:lineRule="auto"/>
              <w:rPr>
                <w:rFonts w:cs="Times New Roman"/>
                <w:lang w:val="nl-NL" w:eastAsia="en-US" w:bidi="ar-SA"/>
              </w:rPr>
            </w:pPr>
          </w:p>
        </w:tc>
        <w:tc>
          <w:tcPr>
            <w:tcW w:w="5900" w:type="dxa"/>
            <w:gridSpan w:val="6"/>
            <w:tcBorders>
              <w:top w:val="single" w:sz="16" w:space="0" w:color="000000"/>
              <w:left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0E247D">
              <w:rPr>
                <w:rFonts w:ascii="Arial" w:hAnsi="Arial" w:cs="Arial"/>
                <w:color w:val="000000"/>
                <w:sz w:val="18"/>
                <w:szCs w:val="18"/>
                <w:lang w:val="en-US" w:eastAsia="en-US" w:bidi="ar-SA"/>
              </w:rPr>
              <w:t>Real estate 2011 as a p</w:t>
            </w:r>
            <w:r>
              <w:rPr>
                <w:rFonts w:ascii="Arial" w:hAnsi="Arial" w:cs="Arial"/>
                <w:color w:val="000000"/>
                <w:sz w:val="18"/>
                <w:szCs w:val="18"/>
                <w:lang w:val="en-US" w:eastAsia="en-US" w:bidi="ar-SA"/>
              </w:rPr>
              <w:t>ercentage of AUM 2011</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Total</w:t>
            </w:r>
          </w:p>
        </w:tc>
      </w:tr>
      <w:tr w:rsidR="000E247D" w:rsidRPr="000E247D" w:rsidTr="000E247D">
        <w:trPr>
          <w:cantSplit/>
          <w:tblHeader/>
        </w:trPr>
        <w:tc>
          <w:tcPr>
            <w:tcW w:w="184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E247D" w:rsidRPr="000E247D" w:rsidRDefault="000E247D" w:rsidP="008C49DE">
            <w:pPr>
              <w:autoSpaceDE w:val="0"/>
              <w:autoSpaceDN w:val="0"/>
              <w:adjustRightInd w:val="0"/>
              <w:spacing w:line="276" w:lineRule="auto"/>
              <w:rPr>
                <w:rFonts w:ascii="Arial" w:hAnsi="Arial" w:cs="Arial"/>
                <w:color w:val="000000"/>
                <w:sz w:val="18"/>
                <w:szCs w:val="18"/>
                <w:lang w:val="nl-NL" w:eastAsia="en-US" w:bidi="ar-SA"/>
              </w:rPr>
            </w:pPr>
          </w:p>
        </w:tc>
        <w:tc>
          <w:tcPr>
            <w:tcW w:w="846" w:type="dxa"/>
            <w:tcBorders>
              <w:left w:val="single" w:sz="16" w:space="0" w:color="000000"/>
              <w:bottom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0" w:type="dxa"/>
            <w:tcBorders>
              <w:bottom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0-2</w:t>
            </w:r>
          </w:p>
        </w:tc>
        <w:tc>
          <w:tcPr>
            <w:tcW w:w="1011" w:type="dxa"/>
            <w:tcBorders>
              <w:bottom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2-5</w:t>
            </w:r>
          </w:p>
        </w:tc>
        <w:tc>
          <w:tcPr>
            <w:tcW w:w="1011" w:type="dxa"/>
            <w:tcBorders>
              <w:bottom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5-10</w:t>
            </w:r>
          </w:p>
        </w:tc>
        <w:tc>
          <w:tcPr>
            <w:tcW w:w="1011" w:type="dxa"/>
            <w:tcBorders>
              <w:bottom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10-20</w:t>
            </w:r>
          </w:p>
        </w:tc>
        <w:tc>
          <w:tcPr>
            <w:tcW w:w="1011" w:type="dxa"/>
            <w:tcBorders>
              <w:bottom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&gt;20</w:t>
            </w:r>
          </w:p>
        </w:tc>
        <w:tc>
          <w:tcPr>
            <w:tcW w:w="1011" w:type="dxa"/>
            <w:vMerge/>
            <w:tcBorders>
              <w:top w:val="single" w:sz="16" w:space="0" w:color="000000"/>
              <w:bottom w:val="single" w:sz="16" w:space="0" w:color="000000"/>
              <w:right w:val="single" w:sz="16" w:space="0" w:color="000000"/>
            </w:tcBorders>
            <w:shd w:val="clear" w:color="auto" w:fill="FFFFFF"/>
            <w:vAlign w:val="bottom"/>
          </w:tcPr>
          <w:p w:rsidR="000E247D" w:rsidRPr="000E247D" w:rsidRDefault="000E247D" w:rsidP="008C49DE">
            <w:pPr>
              <w:autoSpaceDE w:val="0"/>
              <w:autoSpaceDN w:val="0"/>
              <w:adjustRightInd w:val="0"/>
              <w:spacing w:line="276" w:lineRule="auto"/>
              <w:rPr>
                <w:rFonts w:ascii="Arial" w:hAnsi="Arial" w:cs="Arial"/>
                <w:color w:val="000000"/>
                <w:sz w:val="18"/>
                <w:szCs w:val="18"/>
                <w:lang w:val="nl-NL" w:eastAsia="en-US" w:bidi="ar-SA"/>
              </w:rPr>
            </w:pPr>
          </w:p>
        </w:tc>
      </w:tr>
      <w:tr w:rsidR="000E247D" w:rsidRPr="000E247D" w:rsidTr="000E247D">
        <w:trPr>
          <w:cantSplit/>
          <w:tblHeader/>
        </w:trPr>
        <w:tc>
          <w:tcPr>
            <w:tcW w:w="993" w:type="dxa"/>
            <w:vMerge w:val="restart"/>
            <w:tcBorders>
              <w:top w:val="single" w:sz="16" w:space="0" w:color="000000"/>
              <w:left w:val="single" w:sz="16" w:space="0" w:color="000000"/>
              <w:bottom w:val="nil"/>
              <w:right w:val="nil"/>
            </w:tcBorders>
            <w:shd w:val="clear" w:color="auto" w:fill="FFFFFF"/>
          </w:tcPr>
          <w:p w:rsidR="000E247D" w:rsidRDefault="000E247D" w:rsidP="008C49DE">
            <w:pPr>
              <w:autoSpaceDE w:val="0"/>
              <w:autoSpaceDN w:val="0"/>
              <w:adjustRightInd w:val="0"/>
              <w:spacing w:line="276"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Pension</w:t>
            </w:r>
          </w:p>
          <w:p w:rsidR="000E247D" w:rsidRPr="000E247D" w:rsidRDefault="000E247D"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Pr>
                <w:rFonts w:ascii="Arial" w:hAnsi="Arial" w:cs="Arial"/>
                <w:color w:val="000000"/>
                <w:sz w:val="18"/>
                <w:szCs w:val="18"/>
                <w:lang w:val="nl-NL" w:eastAsia="en-US" w:bidi="ar-SA"/>
              </w:rPr>
              <w:t>fund</w:t>
            </w:r>
            <w:proofErr w:type="spellEnd"/>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size</w:t>
            </w:r>
            <w:proofErr w:type="spellEnd"/>
          </w:p>
        </w:tc>
        <w:tc>
          <w:tcPr>
            <w:tcW w:w="850" w:type="dxa"/>
            <w:tcBorders>
              <w:top w:val="single" w:sz="16" w:space="0" w:color="000000"/>
              <w:left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 xml:space="preserve">X </w:t>
            </w:r>
            <w:proofErr w:type="spellStart"/>
            <w:r w:rsidRPr="000E247D">
              <w:rPr>
                <w:rFonts w:ascii="Arial" w:hAnsi="Arial" w:cs="Arial"/>
                <w:color w:val="000000"/>
                <w:sz w:val="18"/>
                <w:szCs w:val="18"/>
                <w:lang w:val="nl-NL" w:eastAsia="en-US" w:bidi="ar-SA"/>
              </w:rPr>
              <w:t>Large</w:t>
            </w:r>
            <w:proofErr w:type="spellEnd"/>
          </w:p>
        </w:tc>
        <w:tc>
          <w:tcPr>
            <w:tcW w:w="846" w:type="dxa"/>
            <w:tcBorders>
              <w:top w:val="single" w:sz="16" w:space="0" w:color="000000"/>
              <w:left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0" w:type="dxa"/>
            <w:tcBorders>
              <w:top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4</w:t>
            </w:r>
          </w:p>
        </w:tc>
        <w:tc>
          <w:tcPr>
            <w:tcW w:w="1011" w:type="dxa"/>
            <w:tcBorders>
              <w:top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single" w:sz="16" w:space="0" w:color="000000"/>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5</w:t>
            </w:r>
          </w:p>
        </w:tc>
      </w:tr>
      <w:tr w:rsidR="000E247D" w:rsidRPr="000E247D" w:rsidTr="000E247D">
        <w:trPr>
          <w:cantSplit/>
          <w:tblHeader/>
        </w:trPr>
        <w:tc>
          <w:tcPr>
            <w:tcW w:w="993" w:type="dxa"/>
            <w:vMerge/>
            <w:tcBorders>
              <w:top w:val="single" w:sz="16" w:space="0" w:color="000000"/>
              <w:left w:val="single" w:sz="16" w:space="0" w:color="000000"/>
              <w:bottom w:val="nil"/>
              <w:right w:val="nil"/>
            </w:tcBorders>
            <w:shd w:val="clear" w:color="auto" w:fill="FFFFFF"/>
          </w:tcPr>
          <w:p w:rsidR="000E247D" w:rsidRPr="000E247D" w:rsidRDefault="000E247D" w:rsidP="008C49DE">
            <w:pPr>
              <w:autoSpaceDE w:val="0"/>
              <w:autoSpaceDN w:val="0"/>
              <w:adjustRightInd w:val="0"/>
              <w:spacing w:line="276" w:lineRule="auto"/>
              <w:rPr>
                <w:rFonts w:ascii="Arial" w:hAnsi="Arial" w:cs="Arial"/>
                <w:color w:val="000000"/>
                <w:sz w:val="18"/>
                <w:szCs w:val="18"/>
                <w:lang w:val="nl-NL" w:eastAsia="en-US" w:bidi="ar-SA"/>
              </w:rPr>
            </w:pPr>
          </w:p>
        </w:tc>
        <w:tc>
          <w:tcPr>
            <w:tcW w:w="850" w:type="dxa"/>
            <w:tcBorders>
              <w:top w:val="nil"/>
              <w:left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0E247D">
              <w:rPr>
                <w:rFonts w:ascii="Arial" w:hAnsi="Arial" w:cs="Arial"/>
                <w:color w:val="000000"/>
                <w:sz w:val="18"/>
                <w:szCs w:val="18"/>
                <w:lang w:val="nl-NL" w:eastAsia="en-US" w:bidi="ar-SA"/>
              </w:rPr>
              <w:t>Large</w:t>
            </w:r>
            <w:proofErr w:type="spellEnd"/>
          </w:p>
        </w:tc>
        <w:tc>
          <w:tcPr>
            <w:tcW w:w="846" w:type="dxa"/>
            <w:tcBorders>
              <w:top w:val="nil"/>
              <w:left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0"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3</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5</w:t>
            </w:r>
          </w:p>
        </w:tc>
      </w:tr>
      <w:tr w:rsidR="000E247D" w:rsidRPr="000E247D" w:rsidTr="000E247D">
        <w:trPr>
          <w:cantSplit/>
          <w:tblHeader/>
        </w:trPr>
        <w:tc>
          <w:tcPr>
            <w:tcW w:w="993" w:type="dxa"/>
            <w:vMerge/>
            <w:tcBorders>
              <w:top w:val="single" w:sz="16" w:space="0" w:color="000000"/>
              <w:left w:val="single" w:sz="16" w:space="0" w:color="000000"/>
              <w:bottom w:val="nil"/>
              <w:right w:val="nil"/>
            </w:tcBorders>
            <w:shd w:val="clear" w:color="auto" w:fill="FFFFFF"/>
          </w:tcPr>
          <w:p w:rsidR="000E247D" w:rsidRPr="000E247D" w:rsidRDefault="000E247D" w:rsidP="008C49DE">
            <w:pPr>
              <w:autoSpaceDE w:val="0"/>
              <w:autoSpaceDN w:val="0"/>
              <w:adjustRightInd w:val="0"/>
              <w:spacing w:line="276" w:lineRule="auto"/>
              <w:rPr>
                <w:rFonts w:ascii="Arial" w:hAnsi="Arial" w:cs="Arial"/>
                <w:color w:val="000000"/>
                <w:sz w:val="18"/>
                <w:szCs w:val="18"/>
                <w:lang w:val="nl-NL" w:eastAsia="en-US" w:bidi="ar-SA"/>
              </w:rPr>
            </w:pPr>
          </w:p>
        </w:tc>
        <w:tc>
          <w:tcPr>
            <w:tcW w:w="850" w:type="dxa"/>
            <w:tcBorders>
              <w:top w:val="nil"/>
              <w:left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Medium</w:t>
            </w:r>
          </w:p>
        </w:tc>
        <w:tc>
          <w:tcPr>
            <w:tcW w:w="846" w:type="dxa"/>
            <w:tcBorders>
              <w:top w:val="nil"/>
              <w:left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0"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3</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5</w:t>
            </w:r>
          </w:p>
        </w:tc>
      </w:tr>
      <w:tr w:rsidR="000E247D" w:rsidRPr="000E247D" w:rsidTr="000E247D">
        <w:trPr>
          <w:cantSplit/>
          <w:tblHeader/>
        </w:trPr>
        <w:tc>
          <w:tcPr>
            <w:tcW w:w="993" w:type="dxa"/>
            <w:vMerge/>
            <w:tcBorders>
              <w:top w:val="single" w:sz="16" w:space="0" w:color="000000"/>
              <w:left w:val="single" w:sz="16" w:space="0" w:color="000000"/>
              <w:bottom w:val="nil"/>
              <w:right w:val="nil"/>
            </w:tcBorders>
            <w:shd w:val="clear" w:color="auto" w:fill="FFFFFF"/>
          </w:tcPr>
          <w:p w:rsidR="000E247D" w:rsidRPr="000E247D" w:rsidRDefault="000E247D" w:rsidP="008C49DE">
            <w:pPr>
              <w:autoSpaceDE w:val="0"/>
              <w:autoSpaceDN w:val="0"/>
              <w:adjustRightInd w:val="0"/>
              <w:spacing w:line="276" w:lineRule="auto"/>
              <w:rPr>
                <w:rFonts w:ascii="Arial" w:hAnsi="Arial" w:cs="Arial"/>
                <w:color w:val="000000"/>
                <w:sz w:val="18"/>
                <w:szCs w:val="18"/>
                <w:lang w:val="nl-NL" w:eastAsia="en-US" w:bidi="ar-SA"/>
              </w:rPr>
            </w:pPr>
          </w:p>
        </w:tc>
        <w:tc>
          <w:tcPr>
            <w:tcW w:w="850" w:type="dxa"/>
            <w:tcBorders>
              <w:top w:val="nil"/>
              <w:left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0E247D">
              <w:rPr>
                <w:rFonts w:ascii="Arial" w:hAnsi="Arial" w:cs="Arial"/>
                <w:color w:val="000000"/>
                <w:sz w:val="18"/>
                <w:szCs w:val="18"/>
                <w:lang w:val="nl-NL" w:eastAsia="en-US" w:bidi="ar-SA"/>
              </w:rPr>
              <w:t>Small</w:t>
            </w:r>
            <w:proofErr w:type="spellEnd"/>
          </w:p>
        </w:tc>
        <w:tc>
          <w:tcPr>
            <w:tcW w:w="846" w:type="dxa"/>
            <w:tcBorders>
              <w:top w:val="nil"/>
              <w:left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0"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5</w:t>
            </w:r>
          </w:p>
        </w:tc>
      </w:tr>
      <w:tr w:rsidR="000E247D" w:rsidRPr="000E247D" w:rsidTr="000E247D">
        <w:trPr>
          <w:cantSplit/>
          <w:tblHeader/>
        </w:trPr>
        <w:tc>
          <w:tcPr>
            <w:tcW w:w="993" w:type="dxa"/>
            <w:vMerge/>
            <w:tcBorders>
              <w:top w:val="single" w:sz="16" w:space="0" w:color="000000"/>
              <w:left w:val="single" w:sz="16" w:space="0" w:color="000000"/>
              <w:bottom w:val="nil"/>
              <w:right w:val="nil"/>
            </w:tcBorders>
            <w:shd w:val="clear" w:color="auto" w:fill="FFFFFF"/>
          </w:tcPr>
          <w:p w:rsidR="000E247D" w:rsidRPr="000E247D" w:rsidRDefault="000E247D" w:rsidP="008C49DE">
            <w:pPr>
              <w:autoSpaceDE w:val="0"/>
              <w:autoSpaceDN w:val="0"/>
              <w:adjustRightInd w:val="0"/>
              <w:spacing w:line="276" w:lineRule="auto"/>
              <w:rPr>
                <w:rFonts w:ascii="Arial" w:hAnsi="Arial" w:cs="Arial"/>
                <w:color w:val="000000"/>
                <w:sz w:val="18"/>
                <w:szCs w:val="18"/>
                <w:lang w:val="nl-NL" w:eastAsia="en-US" w:bidi="ar-SA"/>
              </w:rPr>
            </w:pPr>
          </w:p>
        </w:tc>
        <w:tc>
          <w:tcPr>
            <w:tcW w:w="850" w:type="dxa"/>
            <w:tcBorders>
              <w:top w:val="nil"/>
              <w:left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 xml:space="preserve">X </w:t>
            </w:r>
            <w:proofErr w:type="spellStart"/>
            <w:r w:rsidRPr="000E247D">
              <w:rPr>
                <w:rFonts w:ascii="Arial" w:hAnsi="Arial" w:cs="Arial"/>
                <w:color w:val="000000"/>
                <w:sz w:val="18"/>
                <w:szCs w:val="18"/>
                <w:lang w:val="nl-NL" w:eastAsia="en-US" w:bidi="ar-SA"/>
              </w:rPr>
              <w:t>Small</w:t>
            </w:r>
            <w:proofErr w:type="spellEnd"/>
          </w:p>
        </w:tc>
        <w:tc>
          <w:tcPr>
            <w:tcW w:w="846" w:type="dxa"/>
            <w:tcBorders>
              <w:top w:val="nil"/>
              <w:left w:val="single" w:sz="16" w:space="0" w:color="000000"/>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0"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2</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nil"/>
              <w:bottom w:val="nil"/>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0</w:t>
            </w:r>
          </w:p>
        </w:tc>
        <w:tc>
          <w:tcPr>
            <w:tcW w:w="1011" w:type="dxa"/>
            <w:tcBorders>
              <w:top w:val="nil"/>
              <w:bottom w:val="nil"/>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5</w:t>
            </w:r>
          </w:p>
        </w:tc>
      </w:tr>
      <w:tr w:rsidR="000E247D" w:rsidRPr="000E247D" w:rsidTr="000E247D">
        <w:trPr>
          <w:cantSplit/>
        </w:trPr>
        <w:tc>
          <w:tcPr>
            <w:tcW w:w="1843" w:type="dxa"/>
            <w:gridSpan w:val="2"/>
            <w:tcBorders>
              <w:top w:val="nil"/>
              <w:left w:val="single" w:sz="16" w:space="0" w:color="000000"/>
              <w:bottom w:val="single" w:sz="16" w:space="0" w:color="000000"/>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Total</w:t>
            </w:r>
          </w:p>
        </w:tc>
        <w:tc>
          <w:tcPr>
            <w:tcW w:w="846" w:type="dxa"/>
            <w:tcBorders>
              <w:top w:val="nil"/>
              <w:left w:val="single" w:sz="16" w:space="0" w:color="000000"/>
              <w:bottom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0" w:type="dxa"/>
            <w:tcBorders>
              <w:top w:val="nil"/>
              <w:bottom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4</w:t>
            </w:r>
          </w:p>
        </w:tc>
        <w:tc>
          <w:tcPr>
            <w:tcW w:w="1011" w:type="dxa"/>
            <w:tcBorders>
              <w:top w:val="nil"/>
              <w:bottom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3</w:t>
            </w:r>
          </w:p>
        </w:tc>
        <w:tc>
          <w:tcPr>
            <w:tcW w:w="1011" w:type="dxa"/>
            <w:tcBorders>
              <w:top w:val="nil"/>
              <w:bottom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9</w:t>
            </w:r>
          </w:p>
        </w:tc>
        <w:tc>
          <w:tcPr>
            <w:tcW w:w="1011" w:type="dxa"/>
            <w:tcBorders>
              <w:top w:val="nil"/>
              <w:bottom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7</w:t>
            </w:r>
          </w:p>
        </w:tc>
        <w:tc>
          <w:tcPr>
            <w:tcW w:w="1011" w:type="dxa"/>
            <w:tcBorders>
              <w:top w:val="nil"/>
              <w:bottom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1</w:t>
            </w:r>
          </w:p>
        </w:tc>
        <w:tc>
          <w:tcPr>
            <w:tcW w:w="1011" w:type="dxa"/>
            <w:tcBorders>
              <w:top w:val="nil"/>
              <w:bottom w:val="single" w:sz="16" w:space="0" w:color="000000"/>
              <w:right w:val="single" w:sz="16" w:space="0" w:color="000000"/>
            </w:tcBorders>
            <w:shd w:val="clear" w:color="auto" w:fill="FFFFFF"/>
          </w:tcPr>
          <w:p w:rsidR="000E247D" w:rsidRPr="000E247D" w:rsidRDefault="000E247D"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E247D">
              <w:rPr>
                <w:rFonts w:ascii="Arial" w:hAnsi="Arial" w:cs="Arial"/>
                <w:color w:val="000000"/>
                <w:sz w:val="18"/>
                <w:szCs w:val="18"/>
                <w:lang w:val="nl-NL" w:eastAsia="en-US" w:bidi="ar-SA"/>
              </w:rPr>
              <w:t>25</w:t>
            </w:r>
          </w:p>
        </w:tc>
      </w:tr>
    </w:tbl>
    <w:p w:rsidR="0055584C" w:rsidRPr="0055584C" w:rsidRDefault="000E247D" w:rsidP="00030D65">
      <w:pPr>
        <w:spacing w:line="320" w:lineRule="atLeast"/>
        <w:rPr>
          <w:lang w:val="en-US"/>
        </w:rPr>
      </w:pPr>
      <w:r>
        <w:rPr>
          <w:rFonts w:cs="Times New Roman"/>
          <w:sz w:val="20"/>
          <w:szCs w:val="20"/>
          <w:lang w:val="en-US" w:eastAsia="en-US" w:bidi="ar-SA"/>
        </w:rPr>
        <w:t>Table 1</w:t>
      </w:r>
      <w:r w:rsidR="00174C85">
        <w:rPr>
          <w:rFonts w:cs="Times New Roman"/>
          <w:sz w:val="20"/>
          <w:szCs w:val="20"/>
          <w:lang w:val="en-US" w:eastAsia="en-US" w:bidi="ar-SA"/>
        </w:rPr>
        <w:t>8</w:t>
      </w:r>
      <w:r>
        <w:rPr>
          <w:rFonts w:cs="Times New Roman"/>
          <w:sz w:val="20"/>
          <w:szCs w:val="20"/>
          <w:lang w:val="en-US" w:eastAsia="en-US" w:bidi="ar-SA"/>
        </w:rPr>
        <w:t xml:space="preserve"> and 1</w:t>
      </w:r>
      <w:r w:rsidR="00174C85">
        <w:rPr>
          <w:rFonts w:cs="Times New Roman"/>
          <w:sz w:val="20"/>
          <w:szCs w:val="20"/>
          <w:lang w:val="en-US" w:eastAsia="en-US" w:bidi="ar-SA"/>
        </w:rPr>
        <w:t>9</w:t>
      </w:r>
      <w:r>
        <w:rPr>
          <w:rFonts w:cs="Times New Roman"/>
          <w:sz w:val="20"/>
          <w:szCs w:val="20"/>
          <w:lang w:val="en-US" w:eastAsia="en-US" w:bidi="ar-SA"/>
        </w:rPr>
        <w:t>: Crosstab</w:t>
      </w:r>
      <w:r w:rsidR="00205238">
        <w:rPr>
          <w:rFonts w:cs="Times New Roman"/>
          <w:sz w:val="20"/>
          <w:szCs w:val="20"/>
          <w:lang w:val="en-US" w:eastAsia="en-US" w:bidi="ar-SA"/>
        </w:rPr>
        <w:t>s</w:t>
      </w:r>
      <w:r>
        <w:rPr>
          <w:rFonts w:cs="Times New Roman"/>
          <w:sz w:val="20"/>
          <w:szCs w:val="20"/>
          <w:lang w:val="en-US" w:eastAsia="en-US" w:bidi="ar-SA"/>
        </w:rPr>
        <w:t xml:space="preserve"> pension fund size and real estate </w:t>
      </w:r>
      <w:r w:rsidR="00E427C3">
        <w:rPr>
          <w:rFonts w:cs="Times New Roman"/>
          <w:sz w:val="20"/>
          <w:szCs w:val="20"/>
          <w:lang w:val="en-US" w:eastAsia="en-US" w:bidi="ar-SA"/>
        </w:rPr>
        <w:t xml:space="preserve">investment </w:t>
      </w:r>
      <w:r>
        <w:rPr>
          <w:rFonts w:cs="Times New Roman"/>
          <w:sz w:val="20"/>
          <w:szCs w:val="20"/>
          <w:lang w:val="en-US" w:eastAsia="en-US" w:bidi="ar-SA"/>
        </w:rPr>
        <w:t xml:space="preserve">2006 respectively 2011 as a percentage of AUM 2006 respectively </w:t>
      </w:r>
      <w:r w:rsidR="00B926E1">
        <w:rPr>
          <w:rFonts w:cs="Times New Roman"/>
          <w:sz w:val="20"/>
          <w:szCs w:val="20"/>
          <w:lang w:val="en-US" w:eastAsia="en-US" w:bidi="ar-SA"/>
        </w:rPr>
        <w:t xml:space="preserve">AUM </w:t>
      </w:r>
      <w:r>
        <w:rPr>
          <w:rFonts w:cs="Times New Roman"/>
          <w:sz w:val="20"/>
          <w:szCs w:val="20"/>
          <w:lang w:val="en-US" w:eastAsia="en-US" w:bidi="ar-SA"/>
        </w:rPr>
        <w:t>2011</w:t>
      </w:r>
    </w:p>
    <w:p w:rsidR="00205238" w:rsidRDefault="00205238" w:rsidP="004262D4">
      <w:pPr>
        <w:spacing w:line="360" w:lineRule="auto"/>
        <w:rPr>
          <w:lang w:val="en-US"/>
        </w:rPr>
      </w:pPr>
    </w:p>
    <w:p w:rsidR="0072461C" w:rsidRDefault="00205238" w:rsidP="005F5E1F">
      <w:pPr>
        <w:spacing w:line="360" w:lineRule="auto"/>
        <w:jc w:val="both"/>
        <w:rPr>
          <w:lang w:val="en-US"/>
        </w:rPr>
      </w:pPr>
      <w:r>
        <w:rPr>
          <w:lang w:val="en-US"/>
        </w:rPr>
        <w:t xml:space="preserve">Four Dutch pension funds </w:t>
      </w:r>
      <w:r w:rsidR="00B239EA">
        <w:rPr>
          <w:lang w:val="en-US"/>
        </w:rPr>
        <w:t>with</w:t>
      </w:r>
      <w:r>
        <w:rPr>
          <w:lang w:val="en-US"/>
        </w:rPr>
        <w:t xml:space="preserve"> a position </w:t>
      </w:r>
      <w:r w:rsidR="006F53DE">
        <w:rPr>
          <w:lang w:val="en-US"/>
        </w:rPr>
        <w:t xml:space="preserve">in real estate </w:t>
      </w:r>
      <w:r>
        <w:rPr>
          <w:lang w:val="en-US"/>
        </w:rPr>
        <w:t>of less than 2% of the AUM both in 2006 and 2011 will be excluded from further research in this paragraph</w:t>
      </w:r>
      <w:r w:rsidR="0072461C">
        <w:rPr>
          <w:lang w:val="en-US"/>
        </w:rPr>
        <w:t xml:space="preserve"> due to above mentioned reason.</w:t>
      </w:r>
    </w:p>
    <w:p w:rsidR="0055584C" w:rsidRPr="00205238" w:rsidRDefault="00205238" w:rsidP="005F5E1F">
      <w:pPr>
        <w:spacing w:line="360" w:lineRule="auto"/>
        <w:jc w:val="both"/>
        <w:rPr>
          <w:lang w:val="en-US"/>
        </w:rPr>
      </w:pPr>
      <w:r>
        <w:rPr>
          <w:lang w:val="en-US"/>
        </w:rPr>
        <w:t>Having a closer look at the table</w:t>
      </w:r>
      <w:r w:rsidR="006F0D7A">
        <w:rPr>
          <w:lang w:val="en-US"/>
        </w:rPr>
        <w:t>s</w:t>
      </w:r>
      <w:r>
        <w:rPr>
          <w:lang w:val="en-US"/>
        </w:rPr>
        <w:t xml:space="preserve">, the position smaller than 2% </w:t>
      </w:r>
      <w:r w:rsidR="0072461C">
        <w:rPr>
          <w:lang w:val="en-US"/>
        </w:rPr>
        <w:t xml:space="preserve">of the AUM </w:t>
      </w:r>
      <w:r>
        <w:rPr>
          <w:lang w:val="en-US"/>
        </w:rPr>
        <w:t xml:space="preserve">of one of the large Dutch pension funds </w:t>
      </w:r>
      <w:r w:rsidR="0072461C">
        <w:rPr>
          <w:lang w:val="en-US"/>
        </w:rPr>
        <w:t xml:space="preserve">in 2011 </w:t>
      </w:r>
      <w:r>
        <w:rPr>
          <w:lang w:val="en-US"/>
        </w:rPr>
        <w:t xml:space="preserve">is remarkable. </w:t>
      </w:r>
      <w:r w:rsidR="006F0D7A">
        <w:rPr>
          <w:lang w:val="en-US"/>
        </w:rPr>
        <w:t>Other large</w:t>
      </w:r>
      <w:r w:rsidR="0072461C">
        <w:rPr>
          <w:lang w:val="en-US"/>
        </w:rPr>
        <w:t>r</w:t>
      </w:r>
      <w:r w:rsidR="006F0D7A">
        <w:rPr>
          <w:lang w:val="en-US"/>
        </w:rPr>
        <w:t xml:space="preserve"> Dutch pension</w:t>
      </w:r>
      <w:r w:rsidR="0072461C">
        <w:rPr>
          <w:lang w:val="en-US"/>
        </w:rPr>
        <w:t xml:space="preserve"> funds all have positions bigger</w:t>
      </w:r>
      <w:r w:rsidR="006F0D7A">
        <w:rPr>
          <w:lang w:val="en-US"/>
        </w:rPr>
        <w:t xml:space="preserve"> than 5% </w:t>
      </w:r>
      <w:r w:rsidR="0072461C">
        <w:rPr>
          <w:lang w:val="en-US"/>
        </w:rPr>
        <w:t xml:space="preserve">of the AUM </w:t>
      </w:r>
      <w:r w:rsidR="006F0D7A">
        <w:rPr>
          <w:lang w:val="en-US"/>
        </w:rPr>
        <w:t xml:space="preserve">in 2006 as well as 2011. However, this exception seems explainable, as this pension fund is </w:t>
      </w:r>
      <w:proofErr w:type="spellStart"/>
      <w:r w:rsidR="006F0D7A">
        <w:rPr>
          <w:lang w:val="en-US"/>
        </w:rPr>
        <w:t>Stichting</w:t>
      </w:r>
      <w:proofErr w:type="spellEnd"/>
      <w:r w:rsidR="006F0D7A">
        <w:rPr>
          <w:lang w:val="en-US"/>
        </w:rPr>
        <w:t xml:space="preserve"> Philips </w:t>
      </w:r>
      <w:proofErr w:type="spellStart"/>
      <w:r w:rsidR="006F0D7A">
        <w:rPr>
          <w:lang w:val="en-US"/>
        </w:rPr>
        <w:t>Pensioenfonds</w:t>
      </w:r>
      <w:proofErr w:type="spellEnd"/>
      <w:r w:rsidR="006F0D7A">
        <w:rPr>
          <w:lang w:val="en-US"/>
        </w:rPr>
        <w:t xml:space="preserve">, which encountered serious issues regarding the real estate portfolio in 2011 </w:t>
      </w:r>
      <w:r w:rsidR="006F0D7A" w:rsidRPr="00D07C47">
        <w:rPr>
          <w:lang w:val="en-US"/>
        </w:rPr>
        <w:t>(</w:t>
      </w:r>
      <w:r w:rsidR="00D07C47">
        <w:rPr>
          <w:lang w:val="en-US"/>
        </w:rPr>
        <w:t xml:space="preserve">Financial statements </w:t>
      </w:r>
      <w:proofErr w:type="spellStart"/>
      <w:r w:rsidR="00D07C47">
        <w:rPr>
          <w:lang w:val="en-US"/>
        </w:rPr>
        <w:t>Stichting</w:t>
      </w:r>
      <w:proofErr w:type="spellEnd"/>
      <w:r w:rsidR="00D07C47">
        <w:rPr>
          <w:lang w:val="en-US"/>
        </w:rPr>
        <w:t xml:space="preserve"> Philips </w:t>
      </w:r>
      <w:proofErr w:type="spellStart"/>
      <w:r w:rsidR="00D07C47">
        <w:rPr>
          <w:lang w:val="en-US"/>
        </w:rPr>
        <w:t>Pensioenfonds</w:t>
      </w:r>
      <w:proofErr w:type="spellEnd"/>
      <w:r w:rsidR="00D07C47">
        <w:rPr>
          <w:lang w:val="en-US"/>
        </w:rPr>
        <w:t xml:space="preserve"> 2011</w:t>
      </w:r>
      <w:r w:rsidR="006F0D7A" w:rsidRPr="00D07C47">
        <w:rPr>
          <w:lang w:val="en-US"/>
        </w:rPr>
        <w:t>).</w:t>
      </w:r>
      <w:r w:rsidR="006F0D7A">
        <w:rPr>
          <w:lang w:val="en-US"/>
        </w:rPr>
        <w:t xml:space="preserve"> </w:t>
      </w:r>
    </w:p>
    <w:p w:rsidR="0055584C" w:rsidRDefault="0055584C" w:rsidP="004262D4">
      <w:pPr>
        <w:spacing w:line="360" w:lineRule="auto"/>
        <w:rPr>
          <w:b/>
          <w:i/>
          <w:lang w:val="en-US"/>
        </w:rPr>
      </w:pPr>
    </w:p>
    <w:p w:rsidR="00732D6D" w:rsidRPr="0024518C" w:rsidRDefault="005B2075" w:rsidP="004262D4">
      <w:pPr>
        <w:spacing w:line="360" w:lineRule="auto"/>
        <w:rPr>
          <w:b/>
          <w:i/>
          <w:lang w:val="en-US"/>
        </w:rPr>
      </w:pPr>
      <w:r>
        <w:rPr>
          <w:b/>
          <w:i/>
          <w:lang w:val="en-US"/>
        </w:rPr>
        <w:t>Quality of real estate investment risk disclosures compared between</w:t>
      </w:r>
      <w:r w:rsidR="004C75CA">
        <w:rPr>
          <w:b/>
          <w:i/>
          <w:lang w:val="en-US"/>
        </w:rPr>
        <w:t xml:space="preserve"> 2006 and 2011</w:t>
      </w:r>
    </w:p>
    <w:tbl>
      <w:tblPr>
        <w:tblW w:w="666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567"/>
        <w:gridCol w:w="851"/>
        <w:gridCol w:w="850"/>
        <w:gridCol w:w="851"/>
        <w:gridCol w:w="850"/>
        <w:gridCol w:w="851"/>
      </w:tblGrid>
      <w:tr w:rsidR="005E3773" w:rsidRPr="007A2E7E" w:rsidTr="00030D65">
        <w:trPr>
          <w:cantSplit/>
          <w:tblHeader/>
        </w:trPr>
        <w:tc>
          <w:tcPr>
            <w:tcW w:w="1843" w:type="dxa"/>
            <w:vMerge w:val="restart"/>
            <w:tcBorders>
              <w:top w:val="single" w:sz="16" w:space="0" w:color="000000"/>
              <w:left w:val="single" w:sz="16" w:space="0" w:color="000000"/>
              <w:right w:val="single" w:sz="12" w:space="0" w:color="000000"/>
            </w:tcBorders>
            <w:shd w:val="clear" w:color="auto" w:fill="FFFFFF"/>
            <w:vAlign w:val="center"/>
          </w:tcPr>
          <w:p w:rsidR="005E3773" w:rsidRPr="005E3773" w:rsidRDefault="00B83F19" w:rsidP="008C49DE">
            <w:pPr>
              <w:autoSpaceDE w:val="0"/>
              <w:autoSpaceDN w:val="0"/>
              <w:adjustRightInd w:val="0"/>
              <w:spacing w:line="276" w:lineRule="auto"/>
              <w:rPr>
                <w:rFonts w:ascii="Arial" w:hAnsi="Arial" w:cs="Arial"/>
                <w:color w:val="000000"/>
                <w:sz w:val="18"/>
                <w:szCs w:val="18"/>
                <w:lang w:val="en-US" w:eastAsia="en-US" w:bidi="ar-SA"/>
              </w:rPr>
            </w:pPr>
            <w:r>
              <w:rPr>
                <w:rFonts w:ascii="Arial" w:hAnsi="Arial" w:cs="Arial"/>
                <w:color w:val="000000"/>
                <w:sz w:val="18"/>
                <w:szCs w:val="18"/>
                <w:lang w:val="en-US" w:eastAsia="en-US" w:bidi="ar-SA"/>
              </w:rPr>
              <w:t xml:space="preserve">Disclosed in                </w:t>
            </w:r>
            <w:proofErr w:type="spellStart"/>
            <w:r w:rsidRPr="00B83F19">
              <w:rPr>
                <w:rFonts w:ascii="Arial" w:hAnsi="Arial" w:cs="Arial"/>
                <w:color w:val="000000"/>
                <w:sz w:val="18"/>
                <w:szCs w:val="18"/>
                <w:lang w:val="nl-NL" w:eastAsia="en-US" w:bidi="ar-SA"/>
              </w:rPr>
              <w:t>financia</w:t>
            </w:r>
            <w:proofErr w:type="spellEnd"/>
            <w:r>
              <w:rPr>
                <w:rFonts w:ascii="Arial" w:hAnsi="Arial" w:cs="Arial"/>
                <w:color w:val="000000"/>
                <w:sz w:val="18"/>
                <w:szCs w:val="18"/>
                <w:lang w:val="en-US" w:eastAsia="en-US" w:bidi="ar-SA"/>
              </w:rPr>
              <w:t>l   statements?</w:t>
            </w:r>
          </w:p>
        </w:tc>
        <w:tc>
          <w:tcPr>
            <w:tcW w:w="141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5E3773" w:rsidRPr="00E41F5D" w:rsidRDefault="005E3773"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Region allocation</w:t>
            </w:r>
          </w:p>
        </w:tc>
        <w:tc>
          <w:tcPr>
            <w:tcW w:w="170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5E3773" w:rsidRPr="00E41F5D" w:rsidRDefault="005E3773"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Sector allocation</w:t>
            </w:r>
          </w:p>
        </w:tc>
        <w:tc>
          <w:tcPr>
            <w:tcW w:w="170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5E3773" w:rsidRPr="00E41F5D" w:rsidRDefault="00866B27"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Position allocation</w:t>
            </w:r>
          </w:p>
        </w:tc>
      </w:tr>
      <w:tr w:rsidR="005E3773" w:rsidRPr="007A2E7E" w:rsidTr="00030D65">
        <w:trPr>
          <w:cantSplit/>
          <w:tblHeader/>
        </w:trPr>
        <w:tc>
          <w:tcPr>
            <w:tcW w:w="1843" w:type="dxa"/>
            <w:vMerge/>
            <w:tcBorders>
              <w:top w:val="single" w:sz="12" w:space="0" w:color="000000"/>
              <w:left w:val="single" w:sz="16" w:space="0" w:color="000000"/>
              <w:bottom w:val="nil"/>
              <w:right w:val="single" w:sz="12" w:space="0" w:color="000000"/>
            </w:tcBorders>
            <w:shd w:val="clear" w:color="auto" w:fill="FFFFFF"/>
          </w:tcPr>
          <w:p w:rsidR="005E3773" w:rsidRPr="007A2E7E" w:rsidRDefault="005E3773" w:rsidP="008C49DE">
            <w:pPr>
              <w:autoSpaceDE w:val="0"/>
              <w:autoSpaceDN w:val="0"/>
              <w:adjustRightInd w:val="0"/>
              <w:spacing w:line="276" w:lineRule="auto"/>
              <w:ind w:left="60" w:right="60"/>
              <w:rPr>
                <w:rFonts w:ascii="Arial" w:hAnsi="Arial" w:cs="Arial"/>
                <w:color w:val="000000"/>
                <w:sz w:val="18"/>
                <w:szCs w:val="18"/>
                <w:lang w:val="nl-NL" w:eastAsia="en-US" w:bidi="ar-SA"/>
              </w:rPr>
            </w:pPr>
          </w:p>
        </w:tc>
        <w:tc>
          <w:tcPr>
            <w:tcW w:w="567" w:type="dxa"/>
            <w:tcBorders>
              <w:top w:val="single" w:sz="12" w:space="0" w:color="000000"/>
              <w:left w:val="single" w:sz="12" w:space="0" w:color="000000"/>
              <w:bottom w:val="single" w:sz="12" w:space="0" w:color="000000"/>
              <w:right w:val="single" w:sz="12" w:space="0" w:color="000000"/>
            </w:tcBorders>
            <w:shd w:val="clear" w:color="auto" w:fill="FFFFFF"/>
          </w:tcPr>
          <w:p w:rsidR="005E3773" w:rsidRPr="00E41F5D" w:rsidRDefault="005E3773"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2006</w:t>
            </w:r>
          </w:p>
        </w:tc>
        <w:tc>
          <w:tcPr>
            <w:tcW w:w="851" w:type="dxa"/>
            <w:tcBorders>
              <w:top w:val="single" w:sz="12" w:space="0" w:color="000000"/>
              <w:left w:val="single" w:sz="12" w:space="0" w:color="000000"/>
              <w:bottom w:val="single" w:sz="12" w:space="0" w:color="000000"/>
              <w:right w:val="single" w:sz="12" w:space="0" w:color="000000"/>
            </w:tcBorders>
            <w:shd w:val="clear" w:color="auto" w:fill="FFFFFF"/>
          </w:tcPr>
          <w:p w:rsidR="005E3773" w:rsidRPr="00E41F5D" w:rsidRDefault="005E3773"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2011</w:t>
            </w:r>
          </w:p>
        </w:tc>
        <w:tc>
          <w:tcPr>
            <w:tcW w:w="850" w:type="dxa"/>
            <w:tcBorders>
              <w:top w:val="single" w:sz="12" w:space="0" w:color="000000"/>
              <w:left w:val="single" w:sz="12" w:space="0" w:color="000000"/>
              <w:bottom w:val="single" w:sz="12" w:space="0" w:color="000000"/>
              <w:right w:val="single" w:sz="12" w:space="0" w:color="000000"/>
            </w:tcBorders>
            <w:shd w:val="clear" w:color="auto" w:fill="FFFFFF"/>
          </w:tcPr>
          <w:p w:rsidR="005E3773" w:rsidRPr="00E41F5D" w:rsidRDefault="005E3773"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2006</w:t>
            </w:r>
          </w:p>
        </w:tc>
        <w:tc>
          <w:tcPr>
            <w:tcW w:w="851" w:type="dxa"/>
            <w:tcBorders>
              <w:top w:val="single" w:sz="12" w:space="0" w:color="000000"/>
              <w:left w:val="single" w:sz="12" w:space="0" w:color="000000"/>
              <w:bottom w:val="single" w:sz="12" w:space="0" w:color="000000"/>
              <w:right w:val="single" w:sz="12" w:space="0" w:color="000000"/>
            </w:tcBorders>
            <w:shd w:val="clear" w:color="auto" w:fill="FFFFFF"/>
          </w:tcPr>
          <w:p w:rsidR="005E3773" w:rsidRPr="00E41F5D" w:rsidRDefault="005E3773"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2011</w:t>
            </w:r>
          </w:p>
        </w:tc>
        <w:tc>
          <w:tcPr>
            <w:tcW w:w="850" w:type="dxa"/>
            <w:tcBorders>
              <w:top w:val="single" w:sz="12" w:space="0" w:color="000000"/>
              <w:left w:val="single" w:sz="12" w:space="0" w:color="000000"/>
              <w:bottom w:val="single" w:sz="12" w:space="0" w:color="000000"/>
              <w:right w:val="single" w:sz="12" w:space="0" w:color="000000"/>
            </w:tcBorders>
            <w:shd w:val="clear" w:color="auto" w:fill="FFFFFF"/>
          </w:tcPr>
          <w:p w:rsidR="005E3773" w:rsidRPr="00E41F5D" w:rsidRDefault="005E3773"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2006</w:t>
            </w:r>
          </w:p>
        </w:tc>
        <w:tc>
          <w:tcPr>
            <w:tcW w:w="851" w:type="dxa"/>
            <w:tcBorders>
              <w:top w:val="single" w:sz="12" w:space="0" w:color="000000"/>
              <w:left w:val="single" w:sz="12" w:space="0" w:color="000000"/>
              <w:bottom w:val="single" w:sz="12" w:space="0" w:color="000000"/>
              <w:right w:val="single" w:sz="12" w:space="0" w:color="000000"/>
            </w:tcBorders>
            <w:shd w:val="clear" w:color="auto" w:fill="FFFFFF"/>
          </w:tcPr>
          <w:p w:rsidR="005E3773" w:rsidRPr="00E41F5D" w:rsidRDefault="005E3773" w:rsidP="008C49DE">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2011</w:t>
            </w:r>
          </w:p>
        </w:tc>
      </w:tr>
      <w:tr w:rsidR="005E3773" w:rsidRPr="007A2E7E" w:rsidTr="00030D65">
        <w:trPr>
          <w:cantSplit/>
          <w:tblHeader/>
        </w:trPr>
        <w:tc>
          <w:tcPr>
            <w:tcW w:w="1843" w:type="dxa"/>
            <w:tcBorders>
              <w:top w:val="single" w:sz="16" w:space="0" w:color="000000"/>
              <w:left w:val="single" w:sz="16" w:space="0" w:color="000000"/>
              <w:bottom w:val="nil"/>
              <w:right w:val="single" w:sz="16" w:space="0" w:color="000000"/>
            </w:tcBorders>
            <w:shd w:val="clear" w:color="auto" w:fill="FFFFFF"/>
          </w:tcPr>
          <w:p w:rsidR="005E3773" w:rsidRPr="007A2E7E" w:rsidRDefault="005E3773" w:rsidP="008C49DE">
            <w:pPr>
              <w:autoSpaceDE w:val="0"/>
              <w:autoSpaceDN w:val="0"/>
              <w:adjustRightInd w:val="0"/>
              <w:spacing w:line="276"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Disclosed</w:t>
            </w:r>
            <w:proofErr w:type="spellEnd"/>
          </w:p>
        </w:tc>
        <w:tc>
          <w:tcPr>
            <w:tcW w:w="567" w:type="dxa"/>
            <w:tcBorders>
              <w:top w:val="single" w:sz="12" w:space="0" w:color="000000"/>
              <w:left w:val="single" w:sz="16" w:space="0" w:color="000000"/>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9</w:t>
            </w:r>
          </w:p>
        </w:tc>
        <w:tc>
          <w:tcPr>
            <w:tcW w:w="851" w:type="dxa"/>
            <w:tcBorders>
              <w:top w:val="single" w:sz="12" w:space="0" w:color="000000"/>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17</w:t>
            </w:r>
          </w:p>
        </w:tc>
        <w:tc>
          <w:tcPr>
            <w:tcW w:w="850" w:type="dxa"/>
            <w:tcBorders>
              <w:top w:val="single" w:sz="12" w:space="0" w:color="000000"/>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11</w:t>
            </w:r>
          </w:p>
        </w:tc>
        <w:tc>
          <w:tcPr>
            <w:tcW w:w="851" w:type="dxa"/>
            <w:tcBorders>
              <w:top w:val="single" w:sz="12" w:space="0" w:color="000000"/>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14</w:t>
            </w:r>
          </w:p>
        </w:tc>
        <w:tc>
          <w:tcPr>
            <w:tcW w:w="850" w:type="dxa"/>
            <w:tcBorders>
              <w:top w:val="single" w:sz="12" w:space="0" w:color="000000"/>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4</w:t>
            </w:r>
          </w:p>
        </w:tc>
        <w:tc>
          <w:tcPr>
            <w:tcW w:w="851" w:type="dxa"/>
            <w:tcBorders>
              <w:top w:val="single" w:sz="12" w:space="0" w:color="000000"/>
              <w:bottom w:val="nil"/>
              <w:right w:val="single" w:sz="12" w:space="0" w:color="000000"/>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5</w:t>
            </w:r>
          </w:p>
        </w:tc>
      </w:tr>
      <w:tr w:rsidR="005E3773" w:rsidRPr="007A2E7E" w:rsidTr="00030D65">
        <w:trPr>
          <w:cantSplit/>
          <w:tblHeader/>
        </w:trPr>
        <w:tc>
          <w:tcPr>
            <w:tcW w:w="1843" w:type="dxa"/>
            <w:tcBorders>
              <w:top w:val="nil"/>
              <w:left w:val="single" w:sz="16" w:space="0" w:color="000000"/>
              <w:bottom w:val="nil"/>
              <w:right w:val="single" w:sz="16" w:space="0" w:color="000000"/>
            </w:tcBorders>
            <w:shd w:val="clear" w:color="auto" w:fill="FFFFFF"/>
          </w:tcPr>
          <w:p w:rsidR="005E3773" w:rsidRPr="007A2E7E" w:rsidRDefault="005E3773" w:rsidP="008C49DE">
            <w:pPr>
              <w:autoSpaceDE w:val="0"/>
              <w:autoSpaceDN w:val="0"/>
              <w:adjustRightInd w:val="0"/>
              <w:spacing w:line="276" w:lineRule="auto"/>
              <w:ind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Not</w:t>
            </w:r>
            <w:proofErr w:type="spellEnd"/>
            <w:r w:rsidRPr="007A2E7E">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disclosed</w:t>
            </w:r>
            <w:proofErr w:type="spellEnd"/>
          </w:p>
        </w:tc>
        <w:tc>
          <w:tcPr>
            <w:tcW w:w="567" w:type="dxa"/>
            <w:tcBorders>
              <w:top w:val="nil"/>
              <w:left w:val="single" w:sz="16" w:space="0" w:color="000000"/>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12</w:t>
            </w:r>
          </w:p>
        </w:tc>
        <w:tc>
          <w:tcPr>
            <w:tcW w:w="851" w:type="dxa"/>
            <w:tcBorders>
              <w:top w:val="nil"/>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4</w:t>
            </w:r>
          </w:p>
        </w:tc>
        <w:tc>
          <w:tcPr>
            <w:tcW w:w="850" w:type="dxa"/>
            <w:tcBorders>
              <w:top w:val="nil"/>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10</w:t>
            </w:r>
          </w:p>
        </w:tc>
        <w:tc>
          <w:tcPr>
            <w:tcW w:w="851" w:type="dxa"/>
            <w:tcBorders>
              <w:top w:val="nil"/>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7</w:t>
            </w:r>
          </w:p>
        </w:tc>
        <w:tc>
          <w:tcPr>
            <w:tcW w:w="850" w:type="dxa"/>
            <w:tcBorders>
              <w:top w:val="nil"/>
              <w:bottom w:val="nil"/>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17</w:t>
            </w:r>
          </w:p>
        </w:tc>
        <w:tc>
          <w:tcPr>
            <w:tcW w:w="851" w:type="dxa"/>
            <w:tcBorders>
              <w:top w:val="nil"/>
              <w:bottom w:val="nil"/>
              <w:right w:val="single" w:sz="12" w:space="0" w:color="000000"/>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16</w:t>
            </w:r>
          </w:p>
        </w:tc>
      </w:tr>
      <w:tr w:rsidR="005E3773" w:rsidRPr="007A2E7E" w:rsidTr="00030D65">
        <w:trPr>
          <w:cantSplit/>
          <w:trHeight w:val="95"/>
          <w:tblHeader/>
        </w:trPr>
        <w:tc>
          <w:tcPr>
            <w:tcW w:w="1843" w:type="dxa"/>
            <w:tcBorders>
              <w:top w:val="nil"/>
              <w:left w:val="single" w:sz="16" w:space="0" w:color="000000"/>
              <w:bottom w:val="single" w:sz="16" w:space="0" w:color="000000"/>
              <w:right w:val="single" w:sz="16" w:space="0" w:color="000000"/>
            </w:tcBorders>
            <w:shd w:val="clear" w:color="auto" w:fill="FFFFFF"/>
          </w:tcPr>
          <w:p w:rsidR="005E3773" w:rsidRPr="007A2E7E" w:rsidRDefault="005E3773" w:rsidP="008C49DE">
            <w:pPr>
              <w:autoSpaceDE w:val="0"/>
              <w:autoSpaceDN w:val="0"/>
              <w:adjustRightInd w:val="0"/>
              <w:spacing w:line="276"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Total</w:t>
            </w:r>
          </w:p>
        </w:tc>
        <w:tc>
          <w:tcPr>
            <w:tcW w:w="567" w:type="dxa"/>
            <w:tcBorders>
              <w:top w:val="nil"/>
              <w:left w:val="single" w:sz="16" w:space="0" w:color="000000"/>
              <w:bottom w:val="single" w:sz="16" w:space="0" w:color="000000"/>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21</w:t>
            </w:r>
          </w:p>
        </w:tc>
        <w:tc>
          <w:tcPr>
            <w:tcW w:w="851" w:type="dxa"/>
            <w:tcBorders>
              <w:top w:val="nil"/>
              <w:bottom w:val="single" w:sz="16" w:space="0" w:color="000000"/>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21</w:t>
            </w:r>
          </w:p>
        </w:tc>
        <w:tc>
          <w:tcPr>
            <w:tcW w:w="850" w:type="dxa"/>
            <w:tcBorders>
              <w:top w:val="nil"/>
              <w:bottom w:val="single" w:sz="16" w:space="0" w:color="000000"/>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21</w:t>
            </w:r>
          </w:p>
        </w:tc>
        <w:tc>
          <w:tcPr>
            <w:tcW w:w="851" w:type="dxa"/>
            <w:tcBorders>
              <w:top w:val="nil"/>
              <w:bottom w:val="single" w:sz="16" w:space="0" w:color="000000"/>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21</w:t>
            </w:r>
          </w:p>
        </w:tc>
        <w:tc>
          <w:tcPr>
            <w:tcW w:w="850" w:type="dxa"/>
            <w:tcBorders>
              <w:top w:val="nil"/>
              <w:bottom w:val="single" w:sz="16" w:space="0" w:color="000000"/>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21</w:t>
            </w:r>
          </w:p>
        </w:tc>
        <w:tc>
          <w:tcPr>
            <w:tcW w:w="851" w:type="dxa"/>
            <w:tcBorders>
              <w:top w:val="nil"/>
              <w:bottom w:val="single" w:sz="18" w:space="0" w:color="000000"/>
              <w:right w:val="single" w:sz="12" w:space="0" w:color="000000"/>
            </w:tcBorders>
            <w:shd w:val="clear" w:color="auto" w:fill="FFFFFF"/>
          </w:tcPr>
          <w:p w:rsidR="005E3773" w:rsidRPr="007A2E7E" w:rsidRDefault="005E3773"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21</w:t>
            </w:r>
          </w:p>
        </w:tc>
      </w:tr>
    </w:tbl>
    <w:p w:rsidR="00B83F19" w:rsidRPr="0055584C" w:rsidRDefault="00174C85" w:rsidP="00030D65">
      <w:pPr>
        <w:spacing w:line="320" w:lineRule="atLeast"/>
        <w:rPr>
          <w:lang w:val="en-US"/>
        </w:rPr>
      </w:pPr>
      <w:r>
        <w:rPr>
          <w:rFonts w:cs="Times New Roman"/>
          <w:sz w:val="20"/>
          <w:szCs w:val="20"/>
          <w:lang w:val="en-US" w:eastAsia="en-US" w:bidi="ar-SA"/>
        </w:rPr>
        <w:t>Table 20</w:t>
      </w:r>
      <w:r w:rsidR="005E3773">
        <w:rPr>
          <w:rFonts w:cs="Times New Roman"/>
          <w:sz w:val="20"/>
          <w:szCs w:val="20"/>
          <w:lang w:val="en-US" w:eastAsia="en-US" w:bidi="ar-SA"/>
        </w:rPr>
        <w:t xml:space="preserve">: </w:t>
      </w:r>
      <w:r w:rsidR="00B83F19">
        <w:rPr>
          <w:rFonts w:cs="Times New Roman"/>
          <w:sz w:val="20"/>
          <w:szCs w:val="20"/>
          <w:lang w:val="en-US" w:eastAsia="en-US" w:bidi="ar-SA"/>
        </w:rPr>
        <w:t>Presence of disclosures of region</w:t>
      </w:r>
      <w:r w:rsidR="00866B27">
        <w:rPr>
          <w:rFonts w:cs="Times New Roman"/>
          <w:sz w:val="20"/>
          <w:szCs w:val="20"/>
          <w:lang w:val="en-US" w:eastAsia="en-US" w:bidi="ar-SA"/>
        </w:rPr>
        <w:t xml:space="preserve">, </w:t>
      </w:r>
      <w:r w:rsidR="00B83F19">
        <w:rPr>
          <w:rFonts w:cs="Times New Roman"/>
          <w:sz w:val="20"/>
          <w:szCs w:val="20"/>
          <w:lang w:val="en-US" w:eastAsia="en-US" w:bidi="ar-SA"/>
        </w:rPr>
        <w:t xml:space="preserve">sector </w:t>
      </w:r>
      <w:r w:rsidR="00866B27">
        <w:rPr>
          <w:rFonts w:cs="Times New Roman"/>
          <w:sz w:val="20"/>
          <w:szCs w:val="20"/>
          <w:lang w:val="en-US" w:eastAsia="en-US" w:bidi="ar-SA"/>
        </w:rPr>
        <w:t xml:space="preserve">and position </w:t>
      </w:r>
      <w:r w:rsidR="00B83F19">
        <w:rPr>
          <w:rFonts w:cs="Times New Roman"/>
          <w:sz w:val="20"/>
          <w:szCs w:val="20"/>
          <w:lang w:val="en-US" w:eastAsia="en-US" w:bidi="ar-SA"/>
        </w:rPr>
        <w:t>allocations regarding real estate</w:t>
      </w:r>
    </w:p>
    <w:p w:rsidR="00B239EA" w:rsidRDefault="00B239EA" w:rsidP="005F5E1F">
      <w:pPr>
        <w:spacing w:line="360" w:lineRule="auto"/>
        <w:jc w:val="both"/>
        <w:rPr>
          <w:bCs/>
          <w:lang w:val="en-US"/>
        </w:rPr>
      </w:pPr>
    </w:p>
    <w:p w:rsidR="004C75CA" w:rsidRDefault="006F6A7D" w:rsidP="005F5E1F">
      <w:pPr>
        <w:spacing w:line="360" w:lineRule="auto"/>
        <w:jc w:val="both"/>
        <w:rPr>
          <w:bCs/>
          <w:lang w:val="en-US"/>
        </w:rPr>
      </w:pPr>
      <w:r>
        <w:rPr>
          <w:bCs/>
          <w:lang w:val="en-US"/>
        </w:rPr>
        <w:t>As the real estate positions in Europe and the United States are under pressure</w:t>
      </w:r>
      <w:r w:rsidR="00755DBF">
        <w:rPr>
          <w:bCs/>
          <w:lang w:val="en-US"/>
        </w:rPr>
        <w:t xml:space="preserve"> (e.g. </w:t>
      </w:r>
      <w:proofErr w:type="spellStart"/>
      <w:r w:rsidR="00755DBF">
        <w:rPr>
          <w:bCs/>
          <w:lang w:val="en-US"/>
        </w:rPr>
        <w:t>Dabrowski</w:t>
      </w:r>
      <w:proofErr w:type="spellEnd"/>
      <w:r w:rsidR="00755DBF">
        <w:rPr>
          <w:bCs/>
          <w:lang w:val="en-US"/>
        </w:rPr>
        <w:t>, 2010</w:t>
      </w:r>
      <w:r w:rsidR="0094717E">
        <w:rPr>
          <w:bCs/>
          <w:lang w:val="en-US"/>
        </w:rPr>
        <w:t>; Ball (2010</w:t>
      </w:r>
      <w:r w:rsidR="00755DBF">
        <w:rPr>
          <w:bCs/>
          <w:lang w:val="en-US"/>
        </w:rPr>
        <w:t>)</w:t>
      </w:r>
      <w:r w:rsidR="0094717E">
        <w:rPr>
          <w:bCs/>
          <w:lang w:val="en-US"/>
        </w:rPr>
        <w:t>)</w:t>
      </w:r>
      <w:r w:rsidR="00172CE9">
        <w:rPr>
          <w:bCs/>
          <w:lang w:val="en-US"/>
        </w:rPr>
        <w:t>,</w:t>
      </w:r>
      <w:r>
        <w:rPr>
          <w:bCs/>
          <w:lang w:val="en-US"/>
        </w:rPr>
        <w:t xml:space="preserve"> it is interesting to analyze if this has </w:t>
      </w:r>
      <w:r w:rsidRPr="0072461C">
        <w:rPr>
          <w:bCs/>
          <w:lang w:val="en-GB"/>
        </w:rPr>
        <w:t>lead</w:t>
      </w:r>
      <w:r>
        <w:rPr>
          <w:bCs/>
          <w:lang w:val="en-US"/>
        </w:rPr>
        <w:t xml:space="preserve"> to a</w:t>
      </w:r>
      <w:r w:rsidR="008D6ABB">
        <w:rPr>
          <w:bCs/>
          <w:lang w:val="en-US"/>
        </w:rPr>
        <w:t>n increase in disclosures of region allocations. These region allocations make the users of the financial statements clear in which regions, under which Europe and the United States, the investments regarding real estate have been invested.</w:t>
      </w:r>
      <w:r w:rsidR="00174C85">
        <w:rPr>
          <w:bCs/>
          <w:lang w:val="en-US"/>
        </w:rPr>
        <w:t xml:space="preserve"> Table 20</w:t>
      </w:r>
      <w:r w:rsidR="006238CD">
        <w:rPr>
          <w:bCs/>
          <w:lang w:val="en-US"/>
        </w:rPr>
        <w:t xml:space="preserve"> reveals that the number of pension funds that disclosed a region allocation in the financial statements has increased from 9 in 2006 to 17 in 2011. </w:t>
      </w:r>
    </w:p>
    <w:p w:rsidR="004C75CA" w:rsidRDefault="004C75CA" w:rsidP="005F5E1F">
      <w:pPr>
        <w:spacing w:line="360" w:lineRule="auto"/>
        <w:jc w:val="both"/>
        <w:rPr>
          <w:bCs/>
          <w:lang w:val="en-US"/>
        </w:rPr>
      </w:pPr>
    </w:p>
    <w:p w:rsidR="004C75CA" w:rsidRDefault="004C75CA" w:rsidP="005F5E1F">
      <w:pPr>
        <w:spacing w:line="360" w:lineRule="auto"/>
        <w:jc w:val="both"/>
        <w:rPr>
          <w:bCs/>
          <w:lang w:val="en-US"/>
        </w:rPr>
      </w:pPr>
      <w:r>
        <w:rPr>
          <w:bCs/>
          <w:lang w:val="en-US"/>
        </w:rPr>
        <w:t xml:space="preserve">Furthermore, with the financial crisis in mind, it is interesting for the users of the financial statements to have more insight in the part that has been invested in residential buildings and offices. The number of pension funds that disclose this overview has increased from 11 in 2006 to 14 in 2011. The disclosure of </w:t>
      </w:r>
      <w:r w:rsidR="006F53DE">
        <w:rPr>
          <w:bCs/>
          <w:lang w:val="en-US"/>
        </w:rPr>
        <w:t xml:space="preserve">a position </w:t>
      </w:r>
      <w:r w:rsidR="008263D9">
        <w:rPr>
          <w:bCs/>
          <w:lang w:val="en-US"/>
        </w:rPr>
        <w:t>allocation</w:t>
      </w:r>
      <w:r w:rsidR="006F53DE">
        <w:rPr>
          <w:bCs/>
          <w:lang w:val="en-US"/>
        </w:rPr>
        <w:t xml:space="preserve"> which presents</w:t>
      </w:r>
      <w:r>
        <w:rPr>
          <w:bCs/>
          <w:lang w:val="en-US"/>
        </w:rPr>
        <w:t xml:space="preserve"> relative large positions regarding real estate has weakly increased from 4 in 2006 to 5 in 2011.</w:t>
      </w:r>
    </w:p>
    <w:p w:rsidR="005B2075" w:rsidRDefault="005B2075" w:rsidP="005F5E1F">
      <w:pPr>
        <w:spacing w:line="360" w:lineRule="auto"/>
        <w:jc w:val="both"/>
        <w:rPr>
          <w:bCs/>
          <w:lang w:val="en-US"/>
        </w:rPr>
      </w:pPr>
    </w:p>
    <w:p w:rsidR="00DD1BFB" w:rsidRPr="00511B05" w:rsidRDefault="00F127DA" w:rsidP="005F5E1F">
      <w:pPr>
        <w:spacing w:line="360" w:lineRule="auto"/>
        <w:jc w:val="both"/>
        <w:rPr>
          <w:rFonts w:cs="Times New Roman"/>
          <w:lang w:val="en-US" w:eastAsia="en-US" w:bidi="ar-SA"/>
        </w:rPr>
      </w:pPr>
      <w:r>
        <w:rPr>
          <w:bCs/>
          <w:lang w:val="en-US"/>
        </w:rPr>
        <w:t>To test whether the frequency of t</w:t>
      </w:r>
      <w:r w:rsidR="005B2075">
        <w:rPr>
          <w:bCs/>
          <w:lang w:val="en-US"/>
        </w:rPr>
        <w:t>he disclosure of region</w:t>
      </w:r>
      <w:r w:rsidR="00B33D73">
        <w:rPr>
          <w:bCs/>
          <w:lang w:val="en-US"/>
        </w:rPr>
        <w:t xml:space="preserve">, </w:t>
      </w:r>
      <w:r>
        <w:rPr>
          <w:bCs/>
          <w:lang w:val="en-US"/>
        </w:rPr>
        <w:t>sector</w:t>
      </w:r>
      <w:r w:rsidR="00B33D73">
        <w:rPr>
          <w:bCs/>
          <w:lang w:val="en-US"/>
        </w:rPr>
        <w:t xml:space="preserve"> and position</w:t>
      </w:r>
      <w:r>
        <w:rPr>
          <w:bCs/>
          <w:lang w:val="en-US"/>
        </w:rPr>
        <w:t xml:space="preserve"> </w:t>
      </w:r>
      <w:r w:rsidR="005B2075">
        <w:rPr>
          <w:bCs/>
          <w:lang w:val="en-US"/>
        </w:rPr>
        <w:t xml:space="preserve">allocations </w:t>
      </w:r>
      <w:r>
        <w:rPr>
          <w:bCs/>
          <w:lang w:val="en-US"/>
        </w:rPr>
        <w:t>has increased</w:t>
      </w:r>
      <w:r w:rsidR="00142D0A">
        <w:rPr>
          <w:bCs/>
          <w:lang w:val="en-US"/>
        </w:rPr>
        <w:t xml:space="preserve"> </w:t>
      </w:r>
      <w:r w:rsidR="001C2E51">
        <w:rPr>
          <w:bCs/>
          <w:lang w:val="en-US"/>
        </w:rPr>
        <w:t xml:space="preserve">significantly </w:t>
      </w:r>
      <w:r w:rsidR="00142D0A">
        <w:rPr>
          <w:bCs/>
          <w:lang w:val="en-US"/>
        </w:rPr>
        <w:t>or not</w:t>
      </w:r>
      <w:r w:rsidR="005B2075">
        <w:rPr>
          <w:bCs/>
          <w:lang w:val="en-US"/>
        </w:rPr>
        <w:t xml:space="preserve"> between 2006 and 2011</w:t>
      </w:r>
      <w:r w:rsidR="00142D0A">
        <w:rPr>
          <w:bCs/>
          <w:lang w:val="en-US"/>
        </w:rPr>
        <w:t xml:space="preserve">, </w:t>
      </w:r>
      <w:r w:rsidR="001C2E51">
        <w:rPr>
          <w:bCs/>
          <w:lang w:val="en-US"/>
        </w:rPr>
        <w:t>first will be tested if the variables are distributed normally or not.</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261"/>
        <w:gridCol w:w="1134"/>
        <w:gridCol w:w="850"/>
        <w:gridCol w:w="851"/>
        <w:gridCol w:w="1134"/>
        <w:gridCol w:w="850"/>
        <w:gridCol w:w="992"/>
      </w:tblGrid>
      <w:tr w:rsidR="00DD1BFB" w:rsidRPr="00DD1BFB" w:rsidTr="00DD1BFB">
        <w:trPr>
          <w:cantSplit/>
          <w:tblHeader/>
        </w:trPr>
        <w:tc>
          <w:tcPr>
            <w:tcW w:w="9072" w:type="dxa"/>
            <w:gridSpan w:val="7"/>
            <w:tcBorders>
              <w:top w:val="nil"/>
              <w:left w:val="nil"/>
              <w:bottom w:val="nil"/>
              <w:right w:val="nil"/>
            </w:tcBorders>
            <w:shd w:val="clear" w:color="auto" w:fill="FFFFFF"/>
            <w:vAlign w:val="center"/>
          </w:tcPr>
          <w:p w:rsidR="00DD1BFB" w:rsidRPr="00DD1BFB" w:rsidRDefault="00DD1BFB" w:rsidP="00DD1BFB">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DD1BFB">
              <w:rPr>
                <w:rFonts w:ascii="Arial" w:hAnsi="Arial" w:cs="Arial"/>
                <w:b/>
                <w:bCs/>
                <w:color w:val="000000"/>
                <w:sz w:val="18"/>
                <w:szCs w:val="18"/>
                <w:lang w:val="nl-NL" w:eastAsia="en-US" w:bidi="ar-SA"/>
              </w:rPr>
              <w:t xml:space="preserve">Tests of </w:t>
            </w:r>
            <w:proofErr w:type="spellStart"/>
            <w:r w:rsidRPr="00DD1BFB">
              <w:rPr>
                <w:rFonts w:ascii="Arial" w:hAnsi="Arial" w:cs="Arial"/>
                <w:b/>
                <w:bCs/>
                <w:color w:val="000000"/>
                <w:sz w:val="18"/>
                <w:szCs w:val="18"/>
                <w:lang w:val="nl-NL" w:eastAsia="en-US" w:bidi="ar-SA"/>
              </w:rPr>
              <w:t>Normality</w:t>
            </w:r>
            <w:proofErr w:type="spellEnd"/>
          </w:p>
        </w:tc>
      </w:tr>
      <w:tr w:rsidR="00DD1BFB" w:rsidRPr="00DD1BFB" w:rsidTr="00DD1BFB">
        <w:trPr>
          <w:cantSplit/>
          <w:tblHeader/>
        </w:trPr>
        <w:tc>
          <w:tcPr>
            <w:tcW w:w="3261"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D1BFB" w:rsidRPr="00DD1BFB" w:rsidRDefault="00DD1BFB" w:rsidP="008C49DE">
            <w:pPr>
              <w:autoSpaceDE w:val="0"/>
              <w:autoSpaceDN w:val="0"/>
              <w:adjustRightInd w:val="0"/>
              <w:spacing w:line="276" w:lineRule="auto"/>
              <w:jc w:val="center"/>
              <w:rPr>
                <w:rFonts w:cs="Times New Roman"/>
                <w:lang w:val="nl-NL" w:eastAsia="en-US" w:bidi="ar-SA"/>
              </w:rPr>
            </w:pPr>
          </w:p>
        </w:tc>
        <w:tc>
          <w:tcPr>
            <w:tcW w:w="2835" w:type="dxa"/>
            <w:gridSpan w:val="3"/>
            <w:tcBorders>
              <w:top w:val="single" w:sz="16" w:space="0" w:color="000000"/>
              <w:left w:val="single" w:sz="16" w:space="0" w:color="000000"/>
            </w:tcBorders>
            <w:shd w:val="clear" w:color="auto" w:fill="FFFFFF"/>
            <w:vAlign w:val="bottom"/>
          </w:tcPr>
          <w:p w:rsidR="00DD1BFB" w:rsidRPr="00DD1BFB" w:rsidRDefault="00DD1BFB"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Kolmogorov-Smirnov</w:t>
            </w:r>
            <w:r w:rsidRPr="00DD1BFB">
              <w:rPr>
                <w:rFonts w:ascii="Arial" w:hAnsi="Arial" w:cs="Arial"/>
                <w:color w:val="000000"/>
                <w:sz w:val="18"/>
                <w:szCs w:val="18"/>
                <w:vertAlign w:val="superscript"/>
                <w:lang w:val="nl-NL" w:eastAsia="en-US" w:bidi="ar-SA"/>
              </w:rPr>
              <w:t>a</w:t>
            </w:r>
            <w:proofErr w:type="spellEnd"/>
          </w:p>
        </w:tc>
        <w:tc>
          <w:tcPr>
            <w:tcW w:w="2976" w:type="dxa"/>
            <w:gridSpan w:val="3"/>
            <w:tcBorders>
              <w:top w:val="single" w:sz="16" w:space="0" w:color="000000"/>
              <w:right w:val="single" w:sz="16" w:space="0" w:color="000000"/>
            </w:tcBorders>
            <w:shd w:val="clear" w:color="auto" w:fill="FFFFFF"/>
            <w:vAlign w:val="bottom"/>
          </w:tcPr>
          <w:p w:rsidR="00DD1BFB" w:rsidRPr="00DD1BFB" w:rsidRDefault="00DD1BFB"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Shapiro-Wilk</w:t>
            </w:r>
            <w:proofErr w:type="spellEnd"/>
          </w:p>
        </w:tc>
      </w:tr>
      <w:tr w:rsidR="00DD1BFB" w:rsidRPr="00DD1BFB" w:rsidTr="00DD1BFB">
        <w:trPr>
          <w:cantSplit/>
          <w:tblHeader/>
        </w:trPr>
        <w:tc>
          <w:tcPr>
            <w:tcW w:w="3261"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1BFB" w:rsidRPr="00DD1BFB" w:rsidRDefault="00DD1BFB" w:rsidP="008C49DE">
            <w:pPr>
              <w:autoSpaceDE w:val="0"/>
              <w:autoSpaceDN w:val="0"/>
              <w:adjustRightInd w:val="0"/>
              <w:spacing w:line="276" w:lineRule="auto"/>
              <w:rPr>
                <w:rFonts w:ascii="Arial" w:hAnsi="Arial" w:cs="Arial"/>
                <w:color w:val="000000"/>
                <w:sz w:val="18"/>
                <w:szCs w:val="18"/>
                <w:lang w:val="nl-NL" w:eastAsia="en-US" w:bidi="ar-SA"/>
              </w:rPr>
            </w:pPr>
          </w:p>
        </w:tc>
        <w:tc>
          <w:tcPr>
            <w:tcW w:w="1134" w:type="dxa"/>
            <w:tcBorders>
              <w:left w:val="single" w:sz="16" w:space="0" w:color="000000"/>
              <w:bottom w:val="single" w:sz="16" w:space="0" w:color="000000"/>
            </w:tcBorders>
            <w:shd w:val="clear" w:color="auto" w:fill="FFFFFF"/>
            <w:vAlign w:val="bottom"/>
          </w:tcPr>
          <w:p w:rsidR="00DD1BFB" w:rsidRPr="00DD1BFB" w:rsidRDefault="00DD1BFB"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Statistic</w:t>
            </w:r>
            <w:proofErr w:type="spellEnd"/>
          </w:p>
        </w:tc>
        <w:tc>
          <w:tcPr>
            <w:tcW w:w="850" w:type="dxa"/>
            <w:tcBorders>
              <w:bottom w:val="single" w:sz="16" w:space="0" w:color="000000"/>
            </w:tcBorders>
            <w:shd w:val="clear" w:color="auto" w:fill="FFFFFF"/>
            <w:vAlign w:val="bottom"/>
          </w:tcPr>
          <w:p w:rsidR="00DD1BFB" w:rsidRPr="00DD1BFB" w:rsidRDefault="00DD1BFB"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df</w:t>
            </w:r>
            <w:proofErr w:type="spellEnd"/>
          </w:p>
        </w:tc>
        <w:tc>
          <w:tcPr>
            <w:tcW w:w="851" w:type="dxa"/>
            <w:tcBorders>
              <w:bottom w:val="single" w:sz="16" w:space="0" w:color="000000"/>
            </w:tcBorders>
            <w:shd w:val="clear" w:color="auto" w:fill="FFFFFF"/>
            <w:vAlign w:val="bottom"/>
          </w:tcPr>
          <w:p w:rsidR="00DD1BFB" w:rsidRPr="00DD1BFB" w:rsidRDefault="00DD1BFB"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Sig</w:t>
            </w:r>
            <w:proofErr w:type="spellEnd"/>
            <w:r w:rsidRPr="00DD1BFB">
              <w:rPr>
                <w:rFonts w:ascii="Arial" w:hAnsi="Arial" w:cs="Arial"/>
                <w:color w:val="000000"/>
                <w:sz w:val="18"/>
                <w:szCs w:val="18"/>
                <w:lang w:val="nl-NL" w:eastAsia="en-US" w:bidi="ar-SA"/>
              </w:rPr>
              <w:t>.</w:t>
            </w:r>
          </w:p>
        </w:tc>
        <w:tc>
          <w:tcPr>
            <w:tcW w:w="1134" w:type="dxa"/>
            <w:tcBorders>
              <w:bottom w:val="single" w:sz="16" w:space="0" w:color="000000"/>
            </w:tcBorders>
            <w:shd w:val="clear" w:color="auto" w:fill="FFFFFF"/>
            <w:vAlign w:val="bottom"/>
          </w:tcPr>
          <w:p w:rsidR="00DD1BFB" w:rsidRPr="00DD1BFB" w:rsidRDefault="00DD1BFB"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Statistic</w:t>
            </w:r>
            <w:proofErr w:type="spellEnd"/>
          </w:p>
        </w:tc>
        <w:tc>
          <w:tcPr>
            <w:tcW w:w="850" w:type="dxa"/>
            <w:tcBorders>
              <w:bottom w:val="single" w:sz="16" w:space="0" w:color="000000"/>
            </w:tcBorders>
            <w:shd w:val="clear" w:color="auto" w:fill="FFFFFF"/>
            <w:vAlign w:val="bottom"/>
          </w:tcPr>
          <w:p w:rsidR="00DD1BFB" w:rsidRPr="00DD1BFB" w:rsidRDefault="00DD1BFB"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df</w:t>
            </w:r>
            <w:proofErr w:type="spellEnd"/>
          </w:p>
        </w:tc>
        <w:tc>
          <w:tcPr>
            <w:tcW w:w="992" w:type="dxa"/>
            <w:tcBorders>
              <w:bottom w:val="single" w:sz="16" w:space="0" w:color="000000"/>
              <w:right w:val="single" w:sz="16" w:space="0" w:color="000000"/>
            </w:tcBorders>
            <w:shd w:val="clear" w:color="auto" w:fill="FFFFFF"/>
            <w:vAlign w:val="bottom"/>
          </w:tcPr>
          <w:p w:rsidR="00DD1BFB" w:rsidRPr="00DD1BFB" w:rsidRDefault="00DD1BFB"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Sig</w:t>
            </w:r>
            <w:proofErr w:type="spellEnd"/>
            <w:r w:rsidRPr="00DD1BFB">
              <w:rPr>
                <w:rFonts w:ascii="Arial" w:hAnsi="Arial" w:cs="Arial"/>
                <w:color w:val="000000"/>
                <w:sz w:val="18"/>
                <w:szCs w:val="18"/>
                <w:lang w:val="nl-NL" w:eastAsia="en-US" w:bidi="ar-SA"/>
              </w:rPr>
              <w:t>.</w:t>
            </w:r>
          </w:p>
        </w:tc>
      </w:tr>
      <w:tr w:rsidR="00DD1BFB" w:rsidRPr="00DD1BFB" w:rsidTr="00DD1BFB">
        <w:trPr>
          <w:cantSplit/>
          <w:tblHeader/>
        </w:trPr>
        <w:tc>
          <w:tcPr>
            <w:tcW w:w="3261" w:type="dxa"/>
            <w:tcBorders>
              <w:top w:val="single" w:sz="16" w:space="0" w:color="000000"/>
              <w:left w:val="single" w:sz="16" w:space="0" w:color="000000"/>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Real</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Estate</w:t>
            </w:r>
            <w:proofErr w:type="spellEnd"/>
            <w:r w:rsidRPr="00DD1BFB">
              <w:rPr>
                <w:rFonts w:ascii="Arial" w:hAnsi="Arial" w:cs="Arial"/>
                <w:color w:val="000000"/>
                <w:sz w:val="18"/>
                <w:szCs w:val="18"/>
                <w:lang w:val="nl-NL" w:eastAsia="en-US" w:bidi="ar-SA"/>
              </w:rPr>
              <w:t xml:space="preserve"> 2006 </w:t>
            </w:r>
            <w:proofErr w:type="spellStart"/>
            <w:r w:rsidRPr="00DD1BFB">
              <w:rPr>
                <w:rFonts w:ascii="Arial" w:hAnsi="Arial" w:cs="Arial"/>
                <w:color w:val="000000"/>
                <w:sz w:val="18"/>
                <w:szCs w:val="18"/>
                <w:lang w:val="nl-NL" w:eastAsia="en-US" w:bidi="ar-SA"/>
              </w:rPr>
              <w:t>region</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allocation</w:t>
            </w:r>
            <w:proofErr w:type="spellEnd"/>
          </w:p>
        </w:tc>
        <w:tc>
          <w:tcPr>
            <w:tcW w:w="1134" w:type="dxa"/>
            <w:tcBorders>
              <w:top w:val="single" w:sz="16" w:space="0" w:color="000000"/>
              <w:left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.388</w:t>
            </w:r>
          </w:p>
        </w:tc>
        <w:tc>
          <w:tcPr>
            <w:tcW w:w="850" w:type="dxa"/>
            <w:tcBorders>
              <w:top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851" w:type="dxa"/>
            <w:tcBorders>
              <w:top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c>
          <w:tcPr>
            <w:tcW w:w="1134" w:type="dxa"/>
            <w:tcBorders>
              <w:top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.625</w:t>
            </w:r>
          </w:p>
        </w:tc>
        <w:tc>
          <w:tcPr>
            <w:tcW w:w="850" w:type="dxa"/>
            <w:tcBorders>
              <w:top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992" w:type="dxa"/>
            <w:tcBorders>
              <w:top w:val="single" w:sz="16" w:space="0" w:color="000000"/>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r>
      <w:tr w:rsidR="00DD1BFB" w:rsidRPr="00DD1BFB" w:rsidTr="00DD1BFB">
        <w:trPr>
          <w:cantSplit/>
          <w:tblHeader/>
        </w:trPr>
        <w:tc>
          <w:tcPr>
            <w:tcW w:w="3261" w:type="dxa"/>
            <w:tcBorders>
              <w:top w:val="nil"/>
              <w:left w:val="single" w:sz="16" w:space="0" w:color="000000"/>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Real</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Estate</w:t>
            </w:r>
            <w:proofErr w:type="spellEnd"/>
            <w:r w:rsidRPr="00DD1BFB">
              <w:rPr>
                <w:rFonts w:ascii="Arial" w:hAnsi="Arial" w:cs="Arial"/>
                <w:color w:val="000000"/>
                <w:sz w:val="18"/>
                <w:szCs w:val="18"/>
                <w:lang w:val="nl-NL" w:eastAsia="en-US" w:bidi="ar-SA"/>
              </w:rPr>
              <w:t xml:space="preserve"> 2006 sector </w:t>
            </w:r>
            <w:proofErr w:type="spellStart"/>
            <w:r w:rsidRPr="00DD1BFB">
              <w:rPr>
                <w:rFonts w:ascii="Arial" w:hAnsi="Arial" w:cs="Arial"/>
                <w:color w:val="000000"/>
                <w:sz w:val="18"/>
                <w:szCs w:val="18"/>
                <w:lang w:val="nl-NL" w:eastAsia="en-US" w:bidi="ar-SA"/>
              </w:rPr>
              <w:t>allocation</w:t>
            </w:r>
            <w:proofErr w:type="spellEnd"/>
          </w:p>
        </w:tc>
        <w:tc>
          <w:tcPr>
            <w:tcW w:w="1134" w:type="dxa"/>
            <w:tcBorders>
              <w:top w:val="nil"/>
              <w:left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.347</w:t>
            </w:r>
          </w:p>
        </w:tc>
        <w:tc>
          <w:tcPr>
            <w:tcW w:w="850"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851"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c>
          <w:tcPr>
            <w:tcW w:w="1134"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.639</w:t>
            </w:r>
          </w:p>
        </w:tc>
        <w:tc>
          <w:tcPr>
            <w:tcW w:w="850"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992" w:type="dxa"/>
            <w:tcBorders>
              <w:top w:val="nil"/>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r>
      <w:tr w:rsidR="00DD1BFB" w:rsidRPr="00DD1BFB" w:rsidTr="00DD1BFB">
        <w:trPr>
          <w:cantSplit/>
          <w:tblHeader/>
        </w:trPr>
        <w:tc>
          <w:tcPr>
            <w:tcW w:w="3261" w:type="dxa"/>
            <w:tcBorders>
              <w:top w:val="nil"/>
              <w:left w:val="single" w:sz="16" w:space="0" w:color="000000"/>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Real</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Estate</w:t>
            </w:r>
            <w:proofErr w:type="spellEnd"/>
            <w:r w:rsidRPr="00DD1BFB">
              <w:rPr>
                <w:rFonts w:ascii="Arial" w:hAnsi="Arial" w:cs="Arial"/>
                <w:color w:val="000000"/>
                <w:sz w:val="18"/>
                <w:szCs w:val="18"/>
                <w:lang w:val="nl-NL" w:eastAsia="en-US" w:bidi="ar-SA"/>
              </w:rPr>
              <w:t xml:space="preserve"> 2006 </w:t>
            </w:r>
            <w:proofErr w:type="spellStart"/>
            <w:r w:rsidRPr="00DD1BFB">
              <w:rPr>
                <w:rFonts w:ascii="Arial" w:hAnsi="Arial" w:cs="Arial"/>
                <w:color w:val="000000"/>
                <w:sz w:val="18"/>
                <w:szCs w:val="18"/>
                <w:lang w:val="nl-NL" w:eastAsia="en-US" w:bidi="ar-SA"/>
              </w:rPr>
              <w:t>position</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allocation</w:t>
            </w:r>
            <w:proofErr w:type="spellEnd"/>
          </w:p>
        </w:tc>
        <w:tc>
          <w:tcPr>
            <w:tcW w:w="1134" w:type="dxa"/>
            <w:tcBorders>
              <w:top w:val="nil"/>
              <w:left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.488</w:t>
            </w:r>
          </w:p>
        </w:tc>
        <w:tc>
          <w:tcPr>
            <w:tcW w:w="850"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851"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c>
          <w:tcPr>
            <w:tcW w:w="1134"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.493</w:t>
            </w:r>
          </w:p>
        </w:tc>
        <w:tc>
          <w:tcPr>
            <w:tcW w:w="850"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992" w:type="dxa"/>
            <w:tcBorders>
              <w:top w:val="nil"/>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r>
      <w:tr w:rsidR="00DD1BFB" w:rsidRPr="00DD1BFB" w:rsidTr="00DD1BFB">
        <w:trPr>
          <w:cantSplit/>
          <w:tblHeader/>
        </w:trPr>
        <w:tc>
          <w:tcPr>
            <w:tcW w:w="3261" w:type="dxa"/>
            <w:tcBorders>
              <w:top w:val="nil"/>
              <w:left w:val="single" w:sz="16" w:space="0" w:color="000000"/>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Real</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Estate</w:t>
            </w:r>
            <w:proofErr w:type="spellEnd"/>
            <w:r w:rsidRPr="00DD1BFB">
              <w:rPr>
                <w:rFonts w:ascii="Arial" w:hAnsi="Arial" w:cs="Arial"/>
                <w:color w:val="000000"/>
                <w:sz w:val="18"/>
                <w:szCs w:val="18"/>
                <w:lang w:val="nl-NL" w:eastAsia="en-US" w:bidi="ar-SA"/>
              </w:rPr>
              <w:t xml:space="preserve"> 2011 </w:t>
            </w:r>
            <w:proofErr w:type="spellStart"/>
            <w:r w:rsidRPr="00DD1BFB">
              <w:rPr>
                <w:rFonts w:ascii="Arial" w:hAnsi="Arial" w:cs="Arial"/>
                <w:color w:val="000000"/>
                <w:sz w:val="18"/>
                <w:szCs w:val="18"/>
                <w:lang w:val="nl-NL" w:eastAsia="en-US" w:bidi="ar-SA"/>
              </w:rPr>
              <w:t>region</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allocation</w:t>
            </w:r>
            <w:proofErr w:type="spellEnd"/>
          </w:p>
        </w:tc>
        <w:tc>
          <w:tcPr>
            <w:tcW w:w="1134" w:type="dxa"/>
            <w:tcBorders>
              <w:top w:val="nil"/>
              <w:left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.449</w:t>
            </w:r>
          </w:p>
        </w:tc>
        <w:tc>
          <w:tcPr>
            <w:tcW w:w="850"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851"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c>
          <w:tcPr>
            <w:tcW w:w="1134"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.565</w:t>
            </w:r>
          </w:p>
        </w:tc>
        <w:tc>
          <w:tcPr>
            <w:tcW w:w="850"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992" w:type="dxa"/>
            <w:tcBorders>
              <w:top w:val="nil"/>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r>
      <w:tr w:rsidR="00DD1BFB" w:rsidRPr="00DD1BFB" w:rsidTr="00DD1BFB">
        <w:trPr>
          <w:cantSplit/>
          <w:tblHeader/>
        </w:trPr>
        <w:tc>
          <w:tcPr>
            <w:tcW w:w="3261" w:type="dxa"/>
            <w:tcBorders>
              <w:top w:val="nil"/>
              <w:left w:val="single" w:sz="16" w:space="0" w:color="000000"/>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DD1BFB">
              <w:rPr>
                <w:rFonts w:ascii="Arial" w:hAnsi="Arial" w:cs="Arial"/>
                <w:color w:val="000000"/>
                <w:sz w:val="18"/>
                <w:szCs w:val="18"/>
                <w:lang w:val="nl-NL" w:eastAsia="en-US" w:bidi="ar-SA"/>
              </w:rPr>
              <w:t>Real</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Estate</w:t>
            </w:r>
            <w:proofErr w:type="spellEnd"/>
            <w:r w:rsidRPr="00DD1BFB">
              <w:rPr>
                <w:rFonts w:ascii="Arial" w:hAnsi="Arial" w:cs="Arial"/>
                <w:color w:val="000000"/>
                <w:sz w:val="18"/>
                <w:szCs w:val="18"/>
                <w:lang w:val="nl-NL" w:eastAsia="en-US" w:bidi="ar-SA"/>
              </w:rPr>
              <w:t xml:space="preserve"> 2011 sector </w:t>
            </w:r>
            <w:proofErr w:type="spellStart"/>
            <w:r w:rsidRPr="00DD1BFB">
              <w:rPr>
                <w:rFonts w:ascii="Arial" w:hAnsi="Arial" w:cs="Arial"/>
                <w:color w:val="000000"/>
                <w:sz w:val="18"/>
                <w:szCs w:val="18"/>
                <w:lang w:val="nl-NL" w:eastAsia="en-US" w:bidi="ar-SA"/>
              </w:rPr>
              <w:t>allocation</w:t>
            </w:r>
            <w:proofErr w:type="spellEnd"/>
          </w:p>
        </w:tc>
        <w:tc>
          <w:tcPr>
            <w:tcW w:w="1134" w:type="dxa"/>
            <w:tcBorders>
              <w:top w:val="nil"/>
              <w:left w:val="single" w:sz="16" w:space="0" w:color="000000"/>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.388</w:t>
            </w:r>
          </w:p>
        </w:tc>
        <w:tc>
          <w:tcPr>
            <w:tcW w:w="850"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851"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c>
          <w:tcPr>
            <w:tcW w:w="1134"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.625</w:t>
            </w:r>
          </w:p>
        </w:tc>
        <w:tc>
          <w:tcPr>
            <w:tcW w:w="850" w:type="dxa"/>
            <w:tcBorders>
              <w:top w:val="nil"/>
              <w:bottom w:val="nil"/>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992" w:type="dxa"/>
            <w:tcBorders>
              <w:top w:val="nil"/>
              <w:bottom w:val="nil"/>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r>
      <w:tr w:rsidR="00DD1BFB" w:rsidRPr="00DD1BFB" w:rsidTr="00DD1BFB">
        <w:trPr>
          <w:cantSplit/>
          <w:tblHeader/>
        </w:trPr>
        <w:tc>
          <w:tcPr>
            <w:tcW w:w="3261" w:type="dxa"/>
            <w:tcBorders>
              <w:top w:val="nil"/>
              <w:left w:val="single" w:sz="16" w:space="0" w:color="000000"/>
              <w:bottom w:val="single" w:sz="16" w:space="0" w:color="000000"/>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Pr>
                <w:rFonts w:ascii="Arial" w:hAnsi="Arial" w:cs="Arial"/>
                <w:color w:val="000000"/>
                <w:sz w:val="18"/>
                <w:szCs w:val="18"/>
                <w:lang w:val="nl-NL" w:eastAsia="en-US" w:bidi="ar-SA"/>
              </w:rPr>
              <w:t>Real</w:t>
            </w:r>
            <w:proofErr w:type="spellEnd"/>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Estate</w:t>
            </w:r>
            <w:proofErr w:type="spellEnd"/>
            <w:r>
              <w:rPr>
                <w:rFonts w:ascii="Arial" w:hAnsi="Arial" w:cs="Arial"/>
                <w:color w:val="000000"/>
                <w:sz w:val="18"/>
                <w:szCs w:val="18"/>
                <w:lang w:val="nl-NL" w:eastAsia="en-US" w:bidi="ar-SA"/>
              </w:rPr>
              <w:t xml:space="preserve"> 2011 </w:t>
            </w:r>
            <w:proofErr w:type="spellStart"/>
            <w:r>
              <w:rPr>
                <w:rFonts w:ascii="Arial" w:hAnsi="Arial" w:cs="Arial"/>
                <w:color w:val="000000"/>
                <w:sz w:val="18"/>
                <w:szCs w:val="18"/>
                <w:lang w:val="nl-NL" w:eastAsia="en-US" w:bidi="ar-SA"/>
              </w:rPr>
              <w:t>pos</w:t>
            </w:r>
            <w:r w:rsidRPr="00DD1BFB">
              <w:rPr>
                <w:rFonts w:ascii="Arial" w:hAnsi="Arial" w:cs="Arial"/>
                <w:color w:val="000000"/>
                <w:sz w:val="18"/>
                <w:szCs w:val="18"/>
                <w:lang w:val="nl-NL" w:eastAsia="en-US" w:bidi="ar-SA"/>
              </w:rPr>
              <w:t>ition</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allocation</w:t>
            </w:r>
            <w:proofErr w:type="spellEnd"/>
          </w:p>
        </w:tc>
        <w:tc>
          <w:tcPr>
            <w:tcW w:w="1134" w:type="dxa"/>
            <w:tcBorders>
              <w:top w:val="nil"/>
              <w:left w:val="single" w:sz="16" w:space="0" w:color="000000"/>
              <w:bottom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.469</w:t>
            </w:r>
          </w:p>
        </w:tc>
        <w:tc>
          <w:tcPr>
            <w:tcW w:w="850" w:type="dxa"/>
            <w:tcBorders>
              <w:top w:val="nil"/>
              <w:bottom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851" w:type="dxa"/>
            <w:tcBorders>
              <w:top w:val="nil"/>
              <w:bottom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c>
          <w:tcPr>
            <w:tcW w:w="1134" w:type="dxa"/>
            <w:tcBorders>
              <w:top w:val="nil"/>
              <w:bottom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.533</w:t>
            </w:r>
          </w:p>
        </w:tc>
        <w:tc>
          <w:tcPr>
            <w:tcW w:w="850" w:type="dxa"/>
            <w:tcBorders>
              <w:top w:val="nil"/>
              <w:bottom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25</w:t>
            </w:r>
          </w:p>
        </w:tc>
        <w:tc>
          <w:tcPr>
            <w:tcW w:w="992" w:type="dxa"/>
            <w:tcBorders>
              <w:top w:val="nil"/>
              <w:bottom w:val="single" w:sz="16" w:space="0" w:color="000000"/>
              <w:right w:val="single" w:sz="16" w:space="0" w:color="000000"/>
            </w:tcBorders>
            <w:shd w:val="clear" w:color="auto" w:fill="FFFFFF"/>
          </w:tcPr>
          <w:p w:rsidR="00DD1BFB" w:rsidRPr="00DD1BFB" w:rsidRDefault="00DD1BFB"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.000</w:t>
            </w:r>
          </w:p>
        </w:tc>
      </w:tr>
      <w:tr w:rsidR="00DD1BFB" w:rsidRPr="00DD1BFB" w:rsidTr="00DD1BFB">
        <w:trPr>
          <w:cantSplit/>
        </w:trPr>
        <w:tc>
          <w:tcPr>
            <w:tcW w:w="9072" w:type="dxa"/>
            <w:gridSpan w:val="7"/>
            <w:tcBorders>
              <w:top w:val="nil"/>
              <w:left w:val="nil"/>
              <w:bottom w:val="nil"/>
              <w:right w:val="nil"/>
            </w:tcBorders>
            <w:shd w:val="clear" w:color="auto" w:fill="FFFFFF"/>
          </w:tcPr>
          <w:p w:rsidR="00DD1BFB" w:rsidRPr="00DD1BFB" w:rsidRDefault="00DD1BFB" w:rsidP="00DD1BFB">
            <w:pPr>
              <w:autoSpaceDE w:val="0"/>
              <w:autoSpaceDN w:val="0"/>
              <w:adjustRightInd w:val="0"/>
              <w:spacing w:line="320" w:lineRule="atLeast"/>
              <w:ind w:left="60" w:right="60"/>
              <w:rPr>
                <w:rFonts w:ascii="Arial" w:hAnsi="Arial" w:cs="Arial"/>
                <w:color w:val="000000"/>
                <w:sz w:val="18"/>
                <w:szCs w:val="18"/>
                <w:lang w:val="nl-NL" w:eastAsia="en-US" w:bidi="ar-SA"/>
              </w:rPr>
            </w:pPr>
            <w:r w:rsidRPr="00DD1BFB">
              <w:rPr>
                <w:rFonts w:ascii="Arial" w:hAnsi="Arial" w:cs="Arial"/>
                <w:color w:val="000000"/>
                <w:sz w:val="18"/>
                <w:szCs w:val="18"/>
                <w:lang w:val="nl-NL" w:eastAsia="en-US" w:bidi="ar-SA"/>
              </w:rPr>
              <w:t xml:space="preserve">a. </w:t>
            </w:r>
            <w:proofErr w:type="spellStart"/>
            <w:r w:rsidRPr="00DD1BFB">
              <w:rPr>
                <w:rFonts w:ascii="Arial" w:hAnsi="Arial" w:cs="Arial"/>
                <w:color w:val="000000"/>
                <w:sz w:val="18"/>
                <w:szCs w:val="18"/>
                <w:lang w:val="nl-NL" w:eastAsia="en-US" w:bidi="ar-SA"/>
              </w:rPr>
              <w:t>Lilliefors</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Significance</w:t>
            </w:r>
            <w:proofErr w:type="spellEnd"/>
            <w:r w:rsidRPr="00DD1BFB">
              <w:rPr>
                <w:rFonts w:ascii="Arial" w:hAnsi="Arial" w:cs="Arial"/>
                <w:color w:val="000000"/>
                <w:sz w:val="18"/>
                <w:szCs w:val="18"/>
                <w:lang w:val="nl-NL" w:eastAsia="en-US" w:bidi="ar-SA"/>
              </w:rPr>
              <w:t xml:space="preserve"> </w:t>
            </w:r>
            <w:proofErr w:type="spellStart"/>
            <w:r w:rsidRPr="00DD1BFB">
              <w:rPr>
                <w:rFonts w:ascii="Arial" w:hAnsi="Arial" w:cs="Arial"/>
                <w:color w:val="000000"/>
                <w:sz w:val="18"/>
                <w:szCs w:val="18"/>
                <w:lang w:val="nl-NL" w:eastAsia="en-US" w:bidi="ar-SA"/>
              </w:rPr>
              <w:t>Correction</w:t>
            </w:r>
            <w:proofErr w:type="spellEnd"/>
          </w:p>
          <w:p w:rsidR="00DD1BFB" w:rsidRPr="00DD1BFB" w:rsidRDefault="00DD1BFB" w:rsidP="00DD1BFB">
            <w:pPr>
              <w:autoSpaceDE w:val="0"/>
              <w:autoSpaceDN w:val="0"/>
              <w:adjustRightInd w:val="0"/>
              <w:spacing w:line="320" w:lineRule="atLeast"/>
              <w:ind w:left="60" w:right="60"/>
              <w:rPr>
                <w:rFonts w:ascii="Arial" w:hAnsi="Arial" w:cs="Arial"/>
                <w:color w:val="000000"/>
                <w:sz w:val="18"/>
                <w:szCs w:val="18"/>
                <w:lang w:val="nl-NL" w:eastAsia="en-US" w:bidi="ar-SA"/>
              </w:rPr>
            </w:pPr>
          </w:p>
        </w:tc>
      </w:tr>
    </w:tbl>
    <w:p w:rsidR="00DD1BFB" w:rsidRPr="0055584C" w:rsidRDefault="00E945FD" w:rsidP="00DD1BFB">
      <w:pPr>
        <w:spacing w:line="360" w:lineRule="auto"/>
        <w:rPr>
          <w:lang w:val="en-US"/>
        </w:rPr>
      </w:pPr>
      <w:r>
        <w:rPr>
          <w:rFonts w:cs="Times New Roman"/>
          <w:sz w:val="20"/>
          <w:szCs w:val="20"/>
          <w:lang w:val="en-US" w:eastAsia="en-US" w:bidi="ar-SA"/>
        </w:rPr>
        <w:t xml:space="preserve">Table </w:t>
      </w:r>
      <w:r w:rsidR="00174C85">
        <w:rPr>
          <w:rFonts w:cs="Times New Roman"/>
          <w:sz w:val="20"/>
          <w:szCs w:val="20"/>
          <w:lang w:val="en-US" w:eastAsia="en-US" w:bidi="ar-SA"/>
        </w:rPr>
        <w:t>21</w:t>
      </w:r>
      <w:r w:rsidR="00DD1BFB">
        <w:rPr>
          <w:rFonts w:cs="Times New Roman"/>
          <w:sz w:val="20"/>
          <w:szCs w:val="20"/>
          <w:lang w:val="en-US" w:eastAsia="en-US" w:bidi="ar-SA"/>
        </w:rPr>
        <w:t>: Tests of normality applied to disclosures of region, sector and position allocations regarding real estate</w:t>
      </w:r>
    </w:p>
    <w:p w:rsidR="00DD1BFB" w:rsidRDefault="000A0B94"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 xml:space="preserve">Both the </w:t>
      </w:r>
      <w:proofErr w:type="spellStart"/>
      <w:r>
        <w:rPr>
          <w:rFonts w:cs="Times New Roman"/>
          <w:lang w:val="en-US" w:eastAsia="en-US" w:bidi="ar-SA"/>
        </w:rPr>
        <w:t>Kolmogorov</w:t>
      </w:r>
      <w:proofErr w:type="spellEnd"/>
      <w:r>
        <w:rPr>
          <w:rFonts w:cs="Times New Roman"/>
          <w:lang w:val="en-US" w:eastAsia="en-US" w:bidi="ar-SA"/>
        </w:rPr>
        <w:t>-Smirnov and Shapiro-</w:t>
      </w:r>
      <w:proofErr w:type="spellStart"/>
      <w:r>
        <w:rPr>
          <w:rFonts w:cs="Times New Roman"/>
          <w:lang w:val="en-US" w:eastAsia="en-US" w:bidi="ar-SA"/>
        </w:rPr>
        <w:t>Wilk</w:t>
      </w:r>
      <w:proofErr w:type="spellEnd"/>
      <w:r>
        <w:rPr>
          <w:rFonts w:cs="Times New Roman"/>
          <w:lang w:val="en-US" w:eastAsia="en-US" w:bidi="ar-SA"/>
        </w:rPr>
        <w:t xml:space="preserve"> test present significant values of 0.000. These values are well below a Sig. of 0.005, therefore can be concluded that the region, sector and position allocations are not normally distributed in 2006 as well as in 2011. For this reason, nonparametric tests will be applied. </w:t>
      </w:r>
    </w:p>
    <w:p w:rsidR="000A0B94" w:rsidRDefault="000A0B94" w:rsidP="005F5E1F">
      <w:pPr>
        <w:autoSpaceDE w:val="0"/>
        <w:autoSpaceDN w:val="0"/>
        <w:adjustRightInd w:val="0"/>
        <w:spacing w:line="400" w:lineRule="atLeast"/>
        <w:jc w:val="both"/>
        <w:rPr>
          <w:rFonts w:cs="Times New Roman"/>
          <w:lang w:val="en-US" w:eastAsia="en-US" w:bidi="ar-SA"/>
        </w:rPr>
      </w:pPr>
    </w:p>
    <w:p w:rsidR="008528F3" w:rsidRDefault="00514659" w:rsidP="005F5E1F">
      <w:pPr>
        <w:spacing w:line="360" w:lineRule="auto"/>
        <w:jc w:val="both"/>
        <w:rPr>
          <w:bCs/>
          <w:lang w:val="en-US"/>
        </w:rPr>
      </w:pPr>
      <w:r w:rsidRPr="008528F3">
        <w:rPr>
          <w:bCs/>
          <w:lang w:val="en-US"/>
        </w:rPr>
        <w:t xml:space="preserve">De </w:t>
      </w:r>
      <w:proofErr w:type="spellStart"/>
      <w:r w:rsidRPr="008528F3">
        <w:rPr>
          <w:bCs/>
          <w:lang w:val="en-US"/>
        </w:rPr>
        <w:t>Vocht</w:t>
      </w:r>
      <w:proofErr w:type="spellEnd"/>
      <w:r w:rsidRPr="008528F3">
        <w:rPr>
          <w:bCs/>
          <w:lang w:val="en-US"/>
        </w:rPr>
        <w:t xml:space="preserve"> (2011) describes that paired tests can be used to compare variables on two points in time under the condition that the same cases are compared on both points in time. </w:t>
      </w:r>
      <w:r w:rsidR="008528F3" w:rsidRPr="008528F3">
        <w:rPr>
          <w:bCs/>
          <w:lang w:val="en-US"/>
        </w:rPr>
        <w:t xml:space="preserve">The distribution is not normally, so, according to de </w:t>
      </w:r>
      <w:proofErr w:type="spellStart"/>
      <w:r w:rsidR="008528F3" w:rsidRPr="008528F3">
        <w:rPr>
          <w:bCs/>
          <w:lang w:val="en-US"/>
        </w:rPr>
        <w:t>Vocht</w:t>
      </w:r>
      <w:proofErr w:type="spellEnd"/>
      <w:r w:rsidR="008528F3" w:rsidRPr="008528F3">
        <w:rPr>
          <w:bCs/>
          <w:lang w:val="en-US"/>
        </w:rPr>
        <w:t xml:space="preserve"> (2011), the </w:t>
      </w:r>
      <w:proofErr w:type="spellStart"/>
      <w:r w:rsidR="008528F3" w:rsidRPr="008528F3">
        <w:rPr>
          <w:bCs/>
          <w:lang w:val="en-US"/>
        </w:rPr>
        <w:t>Wilcoxon</w:t>
      </w:r>
      <w:proofErr w:type="spellEnd"/>
      <w:r w:rsidR="008528F3" w:rsidRPr="008528F3">
        <w:rPr>
          <w:bCs/>
          <w:lang w:val="en-US"/>
        </w:rPr>
        <w:t xml:space="preserve"> matched pair</w:t>
      </w:r>
      <w:r w:rsidR="008528F3">
        <w:rPr>
          <w:bCs/>
          <w:lang w:val="en-US"/>
        </w:rPr>
        <w:t>s</w:t>
      </w:r>
      <w:r w:rsidR="008528F3" w:rsidRPr="008528F3">
        <w:rPr>
          <w:bCs/>
          <w:lang w:val="en-US"/>
        </w:rPr>
        <w:t xml:space="preserve"> test can be applied. </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261"/>
        <w:gridCol w:w="2126"/>
        <w:gridCol w:w="992"/>
        <w:gridCol w:w="1276"/>
        <w:gridCol w:w="1417"/>
      </w:tblGrid>
      <w:tr w:rsidR="003F703E" w:rsidRPr="003F703E" w:rsidTr="002C742D">
        <w:trPr>
          <w:cantSplit/>
          <w:tblHeader/>
        </w:trPr>
        <w:tc>
          <w:tcPr>
            <w:tcW w:w="9072" w:type="dxa"/>
            <w:gridSpan w:val="5"/>
            <w:tcBorders>
              <w:top w:val="nil"/>
              <w:left w:val="nil"/>
              <w:bottom w:val="nil"/>
              <w:right w:val="nil"/>
            </w:tcBorders>
            <w:shd w:val="clear" w:color="auto" w:fill="FFFFFF"/>
            <w:vAlign w:val="center"/>
          </w:tcPr>
          <w:p w:rsidR="003F703E" w:rsidRPr="003F703E" w:rsidRDefault="003F703E" w:rsidP="003F703E">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3F703E">
              <w:rPr>
                <w:rFonts w:ascii="Arial" w:hAnsi="Arial" w:cs="Arial"/>
                <w:b/>
                <w:bCs/>
                <w:color w:val="000000"/>
                <w:sz w:val="18"/>
                <w:szCs w:val="18"/>
                <w:lang w:val="nl-NL" w:eastAsia="en-US" w:bidi="ar-SA"/>
              </w:rPr>
              <w:t>Ranks</w:t>
            </w:r>
          </w:p>
        </w:tc>
      </w:tr>
      <w:tr w:rsidR="003F703E" w:rsidRPr="003F703E" w:rsidTr="002C742D">
        <w:trPr>
          <w:cantSplit/>
          <w:tblHeader/>
        </w:trPr>
        <w:tc>
          <w:tcPr>
            <w:tcW w:w="538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F703E" w:rsidRPr="003F703E" w:rsidRDefault="003F703E" w:rsidP="008C49DE">
            <w:pPr>
              <w:autoSpaceDE w:val="0"/>
              <w:autoSpaceDN w:val="0"/>
              <w:adjustRightInd w:val="0"/>
              <w:spacing w:line="276" w:lineRule="auto"/>
              <w:jc w:val="center"/>
              <w:rPr>
                <w:rFonts w:cs="Times New Roman"/>
                <w:lang w:val="nl-NL" w:eastAsia="en-US" w:bidi="ar-SA"/>
              </w:rPr>
            </w:pPr>
          </w:p>
        </w:tc>
        <w:tc>
          <w:tcPr>
            <w:tcW w:w="992" w:type="dxa"/>
            <w:tcBorders>
              <w:top w:val="single" w:sz="16" w:space="0" w:color="000000"/>
              <w:left w:val="single" w:sz="16" w:space="0" w:color="000000"/>
              <w:bottom w:val="single" w:sz="16" w:space="0" w:color="000000"/>
            </w:tcBorders>
            <w:shd w:val="clear" w:color="auto" w:fill="FFFFFF"/>
            <w:vAlign w:val="bottom"/>
          </w:tcPr>
          <w:p w:rsidR="003F703E" w:rsidRPr="003F703E" w:rsidRDefault="003F703E"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N</w:t>
            </w:r>
          </w:p>
        </w:tc>
        <w:tc>
          <w:tcPr>
            <w:tcW w:w="1276" w:type="dxa"/>
            <w:tcBorders>
              <w:top w:val="single" w:sz="16" w:space="0" w:color="000000"/>
              <w:bottom w:val="single" w:sz="16" w:space="0" w:color="000000"/>
            </w:tcBorders>
            <w:shd w:val="clear" w:color="auto" w:fill="FFFFFF"/>
            <w:vAlign w:val="bottom"/>
          </w:tcPr>
          <w:p w:rsidR="003F703E" w:rsidRPr="003F703E" w:rsidRDefault="003F703E"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Mean</w:t>
            </w:r>
            <w:proofErr w:type="spellEnd"/>
            <w:r w:rsidRPr="003F703E">
              <w:rPr>
                <w:rFonts w:ascii="Arial" w:hAnsi="Arial" w:cs="Arial"/>
                <w:color w:val="000000"/>
                <w:sz w:val="18"/>
                <w:szCs w:val="18"/>
                <w:lang w:val="nl-NL" w:eastAsia="en-US" w:bidi="ar-SA"/>
              </w:rPr>
              <w:t xml:space="preserve"> Rank</w:t>
            </w:r>
          </w:p>
        </w:tc>
        <w:tc>
          <w:tcPr>
            <w:tcW w:w="1417" w:type="dxa"/>
            <w:tcBorders>
              <w:top w:val="single" w:sz="16" w:space="0" w:color="000000"/>
              <w:bottom w:val="single" w:sz="16" w:space="0" w:color="000000"/>
              <w:right w:val="single" w:sz="16" w:space="0" w:color="000000"/>
            </w:tcBorders>
            <w:shd w:val="clear" w:color="auto" w:fill="FFFFFF"/>
            <w:vAlign w:val="bottom"/>
          </w:tcPr>
          <w:p w:rsidR="003F703E" w:rsidRPr="003F703E" w:rsidRDefault="003F703E" w:rsidP="008C49DE">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Sum</w:t>
            </w:r>
            <w:proofErr w:type="spellEnd"/>
            <w:r w:rsidRPr="003F703E">
              <w:rPr>
                <w:rFonts w:ascii="Arial" w:hAnsi="Arial" w:cs="Arial"/>
                <w:color w:val="000000"/>
                <w:sz w:val="18"/>
                <w:szCs w:val="18"/>
                <w:lang w:val="nl-NL" w:eastAsia="en-US" w:bidi="ar-SA"/>
              </w:rPr>
              <w:t xml:space="preserve"> of Ranks</w:t>
            </w:r>
          </w:p>
        </w:tc>
      </w:tr>
      <w:tr w:rsidR="003F703E" w:rsidRPr="003F703E" w:rsidTr="002C742D">
        <w:trPr>
          <w:cantSplit/>
          <w:tblHeader/>
        </w:trPr>
        <w:tc>
          <w:tcPr>
            <w:tcW w:w="3261" w:type="dxa"/>
            <w:vMerge w:val="restart"/>
            <w:tcBorders>
              <w:top w:val="single" w:sz="16" w:space="0" w:color="000000"/>
              <w:left w:val="single" w:sz="16" w:space="0" w:color="000000"/>
              <w:right w:val="nil"/>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Real Estate 2011 region allocation - Real Estate 2006 region allocation</w:t>
            </w:r>
          </w:p>
        </w:tc>
        <w:tc>
          <w:tcPr>
            <w:tcW w:w="2126" w:type="dxa"/>
            <w:tcBorders>
              <w:top w:val="single" w:sz="16" w:space="0" w:color="000000"/>
              <w:left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Negative</w:t>
            </w:r>
            <w:proofErr w:type="spellEnd"/>
            <w:r w:rsidRPr="003F703E">
              <w:rPr>
                <w:rFonts w:ascii="Arial" w:hAnsi="Arial" w:cs="Arial"/>
                <w:color w:val="000000"/>
                <w:sz w:val="18"/>
                <w:szCs w:val="18"/>
                <w:lang w:val="nl-NL" w:eastAsia="en-US" w:bidi="ar-SA"/>
              </w:rPr>
              <w:t xml:space="preserve"> Ranks</w:t>
            </w:r>
          </w:p>
        </w:tc>
        <w:tc>
          <w:tcPr>
            <w:tcW w:w="992" w:type="dxa"/>
            <w:tcBorders>
              <w:top w:val="single" w:sz="16" w:space="0" w:color="000000"/>
              <w:left w:val="single" w:sz="16" w:space="0" w:color="000000"/>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0</w:t>
            </w:r>
            <w:r w:rsidRPr="003F703E">
              <w:rPr>
                <w:rFonts w:ascii="Arial" w:hAnsi="Arial" w:cs="Arial"/>
                <w:color w:val="000000"/>
                <w:sz w:val="18"/>
                <w:szCs w:val="18"/>
                <w:vertAlign w:val="superscript"/>
                <w:lang w:val="nl-NL" w:eastAsia="en-US" w:bidi="ar-SA"/>
              </w:rPr>
              <w:t>a</w:t>
            </w:r>
          </w:p>
        </w:tc>
        <w:tc>
          <w:tcPr>
            <w:tcW w:w="1276" w:type="dxa"/>
            <w:tcBorders>
              <w:top w:val="single" w:sz="16" w:space="0" w:color="000000"/>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.00</w:t>
            </w:r>
          </w:p>
        </w:tc>
        <w:tc>
          <w:tcPr>
            <w:tcW w:w="1417" w:type="dxa"/>
            <w:tcBorders>
              <w:top w:val="single" w:sz="16" w:space="0" w:color="000000"/>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.00</w:t>
            </w:r>
          </w:p>
        </w:tc>
      </w:tr>
      <w:tr w:rsidR="003F703E" w:rsidRPr="003F703E" w:rsidTr="002C742D">
        <w:trPr>
          <w:cantSplit/>
          <w:tblHeader/>
        </w:trPr>
        <w:tc>
          <w:tcPr>
            <w:tcW w:w="3261" w:type="dxa"/>
            <w:vMerge/>
            <w:tcBorders>
              <w:top w:val="single" w:sz="16" w:space="0" w:color="000000"/>
              <w:left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Positive</w:t>
            </w:r>
            <w:proofErr w:type="spellEnd"/>
            <w:r w:rsidRPr="003F703E">
              <w:rPr>
                <w:rFonts w:ascii="Arial" w:hAnsi="Arial" w:cs="Arial"/>
                <w:color w:val="000000"/>
                <w:sz w:val="18"/>
                <w:szCs w:val="18"/>
                <w:lang w:val="nl-NL" w:eastAsia="en-US" w:bidi="ar-SA"/>
              </w:rPr>
              <w:t xml:space="preserve"> Ranks</w:t>
            </w:r>
          </w:p>
        </w:tc>
        <w:tc>
          <w:tcPr>
            <w:tcW w:w="992" w:type="dxa"/>
            <w:tcBorders>
              <w:top w:val="nil"/>
              <w:left w:val="single" w:sz="16" w:space="0" w:color="000000"/>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8</w:t>
            </w:r>
            <w:r w:rsidRPr="003F703E">
              <w:rPr>
                <w:rFonts w:ascii="Arial" w:hAnsi="Arial" w:cs="Arial"/>
                <w:color w:val="000000"/>
                <w:sz w:val="18"/>
                <w:szCs w:val="18"/>
                <w:vertAlign w:val="superscript"/>
                <w:lang w:val="nl-NL" w:eastAsia="en-US" w:bidi="ar-SA"/>
              </w:rPr>
              <w:t>b</w:t>
            </w:r>
          </w:p>
        </w:tc>
        <w:tc>
          <w:tcPr>
            <w:tcW w:w="1276" w:type="dxa"/>
            <w:tcBorders>
              <w:top w:val="nil"/>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4.50</w:t>
            </w:r>
          </w:p>
        </w:tc>
        <w:tc>
          <w:tcPr>
            <w:tcW w:w="1417" w:type="dxa"/>
            <w:tcBorders>
              <w:top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36.00</w:t>
            </w:r>
          </w:p>
        </w:tc>
      </w:tr>
      <w:tr w:rsidR="003F703E" w:rsidRPr="003F703E" w:rsidTr="002C742D">
        <w:trPr>
          <w:cantSplit/>
          <w:tblHeader/>
        </w:trPr>
        <w:tc>
          <w:tcPr>
            <w:tcW w:w="3261" w:type="dxa"/>
            <w:vMerge/>
            <w:tcBorders>
              <w:top w:val="single" w:sz="16" w:space="0" w:color="000000"/>
              <w:left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bottom w:val="nil"/>
              <w:right w:val="single" w:sz="16" w:space="0" w:color="000000"/>
            </w:tcBorders>
            <w:shd w:val="clear" w:color="auto" w:fill="FFFFFF"/>
          </w:tcPr>
          <w:p w:rsidR="003F703E" w:rsidRPr="003F703E" w:rsidRDefault="003F703E" w:rsidP="002C742D">
            <w:pPr>
              <w:autoSpaceDE w:val="0"/>
              <w:autoSpaceDN w:val="0"/>
              <w:adjustRightInd w:val="0"/>
              <w:ind w:left="60" w:right="60"/>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Ties</w:t>
            </w:r>
          </w:p>
        </w:tc>
        <w:tc>
          <w:tcPr>
            <w:tcW w:w="992" w:type="dxa"/>
            <w:tcBorders>
              <w:top w:val="nil"/>
              <w:left w:val="single" w:sz="16" w:space="0" w:color="000000"/>
              <w:bottom w:val="nil"/>
            </w:tcBorders>
            <w:shd w:val="clear" w:color="auto" w:fill="FFFFFF"/>
          </w:tcPr>
          <w:p w:rsidR="003F703E" w:rsidRPr="003F703E" w:rsidRDefault="003F703E" w:rsidP="002C742D">
            <w:pPr>
              <w:autoSpaceDE w:val="0"/>
              <w:autoSpaceDN w:val="0"/>
              <w:adjustRightInd w:val="0"/>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17</w:t>
            </w:r>
            <w:r w:rsidRPr="003F703E">
              <w:rPr>
                <w:rFonts w:ascii="Arial" w:hAnsi="Arial" w:cs="Arial"/>
                <w:color w:val="000000"/>
                <w:sz w:val="18"/>
                <w:szCs w:val="18"/>
                <w:vertAlign w:val="superscript"/>
                <w:lang w:val="nl-NL" w:eastAsia="en-US" w:bidi="ar-SA"/>
              </w:rPr>
              <w:t>c</w:t>
            </w:r>
          </w:p>
        </w:tc>
        <w:tc>
          <w:tcPr>
            <w:tcW w:w="1276" w:type="dxa"/>
            <w:tcBorders>
              <w:top w:val="nil"/>
              <w:bottom w:val="nil"/>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c>
          <w:tcPr>
            <w:tcW w:w="1417" w:type="dxa"/>
            <w:tcBorders>
              <w:top w:val="nil"/>
              <w:bottom w:val="nil"/>
              <w:right w:val="single" w:sz="16" w:space="0" w:color="000000"/>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r>
      <w:tr w:rsidR="003F703E" w:rsidRPr="003F703E" w:rsidTr="002C742D">
        <w:trPr>
          <w:cantSplit/>
          <w:tblHeader/>
        </w:trPr>
        <w:tc>
          <w:tcPr>
            <w:tcW w:w="3261" w:type="dxa"/>
            <w:vMerge/>
            <w:tcBorders>
              <w:top w:val="single" w:sz="16" w:space="0" w:color="000000"/>
              <w:left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cs="Times New Roman"/>
                <w:lang w:val="nl-NL" w:eastAsia="en-US" w:bidi="ar-SA"/>
              </w:rPr>
            </w:pPr>
          </w:p>
        </w:tc>
        <w:tc>
          <w:tcPr>
            <w:tcW w:w="2126" w:type="dxa"/>
            <w:tcBorders>
              <w:top w:val="nil"/>
              <w:left w:val="nil"/>
              <w:right w:val="single" w:sz="16" w:space="0" w:color="000000"/>
            </w:tcBorders>
            <w:shd w:val="clear" w:color="auto" w:fill="FFFFFF"/>
          </w:tcPr>
          <w:p w:rsidR="003F703E" w:rsidRPr="003F703E" w:rsidRDefault="003F703E" w:rsidP="002C742D">
            <w:pPr>
              <w:autoSpaceDE w:val="0"/>
              <w:autoSpaceDN w:val="0"/>
              <w:adjustRightInd w:val="0"/>
              <w:ind w:left="60" w:right="60"/>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Total</w:t>
            </w:r>
          </w:p>
        </w:tc>
        <w:tc>
          <w:tcPr>
            <w:tcW w:w="992" w:type="dxa"/>
            <w:tcBorders>
              <w:top w:val="nil"/>
              <w:left w:val="single" w:sz="16" w:space="0" w:color="000000"/>
            </w:tcBorders>
            <w:shd w:val="clear" w:color="auto" w:fill="FFFFFF"/>
          </w:tcPr>
          <w:p w:rsidR="003F703E" w:rsidRPr="003F703E" w:rsidRDefault="003F703E" w:rsidP="002C742D">
            <w:pPr>
              <w:autoSpaceDE w:val="0"/>
              <w:autoSpaceDN w:val="0"/>
              <w:adjustRightInd w:val="0"/>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25</w:t>
            </w:r>
          </w:p>
        </w:tc>
        <w:tc>
          <w:tcPr>
            <w:tcW w:w="1276" w:type="dxa"/>
            <w:tcBorders>
              <w:top w:val="nil"/>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c>
          <w:tcPr>
            <w:tcW w:w="1417" w:type="dxa"/>
            <w:tcBorders>
              <w:top w:val="nil"/>
              <w:right w:val="single" w:sz="16" w:space="0" w:color="000000"/>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r>
      <w:tr w:rsidR="003F703E" w:rsidRPr="003F703E" w:rsidTr="002C742D">
        <w:trPr>
          <w:cantSplit/>
          <w:tblHeader/>
        </w:trPr>
        <w:tc>
          <w:tcPr>
            <w:tcW w:w="3261" w:type="dxa"/>
            <w:vMerge w:val="restart"/>
            <w:tcBorders>
              <w:left w:val="single" w:sz="16" w:space="0" w:color="000000"/>
              <w:right w:val="nil"/>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Real Estate 2011 sector allocation - Real Estate 2006 sector allocation</w:t>
            </w:r>
          </w:p>
        </w:tc>
        <w:tc>
          <w:tcPr>
            <w:tcW w:w="2126" w:type="dxa"/>
            <w:tcBorders>
              <w:left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Negative</w:t>
            </w:r>
            <w:proofErr w:type="spellEnd"/>
            <w:r w:rsidRPr="003F703E">
              <w:rPr>
                <w:rFonts w:ascii="Arial" w:hAnsi="Arial" w:cs="Arial"/>
                <w:color w:val="000000"/>
                <w:sz w:val="18"/>
                <w:szCs w:val="18"/>
                <w:lang w:val="nl-NL" w:eastAsia="en-US" w:bidi="ar-SA"/>
              </w:rPr>
              <w:t xml:space="preserve"> Ranks</w:t>
            </w:r>
          </w:p>
        </w:tc>
        <w:tc>
          <w:tcPr>
            <w:tcW w:w="992" w:type="dxa"/>
            <w:tcBorders>
              <w:left w:val="single" w:sz="16" w:space="0" w:color="000000"/>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3</w:t>
            </w:r>
            <w:r w:rsidRPr="003F703E">
              <w:rPr>
                <w:rFonts w:ascii="Arial" w:hAnsi="Arial" w:cs="Arial"/>
                <w:color w:val="000000"/>
                <w:sz w:val="18"/>
                <w:szCs w:val="18"/>
                <w:vertAlign w:val="superscript"/>
                <w:lang w:val="nl-NL" w:eastAsia="en-US" w:bidi="ar-SA"/>
              </w:rPr>
              <w:t>d</w:t>
            </w:r>
          </w:p>
        </w:tc>
        <w:tc>
          <w:tcPr>
            <w:tcW w:w="1276" w:type="dxa"/>
            <w:tcBorders>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5.00</w:t>
            </w:r>
          </w:p>
        </w:tc>
        <w:tc>
          <w:tcPr>
            <w:tcW w:w="1417" w:type="dxa"/>
            <w:tcBorders>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15.00</w:t>
            </w:r>
          </w:p>
        </w:tc>
      </w:tr>
      <w:tr w:rsidR="003F703E" w:rsidRPr="003F703E" w:rsidTr="002C742D">
        <w:trPr>
          <w:cantSplit/>
          <w:tblHeader/>
        </w:trPr>
        <w:tc>
          <w:tcPr>
            <w:tcW w:w="3261" w:type="dxa"/>
            <w:vMerge/>
            <w:tcBorders>
              <w:left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Positive</w:t>
            </w:r>
            <w:proofErr w:type="spellEnd"/>
            <w:r w:rsidRPr="003F703E">
              <w:rPr>
                <w:rFonts w:ascii="Arial" w:hAnsi="Arial" w:cs="Arial"/>
                <w:color w:val="000000"/>
                <w:sz w:val="18"/>
                <w:szCs w:val="18"/>
                <w:lang w:val="nl-NL" w:eastAsia="en-US" w:bidi="ar-SA"/>
              </w:rPr>
              <w:t xml:space="preserve"> Ranks</w:t>
            </w:r>
          </w:p>
        </w:tc>
        <w:tc>
          <w:tcPr>
            <w:tcW w:w="992" w:type="dxa"/>
            <w:tcBorders>
              <w:top w:val="nil"/>
              <w:left w:val="single" w:sz="16" w:space="0" w:color="000000"/>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6</w:t>
            </w:r>
            <w:r w:rsidRPr="003F703E">
              <w:rPr>
                <w:rFonts w:ascii="Arial" w:hAnsi="Arial" w:cs="Arial"/>
                <w:color w:val="000000"/>
                <w:sz w:val="18"/>
                <w:szCs w:val="18"/>
                <w:vertAlign w:val="superscript"/>
                <w:lang w:val="nl-NL" w:eastAsia="en-US" w:bidi="ar-SA"/>
              </w:rPr>
              <w:t>e</w:t>
            </w:r>
          </w:p>
        </w:tc>
        <w:tc>
          <w:tcPr>
            <w:tcW w:w="1276" w:type="dxa"/>
            <w:tcBorders>
              <w:top w:val="nil"/>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5.00</w:t>
            </w:r>
          </w:p>
        </w:tc>
        <w:tc>
          <w:tcPr>
            <w:tcW w:w="1417" w:type="dxa"/>
            <w:tcBorders>
              <w:top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30.00</w:t>
            </w:r>
          </w:p>
        </w:tc>
      </w:tr>
      <w:tr w:rsidR="003F703E" w:rsidRPr="003F703E" w:rsidTr="002C742D">
        <w:trPr>
          <w:cantSplit/>
          <w:tblHeader/>
        </w:trPr>
        <w:tc>
          <w:tcPr>
            <w:tcW w:w="3261" w:type="dxa"/>
            <w:vMerge/>
            <w:tcBorders>
              <w:left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bottom w:val="nil"/>
              <w:right w:val="single" w:sz="16" w:space="0" w:color="000000"/>
            </w:tcBorders>
            <w:shd w:val="clear" w:color="auto" w:fill="FFFFFF"/>
          </w:tcPr>
          <w:p w:rsidR="003F703E" w:rsidRPr="003F703E" w:rsidRDefault="003F703E" w:rsidP="002C742D">
            <w:pPr>
              <w:autoSpaceDE w:val="0"/>
              <w:autoSpaceDN w:val="0"/>
              <w:adjustRightInd w:val="0"/>
              <w:ind w:left="60" w:right="60"/>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Ties</w:t>
            </w:r>
          </w:p>
        </w:tc>
        <w:tc>
          <w:tcPr>
            <w:tcW w:w="992" w:type="dxa"/>
            <w:tcBorders>
              <w:top w:val="nil"/>
              <w:left w:val="single" w:sz="16" w:space="0" w:color="000000"/>
              <w:bottom w:val="nil"/>
            </w:tcBorders>
            <w:shd w:val="clear" w:color="auto" w:fill="FFFFFF"/>
          </w:tcPr>
          <w:p w:rsidR="003F703E" w:rsidRPr="003F703E" w:rsidRDefault="003F703E" w:rsidP="002C742D">
            <w:pPr>
              <w:autoSpaceDE w:val="0"/>
              <w:autoSpaceDN w:val="0"/>
              <w:adjustRightInd w:val="0"/>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16</w:t>
            </w:r>
            <w:r w:rsidRPr="003F703E">
              <w:rPr>
                <w:rFonts w:ascii="Arial" w:hAnsi="Arial" w:cs="Arial"/>
                <w:color w:val="000000"/>
                <w:sz w:val="18"/>
                <w:szCs w:val="18"/>
                <w:vertAlign w:val="superscript"/>
                <w:lang w:val="nl-NL" w:eastAsia="en-US" w:bidi="ar-SA"/>
              </w:rPr>
              <w:t>f</w:t>
            </w:r>
          </w:p>
        </w:tc>
        <w:tc>
          <w:tcPr>
            <w:tcW w:w="1276" w:type="dxa"/>
            <w:tcBorders>
              <w:top w:val="nil"/>
              <w:bottom w:val="nil"/>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c>
          <w:tcPr>
            <w:tcW w:w="1417" w:type="dxa"/>
            <w:tcBorders>
              <w:top w:val="nil"/>
              <w:bottom w:val="nil"/>
              <w:right w:val="single" w:sz="16" w:space="0" w:color="000000"/>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r>
      <w:tr w:rsidR="003F703E" w:rsidRPr="003F703E" w:rsidTr="002C742D">
        <w:trPr>
          <w:cantSplit/>
          <w:tblHeader/>
        </w:trPr>
        <w:tc>
          <w:tcPr>
            <w:tcW w:w="3261" w:type="dxa"/>
            <w:vMerge/>
            <w:tcBorders>
              <w:left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cs="Times New Roman"/>
                <w:lang w:val="nl-NL" w:eastAsia="en-US" w:bidi="ar-SA"/>
              </w:rPr>
            </w:pPr>
          </w:p>
        </w:tc>
        <w:tc>
          <w:tcPr>
            <w:tcW w:w="2126" w:type="dxa"/>
            <w:tcBorders>
              <w:top w:val="nil"/>
              <w:left w:val="nil"/>
              <w:right w:val="single" w:sz="16" w:space="0" w:color="000000"/>
            </w:tcBorders>
            <w:shd w:val="clear" w:color="auto" w:fill="FFFFFF"/>
          </w:tcPr>
          <w:p w:rsidR="003F703E" w:rsidRPr="003F703E" w:rsidRDefault="003F703E" w:rsidP="002C742D">
            <w:pPr>
              <w:autoSpaceDE w:val="0"/>
              <w:autoSpaceDN w:val="0"/>
              <w:adjustRightInd w:val="0"/>
              <w:ind w:left="60" w:right="60"/>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Total</w:t>
            </w:r>
          </w:p>
        </w:tc>
        <w:tc>
          <w:tcPr>
            <w:tcW w:w="992" w:type="dxa"/>
            <w:tcBorders>
              <w:top w:val="nil"/>
              <w:left w:val="single" w:sz="16" w:space="0" w:color="000000"/>
            </w:tcBorders>
            <w:shd w:val="clear" w:color="auto" w:fill="FFFFFF"/>
          </w:tcPr>
          <w:p w:rsidR="003F703E" w:rsidRPr="003F703E" w:rsidRDefault="003F703E" w:rsidP="002C742D">
            <w:pPr>
              <w:autoSpaceDE w:val="0"/>
              <w:autoSpaceDN w:val="0"/>
              <w:adjustRightInd w:val="0"/>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25</w:t>
            </w:r>
          </w:p>
        </w:tc>
        <w:tc>
          <w:tcPr>
            <w:tcW w:w="1276" w:type="dxa"/>
            <w:tcBorders>
              <w:top w:val="nil"/>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c>
          <w:tcPr>
            <w:tcW w:w="1417" w:type="dxa"/>
            <w:tcBorders>
              <w:top w:val="nil"/>
              <w:right w:val="single" w:sz="16" w:space="0" w:color="000000"/>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r>
      <w:tr w:rsidR="003F703E" w:rsidRPr="003F703E" w:rsidTr="002C742D">
        <w:trPr>
          <w:cantSplit/>
          <w:tblHeader/>
        </w:trPr>
        <w:tc>
          <w:tcPr>
            <w:tcW w:w="3261" w:type="dxa"/>
            <w:vMerge w:val="restart"/>
            <w:tcBorders>
              <w:left w:val="single" w:sz="16" w:space="0" w:color="000000"/>
              <w:bottom w:val="single" w:sz="16" w:space="0" w:color="000000"/>
              <w:right w:val="nil"/>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Real Estate 2011 position allocation - Real Estate 2006 position allocation</w:t>
            </w:r>
          </w:p>
        </w:tc>
        <w:tc>
          <w:tcPr>
            <w:tcW w:w="2126" w:type="dxa"/>
            <w:tcBorders>
              <w:left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Negative</w:t>
            </w:r>
            <w:proofErr w:type="spellEnd"/>
            <w:r w:rsidRPr="003F703E">
              <w:rPr>
                <w:rFonts w:ascii="Arial" w:hAnsi="Arial" w:cs="Arial"/>
                <w:color w:val="000000"/>
                <w:sz w:val="18"/>
                <w:szCs w:val="18"/>
                <w:lang w:val="nl-NL" w:eastAsia="en-US" w:bidi="ar-SA"/>
              </w:rPr>
              <w:t xml:space="preserve"> Ranks</w:t>
            </w:r>
          </w:p>
        </w:tc>
        <w:tc>
          <w:tcPr>
            <w:tcW w:w="992" w:type="dxa"/>
            <w:tcBorders>
              <w:left w:val="single" w:sz="16" w:space="0" w:color="000000"/>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1</w:t>
            </w:r>
            <w:r w:rsidRPr="003F703E">
              <w:rPr>
                <w:rFonts w:ascii="Arial" w:hAnsi="Arial" w:cs="Arial"/>
                <w:color w:val="000000"/>
                <w:sz w:val="18"/>
                <w:szCs w:val="18"/>
                <w:vertAlign w:val="superscript"/>
                <w:lang w:val="nl-NL" w:eastAsia="en-US" w:bidi="ar-SA"/>
              </w:rPr>
              <w:t>g</w:t>
            </w:r>
          </w:p>
        </w:tc>
        <w:tc>
          <w:tcPr>
            <w:tcW w:w="1276" w:type="dxa"/>
            <w:tcBorders>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2.00</w:t>
            </w:r>
          </w:p>
        </w:tc>
        <w:tc>
          <w:tcPr>
            <w:tcW w:w="1417" w:type="dxa"/>
            <w:tcBorders>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2.00</w:t>
            </w:r>
          </w:p>
        </w:tc>
      </w:tr>
      <w:tr w:rsidR="003F703E" w:rsidRPr="003F703E" w:rsidTr="002C742D">
        <w:trPr>
          <w:cantSplit/>
          <w:tblHeader/>
        </w:trPr>
        <w:tc>
          <w:tcPr>
            <w:tcW w:w="3261" w:type="dxa"/>
            <w:vMerge/>
            <w:tcBorders>
              <w:left w:val="single" w:sz="16" w:space="0" w:color="000000"/>
              <w:bottom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Positive</w:t>
            </w:r>
            <w:proofErr w:type="spellEnd"/>
            <w:r w:rsidRPr="003F703E">
              <w:rPr>
                <w:rFonts w:ascii="Arial" w:hAnsi="Arial" w:cs="Arial"/>
                <w:color w:val="000000"/>
                <w:sz w:val="18"/>
                <w:szCs w:val="18"/>
                <w:lang w:val="nl-NL" w:eastAsia="en-US" w:bidi="ar-SA"/>
              </w:rPr>
              <w:t xml:space="preserve"> Ranks</w:t>
            </w:r>
          </w:p>
        </w:tc>
        <w:tc>
          <w:tcPr>
            <w:tcW w:w="992" w:type="dxa"/>
            <w:tcBorders>
              <w:top w:val="nil"/>
              <w:left w:val="single" w:sz="16" w:space="0" w:color="000000"/>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w:t>
            </w:r>
            <w:r w:rsidRPr="003F703E">
              <w:rPr>
                <w:rFonts w:ascii="Arial" w:hAnsi="Arial" w:cs="Arial"/>
                <w:color w:val="000000"/>
                <w:sz w:val="18"/>
                <w:szCs w:val="18"/>
                <w:vertAlign w:val="superscript"/>
                <w:lang w:val="nl-NL" w:eastAsia="en-US" w:bidi="ar-SA"/>
              </w:rPr>
              <w:t>h</w:t>
            </w:r>
          </w:p>
        </w:tc>
        <w:tc>
          <w:tcPr>
            <w:tcW w:w="1276" w:type="dxa"/>
            <w:tcBorders>
              <w:top w:val="nil"/>
              <w:bottom w:val="nil"/>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2.00</w:t>
            </w:r>
          </w:p>
        </w:tc>
        <w:tc>
          <w:tcPr>
            <w:tcW w:w="1417" w:type="dxa"/>
            <w:tcBorders>
              <w:top w:val="nil"/>
              <w:bottom w:val="nil"/>
              <w:right w:val="single" w:sz="16" w:space="0" w:color="000000"/>
            </w:tcBorders>
            <w:shd w:val="clear" w:color="auto" w:fill="FFFFFF"/>
          </w:tcPr>
          <w:p w:rsidR="003F703E" w:rsidRPr="003F703E" w:rsidRDefault="003F703E" w:rsidP="008C49DE">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4.00</w:t>
            </w:r>
          </w:p>
        </w:tc>
      </w:tr>
      <w:tr w:rsidR="003F703E" w:rsidRPr="003F703E" w:rsidTr="002C742D">
        <w:trPr>
          <w:cantSplit/>
          <w:tblHeader/>
        </w:trPr>
        <w:tc>
          <w:tcPr>
            <w:tcW w:w="3261" w:type="dxa"/>
            <w:vMerge/>
            <w:tcBorders>
              <w:left w:val="single" w:sz="16" w:space="0" w:color="000000"/>
              <w:bottom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ascii="Arial" w:hAnsi="Arial" w:cs="Arial"/>
                <w:color w:val="000000"/>
                <w:sz w:val="18"/>
                <w:szCs w:val="18"/>
                <w:lang w:val="nl-NL" w:eastAsia="en-US" w:bidi="ar-SA"/>
              </w:rPr>
            </w:pPr>
          </w:p>
        </w:tc>
        <w:tc>
          <w:tcPr>
            <w:tcW w:w="2126" w:type="dxa"/>
            <w:tcBorders>
              <w:top w:val="nil"/>
              <w:left w:val="nil"/>
              <w:bottom w:val="nil"/>
              <w:right w:val="single" w:sz="16" w:space="0" w:color="000000"/>
            </w:tcBorders>
            <w:shd w:val="clear" w:color="auto" w:fill="FFFFFF"/>
          </w:tcPr>
          <w:p w:rsidR="003F703E" w:rsidRPr="003F703E" w:rsidRDefault="003F703E" w:rsidP="002C742D">
            <w:pPr>
              <w:autoSpaceDE w:val="0"/>
              <w:autoSpaceDN w:val="0"/>
              <w:adjustRightInd w:val="0"/>
              <w:ind w:left="60" w:right="60"/>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Ties</w:t>
            </w:r>
          </w:p>
        </w:tc>
        <w:tc>
          <w:tcPr>
            <w:tcW w:w="992" w:type="dxa"/>
            <w:tcBorders>
              <w:top w:val="nil"/>
              <w:left w:val="single" w:sz="16" w:space="0" w:color="000000"/>
              <w:bottom w:val="nil"/>
            </w:tcBorders>
            <w:shd w:val="clear" w:color="auto" w:fill="FFFFFF"/>
          </w:tcPr>
          <w:p w:rsidR="003F703E" w:rsidRPr="003F703E" w:rsidRDefault="003F703E" w:rsidP="002C742D">
            <w:pPr>
              <w:autoSpaceDE w:val="0"/>
              <w:autoSpaceDN w:val="0"/>
              <w:adjustRightInd w:val="0"/>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22</w:t>
            </w:r>
            <w:r w:rsidRPr="003F703E">
              <w:rPr>
                <w:rFonts w:ascii="Arial" w:hAnsi="Arial" w:cs="Arial"/>
                <w:color w:val="000000"/>
                <w:sz w:val="18"/>
                <w:szCs w:val="18"/>
                <w:vertAlign w:val="superscript"/>
                <w:lang w:val="nl-NL" w:eastAsia="en-US" w:bidi="ar-SA"/>
              </w:rPr>
              <w:t>i</w:t>
            </w:r>
          </w:p>
        </w:tc>
        <w:tc>
          <w:tcPr>
            <w:tcW w:w="1276" w:type="dxa"/>
            <w:tcBorders>
              <w:top w:val="nil"/>
              <w:bottom w:val="nil"/>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c>
          <w:tcPr>
            <w:tcW w:w="1417" w:type="dxa"/>
            <w:tcBorders>
              <w:top w:val="nil"/>
              <w:bottom w:val="nil"/>
              <w:right w:val="single" w:sz="16" w:space="0" w:color="000000"/>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r>
      <w:tr w:rsidR="003F703E" w:rsidRPr="003F703E" w:rsidTr="002C742D">
        <w:trPr>
          <w:cantSplit/>
          <w:tblHeader/>
        </w:trPr>
        <w:tc>
          <w:tcPr>
            <w:tcW w:w="3261" w:type="dxa"/>
            <w:vMerge/>
            <w:tcBorders>
              <w:left w:val="single" w:sz="16" w:space="0" w:color="000000"/>
              <w:bottom w:val="single" w:sz="16" w:space="0" w:color="000000"/>
              <w:right w:val="nil"/>
            </w:tcBorders>
            <w:shd w:val="clear" w:color="auto" w:fill="FFFFFF"/>
          </w:tcPr>
          <w:p w:rsidR="003F703E" w:rsidRPr="003F703E" w:rsidRDefault="003F703E" w:rsidP="008C49DE">
            <w:pPr>
              <w:autoSpaceDE w:val="0"/>
              <w:autoSpaceDN w:val="0"/>
              <w:adjustRightInd w:val="0"/>
              <w:spacing w:line="276" w:lineRule="auto"/>
              <w:rPr>
                <w:rFonts w:cs="Times New Roman"/>
                <w:lang w:val="nl-NL" w:eastAsia="en-US" w:bidi="ar-SA"/>
              </w:rPr>
            </w:pPr>
          </w:p>
        </w:tc>
        <w:tc>
          <w:tcPr>
            <w:tcW w:w="2126" w:type="dxa"/>
            <w:tcBorders>
              <w:top w:val="nil"/>
              <w:left w:val="nil"/>
              <w:bottom w:val="single" w:sz="16" w:space="0" w:color="000000"/>
              <w:right w:val="single" w:sz="16" w:space="0" w:color="000000"/>
            </w:tcBorders>
            <w:shd w:val="clear" w:color="auto" w:fill="FFFFFF"/>
          </w:tcPr>
          <w:p w:rsidR="003F703E" w:rsidRPr="003F703E" w:rsidRDefault="003F703E" w:rsidP="002C742D">
            <w:pPr>
              <w:autoSpaceDE w:val="0"/>
              <w:autoSpaceDN w:val="0"/>
              <w:adjustRightInd w:val="0"/>
              <w:ind w:left="60" w:right="60"/>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Total</w:t>
            </w:r>
          </w:p>
        </w:tc>
        <w:tc>
          <w:tcPr>
            <w:tcW w:w="992" w:type="dxa"/>
            <w:tcBorders>
              <w:top w:val="nil"/>
              <w:left w:val="single" w:sz="16" w:space="0" w:color="000000"/>
              <w:bottom w:val="single" w:sz="16" w:space="0" w:color="000000"/>
            </w:tcBorders>
            <w:shd w:val="clear" w:color="auto" w:fill="FFFFFF"/>
          </w:tcPr>
          <w:p w:rsidR="003F703E" w:rsidRPr="003F703E" w:rsidRDefault="003F703E" w:rsidP="002C742D">
            <w:pPr>
              <w:autoSpaceDE w:val="0"/>
              <w:autoSpaceDN w:val="0"/>
              <w:adjustRightInd w:val="0"/>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25</w:t>
            </w:r>
          </w:p>
        </w:tc>
        <w:tc>
          <w:tcPr>
            <w:tcW w:w="1276" w:type="dxa"/>
            <w:tcBorders>
              <w:top w:val="nil"/>
              <w:bottom w:val="single" w:sz="16" w:space="0" w:color="000000"/>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c>
          <w:tcPr>
            <w:tcW w:w="1417" w:type="dxa"/>
            <w:tcBorders>
              <w:top w:val="nil"/>
              <w:bottom w:val="single" w:sz="16" w:space="0" w:color="000000"/>
              <w:right w:val="single" w:sz="16" w:space="0" w:color="000000"/>
            </w:tcBorders>
            <w:shd w:val="clear" w:color="auto" w:fill="FFFFFF"/>
            <w:vAlign w:val="center"/>
          </w:tcPr>
          <w:p w:rsidR="003F703E" w:rsidRPr="003F703E" w:rsidRDefault="003F703E" w:rsidP="002C742D">
            <w:pPr>
              <w:autoSpaceDE w:val="0"/>
              <w:autoSpaceDN w:val="0"/>
              <w:adjustRightInd w:val="0"/>
              <w:jc w:val="center"/>
              <w:rPr>
                <w:rFonts w:cs="Times New Roman"/>
                <w:lang w:val="nl-NL" w:eastAsia="en-US" w:bidi="ar-SA"/>
              </w:rPr>
            </w:pPr>
          </w:p>
        </w:tc>
      </w:tr>
      <w:tr w:rsidR="003F703E" w:rsidRPr="003F703E" w:rsidTr="002C742D">
        <w:trPr>
          <w:cantSplit/>
        </w:trPr>
        <w:tc>
          <w:tcPr>
            <w:tcW w:w="9072" w:type="dxa"/>
            <w:gridSpan w:val="5"/>
            <w:tcBorders>
              <w:top w:val="nil"/>
              <w:left w:val="nil"/>
              <w:bottom w:val="nil"/>
              <w:right w:val="nil"/>
            </w:tcBorders>
            <w:shd w:val="clear" w:color="auto" w:fill="FFFFFF"/>
          </w:tcPr>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a. Real Estate 2011 region allocation &lt; Real Estate 2006 region allocation</w:t>
            </w:r>
          </w:p>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b. Real Estate 2011 region allocation &gt; Real Estate 2006 region allocation</w:t>
            </w:r>
          </w:p>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c. Real Estate 2011 region allocation = Real Estate 2006 region allocation</w:t>
            </w:r>
          </w:p>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d. Real Estate 2011 sector allocation &lt; Real Estate 2006 sector allocation</w:t>
            </w:r>
          </w:p>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e. Real Estate 2011 sector allocation &gt; Real Estate 2006 sector allocation</w:t>
            </w:r>
          </w:p>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f. Real Estate 2011 sector allocation = Real Estate 2006 sector allocation</w:t>
            </w:r>
          </w:p>
          <w:p w:rsidR="003F703E" w:rsidRPr="003F703E" w:rsidRDefault="00511B05" w:rsidP="008C49DE">
            <w:pPr>
              <w:autoSpaceDE w:val="0"/>
              <w:autoSpaceDN w:val="0"/>
              <w:adjustRightInd w:val="0"/>
              <w:spacing w:line="276" w:lineRule="auto"/>
              <w:ind w:left="60" w:right="60"/>
              <w:rPr>
                <w:rFonts w:ascii="Arial" w:hAnsi="Arial" w:cs="Arial"/>
                <w:color w:val="000000"/>
                <w:sz w:val="18"/>
                <w:szCs w:val="18"/>
                <w:lang w:val="en-US" w:eastAsia="en-US" w:bidi="ar-SA"/>
              </w:rPr>
            </w:pPr>
            <w:r>
              <w:rPr>
                <w:rFonts w:ascii="Arial" w:hAnsi="Arial" w:cs="Arial"/>
                <w:color w:val="000000"/>
                <w:sz w:val="18"/>
                <w:szCs w:val="18"/>
                <w:lang w:val="en-US" w:eastAsia="en-US" w:bidi="ar-SA"/>
              </w:rPr>
              <w:t>g. Real Estate 2011 pos</w:t>
            </w:r>
            <w:r w:rsidR="003F703E" w:rsidRPr="003F703E">
              <w:rPr>
                <w:rFonts w:ascii="Arial" w:hAnsi="Arial" w:cs="Arial"/>
                <w:color w:val="000000"/>
                <w:sz w:val="18"/>
                <w:szCs w:val="18"/>
                <w:lang w:val="en-US" w:eastAsia="en-US" w:bidi="ar-SA"/>
              </w:rPr>
              <w:t>ition allocation &lt; Real Estate 2006 position allocation</w:t>
            </w:r>
          </w:p>
          <w:p w:rsidR="003F703E" w:rsidRPr="003F703E" w:rsidRDefault="003F703E" w:rsidP="008C49DE">
            <w:pPr>
              <w:autoSpaceDE w:val="0"/>
              <w:autoSpaceDN w:val="0"/>
              <w:adjustRightInd w:val="0"/>
              <w:spacing w:line="276" w:lineRule="auto"/>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h. Real Estate 2011 position allocation &gt; Real Estate 2006 position allocation</w:t>
            </w:r>
          </w:p>
          <w:p w:rsidR="003F703E" w:rsidRPr="003F703E" w:rsidRDefault="003F703E" w:rsidP="008263D9">
            <w:pPr>
              <w:autoSpaceDE w:val="0"/>
              <w:autoSpaceDN w:val="0"/>
              <w:adjustRightInd w:val="0"/>
              <w:spacing w:line="276" w:lineRule="auto"/>
              <w:ind w:left="60" w:right="60"/>
              <w:rPr>
                <w:rFonts w:ascii="Arial" w:hAnsi="Arial" w:cs="Arial"/>
                <w:color w:val="000000"/>
                <w:sz w:val="18"/>
                <w:szCs w:val="18"/>
                <w:lang w:val="en-US" w:eastAsia="en-US" w:bidi="ar-SA"/>
              </w:rPr>
            </w:pPr>
            <w:proofErr w:type="spellStart"/>
            <w:r w:rsidRPr="003F703E">
              <w:rPr>
                <w:rFonts w:ascii="Arial" w:hAnsi="Arial" w:cs="Arial"/>
                <w:color w:val="000000"/>
                <w:sz w:val="18"/>
                <w:szCs w:val="18"/>
                <w:lang w:val="en-US" w:eastAsia="en-US" w:bidi="ar-SA"/>
              </w:rPr>
              <w:t>i</w:t>
            </w:r>
            <w:proofErr w:type="spellEnd"/>
            <w:r w:rsidRPr="003F703E">
              <w:rPr>
                <w:rFonts w:ascii="Arial" w:hAnsi="Arial" w:cs="Arial"/>
                <w:color w:val="000000"/>
                <w:sz w:val="18"/>
                <w:szCs w:val="18"/>
                <w:lang w:val="en-US" w:eastAsia="en-US" w:bidi="ar-SA"/>
              </w:rPr>
              <w:t>. Real Estate 2011 position allocation = Real Estate 2006 position allocation</w:t>
            </w:r>
          </w:p>
        </w:tc>
      </w:tr>
    </w:tbl>
    <w:p w:rsidR="003F703E" w:rsidRPr="003F703E" w:rsidRDefault="00E945FD" w:rsidP="008263D9">
      <w:pPr>
        <w:spacing w:line="320" w:lineRule="atLeast"/>
        <w:rPr>
          <w:rFonts w:cs="Times New Roman"/>
          <w:lang w:val="en-US" w:eastAsia="en-US" w:bidi="ar-SA"/>
        </w:rPr>
      </w:pPr>
      <w:r>
        <w:rPr>
          <w:rFonts w:cs="Times New Roman"/>
          <w:sz w:val="20"/>
          <w:szCs w:val="20"/>
          <w:lang w:val="en-US" w:eastAsia="en-US" w:bidi="ar-SA"/>
        </w:rPr>
        <w:t>Table 2</w:t>
      </w:r>
      <w:r w:rsidR="00174C85">
        <w:rPr>
          <w:rFonts w:cs="Times New Roman"/>
          <w:sz w:val="20"/>
          <w:szCs w:val="20"/>
          <w:lang w:val="en-US" w:eastAsia="en-US" w:bidi="ar-SA"/>
        </w:rPr>
        <w:t>2</w:t>
      </w:r>
      <w:r w:rsidR="003F703E" w:rsidRPr="00511B05">
        <w:rPr>
          <w:rFonts w:cs="Times New Roman"/>
          <w:sz w:val="20"/>
          <w:szCs w:val="20"/>
          <w:lang w:val="en-US" w:eastAsia="en-US" w:bidi="ar-SA"/>
        </w:rPr>
        <w:t xml:space="preserve">: </w:t>
      </w:r>
      <w:r w:rsidR="00CF779B">
        <w:rPr>
          <w:rFonts w:cs="Times New Roman"/>
          <w:sz w:val="20"/>
          <w:szCs w:val="20"/>
          <w:lang w:val="en-US" w:eastAsia="en-US" w:bidi="ar-SA"/>
        </w:rPr>
        <w:t>Ranks</w:t>
      </w:r>
      <w:r w:rsidR="003F703E" w:rsidRPr="00511B05">
        <w:rPr>
          <w:rFonts w:cs="Times New Roman"/>
          <w:sz w:val="20"/>
          <w:szCs w:val="20"/>
          <w:lang w:val="en-US" w:eastAsia="en-US" w:bidi="ar-SA"/>
        </w:rPr>
        <w:t xml:space="preserve"> applied to disclosures of region, sector and position allocations regarding real estate</w:t>
      </w:r>
    </w:p>
    <w:p w:rsidR="00EA4247" w:rsidRDefault="00EA4247" w:rsidP="002C742D">
      <w:pPr>
        <w:autoSpaceDE w:val="0"/>
        <w:autoSpaceDN w:val="0"/>
        <w:adjustRightInd w:val="0"/>
        <w:rPr>
          <w:rFonts w:cs="Times New Roman"/>
          <w:lang w:val="en-US" w:eastAsia="en-US" w:bidi="ar-SA"/>
        </w:rPr>
      </w:pPr>
    </w:p>
    <w:p w:rsidR="002C742D" w:rsidRDefault="008C5559" w:rsidP="002C742D">
      <w:pPr>
        <w:autoSpaceDE w:val="0"/>
        <w:autoSpaceDN w:val="0"/>
        <w:adjustRightInd w:val="0"/>
        <w:spacing w:line="360" w:lineRule="auto"/>
        <w:jc w:val="both"/>
        <w:rPr>
          <w:rFonts w:cs="Times New Roman"/>
          <w:lang w:val="en-US" w:eastAsia="en-US" w:bidi="ar-SA"/>
        </w:rPr>
      </w:pPr>
      <w:r>
        <w:rPr>
          <w:bCs/>
          <w:lang w:val="en-US"/>
        </w:rPr>
        <w:t xml:space="preserve">There outcome variables </w:t>
      </w:r>
      <w:r w:rsidR="002C742D">
        <w:rPr>
          <w:bCs/>
          <w:lang w:val="en-US"/>
        </w:rPr>
        <w:t xml:space="preserve">are dichotomous </w:t>
      </w:r>
      <w:r>
        <w:rPr>
          <w:bCs/>
          <w:lang w:val="en-US"/>
        </w:rPr>
        <w:t xml:space="preserve">(allocation disclosed, 0=no, 1=yes). </w:t>
      </w:r>
      <w:r w:rsidR="00E945FD">
        <w:rPr>
          <w:rFonts w:cs="Times New Roman"/>
          <w:lang w:val="en-US" w:eastAsia="en-US" w:bidi="ar-SA"/>
        </w:rPr>
        <w:t>In table 2</w:t>
      </w:r>
      <w:r w:rsidR="00174C85">
        <w:rPr>
          <w:rFonts w:cs="Times New Roman"/>
          <w:lang w:val="en-US" w:eastAsia="en-US" w:bidi="ar-SA"/>
        </w:rPr>
        <w:t>2</w:t>
      </w:r>
      <w:r w:rsidR="00BD7137">
        <w:rPr>
          <w:rFonts w:cs="Times New Roman"/>
          <w:lang w:val="en-US" w:eastAsia="en-US" w:bidi="ar-SA"/>
        </w:rPr>
        <w:t xml:space="preserve"> the positive rank</w:t>
      </w:r>
      <w:r w:rsidR="00CF779B">
        <w:rPr>
          <w:rFonts w:cs="Times New Roman"/>
          <w:lang w:val="en-US" w:eastAsia="en-US" w:bidi="ar-SA"/>
        </w:rPr>
        <w:t xml:space="preserve"> of 6 regarding the pair ‘Real Estate 2011 sector allocation – Real Esta</w:t>
      </w:r>
      <w:r w:rsidR="00FD3CE1">
        <w:rPr>
          <w:rFonts w:cs="Times New Roman"/>
          <w:lang w:val="en-US" w:eastAsia="en-US" w:bidi="ar-SA"/>
        </w:rPr>
        <w:t>te 2006 sector allocation’ shows</w:t>
      </w:r>
      <w:r w:rsidR="00CF779B">
        <w:rPr>
          <w:rFonts w:cs="Times New Roman"/>
          <w:lang w:val="en-US" w:eastAsia="en-US" w:bidi="ar-SA"/>
        </w:rPr>
        <w:t xml:space="preserve"> that in 2011, 6 p</w:t>
      </w:r>
      <w:r w:rsidR="00EA4247">
        <w:rPr>
          <w:rFonts w:cs="Times New Roman"/>
          <w:lang w:val="en-US" w:eastAsia="en-US" w:bidi="ar-SA"/>
        </w:rPr>
        <w:t>ension funds disclosed a sector</w:t>
      </w:r>
      <w:r w:rsidR="00CF779B">
        <w:rPr>
          <w:rFonts w:cs="Times New Roman"/>
          <w:lang w:val="en-US" w:eastAsia="en-US" w:bidi="ar-SA"/>
        </w:rPr>
        <w:t xml:space="preserve"> allo</w:t>
      </w:r>
      <w:r w:rsidR="00BD7137">
        <w:rPr>
          <w:rFonts w:cs="Times New Roman"/>
          <w:lang w:val="en-US" w:eastAsia="en-US" w:bidi="ar-SA"/>
        </w:rPr>
        <w:t>cation, whereas in 2006, the same 6</w:t>
      </w:r>
      <w:r w:rsidR="00CF779B">
        <w:rPr>
          <w:rFonts w:cs="Times New Roman"/>
          <w:lang w:val="en-US" w:eastAsia="en-US" w:bidi="ar-SA"/>
        </w:rPr>
        <w:t xml:space="preserve"> pension funds did not disclose a secto</w:t>
      </w:r>
      <w:r w:rsidR="00BD7137">
        <w:rPr>
          <w:rFonts w:cs="Times New Roman"/>
          <w:lang w:val="en-US" w:eastAsia="en-US" w:bidi="ar-SA"/>
        </w:rPr>
        <w:t>r allocation</w:t>
      </w:r>
      <w:r>
        <w:rPr>
          <w:rFonts w:cs="Times New Roman"/>
          <w:lang w:val="en-US" w:eastAsia="en-US" w:bidi="ar-SA"/>
        </w:rPr>
        <w:t xml:space="preserve"> (outcome variable 1 in 2011 is bigger than outcome variable 0 in 2006)</w:t>
      </w:r>
      <w:r w:rsidR="00BD7137">
        <w:rPr>
          <w:rFonts w:cs="Times New Roman"/>
          <w:lang w:val="en-US" w:eastAsia="en-US" w:bidi="ar-SA"/>
        </w:rPr>
        <w:t>. The negative rank</w:t>
      </w:r>
      <w:r w:rsidR="00CF779B">
        <w:rPr>
          <w:rFonts w:cs="Times New Roman"/>
          <w:lang w:val="en-US" w:eastAsia="en-US" w:bidi="ar-SA"/>
        </w:rPr>
        <w:t xml:space="preserve"> of 3 means the opposite, 3 pension funds disclosed a sector allocation in 20</w:t>
      </w:r>
      <w:r w:rsidR="00EA4247">
        <w:rPr>
          <w:rFonts w:cs="Times New Roman"/>
          <w:lang w:val="en-US" w:eastAsia="en-US" w:bidi="ar-SA"/>
        </w:rPr>
        <w:t xml:space="preserve">06 but </w:t>
      </w:r>
      <w:r w:rsidR="00BD7137">
        <w:rPr>
          <w:rFonts w:cs="Times New Roman"/>
          <w:lang w:val="en-US" w:eastAsia="en-US" w:bidi="ar-SA"/>
        </w:rPr>
        <w:t xml:space="preserve">the same 3 pension funds </w:t>
      </w:r>
      <w:r w:rsidR="00EA4247">
        <w:rPr>
          <w:rFonts w:cs="Times New Roman"/>
          <w:lang w:val="en-US" w:eastAsia="en-US" w:bidi="ar-SA"/>
        </w:rPr>
        <w:t>did not disclose a sector</w:t>
      </w:r>
      <w:r>
        <w:rPr>
          <w:rFonts w:cs="Times New Roman"/>
          <w:lang w:val="en-US" w:eastAsia="en-US" w:bidi="ar-SA"/>
        </w:rPr>
        <w:t xml:space="preserve"> allocation in 2011 anymore</w:t>
      </w:r>
      <w:r w:rsidR="006475C2">
        <w:rPr>
          <w:rFonts w:cs="Times New Roman"/>
          <w:lang w:val="en-US" w:eastAsia="en-US" w:bidi="ar-SA"/>
        </w:rPr>
        <w:t xml:space="preserve"> (outcome variable 0 in 2011 smaller than outcome variable 1 in 2006)</w:t>
      </w:r>
      <w:r w:rsidR="00CF779B">
        <w:rPr>
          <w:rFonts w:cs="Times New Roman"/>
          <w:lang w:val="en-US" w:eastAsia="en-US" w:bidi="ar-SA"/>
        </w:rPr>
        <w:t>. A total of 16 Dutch pension funds</w:t>
      </w:r>
      <w:r w:rsidR="00EA4247">
        <w:rPr>
          <w:rFonts w:cs="Times New Roman"/>
          <w:lang w:val="en-US" w:eastAsia="en-US" w:bidi="ar-SA"/>
        </w:rPr>
        <w:t xml:space="preserve"> did not change their </w:t>
      </w:r>
      <w:r w:rsidR="00FD3CE1">
        <w:rPr>
          <w:rFonts w:cs="Times New Roman"/>
          <w:lang w:val="en-US" w:eastAsia="en-US" w:bidi="ar-SA"/>
        </w:rPr>
        <w:t>disclos</w:t>
      </w:r>
      <w:r w:rsidR="00BD7137">
        <w:rPr>
          <w:rFonts w:cs="Times New Roman"/>
          <w:lang w:val="en-US" w:eastAsia="en-US" w:bidi="ar-SA"/>
        </w:rPr>
        <w:t>ure</w:t>
      </w:r>
      <w:r w:rsidR="00EA4247">
        <w:rPr>
          <w:rFonts w:cs="Times New Roman"/>
          <w:lang w:val="en-US" w:eastAsia="en-US" w:bidi="ar-SA"/>
        </w:rPr>
        <w:t xml:space="preserve">, these funds either </w:t>
      </w:r>
      <w:r w:rsidR="00CF779B">
        <w:rPr>
          <w:rFonts w:cs="Times New Roman"/>
          <w:lang w:val="en-US" w:eastAsia="en-US" w:bidi="ar-SA"/>
        </w:rPr>
        <w:t xml:space="preserve">disclosed both in 2011 and 2006 a </w:t>
      </w:r>
      <w:r w:rsidR="00EA4247">
        <w:rPr>
          <w:rFonts w:cs="Times New Roman"/>
          <w:lang w:val="en-US" w:eastAsia="en-US" w:bidi="ar-SA"/>
        </w:rPr>
        <w:t>sector</w:t>
      </w:r>
      <w:r w:rsidR="00CF779B">
        <w:rPr>
          <w:rFonts w:cs="Times New Roman"/>
          <w:lang w:val="en-US" w:eastAsia="en-US" w:bidi="ar-SA"/>
        </w:rPr>
        <w:t xml:space="preserve"> allocation or did not disclose </w:t>
      </w:r>
      <w:r w:rsidR="00EA4247">
        <w:rPr>
          <w:rFonts w:cs="Times New Roman"/>
          <w:lang w:val="en-US" w:eastAsia="en-US" w:bidi="ar-SA"/>
        </w:rPr>
        <w:t>a sector allocation in both years</w:t>
      </w:r>
      <w:r w:rsidR="007A24D5">
        <w:rPr>
          <w:rFonts w:cs="Times New Roman"/>
          <w:lang w:val="en-US" w:eastAsia="en-US" w:bidi="ar-SA"/>
        </w:rPr>
        <w:t xml:space="preserve"> (outcome variable both in 2006 and 2011</w:t>
      </w:r>
      <w:r w:rsidR="00FC61D7">
        <w:rPr>
          <w:rFonts w:cs="Times New Roman"/>
          <w:lang w:val="en-US" w:eastAsia="en-US" w:bidi="ar-SA"/>
        </w:rPr>
        <w:t>:</w:t>
      </w:r>
      <w:r w:rsidR="007A24D5">
        <w:rPr>
          <w:rFonts w:cs="Times New Roman"/>
          <w:lang w:val="en-US" w:eastAsia="en-US" w:bidi="ar-SA"/>
        </w:rPr>
        <w:t xml:space="preserve"> 0, or outcome variable both in 2006 and 2011</w:t>
      </w:r>
      <w:r w:rsidR="00FC61D7">
        <w:rPr>
          <w:rFonts w:cs="Times New Roman"/>
          <w:lang w:val="en-US" w:eastAsia="en-US" w:bidi="ar-SA"/>
        </w:rPr>
        <w:t>:</w:t>
      </w:r>
      <w:r w:rsidR="007A24D5">
        <w:rPr>
          <w:rFonts w:cs="Times New Roman"/>
          <w:lang w:val="en-US" w:eastAsia="en-US" w:bidi="ar-SA"/>
        </w:rPr>
        <w:t xml:space="preserve"> 1)</w:t>
      </w:r>
      <w:r w:rsidR="00EA4247">
        <w:rPr>
          <w:rFonts w:cs="Times New Roman"/>
          <w:lang w:val="en-US" w:eastAsia="en-US" w:bidi="ar-SA"/>
        </w:rPr>
        <w:t>.</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46"/>
        <w:gridCol w:w="2207"/>
        <w:gridCol w:w="2126"/>
        <w:gridCol w:w="2693"/>
      </w:tblGrid>
      <w:tr w:rsidR="003F703E" w:rsidRPr="003F703E" w:rsidTr="00511B05">
        <w:trPr>
          <w:cantSplit/>
          <w:tblHeader/>
        </w:trPr>
        <w:tc>
          <w:tcPr>
            <w:tcW w:w="9072" w:type="dxa"/>
            <w:gridSpan w:val="4"/>
            <w:tcBorders>
              <w:top w:val="nil"/>
              <w:left w:val="nil"/>
              <w:bottom w:val="nil"/>
              <w:right w:val="nil"/>
            </w:tcBorders>
            <w:shd w:val="clear" w:color="auto" w:fill="FFFFFF"/>
            <w:vAlign w:val="center"/>
          </w:tcPr>
          <w:p w:rsidR="003F703E" w:rsidRPr="003F703E" w:rsidRDefault="003F703E" w:rsidP="003F703E">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3F703E">
              <w:rPr>
                <w:rFonts w:ascii="Arial" w:hAnsi="Arial" w:cs="Arial"/>
                <w:b/>
                <w:bCs/>
                <w:color w:val="000000"/>
                <w:sz w:val="18"/>
                <w:szCs w:val="18"/>
                <w:lang w:val="nl-NL" w:eastAsia="en-US" w:bidi="ar-SA"/>
              </w:rPr>
              <w:t xml:space="preserve">Test </w:t>
            </w:r>
            <w:proofErr w:type="spellStart"/>
            <w:r w:rsidRPr="003F703E">
              <w:rPr>
                <w:rFonts w:ascii="Arial" w:hAnsi="Arial" w:cs="Arial"/>
                <w:b/>
                <w:bCs/>
                <w:color w:val="000000"/>
                <w:sz w:val="18"/>
                <w:szCs w:val="18"/>
                <w:lang w:val="nl-NL" w:eastAsia="en-US" w:bidi="ar-SA"/>
              </w:rPr>
              <w:t>Statistics</w:t>
            </w:r>
            <w:r w:rsidRPr="003F703E">
              <w:rPr>
                <w:rFonts w:ascii="Arial" w:hAnsi="Arial" w:cs="Arial"/>
                <w:b/>
                <w:bCs/>
                <w:color w:val="000000"/>
                <w:sz w:val="18"/>
                <w:szCs w:val="18"/>
                <w:vertAlign w:val="superscript"/>
                <w:lang w:val="nl-NL" w:eastAsia="en-US" w:bidi="ar-SA"/>
              </w:rPr>
              <w:t>b</w:t>
            </w:r>
            <w:proofErr w:type="spellEnd"/>
          </w:p>
        </w:tc>
      </w:tr>
      <w:tr w:rsidR="003F703E" w:rsidRPr="003F703E" w:rsidTr="00511B05">
        <w:trPr>
          <w:cantSplit/>
          <w:tblHeader/>
        </w:trPr>
        <w:tc>
          <w:tcPr>
            <w:tcW w:w="204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F703E" w:rsidRPr="003F703E" w:rsidRDefault="003F703E" w:rsidP="001B19F0">
            <w:pPr>
              <w:autoSpaceDE w:val="0"/>
              <w:autoSpaceDN w:val="0"/>
              <w:adjustRightInd w:val="0"/>
              <w:spacing w:line="276" w:lineRule="auto"/>
              <w:jc w:val="center"/>
              <w:rPr>
                <w:rFonts w:cs="Times New Roman"/>
                <w:lang w:val="nl-NL" w:eastAsia="en-US" w:bidi="ar-SA"/>
              </w:rPr>
            </w:pPr>
          </w:p>
        </w:tc>
        <w:tc>
          <w:tcPr>
            <w:tcW w:w="2207" w:type="dxa"/>
            <w:tcBorders>
              <w:top w:val="single" w:sz="16" w:space="0" w:color="000000"/>
              <w:left w:val="single" w:sz="16" w:space="0" w:color="000000"/>
              <w:bottom w:val="single" w:sz="16" w:space="0" w:color="000000"/>
            </w:tcBorders>
            <w:shd w:val="clear" w:color="auto" w:fill="FFFFFF"/>
            <w:vAlign w:val="bottom"/>
          </w:tcPr>
          <w:p w:rsidR="003F703E" w:rsidRPr="003F703E" w:rsidRDefault="003F703E"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Real Estate 2011 region allocation - Real Estate 2006 region allocation</w:t>
            </w:r>
          </w:p>
        </w:tc>
        <w:tc>
          <w:tcPr>
            <w:tcW w:w="2126" w:type="dxa"/>
            <w:tcBorders>
              <w:top w:val="single" w:sz="16" w:space="0" w:color="000000"/>
              <w:bottom w:val="single" w:sz="16" w:space="0" w:color="000000"/>
            </w:tcBorders>
            <w:shd w:val="clear" w:color="auto" w:fill="FFFFFF"/>
            <w:vAlign w:val="bottom"/>
          </w:tcPr>
          <w:p w:rsidR="003F703E" w:rsidRPr="003F703E" w:rsidRDefault="003F703E"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Real Estate 2011 sector allocation - Real Estate 2006 sector allocation</w:t>
            </w:r>
          </w:p>
        </w:tc>
        <w:tc>
          <w:tcPr>
            <w:tcW w:w="2693" w:type="dxa"/>
            <w:tcBorders>
              <w:top w:val="single" w:sz="16" w:space="0" w:color="000000"/>
              <w:bottom w:val="single" w:sz="16" w:space="0" w:color="000000"/>
              <w:right w:val="single" w:sz="16" w:space="0" w:color="000000"/>
            </w:tcBorders>
            <w:shd w:val="clear" w:color="auto" w:fill="FFFFFF"/>
            <w:vAlign w:val="bottom"/>
          </w:tcPr>
          <w:p w:rsidR="003F703E" w:rsidRPr="003F703E" w:rsidRDefault="003F703E"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Real Estate 2011 position allocation - Real Estate 2006 position allocation</w:t>
            </w:r>
          </w:p>
        </w:tc>
      </w:tr>
      <w:tr w:rsidR="003F703E" w:rsidRPr="003F703E" w:rsidTr="00511B05">
        <w:trPr>
          <w:cantSplit/>
          <w:tblHeader/>
        </w:trPr>
        <w:tc>
          <w:tcPr>
            <w:tcW w:w="2046" w:type="dxa"/>
            <w:tcBorders>
              <w:top w:val="single" w:sz="16" w:space="0" w:color="000000"/>
              <w:left w:val="single" w:sz="16" w:space="0" w:color="000000"/>
              <w:bottom w:val="nil"/>
              <w:right w:val="single" w:sz="16" w:space="0" w:color="000000"/>
            </w:tcBorders>
            <w:shd w:val="clear" w:color="auto" w:fill="FFFFFF"/>
          </w:tcPr>
          <w:p w:rsidR="003F703E" w:rsidRPr="003F703E" w:rsidRDefault="003F703E"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Z</w:t>
            </w:r>
          </w:p>
        </w:tc>
        <w:tc>
          <w:tcPr>
            <w:tcW w:w="2207" w:type="dxa"/>
            <w:tcBorders>
              <w:top w:val="single" w:sz="16" w:space="0" w:color="000000"/>
              <w:left w:val="single" w:sz="16" w:space="0" w:color="000000"/>
              <w:bottom w:val="nil"/>
            </w:tcBorders>
            <w:shd w:val="clear" w:color="auto" w:fill="FFFFFF"/>
          </w:tcPr>
          <w:p w:rsidR="003F703E" w:rsidRPr="003F703E" w:rsidRDefault="003F703E"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-2.828</w:t>
            </w:r>
            <w:r w:rsidRPr="003F703E">
              <w:rPr>
                <w:rFonts w:ascii="Arial" w:hAnsi="Arial" w:cs="Arial"/>
                <w:color w:val="000000"/>
                <w:sz w:val="18"/>
                <w:szCs w:val="18"/>
                <w:vertAlign w:val="superscript"/>
                <w:lang w:val="nl-NL" w:eastAsia="en-US" w:bidi="ar-SA"/>
              </w:rPr>
              <w:t>a</w:t>
            </w:r>
          </w:p>
        </w:tc>
        <w:tc>
          <w:tcPr>
            <w:tcW w:w="2126" w:type="dxa"/>
            <w:tcBorders>
              <w:top w:val="single" w:sz="16" w:space="0" w:color="000000"/>
              <w:bottom w:val="nil"/>
            </w:tcBorders>
            <w:shd w:val="clear" w:color="auto" w:fill="FFFFFF"/>
          </w:tcPr>
          <w:p w:rsidR="003F703E" w:rsidRPr="003F703E" w:rsidRDefault="003F703E"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-1.000</w:t>
            </w:r>
            <w:r w:rsidRPr="003F703E">
              <w:rPr>
                <w:rFonts w:ascii="Arial" w:hAnsi="Arial" w:cs="Arial"/>
                <w:color w:val="000000"/>
                <w:sz w:val="18"/>
                <w:szCs w:val="18"/>
                <w:vertAlign w:val="superscript"/>
                <w:lang w:val="nl-NL" w:eastAsia="en-US" w:bidi="ar-SA"/>
              </w:rPr>
              <w:t>a</w:t>
            </w:r>
          </w:p>
        </w:tc>
        <w:tc>
          <w:tcPr>
            <w:tcW w:w="2693" w:type="dxa"/>
            <w:tcBorders>
              <w:top w:val="single" w:sz="16" w:space="0" w:color="000000"/>
              <w:bottom w:val="nil"/>
              <w:right w:val="single" w:sz="16" w:space="0" w:color="000000"/>
            </w:tcBorders>
            <w:shd w:val="clear" w:color="auto" w:fill="FFFFFF"/>
          </w:tcPr>
          <w:p w:rsidR="003F703E" w:rsidRPr="003F703E" w:rsidRDefault="003F703E"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-.577</w:t>
            </w:r>
            <w:r w:rsidRPr="003F703E">
              <w:rPr>
                <w:rFonts w:ascii="Arial" w:hAnsi="Arial" w:cs="Arial"/>
                <w:color w:val="000000"/>
                <w:sz w:val="18"/>
                <w:szCs w:val="18"/>
                <w:vertAlign w:val="superscript"/>
                <w:lang w:val="nl-NL" w:eastAsia="en-US" w:bidi="ar-SA"/>
              </w:rPr>
              <w:t>a</w:t>
            </w:r>
          </w:p>
        </w:tc>
      </w:tr>
      <w:tr w:rsidR="003F703E" w:rsidRPr="003F703E" w:rsidTr="00511B05">
        <w:trPr>
          <w:cantSplit/>
          <w:tblHeader/>
        </w:trPr>
        <w:tc>
          <w:tcPr>
            <w:tcW w:w="2046" w:type="dxa"/>
            <w:tcBorders>
              <w:top w:val="nil"/>
              <w:left w:val="single" w:sz="16" w:space="0" w:color="000000"/>
              <w:bottom w:val="single" w:sz="16" w:space="0" w:color="000000"/>
              <w:right w:val="single" w:sz="16" w:space="0" w:color="000000"/>
            </w:tcBorders>
            <w:shd w:val="clear" w:color="auto" w:fill="FFFFFF"/>
          </w:tcPr>
          <w:p w:rsidR="003F703E" w:rsidRPr="003F703E" w:rsidRDefault="003F703E" w:rsidP="001B19F0">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3F703E">
              <w:rPr>
                <w:rFonts w:ascii="Arial" w:hAnsi="Arial" w:cs="Arial"/>
                <w:color w:val="000000"/>
                <w:sz w:val="18"/>
                <w:szCs w:val="18"/>
                <w:lang w:val="nl-NL" w:eastAsia="en-US" w:bidi="ar-SA"/>
              </w:rPr>
              <w:t>Asymp</w:t>
            </w:r>
            <w:proofErr w:type="spellEnd"/>
            <w:r w:rsidRPr="003F703E">
              <w:rPr>
                <w:rFonts w:ascii="Arial" w:hAnsi="Arial" w:cs="Arial"/>
                <w:color w:val="000000"/>
                <w:sz w:val="18"/>
                <w:szCs w:val="18"/>
                <w:lang w:val="nl-NL" w:eastAsia="en-US" w:bidi="ar-SA"/>
              </w:rPr>
              <w:t xml:space="preserve">. </w:t>
            </w:r>
            <w:proofErr w:type="spellStart"/>
            <w:r w:rsidRPr="003F703E">
              <w:rPr>
                <w:rFonts w:ascii="Arial" w:hAnsi="Arial" w:cs="Arial"/>
                <w:color w:val="000000"/>
                <w:sz w:val="18"/>
                <w:szCs w:val="18"/>
                <w:lang w:val="nl-NL" w:eastAsia="en-US" w:bidi="ar-SA"/>
              </w:rPr>
              <w:t>Sig</w:t>
            </w:r>
            <w:proofErr w:type="spellEnd"/>
            <w:r w:rsidRPr="003F703E">
              <w:rPr>
                <w:rFonts w:ascii="Arial" w:hAnsi="Arial" w:cs="Arial"/>
                <w:color w:val="000000"/>
                <w:sz w:val="18"/>
                <w:szCs w:val="18"/>
                <w:lang w:val="nl-NL" w:eastAsia="en-US" w:bidi="ar-SA"/>
              </w:rPr>
              <w:t>. (2-tailed)</w:t>
            </w:r>
          </w:p>
        </w:tc>
        <w:tc>
          <w:tcPr>
            <w:tcW w:w="2207" w:type="dxa"/>
            <w:tcBorders>
              <w:top w:val="nil"/>
              <w:left w:val="single" w:sz="16" w:space="0" w:color="000000"/>
              <w:bottom w:val="single" w:sz="16" w:space="0" w:color="000000"/>
            </w:tcBorders>
            <w:shd w:val="clear" w:color="auto" w:fill="FFFFFF"/>
          </w:tcPr>
          <w:p w:rsidR="003F703E" w:rsidRPr="003F703E" w:rsidRDefault="003F703E"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.005</w:t>
            </w:r>
          </w:p>
        </w:tc>
        <w:tc>
          <w:tcPr>
            <w:tcW w:w="2126" w:type="dxa"/>
            <w:tcBorders>
              <w:top w:val="nil"/>
              <w:bottom w:val="single" w:sz="16" w:space="0" w:color="000000"/>
            </w:tcBorders>
            <w:shd w:val="clear" w:color="auto" w:fill="FFFFFF"/>
          </w:tcPr>
          <w:p w:rsidR="003F703E" w:rsidRPr="003F703E" w:rsidRDefault="003F703E"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.317</w:t>
            </w:r>
          </w:p>
        </w:tc>
        <w:tc>
          <w:tcPr>
            <w:tcW w:w="2693" w:type="dxa"/>
            <w:tcBorders>
              <w:top w:val="nil"/>
              <w:bottom w:val="single" w:sz="16" w:space="0" w:color="000000"/>
              <w:right w:val="single" w:sz="16" w:space="0" w:color="000000"/>
            </w:tcBorders>
            <w:shd w:val="clear" w:color="auto" w:fill="FFFFFF"/>
          </w:tcPr>
          <w:p w:rsidR="003F703E" w:rsidRPr="003F703E" w:rsidRDefault="003F703E"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3F703E">
              <w:rPr>
                <w:rFonts w:ascii="Arial" w:hAnsi="Arial" w:cs="Arial"/>
                <w:color w:val="000000"/>
                <w:sz w:val="18"/>
                <w:szCs w:val="18"/>
                <w:lang w:val="nl-NL" w:eastAsia="en-US" w:bidi="ar-SA"/>
              </w:rPr>
              <w:t>.564</w:t>
            </w:r>
          </w:p>
        </w:tc>
      </w:tr>
      <w:tr w:rsidR="003F703E" w:rsidRPr="003F703E" w:rsidTr="00511B05">
        <w:trPr>
          <w:cantSplit/>
        </w:trPr>
        <w:tc>
          <w:tcPr>
            <w:tcW w:w="9072" w:type="dxa"/>
            <w:gridSpan w:val="4"/>
            <w:tcBorders>
              <w:top w:val="nil"/>
              <w:left w:val="nil"/>
              <w:bottom w:val="nil"/>
              <w:right w:val="nil"/>
            </w:tcBorders>
            <w:shd w:val="clear" w:color="auto" w:fill="FFFFFF"/>
          </w:tcPr>
          <w:p w:rsidR="003F703E" w:rsidRPr="003F703E" w:rsidRDefault="003F703E" w:rsidP="002C742D">
            <w:pPr>
              <w:autoSpaceDE w:val="0"/>
              <w:autoSpaceDN w:val="0"/>
              <w:adjustRightInd w:val="0"/>
              <w:ind w:left="60" w:right="60"/>
              <w:rPr>
                <w:rFonts w:ascii="Arial" w:hAnsi="Arial" w:cs="Arial"/>
                <w:color w:val="000000"/>
                <w:sz w:val="18"/>
                <w:szCs w:val="18"/>
                <w:lang w:val="en-US" w:eastAsia="en-US" w:bidi="ar-SA"/>
              </w:rPr>
            </w:pPr>
            <w:r w:rsidRPr="003F703E">
              <w:rPr>
                <w:rFonts w:ascii="Arial" w:hAnsi="Arial" w:cs="Arial"/>
                <w:color w:val="000000"/>
                <w:sz w:val="18"/>
                <w:szCs w:val="18"/>
                <w:lang w:val="en-US" w:eastAsia="en-US" w:bidi="ar-SA"/>
              </w:rPr>
              <w:t>a. Based on negative ranks.</w:t>
            </w:r>
          </w:p>
          <w:p w:rsidR="003F703E" w:rsidRPr="00210323" w:rsidRDefault="003F703E" w:rsidP="002C742D">
            <w:pPr>
              <w:autoSpaceDE w:val="0"/>
              <w:autoSpaceDN w:val="0"/>
              <w:adjustRightInd w:val="0"/>
              <w:ind w:left="60" w:right="60"/>
              <w:rPr>
                <w:rFonts w:ascii="Arial" w:hAnsi="Arial" w:cs="Arial"/>
                <w:color w:val="000000"/>
                <w:sz w:val="18"/>
                <w:szCs w:val="18"/>
                <w:lang w:val="en-US" w:eastAsia="en-US" w:bidi="ar-SA"/>
              </w:rPr>
            </w:pPr>
            <w:r w:rsidRPr="00210323">
              <w:rPr>
                <w:rFonts w:ascii="Arial" w:hAnsi="Arial" w:cs="Arial"/>
                <w:color w:val="000000"/>
                <w:sz w:val="18"/>
                <w:szCs w:val="18"/>
                <w:lang w:val="en-US" w:eastAsia="en-US" w:bidi="ar-SA"/>
              </w:rPr>
              <w:t xml:space="preserve">b. </w:t>
            </w:r>
            <w:proofErr w:type="spellStart"/>
            <w:r w:rsidRPr="00210323">
              <w:rPr>
                <w:rFonts w:ascii="Arial" w:hAnsi="Arial" w:cs="Arial"/>
                <w:color w:val="000000"/>
                <w:sz w:val="18"/>
                <w:szCs w:val="18"/>
                <w:lang w:val="en-US" w:eastAsia="en-US" w:bidi="ar-SA"/>
              </w:rPr>
              <w:t>Wilcoxon</w:t>
            </w:r>
            <w:proofErr w:type="spellEnd"/>
            <w:r w:rsidRPr="00210323">
              <w:rPr>
                <w:rFonts w:ascii="Arial" w:hAnsi="Arial" w:cs="Arial"/>
                <w:color w:val="000000"/>
                <w:sz w:val="18"/>
                <w:szCs w:val="18"/>
                <w:lang w:val="en-US" w:eastAsia="en-US" w:bidi="ar-SA"/>
              </w:rPr>
              <w:t xml:space="preserve"> Signed Ranks Test</w:t>
            </w:r>
          </w:p>
        </w:tc>
      </w:tr>
    </w:tbl>
    <w:p w:rsidR="003F703E" w:rsidRPr="003F703E" w:rsidRDefault="00E945FD" w:rsidP="002C742D">
      <w:pPr>
        <w:spacing w:line="320" w:lineRule="atLeast"/>
        <w:rPr>
          <w:rFonts w:cs="Times New Roman"/>
          <w:lang w:val="en-US" w:eastAsia="en-US" w:bidi="ar-SA"/>
        </w:rPr>
      </w:pPr>
      <w:r>
        <w:rPr>
          <w:rFonts w:cs="Times New Roman"/>
          <w:sz w:val="20"/>
          <w:szCs w:val="20"/>
          <w:lang w:val="en-US" w:eastAsia="en-US" w:bidi="ar-SA"/>
        </w:rPr>
        <w:t>Table 2</w:t>
      </w:r>
      <w:r w:rsidR="00174C85">
        <w:rPr>
          <w:rFonts w:cs="Times New Roman"/>
          <w:sz w:val="20"/>
          <w:szCs w:val="20"/>
          <w:lang w:val="en-US" w:eastAsia="en-US" w:bidi="ar-SA"/>
        </w:rPr>
        <w:t>3</w:t>
      </w:r>
      <w:r w:rsidR="00511B05" w:rsidRPr="00511B05">
        <w:rPr>
          <w:rFonts w:cs="Times New Roman"/>
          <w:sz w:val="20"/>
          <w:szCs w:val="20"/>
          <w:lang w:val="en-US" w:eastAsia="en-US" w:bidi="ar-SA"/>
        </w:rPr>
        <w:t>: Test</w:t>
      </w:r>
      <w:r w:rsidR="00511B05">
        <w:rPr>
          <w:rFonts w:cs="Times New Roman"/>
          <w:sz w:val="20"/>
          <w:szCs w:val="20"/>
          <w:lang w:val="en-US" w:eastAsia="en-US" w:bidi="ar-SA"/>
        </w:rPr>
        <w:t xml:space="preserve"> statistics</w:t>
      </w:r>
      <w:r w:rsidR="00511B05" w:rsidRPr="00511B05">
        <w:rPr>
          <w:rFonts w:cs="Times New Roman"/>
          <w:sz w:val="20"/>
          <w:szCs w:val="20"/>
          <w:lang w:val="en-US" w:eastAsia="en-US" w:bidi="ar-SA"/>
        </w:rPr>
        <w:t xml:space="preserve"> applied to disclosures of region, sector and position allocations regarding real estate</w:t>
      </w:r>
    </w:p>
    <w:p w:rsidR="00EC2A62" w:rsidRDefault="00EA4247" w:rsidP="005F5E1F">
      <w:pPr>
        <w:spacing w:line="360" w:lineRule="auto"/>
        <w:jc w:val="both"/>
        <w:rPr>
          <w:bCs/>
          <w:lang w:val="en-US"/>
        </w:rPr>
      </w:pPr>
      <w:r>
        <w:rPr>
          <w:bCs/>
          <w:lang w:val="en-US"/>
        </w:rPr>
        <w:t xml:space="preserve">Table </w:t>
      </w:r>
      <w:r w:rsidR="00E945FD">
        <w:rPr>
          <w:bCs/>
          <w:lang w:val="en-US"/>
        </w:rPr>
        <w:t>2</w:t>
      </w:r>
      <w:r w:rsidR="00174C85">
        <w:rPr>
          <w:bCs/>
          <w:lang w:val="en-US"/>
        </w:rPr>
        <w:t>3</w:t>
      </w:r>
      <w:r>
        <w:rPr>
          <w:bCs/>
          <w:lang w:val="en-US"/>
        </w:rPr>
        <w:t xml:space="preserve"> reveals that the calculated value of the Z-score of -2.828 is significant at p=0.005</w:t>
      </w:r>
      <w:r w:rsidR="008C5559">
        <w:rPr>
          <w:bCs/>
          <w:lang w:val="en-US"/>
        </w:rPr>
        <w:t xml:space="preserve"> </w:t>
      </w:r>
      <w:r w:rsidR="00B37E91">
        <w:rPr>
          <w:bCs/>
          <w:lang w:val="en-US"/>
        </w:rPr>
        <w:t>regarding the region allocation</w:t>
      </w:r>
      <w:r>
        <w:rPr>
          <w:bCs/>
          <w:lang w:val="en-US"/>
        </w:rPr>
        <w:t xml:space="preserve">. For this reason can be concluded that since </w:t>
      </w:r>
      <w:r w:rsidR="008939D4">
        <w:rPr>
          <w:bCs/>
          <w:lang w:val="en-US"/>
        </w:rPr>
        <w:t>2006, the year before the beginning of the financial crisis, there has been a significant increase in the disclosure of region allocation regarding the asset category real estate (z=-2.828 and p&lt;0.05). With regard to the disclosure of sector (p=0.317) and position allocations (p=0.564), the p values are</w:t>
      </w:r>
      <w:r w:rsidR="00B37E91">
        <w:rPr>
          <w:bCs/>
          <w:lang w:val="en-US"/>
        </w:rPr>
        <w:t xml:space="preserve"> bigger than 0.05, therefore can</w:t>
      </w:r>
      <w:r w:rsidR="008939D4">
        <w:rPr>
          <w:bCs/>
          <w:lang w:val="en-US"/>
        </w:rPr>
        <w:t xml:space="preserve"> be concluded that these variables entail no significant relations. </w:t>
      </w:r>
    </w:p>
    <w:p w:rsidR="00EA4247" w:rsidRDefault="00EA4247" w:rsidP="005F5E1F">
      <w:pPr>
        <w:spacing w:line="360" w:lineRule="auto"/>
        <w:jc w:val="both"/>
        <w:rPr>
          <w:bCs/>
          <w:lang w:val="en-US"/>
        </w:rPr>
      </w:pPr>
    </w:p>
    <w:p w:rsidR="006E22C7" w:rsidRPr="00923CF7" w:rsidRDefault="00E945FD" w:rsidP="005F5E1F">
      <w:pPr>
        <w:spacing w:line="360" w:lineRule="auto"/>
        <w:jc w:val="both"/>
        <w:rPr>
          <w:b/>
          <w:bCs/>
          <w:i/>
          <w:lang w:val="en-US"/>
        </w:rPr>
      </w:pPr>
      <w:r>
        <w:rPr>
          <w:b/>
          <w:bCs/>
          <w:i/>
          <w:lang w:val="en-US"/>
        </w:rPr>
        <w:t>Q</w:t>
      </w:r>
      <w:r w:rsidR="005B2075">
        <w:rPr>
          <w:b/>
          <w:bCs/>
          <w:i/>
          <w:lang w:val="en-US"/>
        </w:rPr>
        <w:t>uality of real estate investment risk disclosures and pension fund size</w:t>
      </w:r>
    </w:p>
    <w:p w:rsidR="00EC2A62" w:rsidRDefault="00151E0E" w:rsidP="005F5E1F">
      <w:pPr>
        <w:spacing w:line="360" w:lineRule="auto"/>
        <w:jc w:val="both"/>
        <w:rPr>
          <w:bCs/>
          <w:lang w:val="en-US"/>
        </w:rPr>
      </w:pPr>
      <w:r>
        <w:rPr>
          <w:bCs/>
          <w:lang w:val="en-US"/>
        </w:rPr>
        <w:t xml:space="preserve">To decide which test to apply, the decision schedule depicted in appendix 11 has been applied. </w:t>
      </w:r>
      <w:r w:rsidR="006238CD">
        <w:rPr>
          <w:bCs/>
          <w:lang w:val="en-US"/>
        </w:rPr>
        <w:t xml:space="preserve">There is one, </w:t>
      </w:r>
      <w:r w:rsidR="006F7382">
        <w:rPr>
          <w:bCs/>
          <w:lang w:val="en-US"/>
        </w:rPr>
        <w:t>categorical outcome variable (region allocation disclosed, 0=no, 1=yes). The predictor variable, the size of the pension fund is a continuous variable. Appendix 11 revea</w:t>
      </w:r>
      <w:r w:rsidR="00CE0F82">
        <w:rPr>
          <w:bCs/>
          <w:lang w:val="en-US"/>
        </w:rPr>
        <w:t>ls that a logistic regression or</w:t>
      </w:r>
      <w:r w:rsidR="006F7382">
        <w:rPr>
          <w:bCs/>
          <w:lang w:val="en-US"/>
        </w:rPr>
        <w:t xml:space="preserve"> a </w:t>
      </w:r>
      <w:proofErr w:type="spellStart"/>
      <w:r w:rsidR="006F7382">
        <w:rPr>
          <w:bCs/>
          <w:lang w:val="en-US"/>
        </w:rPr>
        <w:t>biseral</w:t>
      </w:r>
      <w:proofErr w:type="spellEnd"/>
      <w:r w:rsidR="006F7382">
        <w:rPr>
          <w:bCs/>
          <w:lang w:val="en-US"/>
        </w:rPr>
        <w:t>/point-</w:t>
      </w:r>
      <w:proofErr w:type="spellStart"/>
      <w:r w:rsidR="006F7382">
        <w:rPr>
          <w:bCs/>
          <w:lang w:val="en-US"/>
        </w:rPr>
        <w:t>biseral</w:t>
      </w:r>
      <w:proofErr w:type="spellEnd"/>
      <w:r w:rsidR="006F7382">
        <w:rPr>
          <w:bCs/>
          <w:lang w:val="en-US"/>
        </w:rPr>
        <w:t xml:space="preserve"> correlation could be applied (Field, 2005). </w:t>
      </w:r>
      <w:r w:rsidR="00664F94">
        <w:rPr>
          <w:bCs/>
          <w:lang w:val="en-US"/>
        </w:rPr>
        <w:t xml:space="preserve">De </w:t>
      </w:r>
      <w:proofErr w:type="spellStart"/>
      <w:r w:rsidR="00664F94">
        <w:rPr>
          <w:bCs/>
          <w:lang w:val="en-US"/>
        </w:rPr>
        <w:t>Vocht</w:t>
      </w:r>
      <w:proofErr w:type="spellEnd"/>
      <w:r w:rsidR="00664F94">
        <w:rPr>
          <w:bCs/>
          <w:lang w:val="en-US"/>
        </w:rPr>
        <w:t xml:space="preserve"> (2011) describes that samples bigger than 30 meet the pre-assumptions of </w:t>
      </w:r>
    </w:p>
    <w:p w:rsidR="00EC2A62" w:rsidRDefault="00EC2A62" w:rsidP="00EC2A62">
      <w:pPr>
        <w:spacing w:line="360" w:lineRule="auto"/>
        <w:jc w:val="both"/>
        <w:rPr>
          <w:bCs/>
          <w:lang w:val="en-US"/>
        </w:rPr>
      </w:pPr>
      <w:proofErr w:type="spellStart"/>
      <w:r>
        <w:rPr>
          <w:bCs/>
          <w:lang w:val="en-US"/>
        </w:rPr>
        <w:t>biseral</w:t>
      </w:r>
      <w:proofErr w:type="spellEnd"/>
      <w:r>
        <w:rPr>
          <w:bCs/>
          <w:lang w:val="en-US"/>
        </w:rPr>
        <w:t xml:space="preserve"> correlation, therefore, with a sample of 25, a logistic regression is preferred.</w:t>
      </w:r>
    </w:p>
    <w:p w:rsidR="00EC2A62" w:rsidRDefault="00EC2A62" w:rsidP="00BC2E83">
      <w:pPr>
        <w:spacing w:line="120" w:lineRule="atLeast"/>
        <w:jc w:val="both"/>
        <w:rPr>
          <w:bCs/>
          <w:lang w:val="en-US"/>
        </w:rPr>
      </w:pPr>
    </w:p>
    <w:tbl>
      <w:tblP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BC2E83" w:rsidRPr="00AD2AC8" w:rsidTr="00A912F1">
        <w:trPr>
          <w:cantSplit/>
          <w:tblHeader/>
        </w:trPr>
        <w:tc>
          <w:tcPr>
            <w:tcW w:w="4253" w:type="dxa"/>
            <w:gridSpan w:val="4"/>
            <w:tcBorders>
              <w:top w:val="nil"/>
              <w:left w:val="nil"/>
              <w:bottom w:val="nil"/>
              <w:right w:val="nil"/>
            </w:tcBorders>
            <w:shd w:val="clear" w:color="auto" w:fill="FFFFFF"/>
            <w:vAlign w:val="center"/>
          </w:tcPr>
          <w:p w:rsidR="00BC2E83" w:rsidRPr="00AD2AC8" w:rsidRDefault="00BC2E83" w:rsidP="00A912F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BC2E83"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C2E83" w:rsidRPr="00AD2AC8" w:rsidRDefault="00BC2E83"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BC2E83" w:rsidRPr="00AD2AC8" w:rsidRDefault="00BC2E83"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BC2E83" w:rsidRPr="00AD2AC8" w:rsidRDefault="00BC2E83"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BC2E83" w:rsidRPr="00AD2AC8" w:rsidRDefault="00BC2E83"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BC2E83"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BC2E83" w:rsidRPr="00AD2AC8" w:rsidRDefault="00BC2E83"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BC2E83" w:rsidRPr="00AD2AC8" w:rsidRDefault="00BC2E83"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28</w:t>
            </w:r>
            <w:r w:rsidRPr="00AD2AC8">
              <w:rPr>
                <w:rFonts w:ascii="Arial" w:hAnsi="Arial" w:cs="Arial"/>
                <w:color w:val="000000"/>
                <w:sz w:val="18"/>
                <w:szCs w:val="18"/>
                <w:lang w:val="nl-NL" w:eastAsia="en-US" w:bidi="ar-SA"/>
              </w:rPr>
              <w:t>.</w:t>
            </w:r>
            <w:r>
              <w:rPr>
                <w:rFonts w:ascii="Arial" w:hAnsi="Arial" w:cs="Arial"/>
                <w:color w:val="000000"/>
                <w:sz w:val="18"/>
                <w:szCs w:val="18"/>
                <w:lang w:val="nl-NL" w:eastAsia="en-US" w:bidi="ar-SA"/>
              </w:rPr>
              <w:t>511</w:t>
            </w:r>
            <w:r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BC2E83" w:rsidRPr="00AD2AC8" w:rsidRDefault="00BC2E83"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w:t>
            </w:r>
            <w:r w:rsidRPr="00AD2AC8">
              <w:rPr>
                <w:rFonts w:ascii="Arial" w:hAnsi="Arial" w:cs="Arial"/>
                <w:color w:val="000000"/>
                <w:sz w:val="18"/>
                <w:szCs w:val="18"/>
                <w:lang w:val="nl-NL" w:eastAsia="en-US" w:bidi="ar-SA"/>
              </w:rPr>
              <w:t>0</w:t>
            </w:r>
            <w:r>
              <w:rPr>
                <w:rFonts w:ascii="Arial" w:hAnsi="Arial" w:cs="Arial"/>
                <w:color w:val="000000"/>
                <w:sz w:val="18"/>
                <w:szCs w:val="18"/>
                <w:lang w:val="nl-NL" w:eastAsia="en-US" w:bidi="ar-SA"/>
              </w:rPr>
              <w:t>8</w:t>
            </w:r>
          </w:p>
        </w:tc>
        <w:tc>
          <w:tcPr>
            <w:tcW w:w="1418" w:type="dxa"/>
            <w:tcBorders>
              <w:top w:val="single" w:sz="16" w:space="0" w:color="000000"/>
              <w:bottom w:val="single" w:sz="16" w:space="0" w:color="000000"/>
              <w:right w:val="single" w:sz="16" w:space="0" w:color="000000"/>
            </w:tcBorders>
            <w:shd w:val="clear" w:color="auto" w:fill="FFFFFF"/>
          </w:tcPr>
          <w:p w:rsidR="00BC2E83" w:rsidRPr="00AD2AC8" w:rsidRDefault="00BC2E83"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.011</w:t>
            </w:r>
          </w:p>
        </w:tc>
      </w:tr>
      <w:tr w:rsidR="00BC2E83" w:rsidRPr="00AD2AC8" w:rsidTr="00A912F1">
        <w:trPr>
          <w:cantSplit/>
        </w:trPr>
        <w:tc>
          <w:tcPr>
            <w:tcW w:w="4253" w:type="dxa"/>
            <w:gridSpan w:val="4"/>
            <w:tcBorders>
              <w:top w:val="nil"/>
              <w:left w:val="nil"/>
              <w:bottom w:val="nil"/>
              <w:right w:val="nil"/>
            </w:tcBorders>
            <w:shd w:val="clear" w:color="auto" w:fill="FFFFFF"/>
          </w:tcPr>
          <w:p w:rsidR="00BC2E83" w:rsidRPr="00BC2E83" w:rsidRDefault="00BC2E83" w:rsidP="00A912F1">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a. Estimation terminated at iteration number 3 because parameter estimates changed by less than .001.</w:t>
            </w:r>
          </w:p>
        </w:tc>
      </w:tr>
    </w:tbl>
    <w:tbl>
      <w:tblPr>
        <w:tblpPr w:leftFromText="141" w:rightFromText="141" w:vertAnchor="text" w:horzAnchor="margin" w:tblpXSpec="right" w:tblpY="-1805"/>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BC2E83" w:rsidRPr="00AD2AC8" w:rsidTr="00BC2E83">
        <w:trPr>
          <w:cantSplit/>
          <w:tblHeader/>
        </w:trPr>
        <w:tc>
          <w:tcPr>
            <w:tcW w:w="4253" w:type="dxa"/>
            <w:gridSpan w:val="4"/>
            <w:tcBorders>
              <w:top w:val="nil"/>
              <w:left w:val="nil"/>
              <w:bottom w:val="nil"/>
              <w:right w:val="nil"/>
            </w:tcBorders>
            <w:shd w:val="clear" w:color="auto" w:fill="FFFFFF"/>
            <w:vAlign w:val="center"/>
          </w:tcPr>
          <w:p w:rsidR="00BC2E83" w:rsidRPr="00AD2AC8" w:rsidRDefault="00BC2E83" w:rsidP="00BC2E83">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BC2E83" w:rsidRPr="00AD2AC8" w:rsidTr="00BC2E83">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C2E83" w:rsidRPr="00AD2AC8" w:rsidRDefault="00BC2E83" w:rsidP="00BC2E83">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BC2E83" w:rsidRPr="00AD2AC8" w:rsidRDefault="00BC2E83" w:rsidP="00BC2E83">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BC2E83" w:rsidRPr="00AD2AC8" w:rsidRDefault="00BC2E83" w:rsidP="00BC2E83">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BC2E83" w:rsidRPr="00AD2AC8" w:rsidRDefault="00BC2E83" w:rsidP="00BC2E83">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BC2E83" w:rsidRPr="00AD2AC8" w:rsidTr="00BC2E83">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BC2E83" w:rsidRPr="00AD2AC8" w:rsidRDefault="00BC2E83" w:rsidP="00BC2E83">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BC2E83" w:rsidRPr="00AD2AC8" w:rsidRDefault="00BC2E83" w:rsidP="00BC2E83">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20.029</w:t>
            </w:r>
            <w:r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BC2E83" w:rsidRPr="00AD2AC8" w:rsidRDefault="00BC2E83" w:rsidP="00BC2E83">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.020</w:t>
            </w:r>
          </w:p>
        </w:tc>
        <w:tc>
          <w:tcPr>
            <w:tcW w:w="1418" w:type="dxa"/>
            <w:tcBorders>
              <w:top w:val="single" w:sz="16" w:space="0" w:color="000000"/>
              <w:bottom w:val="single" w:sz="16" w:space="0" w:color="000000"/>
              <w:right w:val="single" w:sz="16" w:space="0" w:color="000000"/>
            </w:tcBorders>
            <w:shd w:val="clear" w:color="auto" w:fill="FFFFFF"/>
          </w:tcPr>
          <w:p w:rsidR="00BC2E83" w:rsidRPr="00AD2AC8" w:rsidRDefault="00BC2E83" w:rsidP="00BC2E83">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.032</w:t>
            </w:r>
          </w:p>
        </w:tc>
      </w:tr>
      <w:tr w:rsidR="00BC2E83" w:rsidRPr="00AD2AC8" w:rsidTr="00BC2E83">
        <w:trPr>
          <w:cantSplit/>
        </w:trPr>
        <w:tc>
          <w:tcPr>
            <w:tcW w:w="4253" w:type="dxa"/>
            <w:gridSpan w:val="4"/>
            <w:tcBorders>
              <w:top w:val="nil"/>
              <w:left w:val="nil"/>
              <w:bottom w:val="nil"/>
              <w:right w:val="nil"/>
            </w:tcBorders>
            <w:shd w:val="clear" w:color="auto" w:fill="FFFFFF"/>
          </w:tcPr>
          <w:p w:rsidR="00BC2E83" w:rsidRPr="00BC2E83" w:rsidRDefault="00BC2E83" w:rsidP="00BC2E83">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Pr>
                <w:rFonts w:ascii="Arial" w:hAnsi="Arial" w:cs="Arial"/>
                <w:color w:val="000000"/>
                <w:sz w:val="17"/>
                <w:szCs w:val="17"/>
                <w:lang w:val="en-US" w:eastAsia="en-US" w:bidi="ar-SA"/>
              </w:rPr>
              <w:t>5</w:t>
            </w:r>
            <w:r w:rsidRPr="00BC2E83">
              <w:rPr>
                <w:rFonts w:ascii="Arial" w:hAnsi="Arial" w:cs="Arial"/>
                <w:color w:val="000000"/>
                <w:sz w:val="17"/>
                <w:szCs w:val="17"/>
                <w:lang w:val="en-US" w:eastAsia="en-US" w:bidi="ar-SA"/>
              </w:rPr>
              <w:t xml:space="preserve"> because parameter estimates changed by less than .001.</w:t>
            </w:r>
          </w:p>
        </w:tc>
      </w:tr>
    </w:tbl>
    <w:p w:rsidR="00BC2E83" w:rsidRDefault="00BC2E83" w:rsidP="00BC2E83">
      <w:pPr>
        <w:spacing w:line="120" w:lineRule="atLeast"/>
        <w:jc w:val="both"/>
        <w:rPr>
          <w:bCs/>
        </w:rPr>
      </w:pPr>
      <w:r>
        <w:rPr>
          <w:bCs/>
        </w:rPr>
        <w:t xml:space="preserve"> </w:t>
      </w:r>
    </w:p>
    <w:p w:rsidR="00AD2AC8" w:rsidRDefault="00AD2AC8" w:rsidP="00BC2E83">
      <w:pPr>
        <w:spacing w:line="320" w:lineRule="atLeast"/>
        <w:jc w:val="both"/>
        <w:rPr>
          <w:rFonts w:cs="Times New Roman"/>
          <w:sz w:val="20"/>
          <w:szCs w:val="20"/>
          <w:lang w:val="en-US" w:eastAsia="en-US" w:bidi="ar-SA"/>
        </w:rPr>
      </w:pPr>
      <w:r>
        <w:rPr>
          <w:rFonts w:cs="Times New Roman"/>
          <w:sz w:val="20"/>
          <w:szCs w:val="20"/>
          <w:lang w:val="en-US" w:eastAsia="en-US" w:bidi="ar-SA"/>
        </w:rPr>
        <w:t>Table 2</w:t>
      </w:r>
      <w:r w:rsidR="00174C85">
        <w:rPr>
          <w:rFonts w:cs="Times New Roman"/>
          <w:sz w:val="20"/>
          <w:szCs w:val="20"/>
          <w:lang w:val="en-US" w:eastAsia="en-US" w:bidi="ar-SA"/>
        </w:rPr>
        <w:t>4</w:t>
      </w:r>
      <w:r>
        <w:rPr>
          <w:rFonts w:cs="Times New Roman"/>
          <w:sz w:val="20"/>
          <w:szCs w:val="20"/>
          <w:lang w:val="en-US" w:eastAsia="en-US" w:bidi="ar-SA"/>
        </w:rPr>
        <w:t xml:space="preserve">: Logistic regression with dependent </w:t>
      </w:r>
      <w:r>
        <w:rPr>
          <w:rFonts w:cs="Times New Roman"/>
          <w:sz w:val="20"/>
          <w:szCs w:val="20"/>
          <w:lang w:val="en-US" w:eastAsia="en-US" w:bidi="ar-SA"/>
        </w:rPr>
        <w:tab/>
      </w:r>
      <w:r>
        <w:rPr>
          <w:rFonts w:cs="Times New Roman"/>
          <w:sz w:val="20"/>
          <w:szCs w:val="20"/>
          <w:lang w:val="en-US" w:eastAsia="en-US" w:bidi="ar-SA"/>
        </w:rPr>
        <w:tab/>
        <w:t>Table 2</w:t>
      </w:r>
      <w:r w:rsidR="00174C85">
        <w:rPr>
          <w:rFonts w:cs="Times New Roman"/>
          <w:sz w:val="20"/>
          <w:szCs w:val="20"/>
          <w:lang w:val="en-US" w:eastAsia="en-US" w:bidi="ar-SA"/>
        </w:rPr>
        <w:t>5</w:t>
      </w:r>
      <w:r>
        <w:rPr>
          <w:rFonts w:cs="Times New Roman"/>
          <w:sz w:val="20"/>
          <w:szCs w:val="20"/>
          <w:lang w:val="en-US" w:eastAsia="en-US" w:bidi="ar-SA"/>
        </w:rPr>
        <w:t xml:space="preserve">: Logistic regression with dependent </w:t>
      </w:r>
    </w:p>
    <w:p w:rsidR="00AD2AC8" w:rsidRDefault="00AD2AC8" w:rsidP="00BC2E83">
      <w:pPr>
        <w:spacing w:line="320" w:lineRule="atLeast"/>
        <w:rPr>
          <w:rFonts w:cs="Times New Roman"/>
          <w:sz w:val="20"/>
          <w:szCs w:val="20"/>
          <w:lang w:val="en-US" w:eastAsia="en-US" w:bidi="ar-SA"/>
        </w:rPr>
      </w:pPr>
      <w:r>
        <w:rPr>
          <w:rFonts w:cs="Times New Roman"/>
          <w:sz w:val="20"/>
          <w:szCs w:val="20"/>
          <w:lang w:val="en-US" w:eastAsia="en-US" w:bidi="ar-SA"/>
        </w:rPr>
        <w:t>variable disclosure region allocations in financial</w:t>
      </w:r>
      <w:r>
        <w:rPr>
          <w:rFonts w:cs="Times New Roman"/>
          <w:sz w:val="20"/>
          <w:szCs w:val="20"/>
          <w:lang w:val="en-US" w:eastAsia="en-US" w:bidi="ar-SA"/>
        </w:rPr>
        <w:tab/>
      </w:r>
      <w:r>
        <w:rPr>
          <w:rFonts w:cs="Times New Roman"/>
          <w:sz w:val="20"/>
          <w:szCs w:val="20"/>
          <w:lang w:val="en-US" w:eastAsia="en-US" w:bidi="ar-SA"/>
        </w:rPr>
        <w:tab/>
        <w:t xml:space="preserve">variable disclosure region allocations in financial </w:t>
      </w:r>
    </w:p>
    <w:p w:rsidR="00AD2AC8" w:rsidRDefault="00AD2AC8" w:rsidP="00BC2E83">
      <w:pPr>
        <w:spacing w:line="320" w:lineRule="atLeast"/>
        <w:rPr>
          <w:rFonts w:cs="Times New Roman"/>
          <w:sz w:val="20"/>
          <w:szCs w:val="20"/>
          <w:lang w:val="en-US" w:eastAsia="en-US" w:bidi="ar-SA"/>
        </w:rPr>
      </w:pPr>
      <w:r>
        <w:rPr>
          <w:rFonts w:cs="Times New Roman"/>
          <w:sz w:val="20"/>
          <w:szCs w:val="20"/>
          <w:lang w:val="en-US" w:eastAsia="en-US" w:bidi="ar-SA"/>
        </w:rPr>
        <w:t>statements 2006 and as covariate AUM 2006</w:t>
      </w:r>
      <w:r>
        <w:rPr>
          <w:rFonts w:cs="Times New Roman"/>
          <w:sz w:val="20"/>
          <w:szCs w:val="20"/>
          <w:lang w:val="en-US" w:eastAsia="en-US" w:bidi="ar-SA"/>
        </w:rPr>
        <w:tab/>
      </w:r>
      <w:r>
        <w:rPr>
          <w:rFonts w:cs="Times New Roman"/>
          <w:sz w:val="20"/>
          <w:szCs w:val="20"/>
          <w:lang w:val="en-US" w:eastAsia="en-US" w:bidi="ar-SA"/>
        </w:rPr>
        <w:tab/>
      </w:r>
      <w:r>
        <w:rPr>
          <w:rFonts w:cs="Times New Roman"/>
          <w:sz w:val="20"/>
          <w:szCs w:val="20"/>
          <w:lang w:val="en-US" w:eastAsia="en-US" w:bidi="ar-SA"/>
        </w:rPr>
        <w:tab/>
        <w:t>statements 2011 and as covariate AUM 2011</w:t>
      </w:r>
    </w:p>
    <w:p w:rsidR="00AD2AC8" w:rsidRPr="00AD2AC8" w:rsidRDefault="00AD2AC8" w:rsidP="00AD2AC8">
      <w:pPr>
        <w:autoSpaceDE w:val="0"/>
        <w:autoSpaceDN w:val="0"/>
        <w:adjustRightInd w:val="0"/>
        <w:spacing w:line="400" w:lineRule="atLeast"/>
        <w:rPr>
          <w:rFonts w:cs="Times New Roman"/>
          <w:lang w:val="en-US" w:eastAsia="en-US" w:bidi="ar-SA"/>
        </w:rPr>
      </w:pPr>
    </w:p>
    <w:p w:rsidR="007E3CF4" w:rsidRDefault="00DA28F7" w:rsidP="005F5E1F">
      <w:pPr>
        <w:spacing w:line="360" w:lineRule="auto"/>
        <w:jc w:val="both"/>
        <w:rPr>
          <w:rFonts w:cs="Times New Roman"/>
          <w:lang w:val="en-US" w:eastAsia="en-US" w:bidi="ar-SA"/>
        </w:rPr>
      </w:pPr>
      <w:r>
        <w:rPr>
          <w:rFonts w:cs="Times New Roman"/>
          <w:lang w:val="en-US" w:eastAsia="en-US" w:bidi="ar-SA"/>
        </w:rPr>
        <w:t xml:space="preserve">De </w:t>
      </w:r>
      <w:proofErr w:type="spellStart"/>
      <w:r>
        <w:rPr>
          <w:rFonts w:cs="Times New Roman"/>
          <w:lang w:val="en-US" w:eastAsia="en-US" w:bidi="ar-SA"/>
        </w:rPr>
        <w:t>Vocht</w:t>
      </w:r>
      <w:proofErr w:type="spellEnd"/>
      <w:r>
        <w:rPr>
          <w:rFonts w:cs="Times New Roman"/>
          <w:lang w:val="en-US" w:eastAsia="en-US" w:bidi="ar-SA"/>
        </w:rPr>
        <w:t xml:space="preserve"> (2011) describes that the </w:t>
      </w:r>
      <w:proofErr w:type="spellStart"/>
      <w:r>
        <w:rPr>
          <w:rFonts w:cs="Times New Roman"/>
          <w:lang w:val="en-US" w:eastAsia="en-US" w:bidi="ar-SA"/>
        </w:rPr>
        <w:t>Nagelkerke</w:t>
      </w:r>
      <w:proofErr w:type="spellEnd"/>
      <w:r>
        <w:rPr>
          <w:rFonts w:cs="Times New Roman"/>
          <w:lang w:val="en-US" w:eastAsia="en-US" w:bidi="ar-SA"/>
        </w:rPr>
        <w:t xml:space="preserve"> R Square measures the quality of the model and has always a value between 0 and 1. </w:t>
      </w:r>
      <w:r w:rsidR="00EF642E">
        <w:rPr>
          <w:rFonts w:cs="Times New Roman"/>
          <w:lang w:val="en-US" w:eastAsia="en-US" w:bidi="ar-SA"/>
        </w:rPr>
        <w:t>The</w:t>
      </w:r>
      <w:r>
        <w:rPr>
          <w:rFonts w:cs="Times New Roman"/>
          <w:lang w:val="en-US" w:eastAsia="en-US" w:bidi="ar-SA"/>
        </w:rPr>
        <w:t xml:space="preserve"> </w:t>
      </w:r>
      <w:proofErr w:type="spellStart"/>
      <w:r>
        <w:rPr>
          <w:rFonts w:cs="Times New Roman"/>
          <w:lang w:val="en-US" w:eastAsia="en-US" w:bidi="ar-SA"/>
        </w:rPr>
        <w:t>Nagelkerke</w:t>
      </w:r>
      <w:proofErr w:type="spellEnd"/>
      <w:r>
        <w:rPr>
          <w:rFonts w:cs="Times New Roman"/>
          <w:lang w:val="en-US" w:eastAsia="en-US" w:bidi="ar-SA"/>
        </w:rPr>
        <w:t xml:space="preserve"> R</w:t>
      </w:r>
      <w:r w:rsidRPr="00DA28F7">
        <w:rPr>
          <w:rFonts w:cs="Times New Roman"/>
          <w:vertAlign w:val="superscript"/>
          <w:lang w:val="en-US" w:eastAsia="en-US" w:bidi="ar-SA"/>
        </w:rPr>
        <w:t>2</w:t>
      </w:r>
      <w:r>
        <w:rPr>
          <w:rFonts w:cs="Times New Roman"/>
          <w:lang w:val="en-US" w:eastAsia="en-US" w:bidi="ar-SA"/>
        </w:rPr>
        <w:t xml:space="preserve"> of 0.011</w:t>
      </w:r>
      <w:r w:rsidR="00EF642E">
        <w:rPr>
          <w:rFonts w:cs="Times New Roman"/>
          <w:lang w:val="en-US" w:eastAsia="en-US" w:bidi="ar-SA"/>
        </w:rPr>
        <w:t>depicted in table 2</w:t>
      </w:r>
      <w:r w:rsidR="00174C85">
        <w:rPr>
          <w:rFonts w:cs="Times New Roman"/>
          <w:lang w:val="en-US" w:eastAsia="en-US" w:bidi="ar-SA"/>
        </w:rPr>
        <w:t>4</w:t>
      </w:r>
      <w:r>
        <w:rPr>
          <w:rFonts w:cs="Times New Roman"/>
          <w:lang w:val="en-US" w:eastAsia="en-US" w:bidi="ar-SA"/>
        </w:rPr>
        <w:t xml:space="preserve"> indicates</w:t>
      </w:r>
      <w:r w:rsidR="00D01513">
        <w:rPr>
          <w:rFonts w:cs="Times New Roman"/>
          <w:lang w:val="en-US" w:eastAsia="en-US" w:bidi="ar-SA"/>
        </w:rPr>
        <w:t xml:space="preserve"> that in 2006, there is a weak relation between AUM and the disclosure of a region allocation.</w:t>
      </w:r>
      <w:r w:rsidR="00BC2E83">
        <w:rPr>
          <w:rFonts w:cs="Times New Roman"/>
          <w:lang w:val="en-US" w:eastAsia="en-US" w:bidi="ar-SA"/>
        </w:rPr>
        <w:t xml:space="preserve"> </w:t>
      </w:r>
    </w:p>
    <w:p w:rsidR="00DF09CE" w:rsidRDefault="00AD2AC8" w:rsidP="005F5E1F">
      <w:pPr>
        <w:spacing w:line="360" w:lineRule="auto"/>
        <w:jc w:val="both"/>
        <w:rPr>
          <w:rFonts w:cs="Times New Roman"/>
          <w:lang w:val="en-US" w:eastAsia="en-US" w:bidi="ar-SA"/>
        </w:rPr>
      </w:pPr>
      <w:r>
        <w:rPr>
          <w:rFonts w:cs="Times New Roman"/>
          <w:lang w:val="en-US" w:eastAsia="en-US" w:bidi="ar-SA"/>
        </w:rPr>
        <w:t>Table 2</w:t>
      </w:r>
      <w:r w:rsidR="00174C85">
        <w:rPr>
          <w:rFonts w:cs="Times New Roman"/>
          <w:lang w:val="en-US" w:eastAsia="en-US" w:bidi="ar-SA"/>
        </w:rPr>
        <w:t>5</w:t>
      </w:r>
      <w:r w:rsidR="00DF09CE">
        <w:rPr>
          <w:rFonts w:cs="Times New Roman"/>
          <w:lang w:val="en-US" w:eastAsia="en-US" w:bidi="ar-SA"/>
        </w:rPr>
        <w:t xml:space="preserve"> reveals a </w:t>
      </w:r>
      <w:proofErr w:type="spellStart"/>
      <w:r w:rsidR="00DF09CE">
        <w:rPr>
          <w:rFonts w:cs="Times New Roman"/>
          <w:lang w:val="en-US" w:eastAsia="en-US" w:bidi="ar-SA"/>
        </w:rPr>
        <w:t>Nagelkerke</w:t>
      </w:r>
      <w:proofErr w:type="spellEnd"/>
      <w:r w:rsidR="00DF09CE">
        <w:rPr>
          <w:rFonts w:cs="Times New Roman"/>
          <w:lang w:val="en-US" w:eastAsia="en-US" w:bidi="ar-SA"/>
        </w:rPr>
        <w:t xml:space="preserve"> R</w:t>
      </w:r>
      <w:r w:rsidR="00DF09CE" w:rsidRPr="00DA28F7">
        <w:rPr>
          <w:rFonts w:cs="Times New Roman"/>
          <w:vertAlign w:val="superscript"/>
          <w:lang w:val="en-US" w:eastAsia="en-US" w:bidi="ar-SA"/>
        </w:rPr>
        <w:t>2</w:t>
      </w:r>
      <w:r w:rsidR="00DF09CE">
        <w:rPr>
          <w:rFonts w:cs="Times New Roman"/>
          <w:lang w:val="en-US" w:eastAsia="en-US" w:bidi="ar-SA"/>
        </w:rPr>
        <w:t xml:space="preserve"> of 0.032 which indicates that in 2011, there is </w:t>
      </w:r>
      <w:r w:rsidR="00CE0F82">
        <w:rPr>
          <w:rFonts w:cs="Times New Roman"/>
          <w:lang w:val="en-US" w:eastAsia="en-US" w:bidi="ar-SA"/>
        </w:rPr>
        <w:t xml:space="preserve">also </w:t>
      </w:r>
      <w:r w:rsidR="00DF09CE">
        <w:rPr>
          <w:rFonts w:cs="Times New Roman"/>
          <w:lang w:val="en-US" w:eastAsia="en-US" w:bidi="ar-SA"/>
        </w:rPr>
        <w:t>a weak relation between AUM and the disclosure of a region allocation.</w:t>
      </w:r>
    </w:p>
    <w:p w:rsidR="001C3C9A" w:rsidRDefault="001C3C9A" w:rsidP="001C3C9A">
      <w:pPr>
        <w:autoSpaceDE w:val="0"/>
        <w:autoSpaceDN w:val="0"/>
        <w:adjustRightInd w:val="0"/>
        <w:rPr>
          <w:rFonts w:cs="Times New Roman"/>
          <w:lang w:val="en-US" w:eastAsia="en-US" w:bidi="ar-SA"/>
        </w:rPr>
      </w:pPr>
    </w:p>
    <w:p w:rsidR="007E3CF4" w:rsidRDefault="007E3CF4" w:rsidP="001C3C9A">
      <w:pPr>
        <w:autoSpaceDE w:val="0"/>
        <w:autoSpaceDN w:val="0"/>
        <w:adjustRightInd w:val="0"/>
        <w:rPr>
          <w:rFonts w:cs="Times New Roman"/>
          <w:lang w:val="en-US" w:eastAsia="en-US" w:bidi="ar-SA"/>
        </w:rPr>
      </w:pPr>
    </w:p>
    <w:p w:rsidR="007E3CF4" w:rsidRDefault="007E3CF4" w:rsidP="001C3C9A">
      <w:pPr>
        <w:autoSpaceDE w:val="0"/>
        <w:autoSpaceDN w:val="0"/>
        <w:adjustRightInd w:val="0"/>
        <w:rPr>
          <w:rFonts w:cs="Times New Roman"/>
          <w:lang w:val="en-US" w:eastAsia="en-US" w:bidi="ar-SA"/>
        </w:rPr>
      </w:pPr>
    </w:p>
    <w:p w:rsidR="007E3CF4" w:rsidRDefault="007E3CF4" w:rsidP="001C3C9A">
      <w:pPr>
        <w:autoSpaceDE w:val="0"/>
        <w:autoSpaceDN w:val="0"/>
        <w:adjustRightInd w:val="0"/>
        <w:rPr>
          <w:rFonts w:cs="Times New Roman"/>
          <w:lang w:val="en-US" w:eastAsia="en-US" w:bidi="ar-SA"/>
        </w:rPr>
      </w:pPr>
    </w:p>
    <w:p w:rsidR="007E3CF4" w:rsidRDefault="007E3CF4" w:rsidP="001C3C9A">
      <w:pPr>
        <w:autoSpaceDE w:val="0"/>
        <w:autoSpaceDN w:val="0"/>
        <w:adjustRightInd w:val="0"/>
        <w:rPr>
          <w:rFonts w:cs="Times New Roman"/>
          <w:lang w:val="en-US" w:eastAsia="en-US" w:bidi="ar-SA"/>
        </w:rPr>
      </w:pPr>
    </w:p>
    <w:p w:rsidR="007E3CF4" w:rsidRDefault="007E3CF4" w:rsidP="001C3C9A">
      <w:pPr>
        <w:autoSpaceDE w:val="0"/>
        <w:autoSpaceDN w:val="0"/>
        <w:adjustRightInd w:val="0"/>
        <w:rPr>
          <w:rFonts w:cs="Times New Roman"/>
          <w:lang w:val="en-US" w:eastAsia="en-US" w:bidi="ar-SA"/>
        </w:rPr>
      </w:pPr>
    </w:p>
    <w:tbl>
      <w:tblP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7E3CF4" w:rsidRPr="00AD2AC8" w:rsidTr="00A912F1">
        <w:trPr>
          <w:cantSplit/>
          <w:tblHeader/>
        </w:trPr>
        <w:tc>
          <w:tcPr>
            <w:tcW w:w="4253" w:type="dxa"/>
            <w:gridSpan w:val="4"/>
            <w:tcBorders>
              <w:top w:val="nil"/>
              <w:left w:val="nil"/>
              <w:bottom w:val="nil"/>
              <w:right w:val="nil"/>
            </w:tcBorders>
            <w:shd w:val="clear" w:color="auto" w:fill="FFFFFF"/>
            <w:vAlign w:val="center"/>
          </w:tcPr>
          <w:p w:rsidR="007E3CF4" w:rsidRPr="00AD2AC8" w:rsidRDefault="007E3CF4" w:rsidP="00A912F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7E3CF4"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E3CF4" w:rsidRPr="00AD2AC8" w:rsidRDefault="007E3CF4"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7E3CF4" w:rsidRPr="00AD2AC8" w:rsidRDefault="007E3CF4"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7E3CF4" w:rsidRPr="00AD2AC8" w:rsidRDefault="007E3CF4"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7E3CF4" w:rsidRPr="00AD2AC8" w:rsidRDefault="007E3CF4"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7E3CF4"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7E3CF4" w:rsidRPr="00AD2AC8" w:rsidRDefault="007E3CF4"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7E3CF4" w:rsidRPr="00AD2AC8" w:rsidRDefault="007E3CF4" w:rsidP="007E3CF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28</w:t>
            </w:r>
            <w:r w:rsidRPr="00AD2AC8">
              <w:rPr>
                <w:rFonts w:ascii="Arial" w:hAnsi="Arial" w:cs="Arial"/>
                <w:color w:val="000000"/>
                <w:sz w:val="18"/>
                <w:szCs w:val="18"/>
                <w:lang w:val="nl-NL" w:eastAsia="en-US" w:bidi="ar-SA"/>
              </w:rPr>
              <w:t>.</w:t>
            </w:r>
            <w:r>
              <w:rPr>
                <w:rFonts w:ascii="Arial" w:hAnsi="Arial" w:cs="Arial"/>
                <w:color w:val="000000"/>
                <w:sz w:val="18"/>
                <w:szCs w:val="18"/>
                <w:lang w:val="nl-NL" w:eastAsia="en-US" w:bidi="ar-SA"/>
              </w:rPr>
              <w:t>980</w:t>
            </w:r>
            <w:r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7E3CF4" w:rsidRPr="00AD2AC8" w:rsidRDefault="007E3CF4"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w:t>
            </w:r>
            <w:r w:rsidRPr="00AD2AC8">
              <w:rPr>
                <w:rFonts w:ascii="Arial" w:hAnsi="Arial" w:cs="Arial"/>
                <w:color w:val="000000"/>
                <w:sz w:val="18"/>
                <w:szCs w:val="18"/>
                <w:lang w:val="nl-NL" w:eastAsia="en-US" w:bidi="ar-SA"/>
              </w:rPr>
              <w:t>0</w:t>
            </w:r>
            <w:r w:rsidR="005B5520">
              <w:rPr>
                <w:rFonts w:ascii="Arial" w:hAnsi="Arial" w:cs="Arial"/>
                <w:color w:val="000000"/>
                <w:sz w:val="18"/>
                <w:szCs w:val="18"/>
                <w:lang w:val="nl-NL" w:eastAsia="en-US" w:bidi="ar-SA"/>
              </w:rPr>
              <w:t>4</w:t>
            </w:r>
          </w:p>
        </w:tc>
        <w:tc>
          <w:tcPr>
            <w:tcW w:w="1418" w:type="dxa"/>
            <w:tcBorders>
              <w:top w:val="single" w:sz="16" w:space="0" w:color="000000"/>
              <w:bottom w:val="single" w:sz="16" w:space="0" w:color="000000"/>
              <w:right w:val="single" w:sz="16" w:space="0" w:color="000000"/>
            </w:tcBorders>
            <w:shd w:val="clear" w:color="auto" w:fill="FFFFFF"/>
          </w:tcPr>
          <w:p w:rsidR="007E3CF4" w:rsidRPr="00AD2AC8" w:rsidRDefault="007E3CF4"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w:t>
            </w:r>
            <w:r w:rsidR="005B5520">
              <w:rPr>
                <w:rFonts w:ascii="Arial" w:hAnsi="Arial" w:cs="Arial"/>
                <w:color w:val="000000"/>
                <w:sz w:val="18"/>
                <w:szCs w:val="18"/>
                <w:lang w:val="nl-NL" w:eastAsia="en-US" w:bidi="ar-SA"/>
              </w:rPr>
              <w:t>05</w:t>
            </w:r>
          </w:p>
        </w:tc>
      </w:tr>
      <w:tr w:rsidR="007E3CF4" w:rsidRPr="00AD2AC8" w:rsidTr="00A912F1">
        <w:trPr>
          <w:cantSplit/>
        </w:trPr>
        <w:tc>
          <w:tcPr>
            <w:tcW w:w="4253" w:type="dxa"/>
            <w:gridSpan w:val="4"/>
            <w:tcBorders>
              <w:top w:val="nil"/>
              <w:left w:val="nil"/>
              <w:bottom w:val="nil"/>
              <w:right w:val="nil"/>
            </w:tcBorders>
            <w:shd w:val="clear" w:color="auto" w:fill="FFFFFF"/>
          </w:tcPr>
          <w:p w:rsidR="007E3CF4" w:rsidRPr="00BC2E83" w:rsidRDefault="007E3CF4" w:rsidP="007E3CF4">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Pr>
                <w:rFonts w:ascii="Arial" w:hAnsi="Arial" w:cs="Arial"/>
                <w:color w:val="000000"/>
                <w:sz w:val="17"/>
                <w:szCs w:val="17"/>
                <w:lang w:val="en-US" w:eastAsia="en-US" w:bidi="ar-SA"/>
              </w:rPr>
              <w:t>2</w:t>
            </w:r>
            <w:r w:rsidRPr="00BC2E83">
              <w:rPr>
                <w:rFonts w:ascii="Arial" w:hAnsi="Arial" w:cs="Arial"/>
                <w:color w:val="000000"/>
                <w:sz w:val="17"/>
                <w:szCs w:val="17"/>
                <w:lang w:val="en-US" w:eastAsia="en-US" w:bidi="ar-SA"/>
              </w:rPr>
              <w:t xml:space="preserve"> because parameter estimates changed by less than .001.</w:t>
            </w:r>
          </w:p>
        </w:tc>
      </w:tr>
    </w:tbl>
    <w:tbl>
      <w:tblPr>
        <w:tblpPr w:leftFromText="141" w:rightFromText="141" w:vertAnchor="text" w:horzAnchor="margin" w:tblpXSpec="right" w:tblpY="-1786"/>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7E3CF4" w:rsidRPr="00AD2AC8" w:rsidTr="007E3CF4">
        <w:trPr>
          <w:cantSplit/>
          <w:tblHeader/>
        </w:trPr>
        <w:tc>
          <w:tcPr>
            <w:tcW w:w="4253" w:type="dxa"/>
            <w:gridSpan w:val="4"/>
            <w:tcBorders>
              <w:top w:val="nil"/>
              <w:left w:val="nil"/>
              <w:bottom w:val="nil"/>
              <w:right w:val="nil"/>
            </w:tcBorders>
            <w:shd w:val="clear" w:color="auto" w:fill="FFFFFF"/>
            <w:vAlign w:val="center"/>
          </w:tcPr>
          <w:p w:rsidR="007E3CF4" w:rsidRPr="00AD2AC8" w:rsidRDefault="007E3CF4" w:rsidP="007E3CF4">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7E3CF4" w:rsidRPr="00AD2AC8" w:rsidTr="007E3CF4">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E3CF4" w:rsidRPr="00AD2AC8" w:rsidRDefault="007E3CF4" w:rsidP="007E3CF4">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7E3CF4" w:rsidRPr="00AD2AC8" w:rsidRDefault="007E3CF4" w:rsidP="007E3CF4">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7E3CF4" w:rsidRPr="00AD2AC8" w:rsidRDefault="007E3CF4" w:rsidP="007E3CF4">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7E3CF4" w:rsidRPr="00AD2AC8" w:rsidRDefault="007E3CF4" w:rsidP="007E3CF4">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7E3CF4" w:rsidRPr="00AD2AC8" w:rsidTr="007E3CF4">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7E3CF4" w:rsidRPr="00AD2AC8" w:rsidRDefault="007E3CF4" w:rsidP="007E3CF4">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7E3CF4" w:rsidRPr="00AD2AC8" w:rsidRDefault="007E3CF4" w:rsidP="005B5520">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w:t>
            </w:r>
            <w:r w:rsidR="005B5520">
              <w:rPr>
                <w:rFonts w:ascii="Arial" w:hAnsi="Arial" w:cs="Arial"/>
                <w:color w:val="000000"/>
                <w:sz w:val="18"/>
                <w:szCs w:val="18"/>
                <w:lang w:val="nl-NL" w:eastAsia="en-US" w:bidi="ar-SA"/>
              </w:rPr>
              <w:t>6</w:t>
            </w:r>
            <w:r>
              <w:rPr>
                <w:rFonts w:ascii="Arial" w:hAnsi="Arial" w:cs="Arial"/>
                <w:color w:val="000000"/>
                <w:sz w:val="18"/>
                <w:szCs w:val="18"/>
                <w:lang w:val="nl-NL" w:eastAsia="en-US" w:bidi="ar-SA"/>
              </w:rPr>
              <w:t>.</w:t>
            </w:r>
            <w:r w:rsidR="005B5520">
              <w:rPr>
                <w:rFonts w:ascii="Arial" w:hAnsi="Arial" w:cs="Arial"/>
                <w:color w:val="000000"/>
                <w:sz w:val="18"/>
                <w:szCs w:val="18"/>
                <w:lang w:val="nl-NL" w:eastAsia="en-US" w:bidi="ar-SA"/>
              </w:rPr>
              <w:t>723</w:t>
            </w:r>
            <w:r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7E3CF4" w:rsidRPr="00AD2AC8" w:rsidRDefault="007E3CF4" w:rsidP="007E3CF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w:t>
            </w:r>
            <w:r w:rsidR="005B5520">
              <w:rPr>
                <w:rFonts w:ascii="Arial" w:hAnsi="Arial" w:cs="Arial"/>
                <w:color w:val="000000"/>
                <w:sz w:val="18"/>
                <w:szCs w:val="18"/>
                <w:lang w:val="nl-NL" w:eastAsia="en-US" w:bidi="ar-SA"/>
              </w:rPr>
              <w:t>0</w:t>
            </w:r>
            <w:r>
              <w:rPr>
                <w:rFonts w:ascii="Arial" w:hAnsi="Arial" w:cs="Arial"/>
                <w:color w:val="000000"/>
                <w:sz w:val="18"/>
                <w:szCs w:val="18"/>
                <w:lang w:val="nl-NL" w:eastAsia="en-US" w:bidi="ar-SA"/>
              </w:rPr>
              <w:t>0</w:t>
            </w:r>
          </w:p>
        </w:tc>
        <w:tc>
          <w:tcPr>
            <w:tcW w:w="1418" w:type="dxa"/>
            <w:tcBorders>
              <w:top w:val="single" w:sz="16" w:space="0" w:color="000000"/>
              <w:bottom w:val="single" w:sz="16" w:space="0" w:color="000000"/>
              <w:right w:val="single" w:sz="16" w:space="0" w:color="000000"/>
            </w:tcBorders>
            <w:shd w:val="clear" w:color="auto" w:fill="FFFFFF"/>
          </w:tcPr>
          <w:p w:rsidR="007E3CF4" w:rsidRPr="00AD2AC8" w:rsidRDefault="007E3CF4" w:rsidP="007E3CF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w:t>
            </w:r>
            <w:r w:rsidR="005B5520">
              <w:rPr>
                <w:rFonts w:ascii="Arial" w:hAnsi="Arial" w:cs="Arial"/>
                <w:color w:val="000000"/>
                <w:sz w:val="18"/>
                <w:szCs w:val="18"/>
                <w:lang w:val="nl-NL" w:eastAsia="en-US" w:bidi="ar-SA"/>
              </w:rPr>
              <w:t>01</w:t>
            </w:r>
          </w:p>
        </w:tc>
      </w:tr>
      <w:tr w:rsidR="007E3CF4" w:rsidRPr="00AD2AC8" w:rsidTr="007E3CF4">
        <w:trPr>
          <w:cantSplit/>
        </w:trPr>
        <w:tc>
          <w:tcPr>
            <w:tcW w:w="4253" w:type="dxa"/>
            <w:gridSpan w:val="4"/>
            <w:tcBorders>
              <w:top w:val="nil"/>
              <w:left w:val="nil"/>
              <w:bottom w:val="nil"/>
              <w:right w:val="nil"/>
            </w:tcBorders>
            <w:shd w:val="clear" w:color="auto" w:fill="FFFFFF"/>
          </w:tcPr>
          <w:p w:rsidR="007E3CF4" w:rsidRPr="00BC2E83" w:rsidRDefault="007E3CF4" w:rsidP="007E3CF4">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Pr>
                <w:rFonts w:ascii="Arial" w:hAnsi="Arial" w:cs="Arial"/>
                <w:color w:val="000000"/>
                <w:sz w:val="17"/>
                <w:szCs w:val="17"/>
                <w:lang w:val="en-US" w:eastAsia="en-US" w:bidi="ar-SA"/>
              </w:rPr>
              <w:t>3</w:t>
            </w:r>
            <w:r w:rsidRPr="00BC2E83">
              <w:rPr>
                <w:rFonts w:ascii="Arial" w:hAnsi="Arial" w:cs="Arial"/>
                <w:color w:val="000000"/>
                <w:sz w:val="17"/>
                <w:szCs w:val="17"/>
                <w:lang w:val="en-US" w:eastAsia="en-US" w:bidi="ar-SA"/>
              </w:rPr>
              <w:t xml:space="preserve"> because parameter estimates changed by less than .001.</w:t>
            </w:r>
          </w:p>
        </w:tc>
      </w:tr>
    </w:tbl>
    <w:p w:rsidR="007E3CF4" w:rsidRPr="007E3CF4" w:rsidRDefault="007E3CF4" w:rsidP="001C3C9A">
      <w:pPr>
        <w:autoSpaceDE w:val="0"/>
        <w:autoSpaceDN w:val="0"/>
        <w:adjustRightInd w:val="0"/>
        <w:rPr>
          <w:rFonts w:cs="Times New Roman"/>
          <w:lang w:eastAsia="en-US" w:bidi="ar-SA"/>
        </w:rPr>
      </w:pPr>
    </w:p>
    <w:p w:rsidR="00EB7841" w:rsidRDefault="00FA231E" w:rsidP="007E3CF4">
      <w:pPr>
        <w:spacing w:line="320" w:lineRule="atLeast"/>
        <w:rPr>
          <w:rFonts w:cs="Times New Roman"/>
          <w:sz w:val="20"/>
          <w:szCs w:val="20"/>
          <w:lang w:val="en-US" w:eastAsia="en-US" w:bidi="ar-SA"/>
        </w:rPr>
      </w:pPr>
      <w:r>
        <w:rPr>
          <w:rFonts w:cs="Times New Roman"/>
          <w:sz w:val="20"/>
          <w:szCs w:val="20"/>
          <w:lang w:val="en-US" w:eastAsia="en-US" w:bidi="ar-SA"/>
        </w:rPr>
        <w:t>Table 2</w:t>
      </w:r>
      <w:r w:rsidR="00174C85">
        <w:rPr>
          <w:rFonts w:cs="Times New Roman"/>
          <w:sz w:val="20"/>
          <w:szCs w:val="20"/>
          <w:lang w:val="en-US" w:eastAsia="en-US" w:bidi="ar-SA"/>
        </w:rPr>
        <w:t>6</w:t>
      </w:r>
      <w:r>
        <w:rPr>
          <w:rFonts w:cs="Times New Roman"/>
          <w:sz w:val="20"/>
          <w:szCs w:val="20"/>
          <w:lang w:val="en-US" w:eastAsia="en-US" w:bidi="ar-SA"/>
        </w:rPr>
        <w:t xml:space="preserve">: Logistic regression with dependent </w:t>
      </w:r>
      <w:r w:rsidR="00EB7841">
        <w:rPr>
          <w:rFonts w:cs="Times New Roman"/>
          <w:sz w:val="20"/>
          <w:szCs w:val="20"/>
          <w:lang w:val="en-US" w:eastAsia="en-US" w:bidi="ar-SA"/>
        </w:rPr>
        <w:tab/>
      </w:r>
      <w:r w:rsidR="007E3CF4">
        <w:rPr>
          <w:rFonts w:cs="Times New Roman"/>
          <w:sz w:val="20"/>
          <w:szCs w:val="20"/>
          <w:lang w:val="en-US" w:eastAsia="en-US" w:bidi="ar-SA"/>
        </w:rPr>
        <w:tab/>
      </w:r>
      <w:r w:rsidR="00EB7841">
        <w:rPr>
          <w:rFonts w:cs="Times New Roman"/>
          <w:sz w:val="20"/>
          <w:szCs w:val="20"/>
          <w:lang w:val="en-US" w:eastAsia="en-US" w:bidi="ar-SA"/>
        </w:rPr>
        <w:t>Table 2</w:t>
      </w:r>
      <w:r w:rsidR="00174C85">
        <w:rPr>
          <w:rFonts w:cs="Times New Roman"/>
          <w:sz w:val="20"/>
          <w:szCs w:val="20"/>
          <w:lang w:val="en-US" w:eastAsia="en-US" w:bidi="ar-SA"/>
        </w:rPr>
        <w:t>7</w:t>
      </w:r>
      <w:r w:rsidR="00EB7841">
        <w:rPr>
          <w:rFonts w:cs="Times New Roman"/>
          <w:sz w:val="20"/>
          <w:szCs w:val="20"/>
          <w:lang w:val="en-US" w:eastAsia="en-US" w:bidi="ar-SA"/>
        </w:rPr>
        <w:t xml:space="preserve">: Logistic regression with dependent </w:t>
      </w:r>
    </w:p>
    <w:p w:rsidR="005939FB" w:rsidRDefault="00FA231E" w:rsidP="007E3CF4">
      <w:pPr>
        <w:spacing w:line="320" w:lineRule="atLeast"/>
        <w:rPr>
          <w:rFonts w:cs="Times New Roman"/>
          <w:sz w:val="20"/>
          <w:szCs w:val="20"/>
          <w:lang w:val="en-US" w:eastAsia="en-US" w:bidi="ar-SA"/>
        </w:rPr>
      </w:pPr>
      <w:r>
        <w:rPr>
          <w:rFonts w:cs="Times New Roman"/>
          <w:sz w:val="20"/>
          <w:szCs w:val="20"/>
          <w:lang w:val="en-US" w:eastAsia="en-US" w:bidi="ar-SA"/>
        </w:rPr>
        <w:t xml:space="preserve">variable </w:t>
      </w:r>
      <w:r w:rsidR="005939FB">
        <w:rPr>
          <w:rFonts w:cs="Times New Roman"/>
          <w:sz w:val="20"/>
          <w:szCs w:val="20"/>
          <w:lang w:val="en-US" w:eastAsia="en-US" w:bidi="ar-SA"/>
        </w:rPr>
        <w:t>disclosure</w:t>
      </w:r>
      <w:r>
        <w:rPr>
          <w:rFonts w:cs="Times New Roman"/>
          <w:sz w:val="20"/>
          <w:szCs w:val="20"/>
          <w:lang w:val="en-US" w:eastAsia="en-US" w:bidi="ar-SA"/>
        </w:rPr>
        <w:t xml:space="preserve"> </w:t>
      </w:r>
      <w:r w:rsidR="005939FB">
        <w:rPr>
          <w:rFonts w:cs="Times New Roman"/>
          <w:sz w:val="20"/>
          <w:szCs w:val="20"/>
          <w:lang w:val="en-US" w:eastAsia="en-US" w:bidi="ar-SA"/>
        </w:rPr>
        <w:t>sector allocations in financial</w:t>
      </w:r>
      <w:r w:rsidR="00EB7841">
        <w:rPr>
          <w:rFonts w:cs="Times New Roman"/>
          <w:sz w:val="20"/>
          <w:szCs w:val="20"/>
          <w:lang w:val="en-US" w:eastAsia="en-US" w:bidi="ar-SA"/>
        </w:rPr>
        <w:tab/>
      </w:r>
      <w:r w:rsidR="007E3CF4">
        <w:rPr>
          <w:rFonts w:cs="Times New Roman"/>
          <w:sz w:val="20"/>
          <w:szCs w:val="20"/>
          <w:lang w:val="en-US" w:eastAsia="en-US" w:bidi="ar-SA"/>
        </w:rPr>
        <w:tab/>
      </w:r>
      <w:r w:rsidR="00EB7841">
        <w:rPr>
          <w:rFonts w:cs="Times New Roman"/>
          <w:sz w:val="20"/>
          <w:szCs w:val="20"/>
          <w:lang w:val="en-US" w:eastAsia="en-US" w:bidi="ar-SA"/>
        </w:rPr>
        <w:t xml:space="preserve">variable </w:t>
      </w:r>
      <w:r w:rsidR="005939FB">
        <w:rPr>
          <w:rFonts w:cs="Times New Roman"/>
          <w:sz w:val="20"/>
          <w:szCs w:val="20"/>
          <w:lang w:val="en-US" w:eastAsia="en-US" w:bidi="ar-SA"/>
        </w:rPr>
        <w:t xml:space="preserve">disclosure sector allocations in financial </w:t>
      </w:r>
    </w:p>
    <w:p w:rsidR="005939FB" w:rsidRDefault="005939FB" w:rsidP="007E3CF4">
      <w:pPr>
        <w:spacing w:line="320" w:lineRule="atLeast"/>
        <w:rPr>
          <w:rFonts w:cs="Times New Roman"/>
          <w:sz w:val="20"/>
          <w:szCs w:val="20"/>
          <w:lang w:val="en-US" w:eastAsia="en-US" w:bidi="ar-SA"/>
        </w:rPr>
      </w:pPr>
      <w:r>
        <w:rPr>
          <w:rFonts w:cs="Times New Roman"/>
          <w:sz w:val="20"/>
          <w:szCs w:val="20"/>
          <w:lang w:val="en-US" w:eastAsia="en-US" w:bidi="ar-SA"/>
        </w:rPr>
        <w:t>statements 2006 and as covariate AUM 2006</w:t>
      </w:r>
      <w:r>
        <w:rPr>
          <w:rFonts w:cs="Times New Roman"/>
          <w:sz w:val="20"/>
          <w:szCs w:val="20"/>
          <w:lang w:val="en-US" w:eastAsia="en-US" w:bidi="ar-SA"/>
        </w:rPr>
        <w:tab/>
      </w:r>
      <w:r>
        <w:rPr>
          <w:rFonts w:cs="Times New Roman"/>
          <w:sz w:val="20"/>
          <w:szCs w:val="20"/>
          <w:lang w:val="en-US" w:eastAsia="en-US" w:bidi="ar-SA"/>
        </w:rPr>
        <w:tab/>
      </w:r>
      <w:r w:rsidR="007E3CF4">
        <w:rPr>
          <w:rFonts w:cs="Times New Roman"/>
          <w:sz w:val="20"/>
          <w:szCs w:val="20"/>
          <w:lang w:val="en-US" w:eastAsia="en-US" w:bidi="ar-SA"/>
        </w:rPr>
        <w:tab/>
      </w:r>
      <w:r>
        <w:rPr>
          <w:rFonts w:cs="Times New Roman"/>
          <w:sz w:val="20"/>
          <w:szCs w:val="20"/>
          <w:lang w:val="en-US" w:eastAsia="en-US" w:bidi="ar-SA"/>
        </w:rPr>
        <w:t>statements 2011 and as covariate AUM 2011</w:t>
      </w:r>
    </w:p>
    <w:p w:rsidR="007E3CF4" w:rsidRDefault="007E3CF4" w:rsidP="005B5520">
      <w:pPr>
        <w:autoSpaceDE w:val="0"/>
        <w:autoSpaceDN w:val="0"/>
        <w:adjustRightInd w:val="0"/>
        <w:spacing w:line="120" w:lineRule="atLeast"/>
        <w:jc w:val="both"/>
        <w:rPr>
          <w:rFonts w:cs="Times New Roman"/>
          <w:lang w:val="en-US" w:eastAsia="en-US" w:bidi="ar-SA"/>
        </w:rPr>
      </w:pPr>
    </w:p>
    <w:p w:rsidR="006912FB" w:rsidRDefault="006912FB"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Regarding the relation between AUM and the disclosure of a sector allocation, table 2</w:t>
      </w:r>
      <w:r w:rsidR="00174C85">
        <w:rPr>
          <w:rFonts w:cs="Times New Roman"/>
          <w:lang w:val="en-US" w:eastAsia="en-US" w:bidi="ar-SA"/>
        </w:rPr>
        <w:t>6</w:t>
      </w:r>
      <w:r>
        <w:rPr>
          <w:rFonts w:cs="Times New Roman"/>
          <w:lang w:val="en-US" w:eastAsia="en-US" w:bidi="ar-SA"/>
        </w:rPr>
        <w:t xml:space="preserve"> and table 2</w:t>
      </w:r>
      <w:r w:rsidR="00174C85">
        <w:rPr>
          <w:rFonts w:cs="Times New Roman"/>
          <w:lang w:val="en-US" w:eastAsia="en-US" w:bidi="ar-SA"/>
        </w:rPr>
        <w:t>7</w:t>
      </w:r>
      <w:r>
        <w:rPr>
          <w:rFonts w:cs="Times New Roman"/>
          <w:lang w:val="en-US" w:eastAsia="en-US" w:bidi="ar-SA"/>
        </w:rPr>
        <w:t xml:space="preserve"> reveal in 2006 and 2011 with a </w:t>
      </w:r>
      <w:proofErr w:type="spellStart"/>
      <w:r>
        <w:rPr>
          <w:rFonts w:cs="Times New Roman"/>
          <w:lang w:val="en-US" w:eastAsia="en-US" w:bidi="ar-SA"/>
        </w:rPr>
        <w:t>Nagelkerke</w:t>
      </w:r>
      <w:proofErr w:type="spellEnd"/>
      <w:r>
        <w:rPr>
          <w:rFonts w:cs="Times New Roman"/>
          <w:lang w:val="en-US" w:eastAsia="en-US" w:bidi="ar-SA"/>
        </w:rPr>
        <w:t xml:space="preserve"> R</w:t>
      </w:r>
      <w:r w:rsidRPr="00DA28F7">
        <w:rPr>
          <w:rFonts w:cs="Times New Roman"/>
          <w:vertAlign w:val="superscript"/>
          <w:lang w:val="en-US" w:eastAsia="en-US" w:bidi="ar-SA"/>
        </w:rPr>
        <w:t>2</w:t>
      </w:r>
      <w:r>
        <w:rPr>
          <w:rFonts w:cs="Times New Roman"/>
          <w:lang w:val="en-US" w:eastAsia="en-US" w:bidi="ar-SA"/>
        </w:rPr>
        <w:t xml:space="preserve"> of 0.005 respectively 0.001 a very weak relation in both years.</w:t>
      </w:r>
    </w:p>
    <w:p w:rsidR="00360092" w:rsidRDefault="00360092" w:rsidP="005F5E1F">
      <w:pPr>
        <w:autoSpaceDE w:val="0"/>
        <w:autoSpaceDN w:val="0"/>
        <w:adjustRightInd w:val="0"/>
        <w:spacing w:line="400" w:lineRule="atLeast"/>
        <w:jc w:val="both"/>
        <w:rPr>
          <w:rFonts w:cs="Times New Roman"/>
          <w:lang w:val="en-US" w:eastAsia="en-US" w:bidi="ar-SA"/>
        </w:rPr>
      </w:pPr>
    </w:p>
    <w:tbl>
      <w:tblP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A2631F" w:rsidRPr="00AD2AC8" w:rsidTr="00A912F1">
        <w:trPr>
          <w:cantSplit/>
          <w:tblHeader/>
        </w:trPr>
        <w:tc>
          <w:tcPr>
            <w:tcW w:w="4253" w:type="dxa"/>
            <w:gridSpan w:val="4"/>
            <w:tcBorders>
              <w:top w:val="nil"/>
              <w:left w:val="nil"/>
              <w:bottom w:val="nil"/>
              <w:right w:val="nil"/>
            </w:tcBorders>
            <w:shd w:val="clear" w:color="auto" w:fill="FFFFFF"/>
            <w:vAlign w:val="center"/>
          </w:tcPr>
          <w:p w:rsidR="00A2631F" w:rsidRPr="00AD2AC8" w:rsidRDefault="00A2631F" w:rsidP="00A912F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A2631F"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2631F" w:rsidRPr="00AD2AC8" w:rsidRDefault="00A2631F"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A2631F" w:rsidRPr="00AD2AC8" w:rsidRDefault="00A2631F"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A2631F" w:rsidRPr="00AD2AC8" w:rsidRDefault="00A2631F"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A2631F" w:rsidRPr="00AD2AC8" w:rsidRDefault="00A2631F"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A2631F"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A2631F" w:rsidRPr="00AD2AC8" w:rsidRDefault="00A2631F"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A2631F" w:rsidRPr="00AD2AC8" w:rsidRDefault="00B672D3"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13</w:t>
            </w:r>
            <w:r w:rsidR="00A2631F" w:rsidRPr="00AD2AC8">
              <w:rPr>
                <w:rFonts w:ascii="Arial" w:hAnsi="Arial" w:cs="Arial"/>
                <w:color w:val="000000"/>
                <w:sz w:val="18"/>
                <w:szCs w:val="18"/>
                <w:lang w:val="nl-NL" w:eastAsia="en-US" w:bidi="ar-SA"/>
              </w:rPr>
              <w:t>.</w:t>
            </w:r>
            <w:r w:rsidR="00A2631F">
              <w:rPr>
                <w:rFonts w:ascii="Arial" w:hAnsi="Arial" w:cs="Arial"/>
                <w:color w:val="000000"/>
                <w:sz w:val="18"/>
                <w:szCs w:val="18"/>
                <w:lang w:val="nl-NL" w:eastAsia="en-US" w:bidi="ar-SA"/>
              </w:rPr>
              <w:t>9</w:t>
            </w:r>
            <w:r>
              <w:rPr>
                <w:rFonts w:ascii="Arial" w:hAnsi="Arial" w:cs="Arial"/>
                <w:color w:val="000000"/>
                <w:sz w:val="18"/>
                <w:szCs w:val="18"/>
                <w:lang w:val="nl-NL" w:eastAsia="en-US" w:bidi="ar-SA"/>
              </w:rPr>
              <w:t>74</w:t>
            </w:r>
            <w:r w:rsidR="00A2631F"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A2631F" w:rsidRPr="00AD2AC8" w:rsidRDefault="00A2631F"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w:t>
            </w:r>
            <w:r w:rsidR="00B672D3">
              <w:rPr>
                <w:rFonts w:ascii="Arial" w:hAnsi="Arial" w:cs="Arial"/>
                <w:color w:val="000000"/>
                <w:sz w:val="18"/>
                <w:szCs w:val="18"/>
                <w:lang w:val="nl-NL" w:eastAsia="en-US" w:bidi="ar-SA"/>
              </w:rPr>
              <w:t>265</w:t>
            </w:r>
          </w:p>
        </w:tc>
        <w:tc>
          <w:tcPr>
            <w:tcW w:w="1418" w:type="dxa"/>
            <w:tcBorders>
              <w:top w:val="single" w:sz="16" w:space="0" w:color="000000"/>
              <w:bottom w:val="single" w:sz="16" w:space="0" w:color="000000"/>
              <w:right w:val="single" w:sz="16" w:space="0" w:color="000000"/>
            </w:tcBorders>
            <w:shd w:val="clear" w:color="auto" w:fill="FFFFFF"/>
          </w:tcPr>
          <w:p w:rsidR="00A2631F" w:rsidRPr="00AD2AC8" w:rsidRDefault="00A2631F"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w:t>
            </w:r>
            <w:r w:rsidR="00B672D3">
              <w:rPr>
                <w:rFonts w:ascii="Arial" w:hAnsi="Arial" w:cs="Arial"/>
                <w:color w:val="000000"/>
                <w:sz w:val="18"/>
                <w:szCs w:val="18"/>
                <w:lang w:val="nl-NL" w:eastAsia="en-US" w:bidi="ar-SA"/>
              </w:rPr>
              <w:t>426</w:t>
            </w:r>
          </w:p>
        </w:tc>
      </w:tr>
      <w:tr w:rsidR="00A2631F" w:rsidRPr="00AD2AC8" w:rsidTr="00A912F1">
        <w:trPr>
          <w:cantSplit/>
        </w:trPr>
        <w:tc>
          <w:tcPr>
            <w:tcW w:w="4253" w:type="dxa"/>
            <w:gridSpan w:val="4"/>
            <w:tcBorders>
              <w:top w:val="nil"/>
              <w:left w:val="nil"/>
              <w:bottom w:val="nil"/>
              <w:right w:val="nil"/>
            </w:tcBorders>
            <w:shd w:val="clear" w:color="auto" w:fill="FFFFFF"/>
          </w:tcPr>
          <w:p w:rsidR="00A2631F" w:rsidRPr="00BC2E83" w:rsidRDefault="00A2631F" w:rsidP="00B672D3">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sidR="00B672D3">
              <w:rPr>
                <w:rFonts w:ascii="Arial" w:hAnsi="Arial" w:cs="Arial"/>
                <w:color w:val="000000"/>
                <w:sz w:val="17"/>
                <w:szCs w:val="17"/>
                <w:lang w:val="en-US" w:eastAsia="en-US" w:bidi="ar-SA"/>
              </w:rPr>
              <w:t>6</w:t>
            </w:r>
            <w:r w:rsidRPr="00BC2E83">
              <w:rPr>
                <w:rFonts w:ascii="Arial" w:hAnsi="Arial" w:cs="Arial"/>
                <w:color w:val="000000"/>
                <w:sz w:val="17"/>
                <w:szCs w:val="17"/>
                <w:lang w:val="en-US" w:eastAsia="en-US" w:bidi="ar-SA"/>
              </w:rPr>
              <w:t xml:space="preserve"> because parameter estimates changed by less than .001.</w:t>
            </w:r>
          </w:p>
        </w:tc>
      </w:tr>
    </w:tbl>
    <w:tbl>
      <w:tblPr>
        <w:tblpPr w:leftFromText="141" w:rightFromText="141" w:vertAnchor="text" w:horzAnchor="margin" w:tblpXSpec="right" w:tblpY="-1779"/>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A2631F" w:rsidRPr="00AD2AC8" w:rsidTr="00A2631F">
        <w:trPr>
          <w:cantSplit/>
          <w:tblHeader/>
        </w:trPr>
        <w:tc>
          <w:tcPr>
            <w:tcW w:w="4253" w:type="dxa"/>
            <w:gridSpan w:val="4"/>
            <w:tcBorders>
              <w:top w:val="nil"/>
              <w:left w:val="nil"/>
              <w:bottom w:val="nil"/>
              <w:right w:val="nil"/>
            </w:tcBorders>
            <w:shd w:val="clear" w:color="auto" w:fill="FFFFFF"/>
            <w:vAlign w:val="center"/>
          </w:tcPr>
          <w:p w:rsidR="00A2631F" w:rsidRPr="00AD2AC8" w:rsidRDefault="00A2631F" w:rsidP="00A2631F">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A2631F" w:rsidRPr="00AD2AC8" w:rsidTr="00A2631F">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2631F" w:rsidRPr="00AD2AC8" w:rsidRDefault="00A2631F" w:rsidP="00A2631F">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A2631F" w:rsidRPr="00AD2AC8" w:rsidRDefault="00A2631F" w:rsidP="00A2631F">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A2631F" w:rsidRPr="00AD2AC8" w:rsidRDefault="00A2631F" w:rsidP="00A2631F">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A2631F" w:rsidRPr="00AD2AC8" w:rsidRDefault="00A2631F" w:rsidP="00A2631F">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A2631F" w:rsidRPr="00AD2AC8" w:rsidTr="00A2631F">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A2631F" w:rsidRPr="00AD2AC8" w:rsidRDefault="00A2631F" w:rsidP="00A2631F">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A2631F" w:rsidRPr="00AD2AC8" w:rsidRDefault="00B672D3" w:rsidP="00A2631F">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21.544</w:t>
            </w:r>
            <w:r w:rsidR="00A2631F"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A2631F" w:rsidRPr="00AD2AC8" w:rsidRDefault="00A2631F" w:rsidP="00B672D3">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w:t>
            </w:r>
            <w:r w:rsidR="00B672D3">
              <w:rPr>
                <w:rFonts w:ascii="Arial" w:hAnsi="Arial" w:cs="Arial"/>
                <w:color w:val="000000"/>
                <w:sz w:val="18"/>
                <w:szCs w:val="18"/>
                <w:lang w:val="nl-NL" w:eastAsia="en-US" w:bidi="ar-SA"/>
              </w:rPr>
              <w:t>69</w:t>
            </w:r>
          </w:p>
        </w:tc>
        <w:tc>
          <w:tcPr>
            <w:tcW w:w="1418" w:type="dxa"/>
            <w:tcBorders>
              <w:top w:val="single" w:sz="16" w:space="0" w:color="000000"/>
              <w:bottom w:val="single" w:sz="16" w:space="0" w:color="000000"/>
              <w:right w:val="single" w:sz="16" w:space="0" w:color="000000"/>
            </w:tcBorders>
            <w:shd w:val="clear" w:color="auto" w:fill="FFFFFF"/>
          </w:tcPr>
          <w:p w:rsidR="00A2631F" w:rsidRPr="00AD2AC8" w:rsidRDefault="00B672D3" w:rsidP="00A2631F">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w:t>
            </w:r>
            <w:r w:rsidR="00A2631F">
              <w:rPr>
                <w:rFonts w:ascii="Arial" w:hAnsi="Arial" w:cs="Arial"/>
                <w:color w:val="000000"/>
                <w:sz w:val="18"/>
                <w:szCs w:val="18"/>
                <w:lang w:val="nl-NL" w:eastAsia="en-US" w:bidi="ar-SA"/>
              </w:rPr>
              <w:t>1</w:t>
            </w:r>
            <w:r>
              <w:rPr>
                <w:rFonts w:ascii="Arial" w:hAnsi="Arial" w:cs="Arial"/>
                <w:color w:val="000000"/>
                <w:sz w:val="18"/>
                <w:szCs w:val="18"/>
                <w:lang w:val="nl-NL" w:eastAsia="en-US" w:bidi="ar-SA"/>
              </w:rPr>
              <w:t>04</w:t>
            </w:r>
          </w:p>
        </w:tc>
      </w:tr>
      <w:tr w:rsidR="00A2631F" w:rsidRPr="00AD2AC8" w:rsidTr="00A2631F">
        <w:trPr>
          <w:cantSplit/>
        </w:trPr>
        <w:tc>
          <w:tcPr>
            <w:tcW w:w="4253" w:type="dxa"/>
            <w:gridSpan w:val="4"/>
            <w:tcBorders>
              <w:top w:val="nil"/>
              <w:left w:val="nil"/>
              <w:bottom w:val="nil"/>
              <w:right w:val="nil"/>
            </w:tcBorders>
            <w:shd w:val="clear" w:color="auto" w:fill="FFFFFF"/>
          </w:tcPr>
          <w:p w:rsidR="00A2631F" w:rsidRPr="00BC2E83" w:rsidRDefault="00A2631F" w:rsidP="00B672D3">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sidR="00B672D3">
              <w:rPr>
                <w:rFonts w:ascii="Arial" w:hAnsi="Arial" w:cs="Arial"/>
                <w:color w:val="000000"/>
                <w:sz w:val="17"/>
                <w:szCs w:val="17"/>
                <w:lang w:val="en-US" w:eastAsia="en-US" w:bidi="ar-SA"/>
              </w:rPr>
              <w:t>4</w:t>
            </w:r>
            <w:r w:rsidRPr="00BC2E83">
              <w:rPr>
                <w:rFonts w:ascii="Arial" w:hAnsi="Arial" w:cs="Arial"/>
                <w:color w:val="000000"/>
                <w:sz w:val="17"/>
                <w:szCs w:val="17"/>
                <w:lang w:val="en-US" w:eastAsia="en-US" w:bidi="ar-SA"/>
              </w:rPr>
              <w:t xml:space="preserve"> because parameter estimates changed by less than .001.</w:t>
            </w:r>
          </w:p>
        </w:tc>
      </w:tr>
    </w:tbl>
    <w:p w:rsidR="006C7917" w:rsidRPr="00202895" w:rsidRDefault="006C7917" w:rsidP="006C7917">
      <w:pPr>
        <w:autoSpaceDE w:val="0"/>
        <w:autoSpaceDN w:val="0"/>
        <w:adjustRightInd w:val="0"/>
        <w:rPr>
          <w:rFonts w:cs="Times New Roman"/>
          <w:lang w:val="en-US" w:eastAsia="en-US" w:bidi="ar-SA"/>
        </w:rPr>
      </w:pPr>
    </w:p>
    <w:p w:rsidR="002824B7" w:rsidRDefault="002824B7" w:rsidP="002824B7">
      <w:pPr>
        <w:spacing w:line="360" w:lineRule="auto"/>
        <w:rPr>
          <w:rFonts w:cs="Times New Roman"/>
          <w:sz w:val="20"/>
          <w:szCs w:val="20"/>
          <w:lang w:val="en-US" w:eastAsia="en-US" w:bidi="ar-SA"/>
        </w:rPr>
      </w:pPr>
      <w:r>
        <w:rPr>
          <w:rFonts w:cs="Times New Roman"/>
          <w:sz w:val="20"/>
          <w:szCs w:val="20"/>
          <w:lang w:val="en-US" w:eastAsia="en-US" w:bidi="ar-SA"/>
        </w:rPr>
        <w:t>Table 2</w:t>
      </w:r>
      <w:r w:rsidR="00174C85">
        <w:rPr>
          <w:rFonts w:cs="Times New Roman"/>
          <w:sz w:val="20"/>
          <w:szCs w:val="20"/>
          <w:lang w:val="en-US" w:eastAsia="en-US" w:bidi="ar-SA"/>
        </w:rPr>
        <w:t>8</w:t>
      </w:r>
      <w:r>
        <w:rPr>
          <w:rFonts w:cs="Times New Roman"/>
          <w:sz w:val="20"/>
          <w:szCs w:val="20"/>
          <w:lang w:val="en-US" w:eastAsia="en-US" w:bidi="ar-SA"/>
        </w:rPr>
        <w:t>: Logistic reg</w:t>
      </w:r>
      <w:r w:rsidR="00184069">
        <w:rPr>
          <w:rFonts w:cs="Times New Roman"/>
          <w:sz w:val="20"/>
          <w:szCs w:val="20"/>
          <w:lang w:val="en-US" w:eastAsia="en-US" w:bidi="ar-SA"/>
        </w:rPr>
        <w:t xml:space="preserve">ression with dependent </w:t>
      </w:r>
      <w:r w:rsidR="00184069">
        <w:rPr>
          <w:rFonts w:cs="Times New Roman"/>
          <w:sz w:val="20"/>
          <w:szCs w:val="20"/>
          <w:lang w:val="en-US" w:eastAsia="en-US" w:bidi="ar-SA"/>
        </w:rPr>
        <w:tab/>
      </w:r>
      <w:r w:rsidR="00BF32BC">
        <w:rPr>
          <w:rFonts w:cs="Times New Roman"/>
          <w:sz w:val="20"/>
          <w:szCs w:val="20"/>
          <w:lang w:val="en-US" w:eastAsia="en-US" w:bidi="ar-SA"/>
        </w:rPr>
        <w:tab/>
      </w:r>
      <w:r w:rsidR="00184069">
        <w:rPr>
          <w:rFonts w:cs="Times New Roman"/>
          <w:sz w:val="20"/>
          <w:szCs w:val="20"/>
          <w:lang w:val="en-US" w:eastAsia="en-US" w:bidi="ar-SA"/>
        </w:rPr>
        <w:t>Table 2</w:t>
      </w:r>
      <w:r w:rsidR="00174C85">
        <w:rPr>
          <w:rFonts w:cs="Times New Roman"/>
          <w:sz w:val="20"/>
          <w:szCs w:val="20"/>
          <w:lang w:val="en-US" w:eastAsia="en-US" w:bidi="ar-SA"/>
        </w:rPr>
        <w:t>9</w:t>
      </w:r>
      <w:r>
        <w:rPr>
          <w:rFonts w:cs="Times New Roman"/>
          <w:sz w:val="20"/>
          <w:szCs w:val="20"/>
          <w:lang w:val="en-US" w:eastAsia="en-US" w:bidi="ar-SA"/>
        </w:rPr>
        <w:t xml:space="preserve">: Logistic regression with dependent </w:t>
      </w:r>
    </w:p>
    <w:p w:rsidR="002824B7" w:rsidRDefault="002824B7" w:rsidP="002824B7">
      <w:pPr>
        <w:spacing w:line="360" w:lineRule="auto"/>
        <w:rPr>
          <w:rFonts w:cs="Times New Roman"/>
          <w:sz w:val="20"/>
          <w:szCs w:val="20"/>
          <w:lang w:val="en-US" w:eastAsia="en-US" w:bidi="ar-SA"/>
        </w:rPr>
      </w:pPr>
      <w:r>
        <w:rPr>
          <w:rFonts w:cs="Times New Roman"/>
          <w:sz w:val="20"/>
          <w:szCs w:val="20"/>
          <w:lang w:val="en-US" w:eastAsia="en-US" w:bidi="ar-SA"/>
        </w:rPr>
        <w:t xml:space="preserve">variable </w:t>
      </w:r>
      <w:r w:rsidR="00EF642E">
        <w:rPr>
          <w:rFonts w:cs="Times New Roman"/>
          <w:sz w:val="20"/>
          <w:szCs w:val="20"/>
          <w:lang w:val="en-US" w:eastAsia="en-US" w:bidi="ar-SA"/>
        </w:rPr>
        <w:t>disclosure position allocation in financial</w:t>
      </w:r>
      <w:r>
        <w:rPr>
          <w:rFonts w:cs="Times New Roman"/>
          <w:sz w:val="20"/>
          <w:szCs w:val="20"/>
          <w:lang w:val="en-US" w:eastAsia="en-US" w:bidi="ar-SA"/>
        </w:rPr>
        <w:t xml:space="preserve"> </w:t>
      </w:r>
      <w:r>
        <w:rPr>
          <w:rFonts w:cs="Times New Roman"/>
          <w:sz w:val="20"/>
          <w:szCs w:val="20"/>
          <w:lang w:val="en-US" w:eastAsia="en-US" w:bidi="ar-SA"/>
        </w:rPr>
        <w:tab/>
      </w:r>
      <w:r w:rsidR="00BF32BC">
        <w:rPr>
          <w:rFonts w:cs="Times New Roman"/>
          <w:sz w:val="20"/>
          <w:szCs w:val="20"/>
          <w:lang w:val="en-US" w:eastAsia="en-US" w:bidi="ar-SA"/>
        </w:rPr>
        <w:tab/>
      </w:r>
      <w:r w:rsidR="00EF642E">
        <w:rPr>
          <w:rFonts w:cs="Times New Roman"/>
          <w:sz w:val="20"/>
          <w:szCs w:val="20"/>
          <w:lang w:val="en-US" w:eastAsia="en-US" w:bidi="ar-SA"/>
        </w:rPr>
        <w:t>variable disclosure position allocation in financial</w:t>
      </w:r>
    </w:p>
    <w:p w:rsidR="00BB6494" w:rsidRDefault="002824B7" w:rsidP="00EF642E">
      <w:pPr>
        <w:spacing w:line="360" w:lineRule="auto"/>
        <w:rPr>
          <w:rFonts w:cs="Times New Roman"/>
          <w:sz w:val="20"/>
          <w:szCs w:val="20"/>
          <w:lang w:val="en-US" w:eastAsia="en-US" w:bidi="ar-SA"/>
        </w:rPr>
      </w:pPr>
      <w:r>
        <w:rPr>
          <w:rFonts w:cs="Times New Roman"/>
          <w:sz w:val="20"/>
          <w:szCs w:val="20"/>
          <w:lang w:val="en-US" w:eastAsia="en-US" w:bidi="ar-SA"/>
        </w:rPr>
        <w:t>statements 2006</w:t>
      </w:r>
      <w:r w:rsidR="00EF642E">
        <w:rPr>
          <w:rFonts w:cs="Times New Roman"/>
          <w:sz w:val="20"/>
          <w:szCs w:val="20"/>
          <w:lang w:val="en-US" w:eastAsia="en-US" w:bidi="ar-SA"/>
        </w:rPr>
        <w:t xml:space="preserve"> and as covariate AUM 2006</w:t>
      </w:r>
      <w:r>
        <w:rPr>
          <w:rFonts w:cs="Times New Roman"/>
          <w:sz w:val="20"/>
          <w:szCs w:val="20"/>
          <w:lang w:val="en-US" w:eastAsia="en-US" w:bidi="ar-SA"/>
        </w:rPr>
        <w:tab/>
      </w:r>
      <w:r>
        <w:rPr>
          <w:rFonts w:cs="Times New Roman"/>
          <w:sz w:val="20"/>
          <w:szCs w:val="20"/>
          <w:lang w:val="en-US" w:eastAsia="en-US" w:bidi="ar-SA"/>
        </w:rPr>
        <w:tab/>
      </w:r>
      <w:r w:rsidR="00BF32BC">
        <w:rPr>
          <w:rFonts w:cs="Times New Roman"/>
          <w:sz w:val="20"/>
          <w:szCs w:val="20"/>
          <w:lang w:val="en-US" w:eastAsia="en-US" w:bidi="ar-SA"/>
        </w:rPr>
        <w:tab/>
      </w:r>
      <w:r w:rsidR="00BB6494">
        <w:rPr>
          <w:rFonts w:cs="Times New Roman"/>
          <w:sz w:val="20"/>
          <w:szCs w:val="20"/>
          <w:lang w:val="en-US" w:eastAsia="en-US" w:bidi="ar-SA"/>
        </w:rPr>
        <w:t>statements 2011</w:t>
      </w:r>
      <w:r w:rsidR="00EF642E">
        <w:rPr>
          <w:rFonts w:cs="Times New Roman"/>
          <w:sz w:val="20"/>
          <w:szCs w:val="20"/>
          <w:lang w:val="en-US" w:eastAsia="en-US" w:bidi="ar-SA"/>
        </w:rPr>
        <w:t xml:space="preserve"> and as covariate AUM 20</w:t>
      </w:r>
      <w:r w:rsidR="00BB6494">
        <w:rPr>
          <w:rFonts w:cs="Times New Roman"/>
          <w:sz w:val="20"/>
          <w:szCs w:val="20"/>
          <w:lang w:val="en-US" w:eastAsia="en-US" w:bidi="ar-SA"/>
        </w:rPr>
        <w:t>11</w:t>
      </w:r>
    </w:p>
    <w:p w:rsidR="00BB6494" w:rsidRDefault="00BB6494" w:rsidP="00EF642E">
      <w:pPr>
        <w:spacing w:line="360" w:lineRule="auto"/>
        <w:rPr>
          <w:rFonts w:cs="Times New Roman"/>
          <w:sz w:val="20"/>
          <w:szCs w:val="20"/>
          <w:lang w:val="en-US" w:eastAsia="en-US" w:bidi="ar-SA"/>
        </w:rPr>
      </w:pPr>
    </w:p>
    <w:p w:rsidR="00BF5F1E" w:rsidRPr="004D08DC" w:rsidRDefault="006E22C7" w:rsidP="00B672D3">
      <w:pPr>
        <w:spacing w:line="360" w:lineRule="auto"/>
        <w:jc w:val="both"/>
        <w:rPr>
          <w:rFonts w:cs="Times New Roman"/>
          <w:lang w:val="en-US" w:eastAsia="en-US" w:bidi="ar-SA"/>
        </w:rPr>
      </w:pPr>
      <w:r>
        <w:rPr>
          <w:rFonts w:cs="Times New Roman"/>
          <w:lang w:val="en-US" w:eastAsia="en-US" w:bidi="ar-SA"/>
        </w:rPr>
        <w:t xml:space="preserve">Regarding the relation between AUM and the disclosure of a </w:t>
      </w:r>
      <w:r w:rsidR="004D08DC">
        <w:rPr>
          <w:rFonts w:cs="Times New Roman"/>
          <w:lang w:val="en-US" w:eastAsia="en-US" w:bidi="ar-SA"/>
        </w:rPr>
        <w:t>position allocation</w:t>
      </w:r>
      <w:r>
        <w:rPr>
          <w:rFonts w:cs="Times New Roman"/>
          <w:lang w:val="en-US" w:eastAsia="en-US" w:bidi="ar-SA"/>
        </w:rPr>
        <w:t>, table 2</w:t>
      </w:r>
      <w:r w:rsidR="00174C85">
        <w:rPr>
          <w:rFonts w:cs="Times New Roman"/>
          <w:lang w:val="en-US" w:eastAsia="en-US" w:bidi="ar-SA"/>
        </w:rPr>
        <w:t>8</w:t>
      </w:r>
      <w:r>
        <w:rPr>
          <w:rFonts w:cs="Times New Roman"/>
          <w:lang w:val="en-US" w:eastAsia="en-US" w:bidi="ar-SA"/>
        </w:rPr>
        <w:t xml:space="preserve"> reveals in 2006 with a </w:t>
      </w:r>
      <w:proofErr w:type="spellStart"/>
      <w:r>
        <w:rPr>
          <w:rFonts w:cs="Times New Roman"/>
          <w:lang w:val="en-US" w:eastAsia="en-US" w:bidi="ar-SA"/>
        </w:rPr>
        <w:t>Nagelkerke</w:t>
      </w:r>
      <w:proofErr w:type="spellEnd"/>
      <w:r>
        <w:rPr>
          <w:rFonts w:cs="Times New Roman"/>
          <w:lang w:val="en-US" w:eastAsia="en-US" w:bidi="ar-SA"/>
        </w:rPr>
        <w:t xml:space="preserve"> R</w:t>
      </w:r>
      <w:r w:rsidRPr="00DA28F7">
        <w:rPr>
          <w:rFonts w:cs="Times New Roman"/>
          <w:vertAlign w:val="superscript"/>
          <w:lang w:val="en-US" w:eastAsia="en-US" w:bidi="ar-SA"/>
        </w:rPr>
        <w:t>2</w:t>
      </w:r>
      <w:r>
        <w:rPr>
          <w:rFonts w:cs="Times New Roman"/>
          <w:lang w:val="en-US" w:eastAsia="en-US" w:bidi="ar-SA"/>
        </w:rPr>
        <w:t xml:space="preserve"> of 0.426 a reasonably strong relation. With 0.104, the relation is weak in 2011.</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2185"/>
        <w:gridCol w:w="1012"/>
        <w:gridCol w:w="1010"/>
        <w:gridCol w:w="1012"/>
        <w:gridCol w:w="1012"/>
        <w:gridCol w:w="1012"/>
        <w:gridCol w:w="1012"/>
      </w:tblGrid>
      <w:tr w:rsidR="00BF5F1E" w:rsidRPr="00BF5F1E">
        <w:trPr>
          <w:cantSplit/>
          <w:tblHeader/>
        </w:trPr>
        <w:tc>
          <w:tcPr>
            <w:tcW w:w="9178" w:type="dxa"/>
            <w:gridSpan w:val="8"/>
            <w:tcBorders>
              <w:top w:val="nil"/>
              <w:left w:val="nil"/>
              <w:bottom w:val="nil"/>
              <w:right w:val="nil"/>
            </w:tcBorders>
            <w:shd w:val="clear" w:color="auto" w:fill="FFFFFF"/>
            <w:vAlign w:val="center"/>
          </w:tcPr>
          <w:p w:rsidR="00BF5F1E" w:rsidRPr="00BF5F1E" w:rsidRDefault="00BF5F1E" w:rsidP="00BF5F1E">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BF5F1E">
              <w:rPr>
                <w:rFonts w:ascii="Arial" w:hAnsi="Arial" w:cs="Arial"/>
                <w:b/>
                <w:bCs/>
                <w:color w:val="000000"/>
                <w:sz w:val="18"/>
                <w:szCs w:val="18"/>
                <w:lang w:val="nl-NL" w:eastAsia="en-US" w:bidi="ar-SA"/>
              </w:rPr>
              <w:t xml:space="preserve">Variables in the </w:t>
            </w:r>
            <w:proofErr w:type="spellStart"/>
            <w:r w:rsidRPr="00BF5F1E">
              <w:rPr>
                <w:rFonts w:ascii="Arial" w:hAnsi="Arial" w:cs="Arial"/>
                <w:b/>
                <w:bCs/>
                <w:color w:val="000000"/>
                <w:sz w:val="18"/>
                <w:szCs w:val="18"/>
                <w:lang w:val="nl-NL" w:eastAsia="en-US" w:bidi="ar-SA"/>
              </w:rPr>
              <w:t>Equation</w:t>
            </w:r>
            <w:proofErr w:type="spellEnd"/>
          </w:p>
        </w:tc>
      </w:tr>
      <w:tr w:rsidR="00BF5F1E" w:rsidRPr="00BF5F1E">
        <w:trPr>
          <w:cantSplit/>
          <w:tblHeader/>
        </w:trPr>
        <w:tc>
          <w:tcPr>
            <w:tcW w:w="310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F5F1E" w:rsidRPr="00BF5F1E" w:rsidRDefault="00BF5F1E" w:rsidP="00BF5F1E">
            <w:pPr>
              <w:autoSpaceDE w:val="0"/>
              <w:autoSpaceDN w:val="0"/>
              <w:adjustRightInd w:val="0"/>
              <w:jc w:val="center"/>
              <w:rPr>
                <w:rFonts w:cs="Times New Roman"/>
                <w:lang w:val="nl-NL" w:eastAsia="en-US" w:bidi="ar-SA"/>
              </w:rPr>
            </w:pPr>
          </w:p>
        </w:tc>
        <w:tc>
          <w:tcPr>
            <w:tcW w:w="1012" w:type="dxa"/>
            <w:tcBorders>
              <w:top w:val="single" w:sz="16" w:space="0" w:color="000000"/>
              <w:left w:val="single" w:sz="16" w:space="0" w:color="000000"/>
              <w:bottom w:val="single" w:sz="16" w:space="0" w:color="000000"/>
            </w:tcBorders>
            <w:shd w:val="clear" w:color="auto" w:fill="FFFFFF"/>
            <w:vAlign w:val="bottom"/>
          </w:tcPr>
          <w:p w:rsidR="00BF5F1E" w:rsidRPr="00BF5F1E" w:rsidRDefault="00BF5F1E" w:rsidP="00BF5F1E">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B</w:t>
            </w:r>
          </w:p>
        </w:tc>
        <w:tc>
          <w:tcPr>
            <w:tcW w:w="1010" w:type="dxa"/>
            <w:tcBorders>
              <w:top w:val="single" w:sz="16" w:space="0" w:color="000000"/>
              <w:bottom w:val="single" w:sz="16" w:space="0" w:color="000000"/>
            </w:tcBorders>
            <w:shd w:val="clear" w:color="auto" w:fill="FFFFFF"/>
            <w:vAlign w:val="bottom"/>
          </w:tcPr>
          <w:p w:rsidR="00BF5F1E" w:rsidRPr="00BF5F1E" w:rsidRDefault="00BF5F1E" w:rsidP="00BF5F1E">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S.E.</w:t>
            </w:r>
          </w:p>
        </w:tc>
        <w:tc>
          <w:tcPr>
            <w:tcW w:w="1012" w:type="dxa"/>
            <w:tcBorders>
              <w:top w:val="single" w:sz="16" w:space="0" w:color="000000"/>
              <w:bottom w:val="single" w:sz="16" w:space="0" w:color="000000"/>
            </w:tcBorders>
            <w:shd w:val="clear" w:color="auto" w:fill="FFFFFF"/>
            <w:vAlign w:val="bottom"/>
          </w:tcPr>
          <w:p w:rsidR="00BF5F1E" w:rsidRPr="00BF5F1E" w:rsidRDefault="00BF5F1E" w:rsidP="00BF5F1E">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BF5F1E">
              <w:rPr>
                <w:rFonts w:ascii="Arial" w:hAnsi="Arial" w:cs="Arial"/>
                <w:color w:val="000000"/>
                <w:sz w:val="18"/>
                <w:szCs w:val="18"/>
                <w:lang w:val="nl-NL" w:eastAsia="en-US" w:bidi="ar-SA"/>
              </w:rPr>
              <w:t>Wald</w:t>
            </w:r>
            <w:proofErr w:type="spellEnd"/>
          </w:p>
        </w:tc>
        <w:tc>
          <w:tcPr>
            <w:tcW w:w="1012" w:type="dxa"/>
            <w:tcBorders>
              <w:top w:val="single" w:sz="16" w:space="0" w:color="000000"/>
              <w:bottom w:val="single" w:sz="16" w:space="0" w:color="000000"/>
            </w:tcBorders>
            <w:shd w:val="clear" w:color="auto" w:fill="FFFFFF"/>
            <w:vAlign w:val="bottom"/>
          </w:tcPr>
          <w:p w:rsidR="00BF5F1E" w:rsidRPr="00BF5F1E" w:rsidRDefault="00BF5F1E" w:rsidP="00BF5F1E">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BF5F1E">
              <w:rPr>
                <w:rFonts w:ascii="Arial" w:hAnsi="Arial" w:cs="Arial"/>
                <w:color w:val="000000"/>
                <w:sz w:val="18"/>
                <w:szCs w:val="18"/>
                <w:lang w:val="nl-NL" w:eastAsia="en-US" w:bidi="ar-SA"/>
              </w:rPr>
              <w:t>df</w:t>
            </w:r>
            <w:proofErr w:type="spellEnd"/>
          </w:p>
        </w:tc>
        <w:tc>
          <w:tcPr>
            <w:tcW w:w="1012" w:type="dxa"/>
            <w:tcBorders>
              <w:top w:val="single" w:sz="16" w:space="0" w:color="000000"/>
              <w:bottom w:val="single" w:sz="16" w:space="0" w:color="000000"/>
            </w:tcBorders>
            <w:shd w:val="clear" w:color="auto" w:fill="FFFFFF"/>
            <w:vAlign w:val="bottom"/>
          </w:tcPr>
          <w:p w:rsidR="00BF5F1E" w:rsidRPr="00BF5F1E" w:rsidRDefault="00BF5F1E" w:rsidP="00BF5F1E">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BF5F1E">
              <w:rPr>
                <w:rFonts w:ascii="Arial" w:hAnsi="Arial" w:cs="Arial"/>
                <w:color w:val="000000"/>
                <w:sz w:val="18"/>
                <w:szCs w:val="18"/>
                <w:lang w:val="nl-NL" w:eastAsia="en-US" w:bidi="ar-SA"/>
              </w:rPr>
              <w:t>Sig</w:t>
            </w:r>
            <w:proofErr w:type="spellEnd"/>
            <w:r w:rsidRPr="00BF5F1E">
              <w:rPr>
                <w:rFonts w:ascii="Arial" w:hAnsi="Arial" w:cs="Arial"/>
                <w:color w:val="000000"/>
                <w:sz w:val="18"/>
                <w:szCs w:val="18"/>
                <w:lang w:val="nl-NL" w:eastAsia="en-US" w:bidi="ar-SA"/>
              </w:rPr>
              <w:t>.</w:t>
            </w:r>
          </w:p>
        </w:tc>
        <w:tc>
          <w:tcPr>
            <w:tcW w:w="1012" w:type="dxa"/>
            <w:tcBorders>
              <w:top w:val="single" w:sz="16" w:space="0" w:color="000000"/>
              <w:bottom w:val="single" w:sz="16" w:space="0" w:color="000000"/>
              <w:right w:val="single" w:sz="16" w:space="0" w:color="000000"/>
            </w:tcBorders>
            <w:shd w:val="clear" w:color="auto" w:fill="FFFFFF"/>
            <w:vAlign w:val="bottom"/>
          </w:tcPr>
          <w:p w:rsidR="00BF5F1E" w:rsidRPr="00BF5F1E" w:rsidRDefault="00BF5F1E" w:rsidP="00BF5F1E">
            <w:pPr>
              <w:autoSpaceDE w:val="0"/>
              <w:autoSpaceDN w:val="0"/>
              <w:adjustRightInd w:val="0"/>
              <w:spacing w:line="320" w:lineRule="atLeast"/>
              <w:ind w:left="60" w:right="60"/>
              <w:jc w:val="center"/>
              <w:rPr>
                <w:rFonts w:ascii="Arial" w:hAnsi="Arial" w:cs="Arial"/>
                <w:color w:val="000000"/>
                <w:sz w:val="18"/>
                <w:szCs w:val="18"/>
                <w:lang w:val="nl-NL" w:eastAsia="en-US" w:bidi="ar-SA"/>
              </w:rPr>
            </w:pPr>
            <w:proofErr w:type="spellStart"/>
            <w:r w:rsidRPr="00BF5F1E">
              <w:rPr>
                <w:rFonts w:ascii="Arial" w:hAnsi="Arial" w:cs="Arial"/>
                <w:color w:val="000000"/>
                <w:sz w:val="18"/>
                <w:szCs w:val="18"/>
                <w:lang w:val="nl-NL" w:eastAsia="en-US" w:bidi="ar-SA"/>
              </w:rPr>
              <w:t>Exp</w:t>
            </w:r>
            <w:proofErr w:type="spellEnd"/>
            <w:r w:rsidRPr="00BF5F1E">
              <w:rPr>
                <w:rFonts w:ascii="Arial" w:hAnsi="Arial" w:cs="Arial"/>
                <w:color w:val="000000"/>
                <w:sz w:val="18"/>
                <w:szCs w:val="18"/>
                <w:lang w:val="nl-NL" w:eastAsia="en-US" w:bidi="ar-SA"/>
              </w:rPr>
              <w:t>(B)</w:t>
            </w:r>
          </w:p>
        </w:tc>
      </w:tr>
      <w:tr w:rsidR="00BF5F1E" w:rsidRPr="00BF5F1E">
        <w:trPr>
          <w:cantSplit/>
          <w:tblHeader/>
        </w:trPr>
        <w:tc>
          <w:tcPr>
            <w:tcW w:w="924" w:type="dxa"/>
            <w:vMerge w:val="restart"/>
            <w:tcBorders>
              <w:top w:val="single" w:sz="16" w:space="0" w:color="000000"/>
              <w:left w:val="single" w:sz="16" w:space="0" w:color="000000"/>
              <w:bottom w:val="single" w:sz="16" w:space="0" w:color="000000"/>
              <w:right w:val="nil"/>
            </w:tcBorders>
            <w:shd w:val="clear" w:color="auto" w:fill="FFFFFF"/>
          </w:tcPr>
          <w:p w:rsidR="00BF5F1E" w:rsidRPr="00BF5F1E" w:rsidRDefault="00BF5F1E" w:rsidP="00BF5F1E">
            <w:pPr>
              <w:autoSpaceDE w:val="0"/>
              <w:autoSpaceDN w:val="0"/>
              <w:adjustRightInd w:val="0"/>
              <w:spacing w:line="320" w:lineRule="atLeast"/>
              <w:ind w:left="60" w:right="60"/>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Step 1</w:t>
            </w:r>
            <w:r w:rsidRPr="00BF5F1E">
              <w:rPr>
                <w:rFonts w:ascii="Arial" w:hAnsi="Arial" w:cs="Arial"/>
                <w:color w:val="000000"/>
                <w:sz w:val="18"/>
                <w:szCs w:val="18"/>
                <w:vertAlign w:val="superscript"/>
                <w:lang w:val="nl-NL" w:eastAsia="en-US" w:bidi="ar-SA"/>
              </w:rPr>
              <w:t>a</w:t>
            </w:r>
          </w:p>
        </w:tc>
        <w:tc>
          <w:tcPr>
            <w:tcW w:w="2184" w:type="dxa"/>
            <w:tcBorders>
              <w:top w:val="single" w:sz="16" w:space="0" w:color="000000"/>
              <w:left w:val="nil"/>
              <w:bottom w:val="nil"/>
              <w:right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AUM_2006_</w:t>
            </w:r>
            <w:proofErr w:type="spellStart"/>
            <w:r w:rsidRPr="00BF5F1E">
              <w:rPr>
                <w:rFonts w:ascii="Arial" w:hAnsi="Arial" w:cs="Arial"/>
                <w:color w:val="000000"/>
                <w:sz w:val="18"/>
                <w:szCs w:val="18"/>
                <w:lang w:val="nl-NL" w:eastAsia="en-US" w:bidi="ar-SA"/>
              </w:rPr>
              <w:t>billion</w:t>
            </w:r>
            <w:proofErr w:type="spellEnd"/>
            <w:r w:rsidRPr="00BF5F1E">
              <w:rPr>
                <w:rFonts w:ascii="Arial" w:hAnsi="Arial" w:cs="Arial"/>
                <w:color w:val="000000"/>
                <w:sz w:val="18"/>
                <w:szCs w:val="18"/>
                <w:lang w:val="nl-NL" w:eastAsia="en-US" w:bidi="ar-SA"/>
              </w:rPr>
              <w:t>_</w:t>
            </w:r>
            <w:proofErr w:type="spellStart"/>
            <w:r w:rsidRPr="00BF5F1E">
              <w:rPr>
                <w:rFonts w:ascii="Arial" w:hAnsi="Arial" w:cs="Arial"/>
                <w:color w:val="000000"/>
                <w:sz w:val="18"/>
                <w:szCs w:val="18"/>
                <w:lang w:val="nl-NL" w:eastAsia="en-US" w:bidi="ar-SA"/>
              </w:rPr>
              <w:t>eur</w:t>
            </w:r>
            <w:proofErr w:type="spellEnd"/>
          </w:p>
        </w:tc>
        <w:tc>
          <w:tcPr>
            <w:tcW w:w="1012" w:type="dxa"/>
            <w:tcBorders>
              <w:top w:val="single" w:sz="16" w:space="0" w:color="000000"/>
              <w:left w:val="single" w:sz="16" w:space="0" w:color="000000"/>
              <w:bottom w:val="nil"/>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.051</w:t>
            </w:r>
          </w:p>
        </w:tc>
        <w:tc>
          <w:tcPr>
            <w:tcW w:w="1010" w:type="dxa"/>
            <w:tcBorders>
              <w:top w:val="single" w:sz="16" w:space="0" w:color="000000"/>
              <w:bottom w:val="nil"/>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.035</w:t>
            </w:r>
          </w:p>
        </w:tc>
        <w:tc>
          <w:tcPr>
            <w:tcW w:w="1012" w:type="dxa"/>
            <w:tcBorders>
              <w:top w:val="single" w:sz="16" w:space="0" w:color="000000"/>
              <w:bottom w:val="nil"/>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2.184</w:t>
            </w:r>
          </w:p>
        </w:tc>
        <w:tc>
          <w:tcPr>
            <w:tcW w:w="1012" w:type="dxa"/>
            <w:tcBorders>
              <w:top w:val="single" w:sz="16" w:space="0" w:color="000000"/>
              <w:bottom w:val="nil"/>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1</w:t>
            </w:r>
          </w:p>
        </w:tc>
        <w:tc>
          <w:tcPr>
            <w:tcW w:w="1012" w:type="dxa"/>
            <w:tcBorders>
              <w:top w:val="single" w:sz="16" w:space="0" w:color="000000"/>
              <w:bottom w:val="nil"/>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.139</w:t>
            </w:r>
          </w:p>
        </w:tc>
        <w:tc>
          <w:tcPr>
            <w:tcW w:w="1012" w:type="dxa"/>
            <w:tcBorders>
              <w:top w:val="single" w:sz="16" w:space="0" w:color="000000"/>
              <w:bottom w:val="nil"/>
              <w:right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1.053</w:t>
            </w:r>
          </w:p>
        </w:tc>
      </w:tr>
      <w:tr w:rsidR="00BF5F1E" w:rsidRPr="00BF5F1E">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BF5F1E" w:rsidRPr="00BF5F1E" w:rsidRDefault="00BF5F1E" w:rsidP="00BF5F1E">
            <w:pPr>
              <w:autoSpaceDE w:val="0"/>
              <w:autoSpaceDN w:val="0"/>
              <w:adjustRightInd w:val="0"/>
              <w:rPr>
                <w:rFonts w:ascii="Arial" w:hAnsi="Arial" w:cs="Arial"/>
                <w:color w:val="000000"/>
                <w:sz w:val="18"/>
                <w:szCs w:val="18"/>
                <w:lang w:val="nl-NL" w:eastAsia="en-US" w:bidi="ar-SA"/>
              </w:rPr>
            </w:pPr>
          </w:p>
        </w:tc>
        <w:tc>
          <w:tcPr>
            <w:tcW w:w="2184" w:type="dxa"/>
            <w:tcBorders>
              <w:top w:val="nil"/>
              <w:left w:val="nil"/>
              <w:bottom w:val="single" w:sz="16" w:space="0" w:color="000000"/>
              <w:right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Constant</w:t>
            </w:r>
          </w:p>
        </w:tc>
        <w:tc>
          <w:tcPr>
            <w:tcW w:w="1012" w:type="dxa"/>
            <w:tcBorders>
              <w:top w:val="nil"/>
              <w:left w:val="single" w:sz="16" w:space="0" w:color="000000"/>
              <w:bottom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-2.588</w:t>
            </w:r>
          </w:p>
        </w:tc>
        <w:tc>
          <w:tcPr>
            <w:tcW w:w="1010" w:type="dxa"/>
            <w:tcBorders>
              <w:top w:val="nil"/>
              <w:bottom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.921</w:t>
            </w:r>
          </w:p>
        </w:tc>
        <w:tc>
          <w:tcPr>
            <w:tcW w:w="1012" w:type="dxa"/>
            <w:tcBorders>
              <w:top w:val="nil"/>
              <w:bottom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7.899</w:t>
            </w:r>
          </w:p>
        </w:tc>
        <w:tc>
          <w:tcPr>
            <w:tcW w:w="1012" w:type="dxa"/>
            <w:tcBorders>
              <w:top w:val="nil"/>
              <w:bottom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1</w:t>
            </w:r>
          </w:p>
        </w:tc>
        <w:tc>
          <w:tcPr>
            <w:tcW w:w="1012" w:type="dxa"/>
            <w:tcBorders>
              <w:top w:val="nil"/>
              <w:bottom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.005</w:t>
            </w:r>
          </w:p>
        </w:tc>
        <w:tc>
          <w:tcPr>
            <w:tcW w:w="1012" w:type="dxa"/>
            <w:tcBorders>
              <w:top w:val="nil"/>
              <w:bottom w:val="single" w:sz="16" w:space="0" w:color="000000"/>
              <w:right w:val="single" w:sz="16" w:space="0" w:color="000000"/>
            </w:tcBorders>
            <w:shd w:val="clear" w:color="auto" w:fill="FFFFFF"/>
          </w:tcPr>
          <w:p w:rsidR="00BF5F1E" w:rsidRPr="00BF5F1E" w:rsidRDefault="00BF5F1E" w:rsidP="00BF5F1E">
            <w:pPr>
              <w:autoSpaceDE w:val="0"/>
              <w:autoSpaceDN w:val="0"/>
              <w:adjustRightInd w:val="0"/>
              <w:spacing w:line="320" w:lineRule="atLeast"/>
              <w:ind w:left="60" w:right="60"/>
              <w:jc w:val="right"/>
              <w:rPr>
                <w:rFonts w:ascii="Arial" w:hAnsi="Arial" w:cs="Arial"/>
                <w:color w:val="000000"/>
                <w:sz w:val="18"/>
                <w:szCs w:val="18"/>
                <w:lang w:val="nl-NL" w:eastAsia="en-US" w:bidi="ar-SA"/>
              </w:rPr>
            </w:pPr>
            <w:r w:rsidRPr="00BF5F1E">
              <w:rPr>
                <w:rFonts w:ascii="Arial" w:hAnsi="Arial" w:cs="Arial"/>
                <w:color w:val="000000"/>
                <w:sz w:val="18"/>
                <w:szCs w:val="18"/>
                <w:lang w:val="nl-NL" w:eastAsia="en-US" w:bidi="ar-SA"/>
              </w:rPr>
              <w:t>.075</w:t>
            </w:r>
          </w:p>
        </w:tc>
      </w:tr>
      <w:tr w:rsidR="00BF5F1E" w:rsidRPr="00BF5F1E">
        <w:trPr>
          <w:cantSplit/>
        </w:trPr>
        <w:tc>
          <w:tcPr>
            <w:tcW w:w="9178" w:type="dxa"/>
            <w:gridSpan w:val="8"/>
            <w:tcBorders>
              <w:top w:val="nil"/>
              <w:left w:val="nil"/>
              <w:bottom w:val="nil"/>
              <w:right w:val="nil"/>
            </w:tcBorders>
            <w:shd w:val="clear" w:color="auto" w:fill="FFFFFF"/>
          </w:tcPr>
          <w:p w:rsidR="00BF5F1E" w:rsidRPr="00BF5F1E" w:rsidRDefault="00BF5F1E" w:rsidP="00BF5F1E">
            <w:pPr>
              <w:autoSpaceDE w:val="0"/>
              <w:autoSpaceDN w:val="0"/>
              <w:adjustRightInd w:val="0"/>
              <w:spacing w:line="320" w:lineRule="atLeast"/>
              <w:ind w:left="60" w:right="60"/>
              <w:rPr>
                <w:rFonts w:ascii="Arial" w:hAnsi="Arial" w:cs="Arial"/>
                <w:color w:val="000000"/>
                <w:sz w:val="18"/>
                <w:szCs w:val="18"/>
                <w:lang w:val="en-US" w:eastAsia="en-US" w:bidi="ar-SA"/>
              </w:rPr>
            </w:pPr>
            <w:r w:rsidRPr="00BF5F1E">
              <w:rPr>
                <w:rFonts w:ascii="Arial" w:hAnsi="Arial" w:cs="Arial"/>
                <w:color w:val="000000"/>
                <w:sz w:val="18"/>
                <w:szCs w:val="18"/>
                <w:lang w:val="en-US" w:eastAsia="en-US" w:bidi="ar-SA"/>
              </w:rPr>
              <w:t>a. Variable(s) entered on step 1: AUM_2006_billion_eur.</w:t>
            </w:r>
          </w:p>
          <w:p w:rsidR="00BF5F1E" w:rsidRPr="00BF5F1E" w:rsidRDefault="00BF5F1E" w:rsidP="00BF5F1E">
            <w:pPr>
              <w:autoSpaceDE w:val="0"/>
              <w:autoSpaceDN w:val="0"/>
              <w:adjustRightInd w:val="0"/>
              <w:spacing w:line="320" w:lineRule="atLeast"/>
              <w:ind w:left="60" w:right="60"/>
              <w:rPr>
                <w:rFonts w:ascii="Arial" w:hAnsi="Arial" w:cs="Arial"/>
                <w:color w:val="000000"/>
                <w:sz w:val="18"/>
                <w:szCs w:val="18"/>
                <w:lang w:val="en-US" w:eastAsia="en-US" w:bidi="ar-SA"/>
              </w:rPr>
            </w:pPr>
          </w:p>
        </w:tc>
      </w:tr>
    </w:tbl>
    <w:p w:rsidR="00BF5F1E" w:rsidRDefault="00BF5F1E" w:rsidP="00BF5F1E">
      <w:pPr>
        <w:spacing w:line="360" w:lineRule="auto"/>
        <w:rPr>
          <w:rFonts w:cs="Times New Roman"/>
          <w:sz w:val="20"/>
          <w:szCs w:val="20"/>
          <w:lang w:val="en-US" w:eastAsia="en-US" w:bidi="ar-SA"/>
        </w:rPr>
      </w:pPr>
      <w:r>
        <w:rPr>
          <w:rFonts w:cs="Times New Roman"/>
          <w:sz w:val="20"/>
          <w:szCs w:val="20"/>
          <w:lang w:val="en-US" w:eastAsia="en-US" w:bidi="ar-SA"/>
        </w:rPr>
        <w:t xml:space="preserve">Table </w:t>
      </w:r>
      <w:r w:rsidR="00174C85">
        <w:rPr>
          <w:rFonts w:cs="Times New Roman"/>
          <w:sz w:val="20"/>
          <w:szCs w:val="20"/>
          <w:lang w:val="en-US" w:eastAsia="en-US" w:bidi="ar-SA"/>
        </w:rPr>
        <w:t>30</w:t>
      </w:r>
      <w:r>
        <w:rPr>
          <w:rFonts w:cs="Times New Roman"/>
          <w:sz w:val="20"/>
          <w:szCs w:val="20"/>
          <w:lang w:val="en-US" w:eastAsia="en-US" w:bidi="ar-SA"/>
        </w:rPr>
        <w:t xml:space="preserve">: Building blocks regarding the regression equation between dependent variable </w:t>
      </w:r>
      <w:r w:rsidR="00CE0F82">
        <w:rPr>
          <w:rFonts w:cs="Times New Roman"/>
          <w:sz w:val="20"/>
          <w:szCs w:val="20"/>
          <w:lang w:val="en-US" w:eastAsia="en-US" w:bidi="ar-SA"/>
        </w:rPr>
        <w:t>position</w:t>
      </w:r>
      <w:r>
        <w:rPr>
          <w:rFonts w:cs="Times New Roman"/>
          <w:sz w:val="20"/>
          <w:szCs w:val="20"/>
          <w:lang w:val="en-US" w:eastAsia="en-US" w:bidi="ar-SA"/>
        </w:rPr>
        <w:t xml:space="preserve"> allocations in financial statements 2006 and as covariate AUM 2006</w:t>
      </w:r>
    </w:p>
    <w:p w:rsidR="00BF5F1E" w:rsidRDefault="00BF5F1E" w:rsidP="00BF5F1E">
      <w:pPr>
        <w:spacing w:line="360" w:lineRule="auto"/>
        <w:rPr>
          <w:rFonts w:cs="Times New Roman"/>
          <w:sz w:val="20"/>
          <w:szCs w:val="20"/>
          <w:lang w:val="en-US" w:eastAsia="en-US" w:bidi="ar-SA"/>
        </w:rPr>
      </w:pPr>
    </w:p>
    <w:p w:rsidR="00BF5F1E" w:rsidRDefault="00BF5F1E" w:rsidP="005F5E1F">
      <w:pPr>
        <w:spacing w:line="360" w:lineRule="auto"/>
        <w:jc w:val="both"/>
        <w:rPr>
          <w:lang w:val="en-US"/>
        </w:rPr>
      </w:pPr>
      <w:r w:rsidRPr="00703F5D">
        <w:rPr>
          <w:lang w:val="en-US"/>
        </w:rPr>
        <w:t xml:space="preserve">Given the reasonably strong relation between AUM 2006 and the disclosure of a </w:t>
      </w:r>
      <w:r w:rsidR="00CE0F82">
        <w:rPr>
          <w:lang w:val="en-US"/>
        </w:rPr>
        <w:t>position allocation</w:t>
      </w:r>
      <w:r w:rsidRPr="00703F5D">
        <w:rPr>
          <w:lang w:val="en-US"/>
        </w:rPr>
        <w:t xml:space="preserve"> in the </w:t>
      </w:r>
      <w:r w:rsidR="00CE0F82">
        <w:rPr>
          <w:lang w:val="en-US"/>
        </w:rPr>
        <w:t>2006 financial statements</w:t>
      </w:r>
      <w:r w:rsidRPr="00703F5D">
        <w:rPr>
          <w:lang w:val="en-US"/>
        </w:rPr>
        <w:t>, this relation will be further analyzed</w:t>
      </w:r>
      <w:r>
        <w:rPr>
          <w:lang w:val="en-US"/>
        </w:rPr>
        <w:t xml:space="preserve">. Although ‘AUM 2006’ is with 0.139 not significant, De </w:t>
      </w:r>
      <w:proofErr w:type="spellStart"/>
      <w:r>
        <w:rPr>
          <w:lang w:val="en-US"/>
        </w:rPr>
        <w:t>Vocht</w:t>
      </w:r>
      <w:proofErr w:type="spellEnd"/>
      <w:r>
        <w:rPr>
          <w:lang w:val="en-US"/>
        </w:rPr>
        <w:t xml:space="preserve"> (2011) recommends to present the independent variable in the logistic regression equation. This leads to the following logistic regression equation:</w:t>
      </w:r>
    </w:p>
    <w:p w:rsidR="00BF5F1E" w:rsidRDefault="00BF5F1E" w:rsidP="004E4FAB">
      <w:pPr>
        <w:rPr>
          <w:lang w:val="en-US"/>
        </w:rPr>
      </w:pPr>
    </w:p>
    <w:p w:rsidR="00BF5F1E" w:rsidRPr="00703F5D" w:rsidRDefault="00BF5F1E" w:rsidP="00BF5F1E">
      <w:pPr>
        <w:pBdr>
          <w:top w:val="single" w:sz="4" w:space="1" w:color="auto"/>
          <w:left w:val="single" w:sz="4" w:space="4" w:color="auto"/>
          <w:bottom w:val="single" w:sz="4" w:space="1" w:color="auto"/>
          <w:right w:val="single" w:sz="4" w:space="4" w:color="auto"/>
        </w:pBdr>
        <w:spacing w:line="360" w:lineRule="auto"/>
        <w:rPr>
          <w:lang w:val="en-US"/>
        </w:rPr>
      </w:pPr>
      <w:proofErr w:type="spellStart"/>
      <w:r>
        <w:rPr>
          <w:lang w:val="en-US"/>
        </w:rPr>
        <w:t>Logit</w:t>
      </w:r>
      <w:proofErr w:type="spellEnd"/>
      <w:r>
        <w:rPr>
          <w:lang w:val="en-US"/>
        </w:rPr>
        <w:t xml:space="preserve"> = -2.588 + 0.051* AUM 2006 in billion euro</w:t>
      </w:r>
    </w:p>
    <w:p w:rsidR="00202895" w:rsidRDefault="00202895" w:rsidP="004E4FAB">
      <w:pPr>
        <w:autoSpaceDE w:val="0"/>
        <w:autoSpaceDN w:val="0"/>
        <w:adjustRightInd w:val="0"/>
        <w:rPr>
          <w:bCs/>
          <w:noProof/>
          <w:lang w:val="en-US" w:eastAsia="nl-NL" w:bidi="ar-SA"/>
        </w:rPr>
      </w:pPr>
    </w:p>
    <w:p w:rsidR="00BF5F1E" w:rsidRDefault="00BF5F1E" w:rsidP="005F5E1F">
      <w:pPr>
        <w:autoSpaceDE w:val="0"/>
        <w:autoSpaceDN w:val="0"/>
        <w:adjustRightInd w:val="0"/>
        <w:spacing w:line="400" w:lineRule="atLeast"/>
        <w:jc w:val="both"/>
        <w:rPr>
          <w:bCs/>
          <w:noProof/>
          <w:lang w:val="en-US" w:eastAsia="nl-NL" w:bidi="ar-SA"/>
        </w:rPr>
      </w:pPr>
      <w:r>
        <w:rPr>
          <w:bCs/>
          <w:noProof/>
          <w:lang w:val="en-US" w:eastAsia="nl-NL" w:bidi="ar-SA"/>
        </w:rPr>
        <w:t xml:space="preserve">The regression coefficient is with 0.051 positive. In other words, the </w:t>
      </w:r>
      <w:r w:rsidR="004E4FAB">
        <w:rPr>
          <w:bCs/>
          <w:noProof/>
          <w:lang w:val="en-US" w:eastAsia="nl-NL" w:bidi="ar-SA"/>
        </w:rPr>
        <w:t>larger</w:t>
      </w:r>
      <w:r>
        <w:rPr>
          <w:bCs/>
          <w:noProof/>
          <w:lang w:val="en-US" w:eastAsia="nl-NL" w:bidi="ar-SA"/>
        </w:rPr>
        <w:t xml:space="preserve"> the pension fund</w:t>
      </w:r>
      <w:r w:rsidR="00CE0F82">
        <w:rPr>
          <w:bCs/>
          <w:noProof/>
          <w:lang w:val="en-US" w:eastAsia="nl-NL" w:bidi="ar-SA"/>
        </w:rPr>
        <w:t xml:space="preserve"> in 2006</w:t>
      </w:r>
      <w:r>
        <w:rPr>
          <w:bCs/>
          <w:noProof/>
          <w:lang w:val="en-US" w:eastAsia="nl-NL" w:bidi="ar-SA"/>
        </w:rPr>
        <w:t xml:space="preserve">, the bigger the chance on disclosure of a </w:t>
      </w:r>
      <w:r w:rsidR="003D3D4C">
        <w:rPr>
          <w:bCs/>
          <w:noProof/>
          <w:lang w:val="en-US" w:eastAsia="nl-NL" w:bidi="ar-SA"/>
        </w:rPr>
        <w:t>position allocation</w:t>
      </w:r>
      <w:r>
        <w:rPr>
          <w:bCs/>
          <w:noProof/>
          <w:lang w:val="en-US" w:eastAsia="nl-NL" w:bidi="ar-SA"/>
        </w:rPr>
        <w:t>.</w:t>
      </w:r>
    </w:p>
    <w:p w:rsidR="006238CD" w:rsidRPr="000D3750" w:rsidRDefault="006238CD" w:rsidP="005F5E1F">
      <w:pPr>
        <w:spacing w:line="360" w:lineRule="auto"/>
        <w:jc w:val="both"/>
        <w:rPr>
          <w:bCs/>
          <w:noProof/>
          <w:lang w:val="en-US" w:eastAsia="nl-NL" w:bidi="ar-SA"/>
        </w:rPr>
      </w:pPr>
    </w:p>
    <w:p w:rsidR="00732D6D" w:rsidRDefault="00732D6D" w:rsidP="00732D6D">
      <w:pPr>
        <w:pStyle w:val="Kop2"/>
        <w:numPr>
          <w:ilvl w:val="0"/>
          <w:numId w:val="0"/>
        </w:numPr>
        <w:spacing w:line="360" w:lineRule="auto"/>
        <w:ind w:left="576" w:hanging="576"/>
        <w:jc w:val="both"/>
        <w:rPr>
          <w:rStyle w:val="Nadruk"/>
          <w:rFonts w:ascii="Times New Roman" w:hAnsi="Times New Roman"/>
          <w:b/>
          <w:sz w:val="24"/>
          <w:szCs w:val="24"/>
          <w:lang w:val="en-US"/>
        </w:rPr>
      </w:pPr>
      <w:bookmarkStart w:id="65" w:name="_Toc355387314"/>
      <w:r>
        <w:rPr>
          <w:rStyle w:val="Nadruk"/>
          <w:rFonts w:ascii="Times New Roman" w:hAnsi="Times New Roman"/>
          <w:b/>
          <w:sz w:val="24"/>
          <w:szCs w:val="24"/>
          <w:lang w:val="en-US"/>
        </w:rPr>
        <w:t>4.4</w:t>
      </w:r>
      <w:r w:rsidRPr="00067EF2">
        <w:rPr>
          <w:rStyle w:val="Nadruk"/>
          <w:rFonts w:ascii="Times New Roman" w:hAnsi="Times New Roman"/>
          <w:b/>
          <w:sz w:val="24"/>
          <w:szCs w:val="24"/>
          <w:lang w:val="en-US"/>
        </w:rPr>
        <w:t>.</w:t>
      </w:r>
      <w:r>
        <w:rPr>
          <w:rStyle w:val="Nadruk"/>
          <w:rFonts w:ascii="Times New Roman" w:hAnsi="Times New Roman"/>
          <w:b/>
          <w:sz w:val="24"/>
          <w:szCs w:val="24"/>
          <w:lang w:val="en-US"/>
        </w:rPr>
        <w:t>2</w:t>
      </w:r>
      <w:r w:rsidRPr="00067EF2">
        <w:rPr>
          <w:rStyle w:val="Nadruk"/>
          <w:rFonts w:ascii="Times New Roman" w:hAnsi="Times New Roman"/>
          <w:b/>
          <w:sz w:val="24"/>
          <w:szCs w:val="24"/>
          <w:lang w:val="en-US"/>
        </w:rPr>
        <w:tab/>
      </w:r>
      <w:r w:rsidR="00607130">
        <w:rPr>
          <w:rStyle w:val="Nadruk"/>
          <w:rFonts w:ascii="Times New Roman" w:hAnsi="Times New Roman"/>
          <w:b/>
          <w:sz w:val="24"/>
          <w:szCs w:val="24"/>
          <w:lang w:val="en-US"/>
        </w:rPr>
        <w:t>B</w:t>
      </w:r>
      <w:r>
        <w:rPr>
          <w:rStyle w:val="Nadruk"/>
          <w:rFonts w:ascii="Times New Roman" w:hAnsi="Times New Roman"/>
          <w:b/>
          <w:sz w:val="24"/>
          <w:szCs w:val="24"/>
          <w:lang w:val="en-US"/>
        </w:rPr>
        <w:t>onds</w:t>
      </w:r>
      <w:bookmarkEnd w:id="65"/>
    </w:p>
    <w:p w:rsidR="00C94478" w:rsidRDefault="00C94478" w:rsidP="00C94478">
      <w:pPr>
        <w:spacing w:line="360" w:lineRule="auto"/>
        <w:rPr>
          <w:lang w:val="en-US"/>
        </w:rPr>
      </w:pPr>
      <w:r>
        <w:rPr>
          <w:lang w:val="en-US"/>
        </w:rPr>
        <w:t>Regarding bonds</w:t>
      </w:r>
      <w:r w:rsidR="008D6ABB">
        <w:rPr>
          <w:lang w:val="en-US"/>
        </w:rPr>
        <w:t>, first</w:t>
      </w:r>
      <w:r>
        <w:rPr>
          <w:lang w:val="en-US"/>
        </w:rPr>
        <w:t xml:space="preserve"> will be determined if there are pension funds with relatively small </w:t>
      </w:r>
      <w:r w:rsidR="00866B27">
        <w:rPr>
          <w:lang w:val="en-US"/>
        </w:rPr>
        <w:t xml:space="preserve">or no </w:t>
      </w:r>
      <w:r>
        <w:rPr>
          <w:lang w:val="en-US"/>
        </w:rPr>
        <w:t>positions in bonds.</w:t>
      </w:r>
    </w:p>
    <w:p w:rsidR="00C94478" w:rsidRPr="00C94478" w:rsidRDefault="00C94478" w:rsidP="00C94478">
      <w:pPr>
        <w:rPr>
          <w:lang w:val="en-US"/>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1559"/>
        <w:gridCol w:w="992"/>
        <w:gridCol w:w="992"/>
        <w:gridCol w:w="993"/>
        <w:gridCol w:w="992"/>
        <w:gridCol w:w="992"/>
      </w:tblGrid>
      <w:tr w:rsidR="00AF0242" w:rsidRPr="00AF0242" w:rsidTr="00AF0242">
        <w:trPr>
          <w:cantSplit/>
          <w:tblHeader/>
        </w:trPr>
        <w:tc>
          <w:tcPr>
            <w:tcW w:w="7513" w:type="dxa"/>
            <w:gridSpan w:val="7"/>
            <w:tcBorders>
              <w:top w:val="nil"/>
              <w:left w:val="nil"/>
              <w:bottom w:val="nil"/>
              <w:right w:val="nil"/>
            </w:tcBorders>
            <w:shd w:val="clear" w:color="auto" w:fill="FFFFFF"/>
            <w:vAlign w:val="center"/>
          </w:tcPr>
          <w:p w:rsidR="00AF0242" w:rsidRPr="00AF0242" w:rsidRDefault="00607130" w:rsidP="00AF0242">
            <w:pPr>
              <w:autoSpaceDE w:val="0"/>
              <w:autoSpaceDN w:val="0"/>
              <w:adjustRightInd w:val="0"/>
              <w:spacing w:line="320" w:lineRule="atLeast"/>
              <w:ind w:right="60"/>
              <w:rPr>
                <w:rFonts w:ascii="Arial" w:hAnsi="Arial" w:cs="Arial"/>
                <w:color w:val="000000"/>
                <w:sz w:val="18"/>
                <w:szCs w:val="18"/>
                <w:lang w:val="nl-NL" w:eastAsia="en-US" w:bidi="ar-SA"/>
              </w:rPr>
            </w:pPr>
            <w:r>
              <w:rPr>
                <w:b/>
                <w:i/>
                <w:lang w:val="en-US"/>
              </w:rPr>
              <w:t xml:space="preserve">Position in </w:t>
            </w:r>
            <w:r w:rsidR="00732D6D">
              <w:rPr>
                <w:b/>
                <w:i/>
                <w:lang w:val="en-US"/>
              </w:rPr>
              <w:t>bonds</w:t>
            </w:r>
          </w:p>
        </w:tc>
      </w:tr>
      <w:tr w:rsidR="00AF0242" w:rsidRPr="00AF0242" w:rsidTr="00AF0242">
        <w:trPr>
          <w:cantSplit/>
          <w:tblHeader/>
        </w:trPr>
        <w:tc>
          <w:tcPr>
            <w:tcW w:w="255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F0242" w:rsidRPr="00AF0242" w:rsidRDefault="00AF0242" w:rsidP="001B19F0">
            <w:pPr>
              <w:autoSpaceDE w:val="0"/>
              <w:autoSpaceDN w:val="0"/>
              <w:adjustRightInd w:val="0"/>
              <w:spacing w:line="276" w:lineRule="auto"/>
              <w:jc w:val="center"/>
              <w:rPr>
                <w:rFonts w:cs="Times New Roman"/>
                <w:lang w:val="nl-NL" w:eastAsia="en-US" w:bidi="ar-SA"/>
              </w:rPr>
            </w:pPr>
          </w:p>
        </w:tc>
        <w:tc>
          <w:tcPr>
            <w:tcW w:w="3969" w:type="dxa"/>
            <w:gridSpan w:val="4"/>
            <w:tcBorders>
              <w:top w:val="single" w:sz="16" w:space="0" w:color="000000"/>
              <w:left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right="60"/>
              <w:jc w:val="center"/>
              <w:rPr>
                <w:rFonts w:ascii="Arial" w:hAnsi="Arial" w:cs="Arial"/>
                <w:color w:val="000000"/>
                <w:sz w:val="18"/>
                <w:szCs w:val="18"/>
                <w:lang w:val="en-US" w:eastAsia="en-US" w:bidi="ar-SA"/>
              </w:rPr>
            </w:pPr>
            <w:r w:rsidRPr="00AF0242">
              <w:rPr>
                <w:rFonts w:ascii="Arial" w:hAnsi="Arial" w:cs="Arial"/>
                <w:color w:val="000000"/>
                <w:sz w:val="18"/>
                <w:szCs w:val="18"/>
                <w:lang w:val="en-US" w:eastAsia="en-US" w:bidi="ar-SA"/>
              </w:rPr>
              <w:t>Bonds 2006 as a percentage o</w:t>
            </w:r>
            <w:r>
              <w:rPr>
                <w:rFonts w:ascii="Arial" w:hAnsi="Arial" w:cs="Arial"/>
                <w:color w:val="000000"/>
                <w:sz w:val="18"/>
                <w:szCs w:val="18"/>
                <w:lang w:val="en-US" w:eastAsia="en-US" w:bidi="ar-SA"/>
              </w:rPr>
              <w:t>f AUM 2006</w:t>
            </w:r>
          </w:p>
        </w:tc>
        <w:tc>
          <w:tcPr>
            <w:tcW w:w="992" w:type="dxa"/>
            <w:vMerge w:val="restart"/>
            <w:tcBorders>
              <w:top w:val="single" w:sz="16" w:space="0" w:color="000000"/>
              <w:bottom w:val="single" w:sz="16" w:space="0" w:color="000000"/>
              <w:right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Total</w:t>
            </w:r>
          </w:p>
        </w:tc>
      </w:tr>
      <w:tr w:rsidR="00AF0242" w:rsidRPr="00AF0242" w:rsidTr="00AF0242">
        <w:trPr>
          <w:cantSplit/>
          <w:tblHeader/>
        </w:trPr>
        <w:tc>
          <w:tcPr>
            <w:tcW w:w="255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992" w:type="dxa"/>
            <w:tcBorders>
              <w:left w:val="single" w:sz="16" w:space="0" w:color="000000"/>
              <w:bottom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20-30</w:t>
            </w:r>
          </w:p>
        </w:tc>
        <w:tc>
          <w:tcPr>
            <w:tcW w:w="992" w:type="dxa"/>
            <w:tcBorders>
              <w:bottom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30-40</w:t>
            </w:r>
          </w:p>
        </w:tc>
        <w:tc>
          <w:tcPr>
            <w:tcW w:w="993" w:type="dxa"/>
            <w:tcBorders>
              <w:bottom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40-50</w:t>
            </w:r>
          </w:p>
        </w:tc>
        <w:tc>
          <w:tcPr>
            <w:tcW w:w="992" w:type="dxa"/>
            <w:tcBorders>
              <w:bottom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&gt;= 50</w:t>
            </w:r>
          </w:p>
        </w:tc>
        <w:tc>
          <w:tcPr>
            <w:tcW w:w="992" w:type="dxa"/>
            <w:vMerge/>
            <w:tcBorders>
              <w:top w:val="single" w:sz="16" w:space="0" w:color="000000"/>
              <w:bottom w:val="single" w:sz="16" w:space="0" w:color="000000"/>
              <w:right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r>
      <w:tr w:rsidR="00AF0242" w:rsidRPr="00AF0242" w:rsidTr="00AF0242">
        <w:trPr>
          <w:cantSplit/>
          <w:tblHeader/>
        </w:trPr>
        <w:tc>
          <w:tcPr>
            <w:tcW w:w="993" w:type="dxa"/>
            <w:vMerge w:val="restart"/>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ind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Pension </w:t>
            </w:r>
            <w:proofErr w:type="spellStart"/>
            <w:r>
              <w:rPr>
                <w:rFonts w:ascii="Arial" w:hAnsi="Arial" w:cs="Arial"/>
                <w:color w:val="000000"/>
                <w:sz w:val="18"/>
                <w:szCs w:val="18"/>
                <w:lang w:val="nl-NL" w:eastAsia="en-US" w:bidi="ar-SA"/>
              </w:rPr>
              <w:t>fund</w:t>
            </w:r>
            <w:proofErr w:type="spellEnd"/>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s</w:t>
            </w:r>
            <w:r w:rsidRPr="00AF0242">
              <w:rPr>
                <w:rFonts w:ascii="Arial" w:hAnsi="Arial" w:cs="Arial"/>
                <w:color w:val="000000"/>
                <w:sz w:val="18"/>
                <w:szCs w:val="18"/>
                <w:lang w:val="nl-NL" w:eastAsia="en-US" w:bidi="ar-SA"/>
              </w:rPr>
              <w:t>ize</w:t>
            </w:r>
            <w:proofErr w:type="spellEnd"/>
          </w:p>
        </w:tc>
        <w:tc>
          <w:tcPr>
            <w:tcW w:w="1559" w:type="dxa"/>
            <w:tcBorders>
              <w:top w:val="single" w:sz="16" w:space="0" w:color="000000"/>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 xml:space="preserve">X </w:t>
            </w:r>
            <w:proofErr w:type="spellStart"/>
            <w:r w:rsidRPr="00AF0242">
              <w:rPr>
                <w:rFonts w:ascii="Arial" w:hAnsi="Arial" w:cs="Arial"/>
                <w:color w:val="000000"/>
                <w:sz w:val="18"/>
                <w:szCs w:val="18"/>
                <w:lang w:val="nl-NL" w:eastAsia="en-US" w:bidi="ar-SA"/>
              </w:rPr>
              <w:t>Large</w:t>
            </w:r>
            <w:proofErr w:type="spellEnd"/>
          </w:p>
        </w:tc>
        <w:tc>
          <w:tcPr>
            <w:tcW w:w="992" w:type="dxa"/>
            <w:tcBorders>
              <w:top w:val="single" w:sz="16" w:space="0" w:color="000000"/>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4</w:t>
            </w:r>
          </w:p>
        </w:tc>
        <w:tc>
          <w:tcPr>
            <w:tcW w:w="993" w:type="dxa"/>
            <w:tcBorders>
              <w:top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2" w:type="dxa"/>
            <w:tcBorders>
              <w:top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2" w:type="dxa"/>
            <w:tcBorders>
              <w:top w:val="single" w:sz="16" w:space="0" w:color="000000"/>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blHeader/>
        </w:trPr>
        <w:tc>
          <w:tcPr>
            <w:tcW w:w="993" w:type="dxa"/>
            <w:vMerge/>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1559" w:type="dxa"/>
            <w:tcBorders>
              <w:top w:val="nil"/>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AF0242">
              <w:rPr>
                <w:rFonts w:ascii="Arial" w:hAnsi="Arial" w:cs="Arial"/>
                <w:color w:val="000000"/>
                <w:sz w:val="18"/>
                <w:szCs w:val="18"/>
                <w:lang w:val="nl-NL" w:eastAsia="en-US" w:bidi="ar-SA"/>
              </w:rPr>
              <w:t>Large</w:t>
            </w:r>
            <w:proofErr w:type="spellEnd"/>
          </w:p>
        </w:tc>
        <w:tc>
          <w:tcPr>
            <w:tcW w:w="992" w:type="dxa"/>
            <w:tcBorders>
              <w:top w:val="nil"/>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3"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blHeader/>
        </w:trPr>
        <w:tc>
          <w:tcPr>
            <w:tcW w:w="993" w:type="dxa"/>
            <w:vMerge/>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1559" w:type="dxa"/>
            <w:tcBorders>
              <w:top w:val="nil"/>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Medium</w:t>
            </w:r>
          </w:p>
        </w:tc>
        <w:tc>
          <w:tcPr>
            <w:tcW w:w="992" w:type="dxa"/>
            <w:tcBorders>
              <w:top w:val="nil"/>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3"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3</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2" w:type="dxa"/>
            <w:tcBorders>
              <w:top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blHeader/>
        </w:trPr>
        <w:tc>
          <w:tcPr>
            <w:tcW w:w="993" w:type="dxa"/>
            <w:vMerge/>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1559" w:type="dxa"/>
            <w:tcBorders>
              <w:top w:val="nil"/>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AF0242">
              <w:rPr>
                <w:rFonts w:ascii="Arial" w:hAnsi="Arial" w:cs="Arial"/>
                <w:color w:val="000000"/>
                <w:sz w:val="18"/>
                <w:szCs w:val="18"/>
                <w:lang w:val="nl-NL" w:eastAsia="en-US" w:bidi="ar-SA"/>
              </w:rPr>
              <w:t>Small</w:t>
            </w:r>
            <w:proofErr w:type="spellEnd"/>
          </w:p>
        </w:tc>
        <w:tc>
          <w:tcPr>
            <w:tcW w:w="992" w:type="dxa"/>
            <w:tcBorders>
              <w:top w:val="nil"/>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3"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blHeader/>
        </w:trPr>
        <w:tc>
          <w:tcPr>
            <w:tcW w:w="993" w:type="dxa"/>
            <w:vMerge/>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1559" w:type="dxa"/>
            <w:tcBorders>
              <w:top w:val="nil"/>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 xml:space="preserve">X </w:t>
            </w:r>
            <w:proofErr w:type="spellStart"/>
            <w:r w:rsidRPr="00AF0242">
              <w:rPr>
                <w:rFonts w:ascii="Arial" w:hAnsi="Arial" w:cs="Arial"/>
                <w:color w:val="000000"/>
                <w:sz w:val="18"/>
                <w:szCs w:val="18"/>
                <w:lang w:val="nl-NL" w:eastAsia="en-US" w:bidi="ar-SA"/>
              </w:rPr>
              <w:t>Small</w:t>
            </w:r>
            <w:proofErr w:type="spellEnd"/>
          </w:p>
        </w:tc>
        <w:tc>
          <w:tcPr>
            <w:tcW w:w="992" w:type="dxa"/>
            <w:tcBorders>
              <w:top w:val="nil"/>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3"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4</w:t>
            </w:r>
          </w:p>
        </w:tc>
        <w:tc>
          <w:tcPr>
            <w:tcW w:w="992" w:type="dxa"/>
            <w:tcBorders>
              <w:top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rPr>
        <w:tc>
          <w:tcPr>
            <w:tcW w:w="2552" w:type="dxa"/>
            <w:gridSpan w:val="2"/>
            <w:tcBorders>
              <w:top w:val="nil"/>
              <w:left w:val="single" w:sz="16" w:space="0" w:color="000000"/>
              <w:bottom w:val="single" w:sz="16" w:space="0" w:color="000000"/>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Total</w:t>
            </w:r>
          </w:p>
        </w:tc>
        <w:tc>
          <w:tcPr>
            <w:tcW w:w="992" w:type="dxa"/>
            <w:tcBorders>
              <w:top w:val="nil"/>
              <w:left w:val="single" w:sz="16" w:space="0" w:color="000000"/>
              <w:bottom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c>
          <w:tcPr>
            <w:tcW w:w="992" w:type="dxa"/>
            <w:tcBorders>
              <w:top w:val="nil"/>
              <w:bottom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c>
          <w:tcPr>
            <w:tcW w:w="993" w:type="dxa"/>
            <w:tcBorders>
              <w:top w:val="nil"/>
              <w:bottom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8</w:t>
            </w:r>
          </w:p>
        </w:tc>
        <w:tc>
          <w:tcPr>
            <w:tcW w:w="992" w:type="dxa"/>
            <w:tcBorders>
              <w:top w:val="nil"/>
              <w:bottom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7</w:t>
            </w:r>
          </w:p>
        </w:tc>
        <w:tc>
          <w:tcPr>
            <w:tcW w:w="992" w:type="dxa"/>
            <w:tcBorders>
              <w:top w:val="nil"/>
              <w:bottom w:val="single" w:sz="16" w:space="0" w:color="000000"/>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25</w:t>
            </w:r>
          </w:p>
        </w:tc>
      </w:tr>
      <w:tr w:rsidR="00AF0242" w:rsidRPr="00AF0242" w:rsidTr="00AF0242">
        <w:trPr>
          <w:cantSplit/>
          <w:tblHeader/>
        </w:trPr>
        <w:tc>
          <w:tcPr>
            <w:tcW w:w="7513" w:type="dxa"/>
            <w:gridSpan w:val="7"/>
            <w:tcBorders>
              <w:top w:val="nil"/>
              <w:left w:val="nil"/>
              <w:bottom w:val="nil"/>
              <w:right w:val="nil"/>
            </w:tcBorders>
            <w:shd w:val="clear" w:color="auto" w:fill="FFFFFF"/>
            <w:vAlign w:val="center"/>
          </w:tcPr>
          <w:p w:rsidR="00AF0242" w:rsidRPr="00AF0242" w:rsidRDefault="00AF0242" w:rsidP="00AF0242">
            <w:pPr>
              <w:autoSpaceDE w:val="0"/>
              <w:autoSpaceDN w:val="0"/>
              <w:adjustRightInd w:val="0"/>
              <w:spacing w:line="320" w:lineRule="atLeast"/>
              <w:ind w:left="60" w:right="60"/>
              <w:jc w:val="center"/>
              <w:rPr>
                <w:rFonts w:ascii="Arial" w:hAnsi="Arial" w:cs="Arial"/>
                <w:color w:val="000000"/>
                <w:sz w:val="18"/>
                <w:szCs w:val="18"/>
                <w:lang w:val="nl-NL" w:eastAsia="en-US" w:bidi="ar-SA"/>
              </w:rPr>
            </w:pPr>
          </w:p>
        </w:tc>
      </w:tr>
      <w:tr w:rsidR="00AF0242" w:rsidRPr="00AF0242" w:rsidTr="00AF0242">
        <w:trPr>
          <w:cantSplit/>
          <w:tblHeader/>
        </w:trPr>
        <w:tc>
          <w:tcPr>
            <w:tcW w:w="255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F0242" w:rsidRPr="00AF0242" w:rsidRDefault="00AF0242" w:rsidP="001B19F0">
            <w:pPr>
              <w:autoSpaceDE w:val="0"/>
              <w:autoSpaceDN w:val="0"/>
              <w:adjustRightInd w:val="0"/>
              <w:spacing w:line="276" w:lineRule="auto"/>
              <w:jc w:val="center"/>
              <w:rPr>
                <w:rFonts w:cs="Times New Roman"/>
                <w:lang w:val="nl-NL" w:eastAsia="en-US" w:bidi="ar-SA"/>
              </w:rPr>
            </w:pPr>
          </w:p>
        </w:tc>
        <w:tc>
          <w:tcPr>
            <w:tcW w:w="3969" w:type="dxa"/>
            <w:gridSpan w:val="4"/>
            <w:tcBorders>
              <w:top w:val="single" w:sz="16" w:space="0" w:color="000000"/>
              <w:left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AF0242">
              <w:rPr>
                <w:rFonts w:ascii="Arial" w:hAnsi="Arial" w:cs="Arial"/>
                <w:color w:val="000000"/>
                <w:sz w:val="18"/>
                <w:szCs w:val="18"/>
                <w:lang w:val="en-US" w:eastAsia="en-US" w:bidi="ar-SA"/>
              </w:rPr>
              <w:t>Bonds 2011 as a percentage o</w:t>
            </w:r>
            <w:r>
              <w:rPr>
                <w:rFonts w:ascii="Arial" w:hAnsi="Arial" w:cs="Arial"/>
                <w:color w:val="000000"/>
                <w:sz w:val="18"/>
                <w:szCs w:val="18"/>
                <w:lang w:val="en-US" w:eastAsia="en-US" w:bidi="ar-SA"/>
              </w:rPr>
              <w:t>f AUM 2011</w:t>
            </w:r>
          </w:p>
        </w:tc>
        <w:tc>
          <w:tcPr>
            <w:tcW w:w="992" w:type="dxa"/>
            <w:vMerge w:val="restart"/>
            <w:tcBorders>
              <w:top w:val="single" w:sz="16" w:space="0" w:color="000000"/>
              <w:bottom w:val="single" w:sz="16" w:space="0" w:color="000000"/>
              <w:right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Total</w:t>
            </w:r>
          </w:p>
        </w:tc>
      </w:tr>
      <w:tr w:rsidR="00AF0242" w:rsidRPr="00AF0242" w:rsidTr="00AF0242">
        <w:trPr>
          <w:cantSplit/>
          <w:tblHeader/>
        </w:trPr>
        <w:tc>
          <w:tcPr>
            <w:tcW w:w="255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992" w:type="dxa"/>
            <w:tcBorders>
              <w:left w:val="single" w:sz="16" w:space="0" w:color="000000"/>
              <w:bottom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20-30</w:t>
            </w:r>
          </w:p>
        </w:tc>
        <w:tc>
          <w:tcPr>
            <w:tcW w:w="992" w:type="dxa"/>
            <w:tcBorders>
              <w:bottom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30-40</w:t>
            </w:r>
          </w:p>
        </w:tc>
        <w:tc>
          <w:tcPr>
            <w:tcW w:w="993" w:type="dxa"/>
            <w:tcBorders>
              <w:bottom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40-50</w:t>
            </w:r>
          </w:p>
        </w:tc>
        <w:tc>
          <w:tcPr>
            <w:tcW w:w="992" w:type="dxa"/>
            <w:tcBorders>
              <w:bottom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&gt;= 50</w:t>
            </w:r>
          </w:p>
        </w:tc>
        <w:tc>
          <w:tcPr>
            <w:tcW w:w="992" w:type="dxa"/>
            <w:vMerge/>
            <w:tcBorders>
              <w:top w:val="single" w:sz="16" w:space="0" w:color="000000"/>
              <w:bottom w:val="single" w:sz="16" w:space="0" w:color="000000"/>
              <w:right w:val="single" w:sz="16" w:space="0" w:color="000000"/>
            </w:tcBorders>
            <w:shd w:val="clear" w:color="auto" w:fill="FFFFFF"/>
            <w:vAlign w:val="bottom"/>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r>
      <w:tr w:rsidR="00AF0242" w:rsidRPr="00AF0242" w:rsidTr="00AF0242">
        <w:trPr>
          <w:cantSplit/>
          <w:tblHeader/>
        </w:trPr>
        <w:tc>
          <w:tcPr>
            <w:tcW w:w="993" w:type="dxa"/>
            <w:vMerge w:val="restart"/>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Pension </w:t>
            </w:r>
            <w:proofErr w:type="spellStart"/>
            <w:r>
              <w:rPr>
                <w:rFonts w:ascii="Arial" w:hAnsi="Arial" w:cs="Arial"/>
                <w:color w:val="000000"/>
                <w:sz w:val="18"/>
                <w:szCs w:val="18"/>
                <w:lang w:val="nl-NL" w:eastAsia="en-US" w:bidi="ar-SA"/>
              </w:rPr>
              <w:t>fund</w:t>
            </w:r>
            <w:proofErr w:type="spellEnd"/>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s</w:t>
            </w:r>
            <w:r w:rsidRPr="00AF0242">
              <w:rPr>
                <w:rFonts w:ascii="Arial" w:hAnsi="Arial" w:cs="Arial"/>
                <w:color w:val="000000"/>
                <w:sz w:val="18"/>
                <w:szCs w:val="18"/>
                <w:lang w:val="nl-NL" w:eastAsia="en-US" w:bidi="ar-SA"/>
              </w:rPr>
              <w:t>ize</w:t>
            </w:r>
            <w:proofErr w:type="spellEnd"/>
          </w:p>
        </w:tc>
        <w:tc>
          <w:tcPr>
            <w:tcW w:w="1559" w:type="dxa"/>
            <w:tcBorders>
              <w:top w:val="single" w:sz="16" w:space="0" w:color="000000"/>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 xml:space="preserve">X </w:t>
            </w:r>
            <w:proofErr w:type="spellStart"/>
            <w:r w:rsidRPr="00AF0242">
              <w:rPr>
                <w:rFonts w:ascii="Arial" w:hAnsi="Arial" w:cs="Arial"/>
                <w:color w:val="000000"/>
                <w:sz w:val="18"/>
                <w:szCs w:val="18"/>
                <w:lang w:val="nl-NL" w:eastAsia="en-US" w:bidi="ar-SA"/>
              </w:rPr>
              <w:t>Large</w:t>
            </w:r>
            <w:proofErr w:type="spellEnd"/>
          </w:p>
        </w:tc>
        <w:tc>
          <w:tcPr>
            <w:tcW w:w="992" w:type="dxa"/>
            <w:tcBorders>
              <w:top w:val="single" w:sz="16" w:space="0" w:color="000000"/>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3" w:type="dxa"/>
            <w:tcBorders>
              <w:top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single" w:sz="16" w:space="0" w:color="000000"/>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blHeader/>
        </w:trPr>
        <w:tc>
          <w:tcPr>
            <w:tcW w:w="993" w:type="dxa"/>
            <w:vMerge/>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1559" w:type="dxa"/>
            <w:tcBorders>
              <w:top w:val="nil"/>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AF0242">
              <w:rPr>
                <w:rFonts w:ascii="Arial" w:hAnsi="Arial" w:cs="Arial"/>
                <w:color w:val="000000"/>
                <w:sz w:val="18"/>
                <w:szCs w:val="18"/>
                <w:lang w:val="nl-NL" w:eastAsia="en-US" w:bidi="ar-SA"/>
              </w:rPr>
              <w:t>Large</w:t>
            </w:r>
            <w:proofErr w:type="spellEnd"/>
          </w:p>
        </w:tc>
        <w:tc>
          <w:tcPr>
            <w:tcW w:w="992" w:type="dxa"/>
            <w:tcBorders>
              <w:top w:val="nil"/>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3"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blHeader/>
        </w:trPr>
        <w:tc>
          <w:tcPr>
            <w:tcW w:w="993" w:type="dxa"/>
            <w:vMerge/>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1559" w:type="dxa"/>
            <w:tcBorders>
              <w:top w:val="nil"/>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Medium</w:t>
            </w:r>
          </w:p>
        </w:tc>
        <w:tc>
          <w:tcPr>
            <w:tcW w:w="992" w:type="dxa"/>
            <w:tcBorders>
              <w:top w:val="nil"/>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3"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blHeader/>
        </w:trPr>
        <w:tc>
          <w:tcPr>
            <w:tcW w:w="993" w:type="dxa"/>
            <w:vMerge/>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1559" w:type="dxa"/>
            <w:tcBorders>
              <w:top w:val="nil"/>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AF0242">
              <w:rPr>
                <w:rFonts w:ascii="Arial" w:hAnsi="Arial" w:cs="Arial"/>
                <w:color w:val="000000"/>
                <w:sz w:val="18"/>
                <w:szCs w:val="18"/>
                <w:lang w:val="nl-NL" w:eastAsia="en-US" w:bidi="ar-SA"/>
              </w:rPr>
              <w:t>Small</w:t>
            </w:r>
            <w:proofErr w:type="spellEnd"/>
          </w:p>
        </w:tc>
        <w:tc>
          <w:tcPr>
            <w:tcW w:w="992" w:type="dxa"/>
            <w:tcBorders>
              <w:top w:val="nil"/>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3"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w:t>
            </w:r>
          </w:p>
        </w:tc>
        <w:tc>
          <w:tcPr>
            <w:tcW w:w="992" w:type="dxa"/>
            <w:tcBorders>
              <w:top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blHeader/>
        </w:trPr>
        <w:tc>
          <w:tcPr>
            <w:tcW w:w="993" w:type="dxa"/>
            <w:vMerge/>
            <w:tcBorders>
              <w:top w:val="single" w:sz="16" w:space="0" w:color="000000"/>
              <w:left w:val="single" w:sz="16" w:space="0" w:color="000000"/>
              <w:bottom w:val="nil"/>
              <w:right w:val="nil"/>
            </w:tcBorders>
            <w:shd w:val="clear" w:color="auto" w:fill="FFFFFF"/>
          </w:tcPr>
          <w:p w:rsidR="00AF0242" w:rsidRPr="00AF0242" w:rsidRDefault="00AF0242" w:rsidP="001B19F0">
            <w:pPr>
              <w:autoSpaceDE w:val="0"/>
              <w:autoSpaceDN w:val="0"/>
              <w:adjustRightInd w:val="0"/>
              <w:spacing w:line="276" w:lineRule="auto"/>
              <w:rPr>
                <w:rFonts w:ascii="Arial" w:hAnsi="Arial" w:cs="Arial"/>
                <w:color w:val="000000"/>
                <w:sz w:val="18"/>
                <w:szCs w:val="18"/>
                <w:lang w:val="nl-NL" w:eastAsia="en-US" w:bidi="ar-SA"/>
              </w:rPr>
            </w:pPr>
          </w:p>
        </w:tc>
        <w:tc>
          <w:tcPr>
            <w:tcW w:w="1559" w:type="dxa"/>
            <w:tcBorders>
              <w:top w:val="nil"/>
              <w:left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 xml:space="preserve">X </w:t>
            </w:r>
            <w:proofErr w:type="spellStart"/>
            <w:r w:rsidRPr="00AF0242">
              <w:rPr>
                <w:rFonts w:ascii="Arial" w:hAnsi="Arial" w:cs="Arial"/>
                <w:color w:val="000000"/>
                <w:sz w:val="18"/>
                <w:szCs w:val="18"/>
                <w:lang w:val="nl-NL" w:eastAsia="en-US" w:bidi="ar-SA"/>
              </w:rPr>
              <w:t>Small</w:t>
            </w:r>
            <w:proofErr w:type="spellEnd"/>
          </w:p>
        </w:tc>
        <w:tc>
          <w:tcPr>
            <w:tcW w:w="992" w:type="dxa"/>
            <w:tcBorders>
              <w:top w:val="nil"/>
              <w:left w:val="single" w:sz="16" w:space="0" w:color="000000"/>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3"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0</w:t>
            </w:r>
          </w:p>
        </w:tc>
        <w:tc>
          <w:tcPr>
            <w:tcW w:w="992" w:type="dxa"/>
            <w:tcBorders>
              <w:top w:val="nil"/>
              <w:bottom w:val="nil"/>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c>
          <w:tcPr>
            <w:tcW w:w="992" w:type="dxa"/>
            <w:tcBorders>
              <w:top w:val="nil"/>
              <w:bottom w:val="nil"/>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r>
      <w:tr w:rsidR="00AF0242" w:rsidRPr="00AF0242" w:rsidTr="00AF0242">
        <w:trPr>
          <w:cantSplit/>
        </w:trPr>
        <w:tc>
          <w:tcPr>
            <w:tcW w:w="2552" w:type="dxa"/>
            <w:gridSpan w:val="2"/>
            <w:tcBorders>
              <w:top w:val="nil"/>
              <w:left w:val="single" w:sz="16" w:space="0" w:color="000000"/>
              <w:bottom w:val="single" w:sz="16" w:space="0" w:color="000000"/>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Total</w:t>
            </w:r>
          </w:p>
        </w:tc>
        <w:tc>
          <w:tcPr>
            <w:tcW w:w="992" w:type="dxa"/>
            <w:tcBorders>
              <w:top w:val="nil"/>
              <w:left w:val="single" w:sz="16" w:space="0" w:color="000000"/>
              <w:bottom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4</w:t>
            </w:r>
          </w:p>
        </w:tc>
        <w:tc>
          <w:tcPr>
            <w:tcW w:w="992" w:type="dxa"/>
            <w:tcBorders>
              <w:top w:val="nil"/>
              <w:bottom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c>
          <w:tcPr>
            <w:tcW w:w="993" w:type="dxa"/>
            <w:tcBorders>
              <w:top w:val="nil"/>
              <w:bottom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5</w:t>
            </w:r>
          </w:p>
        </w:tc>
        <w:tc>
          <w:tcPr>
            <w:tcW w:w="992" w:type="dxa"/>
            <w:tcBorders>
              <w:top w:val="nil"/>
              <w:bottom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11</w:t>
            </w:r>
          </w:p>
        </w:tc>
        <w:tc>
          <w:tcPr>
            <w:tcW w:w="992" w:type="dxa"/>
            <w:tcBorders>
              <w:top w:val="nil"/>
              <w:bottom w:val="single" w:sz="16" w:space="0" w:color="000000"/>
              <w:right w:val="single" w:sz="16" w:space="0" w:color="000000"/>
            </w:tcBorders>
            <w:shd w:val="clear" w:color="auto" w:fill="FFFFFF"/>
          </w:tcPr>
          <w:p w:rsidR="00AF0242" w:rsidRPr="00AF0242" w:rsidRDefault="00AF0242"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AF0242">
              <w:rPr>
                <w:rFonts w:ascii="Arial" w:hAnsi="Arial" w:cs="Arial"/>
                <w:color w:val="000000"/>
                <w:sz w:val="18"/>
                <w:szCs w:val="18"/>
                <w:lang w:val="nl-NL" w:eastAsia="en-US" w:bidi="ar-SA"/>
              </w:rPr>
              <w:t>25</w:t>
            </w:r>
          </w:p>
        </w:tc>
      </w:tr>
    </w:tbl>
    <w:p w:rsidR="00AF0242" w:rsidRPr="0055584C" w:rsidRDefault="00184069" w:rsidP="00AF0242">
      <w:pPr>
        <w:spacing w:line="360" w:lineRule="auto"/>
        <w:rPr>
          <w:lang w:val="en-US"/>
        </w:rPr>
      </w:pPr>
      <w:r>
        <w:rPr>
          <w:rFonts w:cs="Times New Roman"/>
          <w:sz w:val="20"/>
          <w:szCs w:val="20"/>
          <w:lang w:val="en-US" w:eastAsia="en-US" w:bidi="ar-SA"/>
        </w:rPr>
        <w:t xml:space="preserve">Table </w:t>
      </w:r>
      <w:r w:rsidR="00174C85">
        <w:rPr>
          <w:rFonts w:cs="Times New Roman"/>
          <w:sz w:val="20"/>
          <w:szCs w:val="20"/>
          <w:lang w:val="en-US" w:eastAsia="en-US" w:bidi="ar-SA"/>
        </w:rPr>
        <w:t>31 and 32</w:t>
      </w:r>
      <w:r w:rsidR="00AF0242">
        <w:rPr>
          <w:rFonts w:cs="Times New Roman"/>
          <w:sz w:val="20"/>
          <w:szCs w:val="20"/>
          <w:lang w:val="en-US" w:eastAsia="en-US" w:bidi="ar-SA"/>
        </w:rPr>
        <w:t>: Crosstabs pension fund size and bonds 2006 respectively 2011 as a percentage of AUM 2006 respectively AUM 2011</w:t>
      </w:r>
    </w:p>
    <w:p w:rsidR="00AF0242" w:rsidRDefault="00866B27"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 xml:space="preserve">Table </w:t>
      </w:r>
      <w:r w:rsidR="00174C85">
        <w:rPr>
          <w:rFonts w:cs="Times New Roman"/>
          <w:lang w:val="en-US" w:eastAsia="en-US" w:bidi="ar-SA"/>
        </w:rPr>
        <w:t>31 and 32</w:t>
      </w:r>
      <w:r w:rsidR="00AC1313">
        <w:rPr>
          <w:rFonts w:cs="Times New Roman"/>
          <w:lang w:val="en-US" w:eastAsia="en-US" w:bidi="ar-SA"/>
        </w:rPr>
        <w:t xml:space="preserve"> make clear that a</w:t>
      </w:r>
      <w:r w:rsidR="00712D03">
        <w:rPr>
          <w:rFonts w:cs="Times New Roman"/>
          <w:lang w:val="en-US" w:eastAsia="en-US" w:bidi="ar-SA"/>
        </w:rPr>
        <w:t>ll pension funds have considerable position</w:t>
      </w:r>
      <w:r w:rsidR="00AC1313">
        <w:rPr>
          <w:rFonts w:cs="Times New Roman"/>
          <w:lang w:val="en-US" w:eastAsia="en-US" w:bidi="ar-SA"/>
        </w:rPr>
        <w:t>s</w:t>
      </w:r>
      <w:r w:rsidR="00846D22">
        <w:rPr>
          <w:rFonts w:cs="Times New Roman"/>
          <w:lang w:val="en-US" w:eastAsia="en-US" w:bidi="ar-SA"/>
        </w:rPr>
        <w:t xml:space="preserve"> in bonds as per end of </w:t>
      </w:r>
      <w:r w:rsidR="00712D03">
        <w:rPr>
          <w:rFonts w:cs="Times New Roman"/>
          <w:lang w:val="en-US" w:eastAsia="en-US" w:bidi="ar-SA"/>
        </w:rPr>
        <w:t xml:space="preserve">2006 as well as </w:t>
      </w:r>
      <w:r w:rsidR="00846D22">
        <w:rPr>
          <w:rFonts w:cs="Times New Roman"/>
          <w:lang w:val="en-US" w:eastAsia="en-US" w:bidi="ar-SA"/>
        </w:rPr>
        <w:t>per end of 2</w:t>
      </w:r>
      <w:r w:rsidR="00712D03">
        <w:rPr>
          <w:rFonts w:cs="Times New Roman"/>
          <w:lang w:val="en-US" w:eastAsia="en-US" w:bidi="ar-SA"/>
        </w:rPr>
        <w:t xml:space="preserve">011. </w:t>
      </w:r>
      <w:r w:rsidR="00AC1313">
        <w:rPr>
          <w:rFonts w:cs="Times New Roman"/>
          <w:lang w:val="en-US" w:eastAsia="en-US" w:bidi="ar-SA"/>
        </w:rPr>
        <w:t>Therefore, a</w:t>
      </w:r>
      <w:r w:rsidR="00712D03">
        <w:rPr>
          <w:rFonts w:cs="Times New Roman"/>
          <w:lang w:val="en-US" w:eastAsia="en-US" w:bidi="ar-SA"/>
        </w:rPr>
        <w:t>ll 25 Dutch pension funds will be included in the remainder of the research in this paragraph.</w:t>
      </w:r>
    </w:p>
    <w:p w:rsidR="00FB4FA8" w:rsidRPr="009440AE" w:rsidRDefault="00FB4FA8" w:rsidP="00FB4FA8">
      <w:pPr>
        <w:rPr>
          <w:lang w:val="en-US"/>
        </w:rPr>
      </w:pPr>
    </w:p>
    <w:p w:rsidR="00846D22" w:rsidRDefault="00846D22" w:rsidP="00151E0E">
      <w:pPr>
        <w:spacing w:line="360" w:lineRule="auto"/>
        <w:rPr>
          <w:b/>
          <w:i/>
          <w:lang w:val="en-US"/>
        </w:rPr>
      </w:pPr>
    </w:p>
    <w:p w:rsidR="00846D22" w:rsidRDefault="00846D22" w:rsidP="00151E0E">
      <w:pPr>
        <w:spacing w:line="360" w:lineRule="auto"/>
        <w:rPr>
          <w:b/>
          <w:i/>
          <w:lang w:val="en-US"/>
        </w:rPr>
      </w:pPr>
    </w:p>
    <w:p w:rsidR="00846D22" w:rsidRDefault="00846D22" w:rsidP="00151E0E">
      <w:pPr>
        <w:spacing w:line="360" w:lineRule="auto"/>
        <w:rPr>
          <w:b/>
          <w:i/>
          <w:lang w:val="en-US"/>
        </w:rPr>
      </w:pPr>
    </w:p>
    <w:p w:rsidR="00151E0E" w:rsidRDefault="00151E0E" w:rsidP="00151E0E">
      <w:pPr>
        <w:spacing w:line="360" w:lineRule="auto"/>
        <w:rPr>
          <w:b/>
          <w:i/>
          <w:lang w:val="en-US"/>
        </w:rPr>
      </w:pPr>
      <w:r>
        <w:rPr>
          <w:b/>
          <w:i/>
          <w:lang w:val="en-US"/>
        </w:rPr>
        <w:t>Quality of bond investment risk disclosures compared between 2006 and 2011</w:t>
      </w:r>
    </w:p>
    <w:tbl>
      <w:tblPr>
        <w:tblW w:w="739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00"/>
        <w:gridCol w:w="719"/>
        <w:gridCol w:w="863"/>
        <w:gridCol w:w="20"/>
        <w:gridCol w:w="848"/>
        <w:gridCol w:w="827"/>
        <w:gridCol w:w="20"/>
        <w:gridCol w:w="706"/>
        <w:gridCol w:w="968"/>
        <w:gridCol w:w="20"/>
      </w:tblGrid>
      <w:tr w:rsidR="006B5D29" w:rsidRPr="007A2E7E" w:rsidTr="00AE3E7D">
        <w:trPr>
          <w:gridAfter w:val="1"/>
          <w:wAfter w:w="20" w:type="dxa"/>
          <w:cantSplit/>
          <w:tblHeader/>
        </w:trPr>
        <w:tc>
          <w:tcPr>
            <w:tcW w:w="2400" w:type="dxa"/>
            <w:vMerge w:val="restart"/>
            <w:tcBorders>
              <w:top w:val="single" w:sz="16" w:space="0" w:color="000000"/>
              <w:left w:val="single" w:sz="16" w:space="0" w:color="000000"/>
              <w:right w:val="single" w:sz="12" w:space="0" w:color="000000"/>
            </w:tcBorders>
            <w:shd w:val="clear" w:color="auto" w:fill="FFFFFF"/>
            <w:vAlign w:val="center"/>
          </w:tcPr>
          <w:p w:rsidR="006B5D29" w:rsidRPr="005E3773" w:rsidRDefault="006B5D29" w:rsidP="00B7537E">
            <w:pPr>
              <w:autoSpaceDE w:val="0"/>
              <w:autoSpaceDN w:val="0"/>
              <w:adjustRightInd w:val="0"/>
              <w:spacing w:line="276" w:lineRule="auto"/>
              <w:rPr>
                <w:rFonts w:ascii="Arial" w:hAnsi="Arial" w:cs="Arial"/>
                <w:color w:val="000000"/>
                <w:sz w:val="18"/>
                <w:szCs w:val="18"/>
                <w:lang w:val="en-US" w:eastAsia="en-US" w:bidi="ar-SA"/>
              </w:rPr>
            </w:pPr>
            <w:r>
              <w:rPr>
                <w:rFonts w:ascii="Arial" w:hAnsi="Arial" w:cs="Arial"/>
                <w:color w:val="000000"/>
                <w:sz w:val="18"/>
                <w:szCs w:val="18"/>
                <w:lang w:val="en-US" w:eastAsia="en-US" w:bidi="ar-SA"/>
              </w:rPr>
              <w:t xml:space="preserve">Disclosed in                </w:t>
            </w:r>
            <w:r w:rsidR="00B7537E">
              <w:rPr>
                <w:rFonts w:ascii="Arial" w:hAnsi="Arial" w:cs="Arial"/>
                <w:color w:val="000000"/>
                <w:sz w:val="18"/>
                <w:szCs w:val="18"/>
                <w:lang w:val="en-US" w:eastAsia="en-US" w:bidi="ar-SA"/>
              </w:rPr>
              <w:t xml:space="preserve"> </w:t>
            </w:r>
            <w:proofErr w:type="spellStart"/>
            <w:r w:rsidRPr="00B83F19">
              <w:rPr>
                <w:rFonts w:ascii="Arial" w:hAnsi="Arial" w:cs="Arial"/>
                <w:color w:val="000000"/>
                <w:sz w:val="18"/>
                <w:szCs w:val="18"/>
                <w:lang w:val="nl-NL" w:eastAsia="en-US" w:bidi="ar-SA"/>
              </w:rPr>
              <w:t>financia</w:t>
            </w:r>
            <w:proofErr w:type="spellEnd"/>
            <w:r>
              <w:rPr>
                <w:rFonts w:ascii="Arial" w:hAnsi="Arial" w:cs="Arial"/>
                <w:color w:val="000000"/>
                <w:sz w:val="18"/>
                <w:szCs w:val="18"/>
                <w:lang w:val="en-US" w:eastAsia="en-US" w:bidi="ar-SA"/>
              </w:rPr>
              <w:t>l   statements?</w:t>
            </w:r>
          </w:p>
        </w:tc>
        <w:tc>
          <w:tcPr>
            <w:tcW w:w="1582"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6B5D29" w:rsidRPr="00E41F5D" w:rsidRDefault="005A0518"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Rating</w:t>
            </w:r>
            <w:r w:rsidR="006B5D29" w:rsidRPr="00E41F5D">
              <w:rPr>
                <w:rFonts w:ascii="Arial" w:hAnsi="Arial" w:cs="Arial"/>
                <w:color w:val="000000"/>
                <w:sz w:val="18"/>
                <w:szCs w:val="18"/>
                <w:lang w:val="en-US" w:eastAsia="en-US" w:bidi="ar-SA"/>
              </w:rPr>
              <w:t xml:space="preserve"> allocation</w:t>
            </w:r>
          </w:p>
        </w:tc>
        <w:tc>
          <w:tcPr>
            <w:tcW w:w="1695" w:type="dxa"/>
            <w:gridSpan w:val="3"/>
            <w:tcBorders>
              <w:top w:val="single" w:sz="12" w:space="0" w:color="000000"/>
              <w:left w:val="single" w:sz="12" w:space="0" w:color="000000"/>
              <w:bottom w:val="single" w:sz="12" w:space="0" w:color="000000"/>
              <w:right w:val="single" w:sz="12" w:space="0" w:color="000000"/>
            </w:tcBorders>
            <w:shd w:val="clear" w:color="auto" w:fill="FFFFFF"/>
            <w:vAlign w:val="bottom"/>
          </w:tcPr>
          <w:p w:rsidR="006B5D29" w:rsidRPr="00E41F5D" w:rsidRDefault="005A0518" w:rsidP="001B19F0">
            <w:pPr>
              <w:autoSpaceDE w:val="0"/>
              <w:autoSpaceDN w:val="0"/>
              <w:adjustRightInd w:val="0"/>
              <w:spacing w:line="276" w:lineRule="auto"/>
              <w:ind w:left="60" w:right="60"/>
              <w:rPr>
                <w:rFonts w:ascii="Arial" w:hAnsi="Arial" w:cs="Arial"/>
                <w:color w:val="000000"/>
                <w:sz w:val="18"/>
                <w:szCs w:val="18"/>
                <w:lang w:val="en-US" w:eastAsia="en-US" w:bidi="ar-SA"/>
              </w:rPr>
            </w:pPr>
            <w:r>
              <w:rPr>
                <w:rFonts w:ascii="Arial" w:hAnsi="Arial" w:cs="Arial"/>
                <w:color w:val="000000"/>
                <w:sz w:val="18"/>
                <w:szCs w:val="18"/>
                <w:lang w:val="en-US" w:eastAsia="en-US" w:bidi="ar-SA"/>
              </w:rPr>
              <w:t>Position</w:t>
            </w:r>
            <w:r w:rsidR="006B5D29" w:rsidRPr="00E41F5D">
              <w:rPr>
                <w:rFonts w:ascii="Arial" w:hAnsi="Arial" w:cs="Arial"/>
                <w:color w:val="000000"/>
                <w:sz w:val="18"/>
                <w:szCs w:val="18"/>
                <w:lang w:val="en-US" w:eastAsia="en-US" w:bidi="ar-SA"/>
              </w:rPr>
              <w:t xml:space="preserve"> allocation</w:t>
            </w:r>
          </w:p>
        </w:tc>
        <w:tc>
          <w:tcPr>
            <w:tcW w:w="1694" w:type="dxa"/>
            <w:gridSpan w:val="3"/>
            <w:tcBorders>
              <w:top w:val="single" w:sz="12" w:space="0" w:color="000000"/>
              <w:left w:val="single" w:sz="12" w:space="0" w:color="000000"/>
              <w:bottom w:val="single" w:sz="12" w:space="0" w:color="000000"/>
              <w:right w:val="single" w:sz="12" w:space="0" w:color="000000"/>
            </w:tcBorders>
            <w:shd w:val="clear" w:color="auto" w:fill="FFFFFF"/>
            <w:vAlign w:val="bottom"/>
          </w:tcPr>
          <w:p w:rsidR="006B5D29" w:rsidRPr="00E41F5D" w:rsidRDefault="005A0518"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GIIPS allocation</w:t>
            </w:r>
          </w:p>
        </w:tc>
      </w:tr>
      <w:tr w:rsidR="006B5D29" w:rsidRPr="007A2E7E" w:rsidTr="00AE3E7D">
        <w:trPr>
          <w:cantSplit/>
          <w:tblHeader/>
        </w:trPr>
        <w:tc>
          <w:tcPr>
            <w:tcW w:w="2400" w:type="dxa"/>
            <w:vMerge/>
            <w:tcBorders>
              <w:top w:val="single" w:sz="12" w:space="0" w:color="000000"/>
              <w:left w:val="single" w:sz="16" w:space="0" w:color="000000"/>
              <w:bottom w:val="nil"/>
              <w:right w:val="single" w:sz="12" w:space="0" w:color="000000"/>
            </w:tcBorders>
            <w:shd w:val="clear" w:color="auto" w:fill="FFFFFF"/>
          </w:tcPr>
          <w:p w:rsidR="006B5D29" w:rsidRPr="007A2E7E" w:rsidRDefault="006B5D29" w:rsidP="001B19F0">
            <w:pPr>
              <w:autoSpaceDE w:val="0"/>
              <w:autoSpaceDN w:val="0"/>
              <w:adjustRightInd w:val="0"/>
              <w:spacing w:line="276" w:lineRule="auto"/>
              <w:ind w:left="60" w:right="60"/>
              <w:rPr>
                <w:rFonts w:ascii="Arial" w:hAnsi="Arial" w:cs="Arial"/>
                <w:color w:val="000000"/>
                <w:sz w:val="18"/>
                <w:szCs w:val="18"/>
                <w:lang w:val="nl-NL" w:eastAsia="en-US" w:bidi="ar-SA"/>
              </w:rPr>
            </w:pPr>
          </w:p>
        </w:tc>
        <w:tc>
          <w:tcPr>
            <w:tcW w:w="719" w:type="dxa"/>
            <w:tcBorders>
              <w:top w:val="single" w:sz="12" w:space="0" w:color="000000"/>
              <w:left w:val="single" w:sz="12" w:space="0" w:color="000000"/>
              <w:bottom w:val="single" w:sz="12" w:space="0" w:color="000000"/>
              <w:right w:val="single" w:sz="12" w:space="0" w:color="000000"/>
            </w:tcBorders>
            <w:shd w:val="clear" w:color="auto" w:fill="FFFFFF"/>
          </w:tcPr>
          <w:p w:rsidR="006B5D29" w:rsidRPr="00E41F5D" w:rsidRDefault="006B5D29"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2006</w:t>
            </w:r>
          </w:p>
        </w:tc>
        <w:tc>
          <w:tcPr>
            <w:tcW w:w="88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6B5D29" w:rsidRPr="00E41F5D" w:rsidRDefault="006B5D29"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2011</w:t>
            </w:r>
          </w:p>
        </w:tc>
        <w:tc>
          <w:tcPr>
            <w:tcW w:w="848" w:type="dxa"/>
            <w:tcBorders>
              <w:top w:val="single" w:sz="12" w:space="0" w:color="000000"/>
              <w:left w:val="single" w:sz="12" w:space="0" w:color="000000"/>
              <w:bottom w:val="single" w:sz="12" w:space="0" w:color="000000"/>
              <w:right w:val="single" w:sz="12" w:space="0" w:color="000000"/>
            </w:tcBorders>
            <w:shd w:val="clear" w:color="auto" w:fill="FFFFFF"/>
          </w:tcPr>
          <w:p w:rsidR="006B5D29" w:rsidRPr="00E41F5D" w:rsidRDefault="006B5D29"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2006</w:t>
            </w:r>
          </w:p>
        </w:tc>
        <w:tc>
          <w:tcPr>
            <w:tcW w:w="847"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6B5D29" w:rsidRPr="00E41F5D" w:rsidRDefault="006B5D29"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E41F5D">
              <w:rPr>
                <w:rFonts w:ascii="Arial" w:hAnsi="Arial" w:cs="Arial"/>
                <w:color w:val="000000"/>
                <w:sz w:val="18"/>
                <w:szCs w:val="18"/>
                <w:lang w:val="en-US" w:eastAsia="en-US" w:bidi="ar-SA"/>
              </w:rPr>
              <w:t>2011</w:t>
            </w:r>
          </w:p>
        </w:tc>
        <w:tc>
          <w:tcPr>
            <w:tcW w:w="706" w:type="dxa"/>
            <w:tcBorders>
              <w:top w:val="single" w:sz="12" w:space="0" w:color="000000"/>
              <w:left w:val="single" w:sz="12" w:space="0" w:color="000000"/>
              <w:bottom w:val="single" w:sz="12" w:space="0" w:color="000000"/>
              <w:right w:val="single" w:sz="12" w:space="0" w:color="000000"/>
            </w:tcBorders>
            <w:shd w:val="clear" w:color="auto" w:fill="FFFFFF"/>
          </w:tcPr>
          <w:p w:rsidR="006B5D29" w:rsidRPr="00E41F5D" w:rsidRDefault="006B5D29"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2006</w:t>
            </w:r>
          </w:p>
        </w:tc>
        <w:tc>
          <w:tcPr>
            <w:tcW w:w="988"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6B5D29" w:rsidRPr="00E41F5D" w:rsidRDefault="006B5D29" w:rsidP="0080024C">
            <w:pPr>
              <w:autoSpaceDE w:val="0"/>
              <w:autoSpaceDN w:val="0"/>
              <w:adjustRightInd w:val="0"/>
              <w:spacing w:line="276" w:lineRule="auto"/>
              <w:ind w:left="60" w:right="60"/>
              <w:jc w:val="center"/>
              <w:rPr>
                <w:rFonts w:ascii="Arial" w:hAnsi="Arial" w:cs="Arial"/>
                <w:color w:val="000000"/>
                <w:sz w:val="18"/>
                <w:szCs w:val="18"/>
                <w:lang w:val="en-US" w:eastAsia="en-US" w:bidi="ar-SA"/>
              </w:rPr>
            </w:pPr>
            <w:r>
              <w:rPr>
                <w:rFonts w:ascii="Arial" w:hAnsi="Arial" w:cs="Arial"/>
                <w:color w:val="000000"/>
                <w:sz w:val="18"/>
                <w:szCs w:val="18"/>
                <w:lang w:val="en-US" w:eastAsia="en-US" w:bidi="ar-SA"/>
              </w:rPr>
              <w:t>2011</w:t>
            </w:r>
          </w:p>
        </w:tc>
      </w:tr>
      <w:tr w:rsidR="006B5D29" w:rsidRPr="007A2E7E" w:rsidTr="00AE3E7D">
        <w:trPr>
          <w:cantSplit/>
          <w:tblHeader/>
        </w:trPr>
        <w:tc>
          <w:tcPr>
            <w:tcW w:w="2400" w:type="dxa"/>
            <w:tcBorders>
              <w:top w:val="single" w:sz="16" w:space="0" w:color="000000"/>
              <w:left w:val="single" w:sz="16" w:space="0" w:color="000000"/>
              <w:bottom w:val="nil"/>
              <w:right w:val="single" w:sz="16" w:space="0" w:color="000000"/>
            </w:tcBorders>
            <w:shd w:val="clear" w:color="auto" w:fill="FFFFFF"/>
          </w:tcPr>
          <w:p w:rsidR="006B5D29" w:rsidRPr="007A2E7E" w:rsidRDefault="006B5D29" w:rsidP="0080024C">
            <w:pPr>
              <w:autoSpaceDE w:val="0"/>
              <w:autoSpaceDN w:val="0"/>
              <w:adjustRightInd w:val="0"/>
              <w:spacing w:line="360"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Disclosed</w:t>
            </w:r>
            <w:proofErr w:type="spellEnd"/>
          </w:p>
        </w:tc>
        <w:tc>
          <w:tcPr>
            <w:tcW w:w="719" w:type="dxa"/>
            <w:tcBorders>
              <w:top w:val="single" w:sz="12" w:space="0" w:color="000000"/>
              <w:left w:val="single" w:sz="16" w:space="0" w:color="000000"/>
              <w:bottom w:val="nil"/>
            </w:tcBorders>
            <w:shd w:val="clear" w:color="auto" w:fill="FFFFFF"/>
          </w:tcPr>
          <w:p w:rsidR="006B5D29" w:rsidRPr="007A2E7E" w:rsidRDefault="00645D02"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9</w:t>
            </w:r>
          </w:p>
        </w:tc>
        <w:tc>
          <w:tcPr>
            <w:tcW w:w="883" w:type="dxa"/>
            <w:gridSpan w:val="2"/>
            <w:tcBorders>
              <w:top w:val="single" w:sz="12" w:space="0" w:color="000000"/>
              <w:bottom w:val="nil"/>
            </w:tcBorders>
            <w:shd w:val="clear" w:color="auto" w:fill="FFFFFF"/>
          </w:tcPr>
          <w:p w:rsidR="006B5D29" w:rsidRPr="007A2E7E" w:rsidRDefault="00F74287"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20</w:t>
            </w:r>
          </w:p>
        </w:tc>
        <w:tc>
          <w:tcPr>
            <w:tcW w:w="848" w:type="dxa"/>
            <w:tcBorders>
              <w:top w:val="single" w:sz="12" w:space="0" w:color="000000"/>
              <w:bottom w:val="nil"/>
            </w:tcBorders>
            <w:shd w:val="clear" w:color="auto" w:fill="FFFFFF"/>
          </w:tcPr>
          <w:p w:rsidR="006B5D29" w:rsidRPr="007A2E7E" w:rsidRDefault="00F74287"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5</w:t>
            </w:r>
          </w:p>
        </w:tc>
        <w:tc>
          <w:tcPr>
            <w:tcW w:w="847" w:type="dxa"/>
            <w:gridSpan w:val="2"/>
            <w:tcBorders>
              <w:top w:val="single" w:sz="12" w:space="0" w:color="000000"/>
              <w:bottom w:val="nil"/>
            </w:tcBorders>
            <w:shd w:val="clear" w:color="auto" w:fill="FFFFFF"/>
          </w:tcPr>
          <w:p w:rsidR="006B5D29" w:rsidRPr="007A2E7E" w:rsidRDefault="00F74287"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15</w:t>
            </w:r>
          </w:p>
        </w:tc>
        <w:tc>
          <w:tcPr>
            <w:tcW w:w="706" w:type="dxa"/>
            <w:tcBorders>
              <w:top w:val="single" w:sz="12" w:space="0" w:color="000000"/>
              <w:bottom w:val="nil"/>
            </w:tcBorders>
            <w:shd w:val="clear" w:color="auto" w:fill="FFFFFF"/>
          </w:tcPr>
          <w:p w:rsidR="006B5D29" w:rsidRPr="007A2E7E" w:rsidRDefault="00F74287"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w:t>
            </w:r>
          </w:p>
        </w:tc>
        <w:tc>
          <w:tcPr>
            <w:tcW w:w="988" w:type="dxa"/>
            <w:gridSpan w:val="2"/>
            <w:tcBorders>
              <w:top w:val="single" w:sz="12" w:space="0" w:color="000000"/>
              <w:bottom w:val="nil"/>
              <w:right w:val="single" w:sz="12" w:space="0" w:color="000000"/>
            </w:tcBorders>
            <w:shd w:val="clear" w:color="auto" w:fill="FFFFFF"/>
          </w:tcPr>
          <w:p w:rsidR="006B5D29" w:rsidRPr="007A2E7E" w:rsidRDefault="00F74287"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11</w:t>
            </w:r>
          </w:p>
        </w:tc>
      </w:tr>
      <w:tr w:rsidR="006B5D29" w:rsidRPr="007A2E7E" w:rsidTr="00AE3E7D">
        <w:trPr>
          <w:cantSplit/>
          <w:tblHeader/>
        </w:trPr>
        <w:tc>
          <w:tcPr>
            <w:tcW w:w="2400" w:type="dxa"/>
            <w:tcBorders>
              <w:top w:val="nil"/>
              <w:left w:val="single" w:sz="16" w:space="0" w:color="000000"/>
              <w:bottom w:val="nil"/>
              <w:right w:val="single" w:sz="16" w:space="0" w:color="000000"/>
            </w:tcBorders>
            <w:shd w:val="clear" w:color="auto" w:fill="FFFFFF"/>
          </w:tcPr>
          <w:p w:rsidR="006B5D29" w:rsidRPr="007A2E7E" w:rsidRDefault="006B5D29" w:rsidP="0080024C">
            <w:pPr>
              <w:autoSpaceDE w:val="0"/>
              <w:autoSpaceDN w:val="0"/>
              <w:adjustRightInd w:val="0"/>
              <w:spacing w:line="360" w:lineRule="auto"/>
              <w:ind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Not</w:t>
            </w:r>
            <w:proofErr w:type="spellEnd"/>
            <w:r w:rsidRPr="007A2E7E">
              <w:rPr>
                <w:rFonts w:ascii="Arial" w:hAnsi="Arial" w:cs="Arial"/>
                <w:color w:val="000000"/>
                <w:sz w:val="18"/>
                <w:szCs w:val="18"/>
                <w:lang w:val="nl-NL" w:eastAsia="en-US" w:bidi="ar-SA"/>
              </w:rPr>
              <w:t xml:space="preserve"> </w:t>
            </w:r>
            <w:proofErr w:type="spellStart"/>
            <w:r>
              <w:rPr>
                <w:rFonts w:ascii="Arial" w:hAnsi="Arial" w:cs="Arial"/>
                <w:color w:val="000000"/>
                <w:sz w:val="18"/>
                <w:szCs w:val="18"/>
                <w:lang w:val="nl-NL" w:eastAsia="en-US" w:bidi="ar-SA"/>
              </w:rPr>
              <w:t>disclosed</w:t>
            </w:r>
            <w:proofErr w:type="spellEnd"/>
          </w:p>
        </w:tc>
        <w:tc>
          <w:tcPr>
            <w:tcW w:w="719" w:type="dxa"/>
            <w:tcBorders>
              <w:top w:val="nil"/>
              <w:left w:val="single" w:sz="16" w:space="0" w:color="000000"/>
              <w:bottom w:val="nil"/>
            </w:tcBorders>
            <w:shd w:val="clear" w:color="auto" w:fill="FFFFFF"/>
          </w:tcPr>
          <w:p w:rsidR="006B5D29" w:rsidRPr="007A2E7E" w:rsidRDefault="00645D02"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16</w:t>
            </w:r>
          </w:p>
        </w:tc>
        <w:tc>
          <w:tcPr>
            <w:tcW w:w="883" w:type="dxa"/>
            <w:gridSpan w:val="2"/>
            <w:tcBorders>
              <w:top w:val="nil"/>
              <w:bottom w:val="nil"/>
            </w:tcBorders>
            <w:shd w:val="clear" w:color="auto" w:fill="FFFFFF"/>
          </w:tcPr>
          <w:p w:rsidR="006B5D29" w:rsidRPr="007A2E7E" w:rsidRDefault="00F74287"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5</w:t>
            </w:r>
          </w:p>
        </w:tc>
        <w:tc>
          <w:tcPr>
            <w:tcW w:w="848" w:type="dxa"/>
            <w:tcBorders>
              <w:top w:val="nil"/>
              <w:bottom w:val="nil"/>
            </w:tcBorders>
            <w:shd w:val="clear" w:color="auto" w:fill="FFFFFF"/>
          </w:tcPr>
          <w:p w:rsidR="006B5D29" w:rsidRPr="007A2E7E" w:rsidRDefault="00645D02"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w:t>
            </w:r>
            <w:r w:rsidR="00F74287">
              <w:rPr>
                <w:rFonts w:ascii="Arial" w:hAnsi="Arial" w:cs="Arial"/>
                <w:color w:val="000000"/>
                <w:sz w:val="18"/>
                <w:szCs w:val="18"/>
                <w:lang w:val="nl-NL" w:eastAsia="en-US" w:bidi="ar-SA"/>
              </w:rPr>
              <w:t>0</w:t>
            </w:r>
          </w:p>
        </w:tc>
        <w:tc>
          <w:tcPr>
            <w:tcW w:w="847" w:type="dxa"/>
            <w:gridSpan w:val="2"/>
            <w:tcBorders>
              <w:top w:val="nil"/>
              <w:bottom w:val="nil"/>
            </w:tcBorders>
            <w:shd w:val="clear" w:color="auto" w:fill="FFFFFF"/>
          </w:tcPr>
          <w:p w:rsidR="006B5D29" w:rsidRPr="007A2E7E" w:rsidRDefault="00F74287" w:rsidP="0080024C">
            <w:pPr>
              <w:autoSpaceDE w:val="0"/>
              <w:autoSpaceDN w:val="0"/>
              <w:adjustRightInd w:val="0"/>
              <w:spacing w:line="360" w:lineRule="auto"/>
              <w:ind w:left="60" w:right="60"/>
              <w:jc w:val="center"/>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10</w:t>
            </w:r>
          </w:p>
        </w:tc>
        <w:tc>
          <w:tcPr>
            <w:tcW w:w="706" w:type="dxa"/>
            <w:tcBorders>
              <w:top w:val="nil"/>
              <w:bottom w:val="nil"/>
            </w:tcBorders>
            <w:shd w:val="clear" w:color="auto" w:fill="FFFFFF"/>
          </w:tcPr>
          <w:p w:rsidR="006B5D29" w:rsidRPr="007A2E7E" w:rsidRDefault="00F74287"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24</w:t>
            </w:r>
          </w:p>
        </w:tc>
        <w:tc>
          <w:tcPr>
            <w:tcW w:w="988" w:type="dxa"/>
            <w:gridSpan w:val="2"/>
            <w:tcBorders>
              <w:top w:val="nil"/>
              <w:bottom w:val="nil"/>
              <w:right w:val="single" w:sz="12" w:space="0" w:color="000000"/>
            </w:tcBorders>
            <w:shd w:val="clear" w:color="auto" w:fill="FFFFFF"/>
          </w:tcPr>
          <w:p w:rsidR="006B5D29" w:rsidRPr="007A2E7E" w:rsidRDefault="006B5D29"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w:t>
            </w:r>
            <w:r w:rsidR="00F74287">
              <w:rPr>
                <w:rFonts w:ascii="Arial" w:hAnsi="Arial" w:cs="Arial"/>
                <w:color w:val="000000"/>
                <w:sz w:val="18"/>
                <w:szCs w:val="18"/>
                <w:lang w:val="nl-NL" w:eastAsia="en-US" w:bidi="ar-SA"/>
              </w:rPr>
              <w:t>4</w:t>
            </w:r>
          </w:p>
        </w:tc>
      </w:tr>
      <w:tr w:rsidR="006B5D29" w:rsidRPr="007A2E7E" w:rsidTr="00AE3E7D">
        <w:trPr>
          <w:cantSplit/>
          <w:trHeight w:val="95"/>
          <w:tblHeader/>
        </w:trPr>
        <w:tc>
          <w:tcPr>
            <w:tcW w:w="2400" w:type="dxa"/>
            <w:tcBorders>
              <w:top w:val="nil"/>
              <w:left w:val="single" w:sz="16" w:space="0" w:color="000000"/>
              <w:bottom w:val="single" w:sz="16" w:space="0" w:color="000000"/>
              <w:right w:val="single" w:sz="16" w:space="0" w:color="000000"/>
            </w:tcBorders>
            <w:shd w:val="clear" w:color="auto" w:fill="FFFFFF"/>
          </w:tcPr>
          <w:p w:rsidR="006B5D29" w:rsidRPr="007A2E7E" w:rsidRDefault="006B5D29" w:rsidP="0080024C">
            <w:pPr>
              <w:autoSpaceDE w:val="0"/>
              <w:autoSpaceDN w:val="0"/>
              <w:adjustRightInd w:val="0"/>
              <w:spacing w:line="360" w:lineRule="auto"/>
              <w:ind w:left="60" w:right="60"/>
              <w:rPr>
                <w:rFonts w:ascii="Arial" w:hAnsi="Arial" w:cs="Arial"/>
                <w:color w:val="000000"/>
                <w:sz w:val="18"/>
                <w:szCs w:val="18"/>
                <w:lang w:val="nl-NL" w:eastAsia="en-US" w:bidi="ar-SA"/>
              </w:rPr>
            </w:pPr>
            <w:r>
              <w:rPr>
                <w:rFonts w:ascii="Arial" w:hAnsi="Arial" w:cs="Arial"/>
                <w:color w:val="000000"/>
                <w:sz w:val="18"/>
                <w:szCs w:val="18"/>
                <w:lang w:val="nl-NL" w:eastAsia="en-US" w:bidi="ar-SA"/>
              </w:rPr>
              <w:t xml:space="preserve"> Total</w:t>
            </w:r>
          </w:p>
        </w:tc>
        <w:tc>
          <w:tcPr>
            <w:tcW w:w="719" w:type="dxa"/>
            <w:tcBorders>
              <w:top w:val="nil"/>
              <w:left w:val="single" w:sz="16" w:space="0" w:color="000000"/>
              <w:bottom w:val="single" w:sz="16" w:space="0" w:color="000000"/>
            </w:tcBorders>
            <w:shd w:val="clear" w:color="auto" w:fill="FFFFFF"/>
          </w:tcPr>
          <w:p w:rsidR="006B5D29" w:rsidRPr="007A2E7E" w:rsidRDefault="00645D02"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25</w:t>
            </w:r>
          </w:p>
        </w:tc>
        <w:tc>
          <w:tcPr>
            <w:tcW w:w="883" w:type="dxa"/>
            <w:gridSpan w:val="2"/>
            <w:tcBorders>
              <w:top w:val="nil"/>
              <w:bottom w:val="single" w:sz="16" w:space="0" w:color="000000"/>
            </w:tcBorders>
            <w:shd w:val="clear" w:color="auto" w:fill="FFFFFF"/>
          </w:tcPr>
          <w:p w:rsidR="006B5D29" w:rsidRPr="007A2E7E" w:rsidRDefault="006B5D29"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w:t>
            </w:r>
            <w:r w:rsidR="00645D02">
              <w:rPr>
                <w:rFonts w:ascii="Arial" w:hAnsi="Arial" w:cs="Arial"/>
                <w:color w:val="000000"/>
                <w:sz w:val="18"/>
                <w:szCs w:val="18"/>
                <w:lang w:val="nl-NL" w:eastAsia="en-US" w:bidi="ar-SA"/>
              </w:rPr>
              <w:t>5</w:t>
            </w:r>
          </w:p>
        </w:tc>
        <w:tc>
          <w:tcPr>
            <w:tcW w:w="848" w:type="dxa"/>
            <w:tcBorders>
              <w:top w:val="nil"/>
              <w:bottom w:val="single" w:sz="16" w:space="0" w:color="000000"/>
            </w:tcBorders>
            <w:shd w:val="clear" w:color="auto" w:fill="FFFFFF"/>
          </w:tcPr>
          <w:p w:rsidR="006B5D29" w:rsidRPr="007A2E7E" w:rsidRDefault="00645D02"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25</w:t>
            </w:r>
          </w:p>
        </w:tc>
        <w:tc>
          <w:tcPr>
            <w:tcW w:w="847" w:type="dxa"/>
            <w:gridSpan w:val="2"/>
            <w:tcBorders>
              <w:top w:val="nil"/>
              <w:bottom w:val="single" w:sz="16" w:space="0" w:color="000000"/>
            </w:tcBorders>
            <w:shd w:val="clear" w:color="auto" w:fill="FFFFFF"/>
          </w:tcPr>
          <w:p w:rsidR="006B5D29" w:rsidRPr="007A2E7E" w:rsidRDefault="006B5D29"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w:t>
            </w:r>
            <w:r w:rsidR="00F74287">
              <w:rPr>
                <w:rFonts w:ascii="Arial" w:hAnsi="Arial" w:cs="Arial"/>
                <w:color w:val="000000"/>
                <w:sz w:val="18"/>
                <w:szCs w:val="18"/>
                <w:lang w:val="nl-NL" w:eastAsia="en-US" w:bidi="ar-SA"/>
              </w:rPr>
              <w:t>5</w:t>
            </w:r>
          </w:p>
        </w:tc>
        <w:tc>
          <w:tcPr>
            <w:tcW w:w="706" w:type="dxa"/>
            <w:tcBorders>
              <w:top w:val="nil"/>
              <w:bottom w:val="single" w:sz="16" w:space="0" w:color="000000"/>
            </w:tcBorders>
            <w:shd w:val="clear" w:color="auto" w:fill="FFFFFF"/>
          </w:tcPr>
          <w:p w:rsidR="006B5D29" w:rsidRPr="007A2E7E" w:rsidRDefault="00F74287"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25</w:t>
            </w:r>
          </w:p>
        </w:tc>
        <w:tc>
          <w:tcPr>
            <w:tcW w:w="988" w:type="dxa"/>
            <w:gridSpan w:val="2"/>
            <w:tcBorders>
              <w:top w:val="nil"/>
              <w:bottom w:val="single" w:sz="18" w:space="0" w:color="000000"/>
              <w:right w:val="single" w:sz="12" w:space="0" w:color="000000"/>
            </w:tcBorders>
            <w:shd w:val="clear" w:color="auto" w:fill="FFFFFF"/>
          </w:tcPr>
          <w:p w:rsidR="006B5D29" w:rsidRPr="007A2E7E" w:rsidRDefault="006B5D29" w:rsidP="0080024C">
            <w:pPr>
              <w:autoSpaceDE w:val="0"/>
              <w:autoSpaceDN w:val="0"/>
              <w:adjustRightInd w:val="0"/>
              <w:spacing w:line="360"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w:t>
            </w:r>
            <w:r w:rsidR="00F74287">
              <w:rPr>
                <w:rFonts w:ascii="Arial" w:hAnsi="Arial" w:cs="Arial"/>
                <w:color w:val="000000"/>
                <w:sz w:val="18"/>
                <w:szCs w:val="18"/>
                <w:lang w:val="nl-NL" w:eastAsia="en-US" w:bidi="ar-SA"/>
              </w:rPr>
              <w:t>5</w:t>
            </w:r>
          </w:p>
        </w:tc>
      </w:tr>
    </w:tbl>
    <w:p w:rsidR="006B5D29" w:rsidRPr="0055584C" w:rsidRDefault="00AD2AC8" w:rsidP="00AE3E7D">
      <w:pPr>
        <w:spacing w:line="320" w:lineRule="atLeast"/>
        <w:rPr>
          <w:lang w:val="en-US"/>
        </w:rPr>
      </w:pPr>
      <w:r>
        <w:rPr>
          <w:rFonts w:cs="Times New Roman"/>
          <w:sz w:val="20"/>
          <w:szCs w:val="20"/>
          <w:lang w:val="en-US" w:eastAsia="en-US" w:bidi="ar-SA"/>
        </w:rPr>
        <w:t>Table 3</w:t>
      </w:r>
      <w:r w:rsidR="00174C85">
        <w:rPr>
          <w:rFonts w:cs="Times New Roman"/>
          <w:sz w:val="20"/>
          <w:szCs w:val="20"/>
          <w:lang w:val="en-US" w:eastAsia="en-US" w:bidi="ar-SA"/>
        </w:rPr>
        <w:t>3</w:t>
      </w:r>
      <w:r w:rsidR="006B5D29">
        <w:rPr>
          <w:rFonts w:cs="Times New Roman"/>
          <w:sz w:val="20"/>
          <w:szCs w:val="20"/>
          <w:lang w:val="en-US" w:eastAsia="en-US" w:bidi="ar-SA"/>
        </w:rPr>
        <w:t xml:space="preserve">: Presence of disclosures of </w:t>
      </w:r>
      <w:r w:rsidR="005A0518">
        <w:rPr>
          <w:rFonts w:cs="Times New Roman"/>
          <w:sz w:val="20"/>
          <w:szCs w:val="20"/>
          <w:lang w:val="en-US" w:eastAsia="en-US" w:bidi="ar-SA"/>
        </w:rPr>
        <w:t>rating</w:t>
      </w:r>
      <w:r w:rsidR="006B5D29">
        <w:rPr>
          <w:rFonts w:cs="Times New Roman"/>
          <w:sz w:val="20"/>
          <w:szCs w:val="20"/>
          <w:lang w:val="en-US" w:eastAsia="en-US" w:bidi="ar-SA"/>
        </w:rPr>
        <w:t>, position a</w:t>
      </w:r>
      <w:r w:rsidR="005A0518">
        <w:rPr>
          <w:rFonts w:cs="Times New Roman"/>
          <w:sz w:val="20"/>
          <w:szCs w:val="20"/>
          <w:lang w:val="en-US" w:eastAsia="en-US" w:bidi="ar-SA"/>
        </w:rPr>
        <w:t>nd GIIPS-a</w:t>
      </w:r>
      <w:r w:rsidR="006B5D29">
        <w:rPr>
          <w:rFonts w:cs="Times New Roman"/>
          <w:sz w:val="20"/>
          <w:szCs w:val="20"/>
          <w:lang w:val="en-US" w:eastAsia="en-US" w:bidi="ar-SA"/>
        </w:rPr>
        <w:t xml:space="preserve">llocations regarding </w:t>
      </w:r>
      <w:r w:rsidR="005A0518">
        <w:rPr>
          <w:rFonts w:cs="Times New Roman"/>
          <w:sz w:val="20"/>
          <w:szCs w:val="20"/>
          <w:lang w:val="en-US" w:eastAsia="en-US" w:bidi="ar-SA"/>
        </w:rPr>
        <w:t>bonds</w:t>
      </w:r>
    </w:p>
    <w:p w:rsidR="006B5D29" w:rsidRDefault="006B5D29" w:rsidP="00846D22">
      <w:pPr>
        <w:spacing w:line="120" w:lineRule="atLeast"/>
        <w:rPr>
          <w:bCs/>
          <w:lang w:val="en-US"/>
        </w:rPr>
      </w:pPr>
    </w:p>
    <w:p w:rsidR="00152585" w:rsidRDefault="00F74287" w:rsidP="005F5E1F">
      <w:pPr>
        <w:spacing w:line="360" w:lineRule="auto"/>
        <w:jc w:val="both"/>
        <w:rPr>
          <w:bCs/>
          <w:lang w:val="en-US"/>
        </w:rPr>
      </w:pPr>
      <w:r>
        <w:rPr>
          <w:bCs/>
          <w:lang w:val="en-US"/>
        </w:rPr>
        <w:t>As described in paragraph 3.2, rating a</w:t>
      </w:r>
      <w:r w:rsidR="00803A78">
        <w:rPr>
          <w:bCs/>
          <w:lang w:val="en-US"/>
        </w:rPr>
        <w:t>gencies determine the creditworthiness of counterparties, also with regard to bonds. The disclosure of rating allocations by Dutch pension funds in the financial statements has increased considerably from 9 funds in 2006 to 20 in 2011. The disclosure of position and GIIPS allocations has also increased considerably between 2006 and 2011.</w:t>
      </w:r>
    </w:p>
    <w:p w:rsidR="00F74287" w:rsidRDefault="00F74287" w:rsidP="006B5D29">
      <w:pPr>
        <w:spacing w:line="360" w:lineRule="auto"/>
        <w:rPr>
          <w:bCs/>
          <w:lang w:val="en-US"/>
        </w:rPr>
      </w:pPr>
    </w:p>
    <w:p w:rsidR="007E29B2" w:rsidRDefault="00B33D73" w:rsidP="005F5E1F">
      <w:pPr>
        <w:spacing w:line="360" w:lineRule="auto"/>
        <w:jc w:val="both"/>
        <w:rPr>
          <w:bCs/>
          <w:lang w:val="en-US"/>
        </w:rPr>
      </w:pPr>
      <w:r>
        <w:rPr>
          <w:bCs/>
          <w:lang w:val="en-US"/>
        </w:rPr>
        <w:t xml:space="preserve">To test whether the frequency of the disclosure of rating, position and GIIPS allocations has increased significantly or not between 2006 and 2011, first will be tested if the variables are distributed normally or not. </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1276"/>
        <w:gridCol w:w="850"/>
        <w:gridCol w:w="851"/>
        <w:gridCol w:w="1134"/>
        <w:gridCol w:w="850"/>
        <w:gridCol w:w="993"/>
      </w:tblGrid>
      <w:tr w:rsidR="007E29B2" w:rsidRPr="007E29B2" w:rsidTr="00A90793">
        <w:trPr>
          <w:cantSplit/>
          <w:tblHeader/>
        </w:trPr>
        <w:tc>
          <w:tcPr>
            <w:tcW w:w="8931" w:type="dxa"/>
            <w:gridSpan w:val="7"/>
            <w:tcBorders>
              <w:top w:val="nil"/>
              <w:left w:val="nil"/>
              <w:bottom w:val="nil"/>
              <w:right w:val="nil"/>
            </w:tcBorders>
            <w:shd w:val="clear" w:color="auto" w:fill="FFFFFF"/>
            <w:vAlign w:val="center"/>
          </w:tcPr>
          <w:p w:rsidR="007E29B2" w:rsidRPr="007E29B2" w:rsidRDefault="007E29B2" w:rsidP="007E29B2">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7E29B2">
              <w:rPr>
                <w:rFonts w:ascii="Arial" w:hAnsi="Arial" w:cs="Arial"/>
                <w:b/>
                <w:bCs/>
                <w:color w:val="000000"/>
                <w:sz w:val="18"/>
                <w:szCs w:val="18"/>
                <w:lang w:val="nl-NL" w:eastAsia="en-US" w:bidi="ar-SA"/>
              </w:rPr>
              <w:t xml:space="preserve">Tests of </w:t>
            </w:r>
            <w:proofErr w:type="spellStart"/>
            <w:r w:rsidRPr="007E29B2">
              <w:rPr>
                <w:rFonts w:ascii="Arial" w:hAnsi="Arial" w:cs="Arial"/>
                <w:b/>
                <w:bCs/>
                <w:color w:val="000000"/>
                <w:sz w:val="18"/>
                <w:szCs w:val="18"/>
                <w:lang w:val="nl-NL" w:eastAsia="en-US" w:bidi="ar-SA"/>
              </w:rPr>
              <w:t>Normality</w:t>
            </w:r>
            <w:proofErr w:type="spellEnd"/>
          </w:p>
        </w:tc>
      </w:tr>
      <w:tr w:rsidR="007E29B2" w:rsidRPr="007E29B2" w:rsidTr="00A90793">
        <w:trPr>
          <w:cantSplit/>
          <w:tblHeader/>
        </w:trPr>
        <w:tc>
          <w:tcPr>
            <w:tcW w:w="297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7E29B2" w:rsidRPr="007E29B2" w:rsidRDefault="007E29B2" w:rsidP="001B19F0">
            <w:pPr>
              <w:autoSpaceDE w:val="0"/>
              <w:autoSpaceDN w:val="0"/>
              <w:adjustRightInd w:val="0"/>
              <w:spacing w:line="276" w:lineRule="auto"/>
              <w:jc w:val="center"/>
              <w:rPr>
                <w:rFonts w:cs="Times New Roman"/>
                <w:lang w:val="nl-NL" w:eastAsia="en-US" w:bidi="ar-SA"/>
              </w:rPr>
            </w:pPr>
          </w:p>
        </w:tc>
        <w:tc>
          <w:tcPr>
            <w:tcW w:w="2977" w:type="dxa"/>
            <w:gridSpan w:val="3"/>
            <w:tcBorders>
              <w:top w:val="single" w:sz="16" w:space="0" w:color="000000"/>
              <w:left w:val="single" w:sz="16" w:space="0" w:color="000000"/>
            </w:tcBorders>
            <w:shd w:val="clear" w:color="auto" w:fill="FFFFFF"/>
            <w:vAlign w:val="bottom"/>
          </w:tcPr>
          <w:p w:rsidR="007E29B2" w:rsidRPr="007E29B2" w:rsidRDefault="007E29B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Kolmogorov-Smirnov</w:t>
            </w:r>
            <w:r w:rsidRPr="007E29B2">
              <w:rPr>
                <w:rFonts w:ascii="Arial" w:hAnsi="Arial" w:cs="Arial"/>
                <w:color w:val="000000"/>
                <w:sz w:val="18"/>
                <w:szCs w:val="18"/>
                <w:vertAlign w:val="superscript"/>
                <w:lang w:val="nl-NL" w:eastAsia="en-US" w:bidi="ar-SA"/>
              </w:rPr>
              <w:t>a</w:t>
            </w:r>
            <w:proofErr w:type="spellEnd"/>
          </w:p>
        </w:tc>
        <w:tc>
          <w:tcPr>
            <w:tcW w:w="2977" w:type="dxa"/>
            <w:gridSpan w:val="3"/>
            <w:tcBorders>
              <w:top w:val="single" w:sz="16" w:space="0" w:color="000000"/>
              <w:right w:val="single" w:sz="16" w:space="0" w:color="000000"/>
            </w:tcBorders>
            <w:shd w:val="clear" w:color="auto" w:fill="FFFFFF"/>
            <w:vAlign w:val="bottom"/>
          </w:tcPr>
          <w:p w:rsidR="007E29B2" w:rsidRPr="007E29B2" w:rsidRDefault="007E29B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Shapiro-Wilk</w:t>
            </w:r>
            <w:proofErr w:type="spellEnd"/>
          </w:p>
        </w:tc>
      </w:tr>
      <w:tr w:rsidR="007E29B2" w:rsidRPr="007E29B2" w:rsidTr="00A90793">
        <w:trPr>
          <w:cantSplit/>
          <w:tblHeader/>
        </w:trPr>
        <w:tc>
          <w:tcPr>
            <w:tcW w:w="297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7E29B2" w:rsidRPr="007E29B2" w:rsidRDefault="007E29B2" w:rsidP="001B19F0">
            <w:pPr>
              <w:autoSpaceDE w:val="0"/>
              <w:autoSpaceDN w:val="0"/>
              <w:adjustRightInd w:val="0"/>
              <w:spacing w:line="276" w:lineRule="auto"/>
              <w:rPr>
                <w:rFonts w:ascii="Arial" w:hAnsi="Arial" w:cs="Arial"/>
                <w:color w:val="000000"/>
                <w:sz w:val="18"/>
                <w:szCs w:val="18"/>
                <w:lang w:val="nl-NL" w:eastAsia="en-US" w:bidi="ar-SA"/>
              </w:rPr>
            </w:pPr>
          </w:p>
        </w:tc>
        <w:tc>
          <w:tcPr>
            <w:tcW w:w="1276" w:type="dxa"/>
            <w:tcBorders>
              <w:left w:val="single" w:sz="16" w:space="0" w:color="000000"/>
              <w:bottom w:val="single" w:sz="16" w:space="0" w:color="000000"/>
            </w:tcBorders>
            <w:shd w:val="clear" w:color="auto" w:fill="FFFFFF"/>
            <w:vAlign w:val="bottom"/>
          </w:tcPr>
          <w:p w:rsidR="007E29B2" w:rsidRPr="007E29B2" w:rsidRDefault="007E29B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Statistic</w:t>
            </w:r>
            <w:proofErr w:type="spellEnd"/>
          </w:p>
        </w:tc>
        <w:tc>
          <w:tcPr>
            <w:tcW w:w="850" w:type="dxa"/>
            <w:tcBorders>
              <w:bottom w:val="single" w:sz="16" w:space="0" w:color="000000"/>
            </w:tcBorders>
            <w:shd w:val="clear" w:color="auto" w:fill="FFFFFF"/>
            <w:vAlign w:val="bottom"/>
          </w:tcPr>
          <w:p w:rsidR="007E29B2" w:rsidRPr="007E29B2" w:rsidRDefault="007E29B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df</w:t>
            </w:r>
            <w:proofErr w:type="spellEnd"/>
          </w:p>
        </w:tc>
        <w:tc>
          <w:tcPr>
            <w:tcW w:w="851" w:type="dxa"/>
            <w:tcBorders>
              <w:bottom w:val="single" w:sz="16" w:space="0" w:color="000000"/>
            </w:tcBorders>
            <w:shd w:val="clear" w:color="auto" w:fill="FFFFFF"/>
            <w:vAlign w:val="bottom"/>
          </w:tcPr>
          <w:p w:rsidR="007E29B2" w:rsidRPr="007E29B2" w:rsidRDefault="007E29B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Sig</w:t>
            </w:r>
            <w:proofErr w:type="spellEnd"/>
            <w:r w:rsidRPr="007E29B2">
              <w:rPr>
                <w:rFonts w:ascii="Arial" w:hAnsi="Arial" w:cs="Arial"/>
                <w:color w:val="000000"/>
                <w:sz w:val="18"/>
                <w:szCs w:val="18"/>
                <w:lang w:val="nl-NL" w:eastAsia="en-US" w:bidi="ar-SA"/>
              </w:rPr>
              <w:t>.</w:t>
            </w:r>
          </w:p>
        </w:tc>
        <w:tc>
          <w:tcPr>
            <w:tcW w:w="1134" w:type="dxa"/>
            <w:tcBorders>
              <w:bottom w:val="single" w:sz="16" w:space="0" w:color="000000"/>
            </w:tcBorders>
            <w:shd w:val="clear" w:color="auto" w:fill="FFFFFF"/>
            <w:vAlign w:val="bottom"/>
          </w:tcPr>
          <w:p w:rsidR="007E29B2" w:rsidRPr="007E29B2" w:rsidRDefault="007E29B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Statistic</w:t>
            </w:r>
            <w:proofErr w:type="spellEnd"/>
          </w:p>
        </w:tc>
        <w:tc>
          <w:tcPr>
            <w:tcW w:w="850" w:type="dxa"/>
            <w:tcBorders>
              <w:bottom w:val="single" w:sz="16" w:space="0" w:color="000000"/>
            </w:tcBorders>
            <w:shd w:val="clear" w:color="auto" w:fill="FFFFFF"/>
            <w:vAlign w:val="bottom"/>
          </w:tcPr>
          <w:p w:rsidR="007E29B2" w:rsidRPr="007E29B2" w:rsidRDefault="007E29B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df</w:t>
            </w:r>
            <w:proofErr w:type="spellEnd"/>
          </w:p>
        </w:tc>
        <w:tc>
          <w:tcPr>
            <w:tcW w:w="993" w:type="dxa"/>
            <w:tcBorders>
              <w:bottom w:val="single" w:sz="16" w:space="0" w:color="000000"/>
              <w:right w:val="single" w:sz="16" w:space="0" w:color="000000"/>
            </w:tcBorders>
            <w:shd w:val="clear" w:color="auto" w:fill="FFFFFF"/>
            <w:vAlign w:val="bottom"/>
          </w:tcPr>
          <w:p w:rsidR="007E29B2" w:rsidRPr="007E29B2" w:rsidRDefault="007E29B2"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Sig</w:t>
            </w:r>
            <w:proofErr w:type="spellEnd"/>
            <w:r w:rsidRPr="007E29B2">
              <w:rPr>
                <w:rFonts w:ascii="Arial" w:hAnsi="Arial" w:cs="Arial"/>
                <w:color w:val="000000"/>
                <w:sz w:val="18"/>
                <w:szCs w:val="18"/>
                <w:lang w:val="nl-NL" w:eastAsia="en-US" w:bidi="ar-SA"/>
              </w:rPr>
              <w:t>.</w:t>
            </w:r>
          </w:p>
        </w:tc>
      </w:tr>
      <w:tr w:rsidR="007E29B2" w:rsidRPr="007E29B2" w:rsidTr="00A90793">
        <w:trPr>
          <w:cantSplit/>
          <w:tblHeader/>
        </w:trPr>
        <w:tc>
          <w:tcPr>
            <w:tcW w:w="2977" w:type="dxa"/>
            <w:tcBorders>
              <w:top w:val="single" w:sz="16" w:space="0" w:color="000000"/>
              <w:left w:val="single" w:sz="16" w:space="0" w:color="000000"/>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Bonds</w:t>
            </w:r>
            <w:proofErr w:type="spellEnd"/>
            <w:r w:rsidRPr="007E29B2">
              <w:rPr>
                <w:rFonts w:ascii="Arial" w:hAnsi="Arial" w:cs="Arial"/>
                <w:color w:val="000000"/>
                <w:sz w:val="18"/>
                <w:szCs w:val="18"/>
                <w:lang w:val="nl-NL" w:eastAsia="en-US" w:bidi="ar-SA"/>
              </w:rPr>
              <w:t xml:space="preserve"> 2006 rating </w:t>
            </w:r>
            <w:proofErr w:type="spellStart"/>
            <w:r w:rsidRPr="007E29B2">
              <w:rPr>
                <w:rFonts w:ascii="Arial" w:hAnsi="Arial" w:cs="Arial"/>
                <w:color w:val="000000"/>
                <w:sz w:val="18"/>
                <w:szCs w:val="18"/>
                <w:lang w:val="nl-NL" w:eastAsia="en-US" w:bidi="ar-SA"/>
              </w:rPr>
              <w:t>allocation</w:t>
            </w:r>
            <w:proofErr w:type="spellEnd"/>
          </w:p>
        </w:tc>
        <w:tc>
          <w:tcPr>
            <w:tcW w:w="1276" w:type="dxa"/>
            <w:tcBorders>
              <w:top w:val="single" w:sz="16" w:space="0" w:color="000000"/>
              <w:left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.409</w:t>
            </w:r>
          </w:p>
        </w:tc>
        <w:tc>
          <w:tcPr>
            <w:tcW w:w="850" w:type="dxa"/>
            <w:tcBorders>
              <w:top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851" w:type="dxa"/>
            <w:tcBorders>
              <w:top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c>
          <w:tcPr>
            <w:tcW w:w="1134" w:type="dxa"/>
            <w:tcBorders>
              <w:top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.610</w:t>
            </w:r>
          </w:p>
        </w:tc>
        <w:tc>
          <w:tcPr>
            <w:tcW w:w="850" w:type="dxa"/>
            <w:tcBorders>
              <w:top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993" w:type="dxa"/>
            <w:tcBorders>
              <w:top w:val="single" w:sz="16" w:space="0" w:color="000000"/>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r>
      <w:tr w:rsidR="007E29B2" w:rsidRPr="007E29B2" w:rsidTr="00A90793">
        <w:trPr>
          <w:cantSplit/>
          <w:tblHeader/>
        </w:trPr>
        <w:tc>
          <w:tcPr>
            <w:tcW w:w="2977" w:type="dxa"/>
            <w:tcBorders>
              <w:top w:val="nil"/>
              <w:left w:val="single" w:sz="16" w:space="0" w:color="000000"/>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Bonds</w:t>
            </w:r>
            <w:proofErr w:type="spellEnd"/>
            <w:r w:rsidRPr="007E29B2">
              <w:rPr>
                <w:rFonts w:ascii="Arial" w:hAnsi="Arial" w:cs="Arial"/>
                <w:color w:val="000000"/>
                <w:sz w:val="18"/>
                <w:szCs w:val="18"/>
                <w:lang w:val="nl-NL" w:eastAsia="en-US" w:bidi="ar-SA"/>
              </w:rPr>
              <w:t xml:space="preserve"> 2006 </w:t>
            </w:r>
            <w:proofErr w:type="spellStart"/>
            <w:r w:rsidRPr="007E29B2">
              <w:rPr>
                <w:rFonts w:ascii="Arial" w:hAnsi="Arial" w:cs="Arial"/>
                <w:color w:val="000000"/>
                <w:sz w:val="18"/>
                <w:szCs w:val="18"/>
                <w:lang w:val="nl-NL" w:eastAsia="en-US" w:bidi="ar-SA"/>
              </w:rPr>
              <w:t>position</w:t>
            </w:r>
            <w:proofErr w:type="spellEnd"/>
            <w:r w:rsidRPr="007E29B2">
              <w:rPr>
                <w:rFonts w:ascii="Arial" w:hAnsi="Arial" w:cs="Arial"/>
                <w:color w:val="000000"/>
                <w:sz w:val="18"/>
                <w:szCs w:val="18"/>
                <w:lang w:val="nl-NL" w:eastAsia="en-US" w:bidi="ar-SA"/>
              </w:rPr>
              <w:t xml:space="preserve"> </w:t>
            </w:r>
            <w:proofErr w:type="spellStart"/>
            <w:r w:rsidRPr="007E29B2">
              <w:rPr>
                <w:rFonts w:ascii="Arial" w:hAnsi="Arial" w:cs="Arial"/>
                <w:color w:val="000000"/>
                <w:sz w:val="18"/>
                <w:szCs w:val="18"/>
                <w:lang w:val="nl-NL" w:eastAsia="en-US" w:bidi="ar-SA"/>
              </w:rPr>
              <w:t>allocation</w:t>
            </w:r>
            <w:proofErr w:type="spellEnd"/>
          </w:p>
        </w:tc>
        <w:tc>
          <w:tcPr>
            <w:tcW w:w="1276" w:type="dxa"/>
            <w:tcBorders>
              <w:top w:val="nil"/>
              <w:left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.488</w:t>
            </w:r>
          </w:p>
        </w:tc>
        <w:tc>
          <w:tcPr>
            <w:tcW w:w="850"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851"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c>
          <w:tcPr>
            <w:tcW w:w="1134"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.493</w:t>
            </w:r>
          </w:p>
        </w:tc>
        <w:tc>
          <w:tcPr>
            <w:tcW w:w="850"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993" w:type="dxa"/>
            <w:tcBorders>
              <w:top w:val="nil"/>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r>
      <w:tr w:rsidR="007E29B2" w:rsidRPr="007E29B2" w:rsidTr="00A90793">
        <w:trPr>
          <w:cantSplit/>
          <w:tblHeader/>
        </w:trPr>
        <w:tc>
          <w:tcPr>
            <w:tcW w:w="2977" w:type="dxa"/>
            <w:tcBorders>
              <w:top w:val="nil"/>
              <w:left w:val="single" w:sz="16" w:space="0" w:color="000000"/>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Bonds</w:t>
            </w:r>
            <w:proofErr w:type="spellEnd"/>
            <w:r w:rsidRPr="007E29B2">
              <w:rPr>
                <w:rFonts w:ascii="Arial" w:hAnsi="Arial" w:cs="Arial"/>
                <w:color w:val="000000"/>
                <w:sz w:val="18"/>
                <w:szCs w:val="18"/>
                <w:lang w:val="nl-NL" w:eastAsia="en-US" w:bidi="ar-SA"/>
              </w:rPr>
              <w:t xml:space="preserve"> 2006 GIIPS </w:t>
            </w:r>
            <w:proofErr w:type="spellStart"/>
            <w:r w:rsidRPr="007E29B2">
              <w:rPr>
                <w:rFonts w:ascii="Arial" w:hAnsi="Arial" w:cs="Arial"/>
                <w:color w:val="000000"/>
                <w:sz w:val="18"/>
                <w:szCs w:val="18"/>
                <w:lang w:val="nl-NL" w:eastAsia="en-US" w:bidi="ar-SA"/>
              </w:rPr>
              <w:t>allocation</w:t>
            </w:r>
            <w:proofErr w:type="spellEnd"/>
          </w:p>
        </w:tc>
        <w:tc>
          <w:tcPr>
            <w:tcW w:w="1276" w:type="dxa"/>
            <w:tcBorders>
              <w:top w:val="nil"/>
              <w:left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.539</w:t>
            </w:r>
          </w:p>
        </w:tc>
        <w:tc>
          <w:tcPr>
            <w:tcW w:w="850"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851"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c>
          <w:tcPr>
            <w:tcW w:w="1134"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.203</w:t>
            </w:r>
          </w:p>
        </w:tc>
        <w:tc>
          <w:tcPr>
            <w:tcW w:w="850"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993" w:type="dxa"/>
            <w:tcBorders>
              <w:top w:val="nil"/>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r>
      <w:tr w:rsidR="007E29B2" w:rsidRPr="007E29B2" w:rsidTr="00A90793">
        <w:trPr>
          <w:cantSplit/>
          <w:tblHeader/>
        </w:trPr>
        <w:tc>
          <w:tcPr>
            <w:tcW w:w="2977" w:type="dxa"/>
            <w:tcBorders>
              <w:top w:val="nil"/>
              <w:left w:val="single" w:sz="16" w:space="0" w:color="000000"/>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Bonds</w:t>
            </w:r>
            <w:proofErr w:type="spellEnd"/>
            <w:r w:rsidRPr="007E29B2">
              <w:rPr>
                <w:rFonts w:ascii="Arial" w:hAnsi="Arial" w:cs="Arial"/>
                <w:color w:val="000000"/>
                <w:sz w:val="18"/>
                <w:szCs w:val="18"/>
                <w:lang w:val="nl-NL" w:eastAsia="en-US" w:bidi="ar-SA"/>
              </w:rPr>
              <w:t xml:space="preserve"> 2011 rating </w:t>
            </w:r>
            <w:proofErr w:type="spellStart"/>
            <w:r w:rsidRPr="007E29B2">
              <w:rPr>
                <w:rFonts w:ascii="Arial" w:hAnsi="Arial" w:cs="Arial"/>
                <w:color w:val="000000"/>
                <w:sz w:val="18"/>
                <w:szCs w:val="18"/>
                <w:lang w:val="nl-NL" w:eastAsia="en-US" w:bidi="ar-SA"/>
              </w:rPr>
              <w:t>allocation</w:t>
            </w:r>
            <w:proofErr w:type="spellEnd"/>
          </w:p>
        </w:tc>
        <w:tc>
          <w:tcPr>
            <w:tcW w:w="1276" w:type="dxa"/>
            <w:tcBorders>
              <w:top w:val="nil"/>
              <w:left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.488</w:t>
            </w:r>
          </w:p>
        </w:tc>
        <w:tc>
          <w:tcPr>
            <w:tcW w:w="850"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851"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c>
          <w:tcPr>
            <w:tcW w:w="1134"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.493</w:t>
            </w:r>
          </w:p>
        </w:tc>
        <w:tc>
          <w:tcPr>
            <w:tcW w:w="850"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993" w:type="dxa"/>
            <w:tcBorders>
              <w:top w:val="nil"/>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r>
      <w:tr w:rsidR="007E29B2" w:rsidRPr="007E29B2" w:rsidTr="00A90793">
        <w:trPr>
          <w:cantSplit/>
          <w:tblHeader/>
        </w:trPr>
        <w:tc>
          <w:tcPr>
            <w:tcW w:w="2977" w:type="dxa"/>
            <w:tcBorders>
              <w:top w:val="nil"/>
              <w:left w:val="single" w:sz="16" w:space="0" w:color="000000"/>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Bonds</w:t>
            </w:r>
            <w:proofErr w:type="spellEnd"/>
            <w:r w:rsidRPr="007E29B2">
              <w:rPr>
                <w:rFonts w:ascii="Arial" w:hAnsi="Arial" w:cs="Arial"/>
                <w:color w:val="000000"/>
                <w:sz w:val="18"/>
                <w:szCs w:val="18"/>
                <w:lang w:val="nl-NL" w:eastAsia="en-US" w:bidi="ar-SA"/>
              </w:rPr>
              <w:t xml:space="preserve"> 2011 </w:t>
            </w:r>
            <w:proofErr w:type="spellStart"/>
            <w:r w:rsidRPr="007E29B2">
              <w:rPr>
                <w:rFonts w:ascii="Arial" w:hAnsi="Arial" w:cs="Arial"/>
                <w:color w:val="000000"/>
                <w:sz w:val="18"/>
                <w:szCs w:val="18"/>
                <w:lang w:val="nl-NL" w:eastAsia="en-US" w:bidi="ar-SA"/>
              </w:rPr>
              <w:t>position</w:t>
            </w:r>
            <w:proofErr w:type="spellEnd"/>
            <w:r w:rsidRPr="007E29B2">
              <w:rPr>
                <w:rFonts w:ascii="Arial" w:hAnsi="Arial" w:cs="Arial"/>
                <w:color w:val="000000"/>
                <w:sz w:val="18"/>
                <w:szCs w:val="18"/>
                <w:lang w:val="nl-NL" w:eastAsia="en-US" w:bidi="ar-SA"/>
              </w:rPr>
              <w:t xml:space="preserve"> </w:t>
            </w:r>
            <w:proofErr w:type="spellStart"/>
            <w:r w:rsidRPr="007E29B2">
              <w:rPr>
                <w:rFonts w:ascii="Arial" w:hAnsi="Arial" w:cs="Arial"/>
                <w:color w:val="000000"/>
                <w:sz w:val="18"/>
                <w:szCs w:val="18"/>
                <w:lang w:val="nl-NL" w:eastAsia="en-US" w:bidi="ar-SA"/>
              </w:rPr>
              <w:t>allocation</w:t>
            </w:r>
            <w:proofErr w:type="spellEnd"/>
          </w:p>
        </w:tc>
        <w:tc>
          <w:tcPr>
            <w:tcW w:w="1276" w:type="dxa"/>
            <w:tcBorders>
              <w:top w:val="nil"/>
              <w:left w:val="single" w:sz="16" w:space="0" w:color="000000"/>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.388</w:t>
            </w:r>
          </w:p>
        </w:tc>
        <w:tc>
          <w:tcPr>
            <w:tcW w:w="850"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851"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c>
          <w:tcPr>
            <w:tcW w:w="1134"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.625</w:t>
            </w:r>
          </w:p>
        </w:tc>
        <w:tc>
          <w:tcPr>
            <w:tcW w:w="850" w:type="dxa"/>
            <w:tcBorders>
              <w:top w:val="nil"/>
              <w:bottom w:val="nil"/>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993" w:type="dxa"/>
            <w:tcBorders>
              <w:top w:val="nil"/>
              <w:bottom w:val="nil"/>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r>
      <w:tr w:rsidR="007E29B2" w:rsidRPr="007E29B2" w:rsidTr="00A90793">
        <w:trPr>
          <w:cantSplit/>
          <w:tblHeader/>
        </w:trPr>
        <w:tc>
          <w:tcPr>
            <w:tcW w:w="2977" w:type="dxa"/>
            <w:tcBorders>
              <w:top w:val="nil"/>
              <w:left w:val="single" w:sz="16" w:space="0" w:color="000000"/>
              <w:bottom w:val="single" w:sz="16" w:space="0" w:color="000000"/>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rPr>
                <w:rFonts w:ascii="Arial" w:hAnsi="Arial" w:cs="Arial"/>
                <w:color w:val="000000"/>
                <w:sz w:val="18"/>
                <w:szCs w:val="18"/>
                <w:lang w:val="nl-NL" w:eastAsia="en-US" w:bidi="ar-SA"/>
              </w:rPr>
            </w:pPr>
            <w:proofErr w:type="spellStart"/>
            <w:r w:rsidRPr="007E29B2">
              <w:rPr>
                <w:rFonts w:ascii="Arial" w:hAnsi="Arial" w:cs="Arial"/>
                <w:color w:val="000000"/>
                <w:sz w:val="18"/>
                <w:szCs w:val="18"/>
                <w:lang w:val="nl-NL" w:eastAsia="en-US" w:bidi="ar-SA"/>
              </w:rPr>
              <w:t>Bonds</w:t>
            </w:r>
            <w:proofErr w:type="spellEnd"/>
            <w:r w:rsidRPr="007E29B2">
              <w:rPr>
                <w:rFonts w:ascii="Arial" w:hAnsi="Arial" w:cs="Arial"/>
                <w:color w:val="000000"/>
                <w:sz w:val="18"/>
                <w:szCs w:val="18"/>
                <w:lang w:val="nl-NL" w:eastAsia="en-US" w:bidi="ar-SA"/>
              </w:rPr>
              <w:t xml:space="preserve"> 2011 GIIPS </w:t>
            </w:r>
            <w:proofErr w:type="spellStart"/>
            <w:r w:rsidRPr="007E29B2">
              <w:rPr>
                <w:rFonts w:ascii="Arial" w:hAnsi="Arial" w:cs="Arial"/>
                <w:color w:val="000000"/>
                <w:sz w:val="18"/>
                <w:szCs w:val="18"/>
                <w:lang w:val="nl-NL" w:eastAsia="en-US" w:bidi="ar-SA"/>
              </w:rPr>
              <w:t>allocation</w:t>
            </w:r>
            <w:proofErr w:type="spellEnd"/>
          </w:p>
        </w:tc>
        <w:tc>
          <w:tcPr>
            <w:tcW w:w="1276" w:type="dxa"/>
            <w:tcBorders>
              <w:top w:val="nil"/>
              <w:left w:val="single" w:sz="16" w:space="0" w:color="000000"/>
              <w:bottom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.367</w:t>
            </w:r>
          </w:p>
        </w:tc>
        <w:tc>
          <w:tcPr>
            <w:tcW w:w="850" w:type="dxa"/>
            <w:tcBorders>
              <w:top w:val="nil"/>
              <w:bottom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851" w:type="dxa"/>
            <w:tcBorders>
              <w:top w:val="nil"/>
              <w:bottom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c>
          <w:tcPr>
            <w:tcW w:w="1134" w:type="dxa"/>
            <w:tcBorders>
              <w:top w:val="nil"/>
              <w:bottom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.634</w:t>
            </w:r>
          </w:p>
        </w:tc>
        <w:tc>
          <w:tcPr>
            <w:tcW w:w="850" w:type="dxa"/>
            <w:tcBorders>
              <w:top w:val="nil"/>
              <w:bottom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25</w:t>
            </w:r>
          </w:p>
        </w:tc>
        <w:tc>
          <w:tcPr>
            <w:tcW w:w="993" w:type="dxa"/>
            <w:tcBorders>
              <w:top w:val="nil"/>
              <w:bottom w:val="single" w:sz="16" w:space="0" w:color="000000"/>
              <w:right w:val="single" w:sz="16" w:space="0" w:color="000000"/>
            </w:tcBorders>
            <w:shd w:val="clear" w:color="auto" w:fill="FFFFFF"/>
          </w:tcPr>
          <w:p w:rsidR="007E29B2" w:rsidRPr="007E29B2" w:rsidRDefault="007E29B2" w:rsidP="00AE3E7D">
            <w:pPr>
              <w:autoSpaceDE w:val="0"/>
              <w:autoSpaceDN w:val="0"/>
              <w:adjustRightInd w:val="0"/>
              <w:spacing w:line="360" w:lineRule="auto"/>
              <w:ind w:left="60" w:right="60"/>
              <w:jc w:val="right"/>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.000</w:t>
            </w:r>
          </w:p>
        </w:tc>
      </w:tr>
      <w:tr w:rsidR="007E29B2" w:rsidRPr="007E29B2" w:rsidTr="00A90793">
        <w:trPr>
          <w:cantSplit/>
        </w:trPr>
        <w:tc>
          <w:tcPr>
            <w:tcW w:w="8931" w:type="dxa"/>
            <w:gridSpan w:val="7"/>
            <w:tcBorders>
              <w:top w:val="nil"/>
              <w:left w:val="nil"/>
              <w:bottom w:val="nil"/>
              <w:right w:val="nil"/>
            </w:tcBorders>
            <w:shd w:val="clear" w:color="auto" w:fill="FFFFFF"/>
          </w:tcPr>
          <w:p w:rsidR="007E29B2" w:rsidRPr="007E29B2" w:rsidRDefault="007E29B2" w:rsidP="00AE3E7D">
            <w:pPr>
              <w:autoSpaceDE w:val="0"/>
              <w:autoSpaceDN w:val="0"/>
              <w:adjustRightInd w:val="0"/>
              <w:spacing w:line="320" w:lineRule="atLeast"/>
              <w:ind w:left="60" w:right="60"/>
              <w:rPr>
                <w:rFonts w:ascii="Arial" w:hAnsi="Arial" w:cs="Arial"/>
                <w:color w:val="000000"/>
                <w:sz w:val="18"/>
                <w:szCs w:val="18"/>
                <w:lang w:val="nl-NL" w:eastAsia="en-US" w:bidi="ar-SA"/>
              </w:rPr>
            </w:pPr>
            <w:r w:rsidRPr="007E29B2">
              <w:rPr>
                <w:rFonts w:ascii="Arial" w:hAnsi="Arial" w:cs="Arial"/>
                <w:color w:val="000000"/>
                <w:sz w:val="18"/>
                <w:szCs w:val="18"/>
                <w:lang w:val="nl-NL" w:eastAsia="en-US" w:bidi="ar-SA"/>
              </w:rPr>
              <w:t xml:space="preserve">a. </w:t>
            </w:r>
            <w:proofErr w:type="spellStart"/>
            <w:r w:rsidRPr="007E29B2">
              <w:rPr>
                <w:rFonts w:ascii="Arial" w:hAnsi="Arial" w:cs="Arial"/>
                <w:color w:val="000000"/>
                <w:sz w:val="18"/>
                <w:szCs w:val="18"/>
                <w:lang w:val="nl-NL" w:eastAsia="en-US" w:bidi="ar-SA"/>
              </w:rPr>
              <w:t>Lilliefors</w:t>
            </w:r>
            <w:proofErr w:type="spellEnd"/>
            <w:r w:rsidRPr="007E29B2">
              <w:rPr>
                <w:rFonts w:ascii="Arial" w:hAnsi="Arial" w:cs="Arial"/>
                <w:color w:val="000000"/>
                <w:sz w:val="18"/>
                <w:szCs w:val="18"/>
                <w:lang w:val="nl-NL" w:eastAsia="en-US" w:bidi="ar-SA"/>
              </w:rPr>
              <w:t xml:space="preserve"> </w:t>
            </w:r>
            <w:proofErr w:type="spellStart"/>
            <w:r w:rsidRPr="007E29B2">
              <w:rPr>
                <w:rFonts w:ascii="Arial" w:hAnsi="Arial" w:cs="Arial"/>
                <w:color w:val="000000"/>
                <w:sz w:val="18"/>
                <w:szCs w:val="18"/>
                <w:lang w:val="nl-NL" w:eastAsia="en-US" w:bidi="ar-SA"/>
              </w:rPr>
              <w:t>Significance</w:t>
            </w:r>
            <w:proofErr w:type="spellEnd"/>
            <w:r w:rsidRPr="007E29B2">
              <w:rPr>
                <w:rFonts w:ascii="Arial" w:hAnsi="Arial" w:cs="Arial"/>
                <w:color w:val="000000"/>
                <w:sz w:val="18"/>
                <w:szCs w:val="18"/>
                <w:lang w:val="nl-NL" w:eastAsia="en-US" w:bidi="ar-SA"/>
              </w:rPr>
              <w:t xml:space="preserve"> </w:t>
            </w:r>
            <w:proofErr w:type="spellStart"/>
            <w:r w:rsidRPr="007E29B2">
              <w:rPr>
                <w:rFonts w:ascii="Arial" w:hAnsi="Arial" w:cs="Arial"/>
                <w:color w:val="000000"/>
                <w:sz w:val="18"/>
                <w:szCs w:val="18"/>
                <w:lang w:val="nl-NL" w:eastAsia="en-US" w:bidi="ar-SA"/>
              </w:rPr>
              <w:t>Correction</w:t>
            </w:r>
            <w:proofErr w:type="spellEnd"/>
          </w:p>
        </w:tc>
      </w:tr>
    </w:tbl>
    <w:p w:rsidR="00B33D73" w:rsidRPr="0055584C" w:rsidRDefault="00A90793" w:rsidP="00AE3E7D">
      <w:pPr>
        <w:spacing w:line="320" w:lineRule="atLeast"/>
        <w:rPr>
          <w:lang w:val="en-US"/>
        </w:rPr>
      </w:pPr>
      <w:r>
        <w:rPr>
          <w:rFonts w:cs="Times New Roman"/>
          <w:sz w:val="20"/>
          <w:szCs w:val="20"/>
          <w:lang w:val="en-US" w:eastAsia="en-US" w:bidi="ar-SA"/>
        </w:rPr>
        <w:t>Table 3</w:t>
      </w:r>
      <w:r w:rsidR="00174C85">
        <w:rPr>
          <w:rFonts w:cs="Times New Roman"/>
          <w:sz w:val="20"/>
          <w:szCs w:val="20"/>
          <w:lang w:val="en-US" w:eastAsia="en-US" w:bidi="ar-SA"/>
        </w:rPr>
        <w:t>4</w:t>
      </w:r>
      <w:r w:rsidR="00B33D73">
        <w:rPr>
          <w:rFonts w:cs="Times New Roman"/>
          <w:sz w:val="20"/>
          <w:szCs w:val="20"/>
          <w:lang w:val="en-US" w:eastAsia="en-US" w:bidi="ar-SA"/>
        </w:rPr>
        <w:t xml:space="preserve">: Tests of normality applied to </w:t>
      </w:r>
      <w:r>
        <w:rPr>
          <w:rFonts w:cs="Times New Roman"/>
          <w:sz w:val="20"/>
          <w:szCs w:val="20"/>
          <w:lang w:val="en-US" w:eastAsia="en-US" w:bidi="ar-SA"/>
        </w:rPr>
        <w:t xml:space="preserve">rating, </w:t>
      </w:r>
      <w:r w:rsidR="00B33D73">
        <w:rPr>
          <w:rFonts w:cs="Times New Roman"/>
          <w:sz w:val="20"/>
          <w:szCs w:val="20"/>
          <w:lang w:val="en-US" w:eastAsia="en-US" w:bidi="ar-SA"/>
        </w:rPr>
        <w:t xml:space="preserve">position </w:t>
      </w:r>
      <w:r>
        <w:rPr>
          <w:rFonts w:cs="Times New Roman"/>
          <w:sz w:val="20"/>
          <w:szCs w:val="20"/>
          <w:lang w:val="en-US" w:eastAsia="en-US" w:bidi="ar-SA"/>
        </w:rPr>
        <w:t>and GIIPS</w:t>
      </w:r>
      <w:r w:rsidR="00B7537E">
        <w:rPr>
          <w:rFonts w:cs="Times New Roman"/>
          <w:sz w:val="20"/>
          <w:szCs w:val="20"/>
          <w:lang w:val="en-US" w:eastAsia="en-US" w:bidi="ar-SA"/>
        </w:rPr>
        <w:t xml:space="preserve"> </w:t>
      </w:r>
      <w:r w:rsidR="00B33D73">
        <w:rPr>
          <w:rFonts w:cs="Times New Roman"/>
          <w:sz w:val="20"/>
          <w:szCs w:val="20"/>
          <w:lang w:val="en-US" w:eastAsia="en-US" w:bidi="ar-SA"/>
        </w:rPr>
        <w:t xml:space="preserve">allocations regarding </w:t>
      </w:r>
      <w:r>
        <w:rPr>
          <w:rFonts w:cs="Times New Roman"/>
          <w:sz w:val="20"/>
          <w:szCs w:val="20"/>
          <w:lang w:val="en-US" w:eastAsia="en-US" w:bidi="ar-SA"/>
        </w:rPr>
        <w:t>bonds</w:t>
      </w:r>
    </w:p>
    <w:p w:rsidR="00B33D73" w:rsidRDefault="00B33D73"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 xml:space="preserve">Both the </w:t>
      </w:r>
      <w:proofErr w:type="spellStart"/>
      <w:r>
        <w:rPr>
          <w:rFonts w:cs="Times New Roman"/>
          <w:lang w:val="en-US" w:eastAsia="en-US" w:bidi="ar-SA"/>
        </w:rPr>
        <w:t>Kolmogorov</w:t>
      </w:r>
      <w:proofErr w:type="spellEnd"/>
      <w:r>
        <w:rPr>
          <w:rFonts w:cs="Times New Roman"/>
          <w:lang w:val="en-US" w:eastAsia="en-US" w:bidi="ar-SA"/>
        </w:rPr>
        <w:t>-Smirnov and Shapiro-</w:t>
      </w:r>
      <w:proofErr w:type="spellStart"/>
      <w:r>
        <w:rPr>
          <w:rFonts w:cs="Times New Roman"/>
          <w:lang w:val="en-US" w:eastAsia="en-US" w:bidi="ar-SA"/>
        </w:rPr>
        <w:t>Wilk</w:t>
      </w:r>
      <w:proofErr w:type="spellEnd"/>
      <w:r>
        <w:rPr>
          <w:rFonts w:cs="Times New Roman"/>
          <w:lang w:val="en-US" w:eastAsia="en-US" w:bidi="ar-SA"/>
        </w:rPr>
        <w:t xml:space="preserve"> test present significant values of 0.000. These values are well below a Sig. of 0.005, therefore </w:t>
      </w:r>
      <w:r w:rsidR="00A90793">
        <w:rPr>
          <w:rFonts w:cs="Times New Roman"/>
          <w:lang w:val="en-US" w:eastAsia="en-US" w:bidi="ar-SA"/>
        </w:rPr>
        <w:t>can be concluded that the rating</w:t>
      </w:r>
      <w:r>
        <w:rPr>
          <w:rFonts w:cs="Times New Roman"/>
          <w:lang w:val="en-US" w:eastAsia="en-US" w:bidi="ar-SA"/>
        </w:rPr>
        <w:t xml:space="preserve">, </w:t>
      </w:r>
      <w:r w:rsidR="00A90793">
        <w:rPr>
          <w:rFonts w:cs="Times New Roman"/>
          <w:lang w:val="en-US" w:eastAsia="en-US" w:bidi="ar-SA"/>
        </w:rPr>
        <w:t>posit</w:t>
      </w:r>
      <w:r w:rsidR="00B7537E">
        <w:rPr>
          <w:rFonts w:cs="Times New Roman"/>
          <w:lang w:val="en-US" w:eastAsia="en-US" w:bidi="ar-SA"/>
        </w:rPr>
        <w:t>i</w:t>
      </w:r>
      <w:r w:rsidR="00A90793">
        <w:rPr>
          <w:rFonts w:cs="Times New Roman"/>
          <w:lang w:val="en-US" w:eastAsia="en-US" w:bidi="ar-SA"/>
        </w:rPr>
        <w:t>on</w:t>
      </w:r>
      <w:r>
        <w:rPr>
          <w:rFonts w:cs="Times New Roman"/>
          <w:lang w:val="en-US" w:eastAsia="en-US" w:bidi="ar-SA"/>
        </w:rPr>
        <w:t xml:space="preserve"> and </w:t>
      </w:r>
      <w:r w:rsidR="00A90793">
        <w:rPr>
          <w:rFonts w:cs="Times New Roman"/>
          <w:lang w:val="en-US" w:eastAsia="en-US" w:bidi="ar-SA"/>
        </w:rPr>
        <w:t>GIIPS</w:t>
      </w:r>
      <w:r>
        <w:rPr>
          <w:rFonts w:cs="Times New Roman"/>
          <w:lang w:val="en-US" w:eastAsia="en-US" w:bidi="ar-SA"/>
        </w:rPr>
        <w:t xml:space="preserve"> allocations are not normally distributed in 2006 as well as in 2011. For this reason, nonparametric tests will be applied. </w:t>
      </w:r>
    </w:p>
    <w:p w:rsidR="00EB0B83" w:rsidRDefault="00EB0B83" w:rsidP="005F5E1F">
      <w:pPr>
        <w:autoSpaceDE w:val="0"/>
        <w:autoSpaceDN w:val="0"/>
        <w:adjustRightInd w:val="0"/>
        <w:spacing w:line="400" w:lineRule="atLeast"/>
        <w:jc w:val="both"/>
        <w:rPr>
          <w:rFonts w:cs="Times New Roman"/>
          <w:lang w:val="en-US" w:eastAsia="en-US" w:bidi="ar-SA"/>
        </w:rPr>
      </w:pPr>
    </w:p>
    <w:p w:rsidR="00AE3E7D" w:rsidRDefault="00EB0B83" w:rsidP="005F5E1F">
      <w:pPr>
        <w:spacing w:line="360" w:lineRule="auto"/>
        <w:jc w:val="both"/>
        <w:rPr>
          <w:bCs/>
          <w:lang w:val="en-US"/>
        </w:rPr>
      </w:pPr>
      <w:r>
        <w:rPr>
          <w:bCs/>
          <w:lang w:val="en-US"/>
        </w:rPr>
        <w:t>As also described in the previous paragraph</w:t>
      </w:r>
      <w:r w:rsidR="004143D8">
        <w:rPr>
          <w:bCs/>
          <w:lang w:val="en-US"/>
        </w:rPr>
        <w:t xml:space="preserve"> with regard to real estate</w:t>
      </w:r>
      <w:r>
        <w:rPr>
          <w:bCs/>
          <w:lang w:val="en-US"/>
        </w:rPr>
        <w:t>, de</w:t>
      </w:r>
      <w:r w:rsidRPr="008528F3">
        <w:rPr>
          <w:bCs/>
          <w:lang w:val="en-US"/>
        </w:rPr>
        <w:t xml:space="preserve"> </w:t>
      </w:r>
      <w:proofErr w:type="spellStart"/>
      <w:r w:rsidRPr="008528F3">
        <w:rPr>
          <w:bCs/>
          <w:lang w:val="en-US"/>
        </w:rPr>
        <w:t>Vocht</w:t>
      </w:r>
      <w:proofErr w:type="spellEnd"/>
      <w:r w:rsidRPr="008528F3">
        <w:rPr>
          <w:bCs/>
          <w:lang w:val="en-US"/>
        </w:rPr>
        <w:t xml:space="preserve"> (2011) describes that paired tests can be used to compare variables on two points in time under the condition that the same cases are compared on both points in time. The distribution</w:t>
      </w:r>
      <w:r>
        <w:rPr>
          <w:bCs/>
          <w:lang w:val="en-US"/>
        </w:rPr>
        <w:t>s are</w:t>
      </w:r>
      <w:r w:rsidRPr="008528F3">
        <w:rPr>
          <w:bCs/>
          <w:lang w:val="en-US"/>
        </w:rPr>
        <w:t xml:space="preserve"> not normally, </w:t>
      </w:r>
      <w:r w:rsidR="00154A7F">
        <w:rPr>
          <w:bCs/>
          <w:lang w:val="en-US"/>
        </w:rPr>
        <w:t>so</w:t>
      </w:r>
      <w:r w:rsidRPr="008528F3">
        <w:rPr>
          <w:bCs/>
          <w:lang w:val="en-US"/>
        </w:rPr>
        <w:t xml:space="preserve"> the </w:t>
      </w:r>
      <w:proofErr w:type="spellStart"/>
      <w:r w:rsidRPr="008528F3">
        <w:rPr>
          <w:bCs/>
          <w:lang w:val="en-US"/>
        </w:rPr>
        <w:t>Wilcoxon</w:t>
      </w:r>
      <w:proofErr w:type="spellEnd"/>
      <w:r w:rsidRPr="008528F3">
        <w:rPr>
          <w:bCs/>
          <w:lang w:val="en-US"/>
        </w:rPr>
        <w:t xml:space="preserve"> matched pair</w:t>
      </w:r>
      <w:r>
        <w:rPr>
          <w:bCs/>
          <w:lang w:val="en-US"/>
        </w:rPr>
        <w:t>s</w:t>
      </w:r>
      <w:r w:rsidR="00154A7F">
        <w:rPr>
          <w:bCs/>
          <w:lang w:val="en-US"/>
        </w:rPr>
        <w:t xml:space="preserve"> test will</w:t>
      </w:r>
      <w:r w:rsidRPr="008528F3">
        <w:rPr>
          <w:bCs/>
          <w:lang w:val="en-US"/>
        </w:rPr>
        <w:t xml:space="preserve"> be applied</w:t>
      </w:r>
      <w:r w:rsidR="004143D8">
        <w:rPr>
          <w:bCs/>
          <w:lang w:val="en-US"/>
        </w:rPr>
        <w:t xml:space="preserve"> also regarding bonds.</w:t>
      </w:r>
    </w:p>
    <w:p w:rsidR="00EB0B83" w:rsidRDefault="00EB0B83" w:rsidP="005F5E1F">
      <w:pPr>
        <w:spacing w:line="360" w:lineRule="auto"/>
        <w:jc w:val="both"/>
        <w:rPr>
          <w:bCs/>
          <w:lang w:val="en-US"/>
        </w:rPr>
      </w:pPr>
    </w:p>
    <w:tbl>
      <w:tblPr>
        <w:tblW w:w="7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606"/>
        <w:gridCol w:w="1010"/>
        <w:gridCol w:w="1228"/>
        <w:gridCol w:w="1456"/>
      </w:tblGrid>
      <w:tr w:rsidR="001E5CD8" w:rsidRPr="001E5CD8" w:rsidTr="001E5CD8">
        <w:trPr>
          <w:cantSplit/>
          <w:tblHeader/>
        </w:trPr>
        <w:tc>
          <w:tcPr>
            <w:tcW w:w="7726" w:type="dxa"/>
            <w:gridSpan w:val="5"/>
            <w:tcBorders>
              <w:top w:val="nil"/>
              <w:left w:val="nil"/>
              <w:bottom w:val="nil"/>
              <w:right w:val="nil"/>
            </w:tcBorders>
            <w:shd w:val="clear" w:color="auto" w:fill="FFFFFF"/>
            <w:vAlign w:val="center"/>
          </w:tcPr>
          <w:p w:rsidR="001E5CD8" w:rsidRPr="001E5CD8" w:rsidRDefault="001E5CD8" w:rsidP="00667160">
            <w:pPr>
              <w:autoSpaceDE w:val="0"/>
              <w:autoSpaceDN w:val="0"/>
              <w:adjustRightInd w:val="0"/>
              <w:spacing w:line="240" w:lineRule="atLeast"/>
              <w:ind w:left="62" w:right="62"/>
              <w:jc w:val="center"/>
              <w:rPr>
                <w:rFonts w:ascii="Arial" w:hAnsi="Arial" w:cs="Arial"/>
                <w:color w:val="000000"/>
                <w:sz w:val="18"/>
                <w:szCs w:val="18"/>
                <w:lang w:val="nl-NL" w:eastAsia="en-US" w:bidi="ar-SA"/>
              </w:rPr>
            </w:pPr>
            <w:r w:rsidRPr="001E5CD8">
              <w:rPr>
                <w:rFonts w:ascii="Arial" w:hAnsi="Arial" w:cs="Arial"/>
                <w:b/>
                <w:bCs/>
                <w:color w:val="000000"/>
                <w:sz w:val="18"/>
                <w:szCs w:val="18"/>
                <w:lang w:val="nl-NL" w:eastAsia="en-US" w:bidi="ar-SA"/>
              </w:rPr>
              <w:t>Ranks</w:t>
            </w:r>
          </w:p>
        </w:tc>
      </w:tr>
      <w:tr w:rsidR="001E5CD8" w:rsidRPr="001E5CD8" w:rsidTr="001E5CD8">
        <w:trPr>
          <w:cantSplit/>
          <w:tblHeader/>
        </w:trPr>
        <w:tc>
          <w:tcPr>
            <w:tcW w:w="403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c>
          <w:tcPr>
            <w:tcW w:w="1010" w:type="dxa"/>
            <w:tcBorders>
              <w:top w:val="single" w:sz="16" w:space="0" w:color="000000"/>
              <w:left w:val="single" w:sz="16" w:space="0" w:color="000000"/>
              <w:bottom w:val="single" w:sz="16" w:space="0" w:color="000000"/>
            </w:tcBorders>
            <w:shd w:val="clear" w:color="auto" w:fill="FFFFFF"/>
            <w:vAlign w:val="bottom"/>
          </w:tcPr>
          <w:p w:rsidR="001E5CD8" w:rsidRPr="001E5CD8" w:rsidRDefault="001E5CD8" w:rsidP="00FC5D6A">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N</w:t>
            </w:r>
          </w:p>
        </w:tc>
        <w:tc>
          <w:tcPr>
            <w:tcW w:w="1228" w:type="dxa"/>
            <w:tcBorders>
              <w:top w:val="single" w:sz="16" w:space="0" w:color="000000"/>
              <w:bottom w:val="single" w:sz="16" w:space="0" w:color="000000"/>
            </w:tcBorders>
            <w:shd w:val="clear" w:color="auto" w:fill="FFFFFF"/>
            <w:vAlign w:val="bottom"/>
          </w:tcPr>
          <w:p w:rsidR="001E5CD8" w:rsidRPr="001E5CD8" w:rsidRDefault="001E5CD8" w:rsidP="00FC5D6A">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Mean</w:t>
            </w:r>
            <w:proofErr w:type="spellEnd"/>
            <w:r w:rsidRPr="001E5CD8">
              <w:rPr>
                <w:rFonts w:ascii="Arial" w:hAnsi="Arial" w:cs="Arial"/>
                <w:color w:val="000000"/>
                <w:sz w:val="18"/>
                <w:szCs w:val="18"/>
                <w:lang w:val="nl-NL" w:eastAsia="en-US" w:bidi="ar-SA"/>
              </w:rPr>
              <w:t xml:space="preserve"> Rank</w:t>
            </w:r>
          </w:p>
        </w:tc>
        <w:tc>
          <w:tcPr>
            <w:tcW w:w="1456" w:type="dxa"/>
            <w:tcBorders>
              <w:top w:val="single" w:sz="16" w:space="0" w:color="000000"/>
              <w:bottom w:val="single" w:sz="16" w:space="0" w:color="000000"/>
              <w:right w:val="single" w:sz="16" w:space="0" w:color="000000"/>
            </w:tcBorders>
            <w:shd w:val="clear" w:color="auto" w:fill="FFFFFF"/>
            <w:vAlign w:val="bottom"/>
          </w:tcPr>
          <w:p w:rsidR="001E5CD8" w:rsidRPr="001E5CD8" w:rsidRDefault="001E5CD8" w:rsidP="00FC5D6A">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Sum</w:t>
            </w:r>
            <w:proofErr w:type="spellEnd"/>
            <w:r w:rsidRPr="001E5CD8">
              <w:rPr>
                <w:rFonts w:ascii="Arial" w:hAnsi="Arial" w:cs="Arial"/>
                <w:color w:val="000000"/>
                <w:sz w:val="18"/>
                <w:szCs w:val="18"/>
                <w:lang w:val="nl-NL" w:eastAsia="en-US" w:bidi="ar-SA"/>
              </w:rPr>
              <w:t xml:space="preserve"> of Ranks</w:t>
            </w:r>
          </w:p>
        </w:tc>
      </w:tr>
      <w:tr w:rsidR="001E5CD8" w:rsidRPr="001E5CD8" w:rsidTr="001E5CD8">
        <w:trPr>
          <w:cantSplit/>
          <w:tblHeader/>
        </w:trPr>
        <w:tc>
          <w:tcPr>
            <w:tcW w:w="2426" w:type="dxa"/>
            <w:vMerge w:val="restart"/>
            <w:tcBorders>
              <w:top w:val="single" w:sz="16" w:space="0" w:color="000000"/>
              <w:left w:val="single" w:sz="16" w:space="0" w:color="000000"/>
              <w:right w:val="nil"/>
            </w:tcBorders>
            <w:shd w:val="clear" w:color="auto" w:fill="FFFFFF"/>
          </w:tcPr>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Bonds 2011 rating allocation - Bonds 2006 rating allocation</w:t>
            </w:r>
          </w:p>
        </w:tc>
        <w:tc>
          <w:tcPr>
            <w:tcW w:w="1606" w:type="dxa"/>
            <w:tcBorders>
              <w:top w:val="single" w:sz="16" w:space="0" w:color="000000"/>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Negative</w:t>
            </w:r>
            <w:proofErr w:type="spellEnd"/>
            <w:r w:rsidRPr="001E5CD8">
              <w:rPr>
                <w:rFonts w:ascii="Arial" w:hAnsi="Arial" w:cs="Arial"/>
                <w:color w:val="000000"/>
                <w:sz w:val="18"/>
                <w:szCs w:val="18"/>
                <w:lang w:val="nl-NL" w:eastAsia="en-US" w:bidi="ar-SA"/>
              </w:rPr>
              <w:t xml:space="preserve"> Ranks</w:t>
            </w:r>
          </w:p>
        </w:tc>
        <w:tc>
          <w:tcPr>
            <w:tcW w:w="1010" w:type="dxa"/>
            <w:tcBorders>
              <w:top w:val="single" w:sz="16" w:space="0" w:color="000000"/>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1</w:t>
            </w:r>
            <w:r w:rsidRPr="001E5CD8">
              <w:rPr>
                <w:rFonts w:ascii="Arial" w:hAnsi="Arial" w:cs="Arial"/>
                <w:color w:val="000000"/>
                <w:sz w:val="18"/>
                <w:szCs w:val="18"/>
                <w:vertAlign w:val="superscript"/>
                <w:lang w:val="nl-NL" w:eastAsia="en-US" w:bidi="ar-SA"/>
              </w:rPr>
              <w:t>a</w:t>
            </w:r>
          </w:p>
        </w:tc>
        <w:tc>
          <w:tcPr>
            <w:tcW w:w="1228" w:type="dxa"/>
            <w:tcBorders>
              <w:top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7.00</w:t>
            </w:r>
          </w:p>
        </w:tc>
        <w:tc>
          <w:tcPr>
            <w:tcW w:w="1456" w:type="dxa"/>
            <w:tcBorders>
              <w:top w:val="single" w:sz="16" w:space="0" w:color="000000"/>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7.00</w:t>
            </w:r>
          </w:p>
        </w:tc>
      </w:tr>
      <w:tr w:rsidR="001E5CD8" w:rsidRPr="001E5CD8" w:rsidTr="001E5CD8">
        <w:trPr>
          <w:cantSplit/>
          <w:tblHeader/>
        </w:trPr>
        <w:tc>
          <w:tcPr>
            <w:tcW w:w="2426" w:type="dxa"/>
            <w:vMerge/>
            <w:tcBorders>
              <w:top w:val="single" w:sz="16" w:space="0" w:color="000000"/>
              <w:left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ascii="Arial" w:hAnsi="Arial" w:cs="Arial"/>
                <w:color w:val="000000"/>
                <w:sz w:val="18"/>
                <w:szCs w:val="18"/>
                <w:lang w:val="nl-NL" w:eastAsia="en-US" w:bidi="ar-SA"/>
              </w:rPr>
            </w:pPr>
          </w:p>
        </w:tc>
        <w:tc>
          <w:tcPr>
            <w:tcW w:w="1606" w:type="dxa"/>
            <w:tcBorders>
              <w:top w:val="nil"/>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Positive</w:t>
            </w:r>
            <w:proofErr w:type="spellEnd"/>
            <w:r w:rsidRPr="001E5CD8">
              <w:rPr>
                <w:rFonts w:ascii="Arial" w:hAnsi="Arial" w:cs="Arial"/>
                <w:color w:val="000000"/>
                <w:sz w:val="18"/>
                <w:szCs w:val="18"/>
                <w:lang w:val="nl-NL" w:eastAsia="en-US" w:bidi="ar-SA"/>
              </w:rPr>
              <w:t xml:space="preserve"> Ranks</w:t>
            </w:r>
          </w:p>
        </w:tc>
        <w:tc>
          <w:tcPr>
            <w:tcW w:w="1010" w:type="dxa"/>
            <w:tcBorders>
              <w:top w:val="nil"/>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12</w:t>
            </w:r>
            <w:r w:rsidRPr="001E5CD8">
              <w:rPr>
                <w:rFonts w:ascii="Arial" w:hAnsi="Arial" w:cs="Arial"/>
                <w:color w:val="000000"/>
                <w:sz w:val="18"/>
                <w:szCs w:val="18"/>
                <w:vertAlign w:val="superscript"/>
                <w:lang w:val="nl-NL" w:eastAsia="en-US" w:bidi="ar-SA"/>
              </w:rPr>
              <w:t>b</w:t>
            </w:r>
          </w:p>
        </w:tc>
        <w:tc>
          <w:tcPr>
            <w:tcW w:w="1228" w:type="dxa"/>
            <w:tcBorders>
              <w:top w:val="nil"/>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7.00</w:t>
            </w:r>
          </w:p>
        </w:tc>
        <w:tc>
          <w:tcPr>
            <w:tcW w:w="1456" w:type="dxa"/>
            <w:tcBorders>
              <w:top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84.00</w:t>
            </w:r>
          </w:p>
        </w:tc>
      </w:tr>
      <w:tr w:rsidR="001E5CD8" w:rsidRPr="001E5CD8" w:rsidTr="001E5CD8">
        <w:trPr>
          <w:cantSplit/>
          <w:tblHeader/>
        </w:trPr>
        <w:tc>
          <w:tcPr>
            <w:tcW w:w="2426" w:type="dxa"/>
            <w:vMerge/>
            <w:tcBorders>
              <w:top w:val="single" w:sz="16" w:space="0" w:color="000000"/>
              <w:left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ascii="Arial" w:hAnsi="Arial" w:cs="Arial"/>
                <w:color w:val="000000"/>
                <w:sz w:val="18"/>
                <w:szCs w:val="18"/>
                <w:lang w:val="nl-NL" w:eastAsia="en-US" w:bidi="ar-SA"/>
              </w:rPr>
            </w:pPr>
          </w:p>
        </w:tc>
        <w:tc>
          <w:tcPr>
            <w:tcW w:w="1606" w:type="dxa"/>
            <w:tcBorders>
              <w:top w:val="nil"/>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Ties</w:t>
            </w:r>
          </w:p>
        </w:tc>
        <w:tc>
          <w:tcPr>
            <w:tcW w:w="1010" w:type="dxa"/>
            <w:tcBorders>
              <w:top w:val="nil"/>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12</w:t>
            </w:r>
            <w:r w:rsidRPr="001E5CD8">
              <w:rPr>
                <w:rFonts w:ascii="Arial" w:hAnsi="Arial" w:cs="Arial"/>
                <w:color w:val="000000"/>
                <w:sz w:val="18"/>
                <w:szCs w:val="18"/>
                <w:vertAlign w:val="superscript"/>
                <w:lang w:val="nl-NL" w:eastAsia="en-US" w:bidi="ar-SA"/>
              </w:rPr>
              <w:t>c</w:t>
            </w:r>
          </w:p>
        </w:tc>
        <w:tc>
          <w:tcPr>
            <w:tcW w:w="1228" w:type="dxa"/>
            <w:tcBorders>
              <w:top w:val="nil"/>
              <w:bottom w:val="nil"/>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c>
          <w:tcPr>
            <w:tcW w:w="1456" w:type="dxa"/>
            <w:tcBorders>
              <w:top w:val="nil"/>
              <w:bottom w:val="nil"/>
              <w:right w:val="single" w:sz="16" w:space="0" w:color="000000"/>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r>
      <w:tr w:rsidR="001E5CD8" w:rsidRPr="001E5CD8" w:rsidTr="001E5CD8">
        <w:trPr>
          <w:cantSplit/>
          <w:tblHeader/>
        </w:trPr>
        <w:tc>
          <w:tcPr>
            <w:tcW w:w="2426" w:type="dxa"/>
            <w:vMerge/>
            <w:tcBorders>
              <w:top w:val="single" w:sz="16" w:space="0" w:color="000000"/>
              <w:left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cs="Times New Roman"/>
                <w:lang w:val="nl-NL" w:eastAsia="en-US" w:bidi="ar-SA"/>
              </w:rPr>
            </w:pPr>
          </w:p>
        </w:tc>
        <w:tc>
          <w:tcPr>
            <w:tcW w:w="1606" w:type="dxa"/>
            <w:tcBorders>
              <w:top w:val="nil"/>
              <w:left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Total</w:t>
            </w:r>
          </w:p>
        </w:tc>
        <w:tc>
          <w:tcPr>
            <w:tcW w:w="1010" w:type="dxa"/>
            <w:tcBorders>
              <w:top w:val="nil"/>
              <w:lef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25</w:t>
            </w:r>
          </w:p>
        </w:tc>
        <w:tc>
          <w:tcPr>
            <w:tcW w:w="1228" w:type="dxa"/>
            <w:tcBorders>
              <w:top w:val="nil"/>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c>
          <w:tcPr>
            <w:tcW w:w="1456" w:type="dxa"/>
            <w:tcBorders>
              <w:top w:val="nil"/>
              <w:right w:val="single" w:sz="16" w:space="0" w:color="000000"/>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r>
      <w:tr w:rsidR="001E5CD8" w:rsidRPr="001E5CD8" w:rsidTr="001E5CD8">
        <w:trPr>
          <w:cantSplit/>
          <w:tblHeader/>
        </w:trPr>
        <w:tc>
          <w:tcPr>
            <w:tcW w:w="2426" w:type="dxa"/>
            <w:vMerge w:val="restart"/>
            <w:tcBorders>
              <w:left w:val="single" w:sz="16" w:space="0" w:color="000000"/>
              <w:right w:val="nil"/>
            </w:tcBorders>
            <w:shd w:val="clear" w:color="auto" w:fill="FFFFFF"/>
          </w:tcPr>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Bonds 2011 position allocation - Bonds 2006 position allocation</w:t>
            </w:r>
          </w:p>
        </w:tc>
        <w:tc>
          <w:tcPr>
            <w:tcW w:w="1606" w:type="dxa"/>
            <w:tcBorders>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Negative</w:t>
            </w:r>
            <w:proofErr w:type="spellEnd"/>
            <w:r w:rsidRPr="001E5CD8">
              <w:rPr>
                <w:rFonts w:ascii="Arial" w:hAnsi="Arial" w:cs="Arial"/>
                <w:color w:val="000000"/>
                <w:sz w:val="18"/>
                <w:szCs w:val="18"/>
                <w:lang w:val="nl-NL" w:eastAsia="en-US" w:bidi="ar-SA"/>
              </w:rPr>
              <w:t xml:space="preserve"> Ranks</w:t>
            </w:r>
          </w:p>
        </w:tc>
        <w:tc>
          <w:tcPr>
            <w:tcW w:w="1010" w:type="dxa"/>
            <w:tcBorders>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1</w:t>
            </w:r>
            <w:r w:rsidRPr="001E5CD8">
              <w:rPr>
                <w:rFonts w:ascii="Arial" w:hAnsi="Arial" w:cs="Arial"/>
                <w:color w:val="000000"/>
                <w:sz w:val="18"/>
                <w:szCs w:val="18"/>
                <w:vertAlign w:val="superscript"/>
                <w:lang w:val="nl-NL" w:eastAsia="en-US" w:bidi="ar-SA"/>
              </w:rPr>
              <w:t>d</w:t>
            </w:r>
          </w:p>
        </w:tc>
        <w:tc>
          <w:tcPr>
            <w:tcW w:w="1228" w:type="dxa"/>
            <w:tcBorders>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6.50</w:t>
            </w:r>
          </w:p>
        </w:tc>
        <w:tc>
          <w:tcPr>
            <w:tcW w:w="1456" w:type="dxa"/>
            <w:tcBorders>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6.50</w:t>
            </w:r>
          </w:p>
        </w:tc>
      </w:tr>
      <w:tr w:rsidR="001E5CD8" w:rsidRPr="001E5CD8" w:rsidTr="001E5CD8">
        <w:trPr>
          <w:cantSplit/>
          <w:tblHeader/>
        </w:trPr>
        <w:tc>
          <w:tcPr>
            <w:tcW w:w="2426" w:type="dxa"/>
            <w:vMerge/>
            <w:tcBorders>
              <w:left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ascii="Arial" w:hAnsi="Arial" w:cs="Arial"/>
                <w:color w:val="000000"/>
                <w:sz w:val="18"/>
                <w:szCs w:val="18"/>
                <w:lang w:val="nl-NL" w:eastAsia="en-US" w:bidi="ar-SA"/>
              </w:rPr>
            </w:pPr>
          </w:p>
        </w:tc>
        <w:tc>
          <w:tcPr>
            <w:tcW w:w="1606" w:type="dxa"/>
            <w:tcBorders>
              <w:top w:val="nil"/>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Positive</w:t>
            </w:r>
            <w:proofErr w:type="spellEnd"/>
            <w:r w:rsidRPr="001E5CD8">
              <w:rPr>
                <w:rFonts w:ascii="Arial" w:hAnsi="Arial" w:cs="Arial"/>
                <w:color w:val="000000"/>
                <w:sz w:val="18"/>
                <w:szCs w:val="18"/>
                <w:lang w:val="nl-NL" w:eastAsia="en-US" w:bidi="ar-SA"/>
              </w:rPr>
              <w:t xml:space="preserve"> Ranks</w:t>
            </w:r>
          </w:p>
        </w:tc>
        <w:tc>
          <w:tcPr>
            <w:tcW w:w="1010" w:type="dxa"/>
            <w:tcBorders>
              <w:top w:val="nil"/>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11</w:t>
            </w:r>
            <w:r w:rsidRPr="001E5CD8">
              <w:rPr>
                <w:rFonts w:ascii="Arial" w:hAnsi="Arial" w:cs="Arial"/>
                <w:color w:val="000000"/>
                <w:sz w:val="18"/>
                <w:szCs w:val="18"/>
                <w:vertAlign w:val="superscript"/>
                <w:lang w:val="nl-NL" w:eastAsia="en-US" w:bidi="ar-SA"/>
              </w:rPr>
              <w:t>e</w:t>
            </w:r>
          </w:p>
        </w:tc>
        <w:tc>
          <w:tcPr>
            <w:tcW w:w="1228" w:type="dxa"/>
            <w:tcBorders>
              <w:top w:val="nil"/>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6.50</w:t>
            </w:r>
          </w:p>
        </w:tc>
        <w:tc>
          <w:tcPr>
            <w:tcW w:w="1456" w:type="dxa"/>
            <w:tcBorders>
              <w:top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71.50</w:t>
            </w:r>
          </w:p>
        </w:tc>
      </w:tr>
      <w:tr w:rsidR="001E5CD8" w:rsidRPr="001E5CD8" w:rsidTr="001E5CD8">
        <w:trPr>
          <w:cantSplit/>
          <w:tblHeader/>
        </w:trPr>
        <w:tc>
          <w:tcPr>
            <w:tcW w:w="2426" w:type="dxa"/>
            <w:vMerge/>
            <w:tcBorders>
              <w:left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ascii="Arial" w:hAnsi="Arial" w:cs="Arial"/>
                <w:color w:val="000000"/>
                <w:sz w:val="18"/>
                <w:szCs w:val="18"/>
                <w:lang w:val="nl-NL" w:eastAsia="en-US" w:bidi="ar-SA"/>
              </w:rPr>
            </w:pPr>
          </w:p>
        </w:tc>
        <w:tc>
          <w:tcPr>
            <w:tcW w:w="1606" w:type="dxa"/>
            <w:tcBorders>
              <w:top w:val="nil"/>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Ties</w:t>
            </w:r>
          </w:p>
        </w:tc>
        <w:tc>
          <w:tcPr>
            <w:tcW w:w="1010" w:type="dxa"/>
            <w:tcBorders>
              <w:top w:val="nil"/>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13</w:t>
            </w:r>
            <w:r w:rsidRPr="001E5CD8">
              <w:rPr>
                <w:rFonts w:ascii="Arial" w:hAnsi="Arial" w:cs="Arial"/>
                <w:color w:val="000000"/>
                <w:sz w:val="18"/>
                <w:szCs w:val="18"/>
                <w:vertAlign w:val="superscript"/>
                <w:lang w:val="nl-NL" w:eastAsia="en-US" w:bidi="ar-SA"/>
              </w:rPr>
              <w:t>f</w:t>
            </w:r>
          </w:p>
        </w:tc>
        <w:tc>
          <w:tcPr>
            <w:tcW w:w="1228" w:type="dxa"/>
            <w:tcBorders>
              <w:top w:val="nil"/>
              <w:bottom w:val="nil"/>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c>
          <w:tcPr>
            <w:tcW w:w="1456" w:type="dxa"/>
            <w:tcBorders>
              <w:top w:val="nil"/>
              <w:bottom w:val="nil"/>
              <w:right w:val="single" w:sz="16" w:space="0" w:color="000000"/>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r>
      <w:tr w:rsidR="001E5CD8" w:rsidRPr="001E5CD8" w:rsidTr="001E5CD8">
        <w:trPr>
          <w:cantSplit/>
          <w:tblHeader/>
        </w:trPr>
        <w:tc>
          <w:tcPr>
            <w:tcW w:w="2426" w:type="dxa"/>
            <w:vMerge/>
            <w:tcBorders>
              <w:left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cs="Times New Roman"/>
                <w:lang w:val="nl-NL" w:eastAsia="en-US" w:bidi="ar-SA"/>
              </w:rPr>
            </w:pPr>
          </w:p>
        </w:tc>
        <w:tc>
          <w:tcPr>
            <w:tcW w:w="1606" w:type="dxa"/>
            <w:tcBorders>
              <w:top w:val="nil"/>
              <w:left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Total</w:t>
            </w:r>
          </w:p>
        </w:tc>
        <w:tc>
          <w:tcPr>
            <w:tcW w:w="1010" w:type="dxa"/>
            <w:tcBorders>
              <w:top w:val="nil"/>
              <w:lef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25</w:t>
            </w:r>
          </w:p>
        </w:tc>
        <w:tc>
          <w:tcPr>
            <w:tcW w:w="1228" w:type="dxa"/>
            <w:tcBorders>
              <w:top w:val="nil"/>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c>
          <w:tcPr>
            <w:tcW w:w="1456" w:type="dxa"/>
            <w:tcBorders>
              <w:top w:val="nil"/>
              <w:right w:val="single" w:sz="16" w:space="0" w:color="000000"/>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r>
      <w:tr w:rsidR="001E5CD8" w:rsidRPr="001E5CD8" w:rsidTr="001E5CD8">
        <w:trPr>
          <w:cantSplit/>
          <w:tblHeader/>
        </w:trPr>
        <w:tc>
          <w:tcPr>
            <w:tcW w:w="2426" w:type="dxa"/>
            <w:vMerge w:val="restart"/>
            <w:tcBorders>
              <w:left w:val="single" w:sz="16" w:space="0" w:color="000000"/>
              <w:bottom w:val="single" w:sz="16" w:space="0" w:color="000000"/>
              <w:right w:val="nil"/>
            </w:tcBorders>
            <w:shd w:val="clear" w:color="auto" w:fill="FFFFFF"/>
          </w:tcPr>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Bonds 2011 GIIPS allocation - Bonds 2006 GIIPS allocation</w:t>
            </w:r>
          </w:p>
        </w:tc>
        <w:tc>
          <w:tcPr>
            <w:tcW w:w="1606" w:type="dxa"/>
            <w:tcBorders>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Negative</w:t>
            </w:r>
            <w:proofErr w:type="spellEnd"/>
            <w:r w:rsidRPr="001E5CD8">
              <w:rPr>
                <w:rFonts w:ascii="Arial" w:hAnsi="Arial" w:cs="Arial"/>
                <w:color w:val="000000"/>
                <w:sz w:val="18"/>
                <w:szCs w:val="18"/>
                <w:lang w:val="nl-NL" w:eastAsia="en-US" w:bidi="ar-SA"/>
              </w:rPr>
              <w:t xml:space="preserve"> Ranks</w:t>
            </w:r>
          </w:p>
        </w:tc>
        <w:tc>
          <w:tcPr>
            <w:tcW w:w="1010" w:type="dxa"/>
            <w:tcBorders>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0</w:t>
            </w:r>
            <w:r w:rsidRPr="001E5CD8">
              <w:rPr>
                <w:rFonts w:ascii="Arial" w:hAnsi="Arial" w:cs="Arial"/>
                <w:color w:val="000000"/>
                <w:sz w:val="18"/>
                <w:szCs w:val="18"/>
                <w:vertAlign w:val="superscript"/>
                <w:lang w:val="nl-NL" w:eastAsia="en-US" w:bidi="ar-SA"/>
              </w:rPr>
              <w:t>g</w:t>
            </w:r>
          </w:p>
        </w:tc>
        <w:tc>
          <w:tcPr>
            <w:tcW w:w="1228" w:type="dxa"/>
            <w:tcBorders>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.00</w:t>
            </w:r>
          </w:p>
        </w:tc>
        <w:tc>
          <w:tcPr>
            <w:tcW w:w="1456" w:type="dxa"/>
            <w:tcBorders>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.00</w:t>
            </w:r>
          </w:p>
        </w:tc>
      </w:tr>
      <w:tr w:rsidR="001E5CD8" w:rsidRPr="001E5CD8" w:rsidTr="001E5CD8">
        <w:trPr>
          <w:cantSplit/>
          <w:tblHeader/>
        </w:trPr>
        <w:tc>
          <w:tcPr>
            <w:tcW w:w="2426" w:type="dxa"/>
            <w:vMerge/>
            <w:tcBorders>
              <w:left w:val="single" w:sz="16" w:space="0" w:color="000000"/>
              <w:bottom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ascii="Arial" w:hAnsi="Arial" w:cs="Arial"/>
                <w:color w:val="000000"/>
                <w:sz w:val="18"/>
                <w:szCs w:val="18"/>
                <w:lang w:val="nl-NL" w:eastAsia="en-US" w:bidi="ar-SA"/>
              </w:rPr>
            </w:pPr>
          </w:p>
        </w:tc>
        <w:tc>
          <w:tcPr>
            <w:tcW w:w="1606" w:type="dxa"/>
            <w:tcBorders>
              <w:top w:val="nil"/>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Positive</w:t>
            </w:r>
            <w:proofErr w:type="spellEnd"/>
            <w:r w:rsidRPr="001E5CD8">
              <w:rPr>
                <w:rFonts w:ascii="Arial" w:hAnsi="Arial" w:cs="Arial"/>
                <w:color w:val="000000"/>
                <w:sz w:val="18"/>
                <w:szCs w:val="18"/>
                <w:lang w:val="nl-NL" w:eastAsia="en-US" w:bidi="ar-SA"/>
              </w:rPr>
              <w:t xml:space="preserve"> Ranks</w:t>
            </w:r>
          </w:p>
        </w:tc>
        <w:tc>
          <w:tcPr>
            <w:tcW w:w="1010" w:type="dxa"/>
            <w:tcBorders>
              <w:top w:val="nil"/>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10</w:t>
            </w:r>
            <w:r w:rsidRPr="001E5CD8">
              <w:rPr>
                <w:rFonts w:ascii="Arial" w:hAnsi="Arial" w:cs="Arial"/>
                <w:color w:val="000000"/>
                <w:sz w:val="18"/>
                <w:szCs w:val="18"/>
                <w:vertAlign w:val="superscript"/>
                <w:lang w:val="nl-NL" w:eastAsia="en-US" w:bidi="ar-SA"/>
              </w:rPr>
              <w:t>h</w:t>
            </w:r>
          </w:p>
        </w:tc>
        <w:tc>
          <w:tcPr>
            <w:tcW w:w="1228" w:type="dxa"/>
            <w:tcBorders>
              <w:top w:val="nil"/>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5.50</w:t>
            </w:r>
          </w:p>
        </w:tc>
        <w:tc>
          <w:tcPr>
            <w:tcW w:w="1456" w:type="dxa"/>
            <w:tcBorders>
              <w:top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55.00</w:t>
            </w:r>
          </w:p>
        </w:tc>
      </w:tr>
      <w:tr w:rsidR="001E5CD8" w:rsidRPr="001E5CD8" w:rsidTr="001E5CD8">
        <w:trPr>
          <w:cantSplit/>
          <w:tblHeader/>
        </w:trPr>
        <w:tc>
          <w:tcPr>
            <w:tcW w:w="2426" w:type="dxa"/>
            <w:vMerge/>
            <w:tcBorders>
              <w:left w:val="single" w:sz="16" w:space="0" w:color="000000"/>
              <w:bottom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ascii="Arial" w:hAnsi="Arial" w:cs="Arial"/>
                <w:color w:val="000000"/>
                <w:sz w:val="18"/>
                <w:szCs w:val="18"/>
                <w:lang w:val="nl-NL" w:eastAsia="en-US" w:bidi="ar-SA"/>
              </w:rPr>
            </w:pPr>
          </w:p>
        </w:tc>
        <w:tc>
          <w:tcPr>
            <w:tcW w:w="1606" w:type="dxa"/>
            <w:tcBorders>
              <w:top w:val="nil"/>
              <w:left w:val="nil"/>
              <w:bottom w:val="nil"/>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Ties</w:t>
            </w:r>
          </w:p>
        </w:tc>
        <w:tc>
          <w:tcPr>
            <w:tcW w:w="1010" w:type="dxa"/>
            <w:tcBorders>
              <w:top w:val="nil"/>
              <w:left w:val="single" w:sz="16" w:space="0" w:color="000000"/>
              <w:bottom w:val="nil"/>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15</w:t>
            </w:r>
            <w:r w:rsidRPr="001E5CD8">
              <w:rPr>
                <w:rFonts w:ascii="Arial" w:hAnsi="Arial" w:cs="Arial"/>
                <w:color w:val="000000"/>
                <w:sz w:val="18"/>
                <w:szCs w:val="18"/>
                <w:vertAlign w:val="superscript"/>
                <w:lang w:val="nl-NL" w:eastAsia="en-US" w:bidi="ar-SA"/>
              </w:rPr>
              <w:t>i</w:t>
            </w:r>
          </w:p>
        </w:tc>
        <w:tc>
          <w:tcPr>
            <w:tcW w:w="1228" w:type="dxa"/>
            <w:tcBorders>
              <w:top w:val="nil"/>
              <w:bottom w:val="nil"/>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c>
          <w:tcPr>
            <w:tcW w:w="1456" w:type="dxa"/>
            <w:tcBorders>
              <w:top w:val="nil"/>
              <w:bottom w:val="nil"/>
              <w:right w:val="single" w:sz="16" w:space="0" w:color="000000"/>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r>
      <w:tr w:rsidR="001E5CD8" w:rsidRPr="001E5CD8" w:rsidTr="001E5CD8">
        <w:trPr>
          <w:cantSplit/>
          <w:tblHeader/>
        </w:trPr>
        <w:tc>
          <w:tcPr>
            <w:tcW w:w="2426" w:type="dxa"/>
            <w:vMerge/>
            <w:tcBorders>
              <w:left w:val="single" w:sz="16" w:space="0" w:color="000000"/>
              <w:bottom w:val="single" w:sz="16" w:space="0" w:color="000000"/>
              <w:right w:val="nil"/>
            </w:tcBorders>
            <w:shd w:val="clear" w:color="auto" w:fill="FFFFFF"/>
          </w:tcPr>
          <w:p w:rsidR="001E5CD8" w:rsidRPr="001E5CD8" w:rsidRDefault="001E5CD8" w:rsidP="001B19F0">
            <w:pPr>
              <w:autoSpaceDE w:val="0"/>
              <w:autoSpaceDN w:val="0"/>
              <w:adjustRightInd w:val="0"/>
              <w:spacing w:line="276" w:lineRule="auto"/>
              <w:rPr>
                <w:rFonts w:cs="Times New Roman"/>
                <w:lang w:val="nl-NL" w:eastAsia="en-US" w:bidi="ar-SA"/>
              </w:rPr>
            </w:pPr>
          </w:p>
        </w:tc>
        <w:tc>
          <w:tcPr>
            <w:tcW w:w="1606" w:type="dxa"/>
            <w:tcBorders>
              <w:top w:val="nil"/>
              <w:left w:val="nil"/>
              <w:bottom w:val="single" w:sz="16" w:space="0" w:color="000000"/>
              <w:right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Total</w:t>
            </w:r>
          </w:p>
        </w:tc>
        <w:tc>
          <w:tcPr>
            <w:tcW w:w="1010" w:type="dxa"/>
            <w:tcBorders>
              <w:top w:val="nil"/>
              <w:left w:val="single" w:sz="16" w:space="0" w:color="000000"/>
              <w:bottom w:val="single" w:sz="16" w:space="0" w:color="000000"/>
            </w:tcBorders>
            <w:shd w:val="clear" w:color="auto" w:fill="FFFFFF"/>
          </w:tcPr>
          <w:p w:rsidR="001E5CD8" w:rsidRPr="001E5CD8" w:rsidRDefault="001E5CD8" w:rsidP="00FC5D6A">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25</w:t>
            </w:r>
          </w:p>
        </w:tc>
        <w:tc>
          <w:tcPr>
            <w:tcW w:w="1228" w:type="dxa"/>
            <w:tcBorders>
              <w:top w:val="nil"/>
              <w:bottom w:val="single" w:sz="16" w:space="0" w:color="000000"/>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c>
          <w:tcPr>
            <w:tcW w:w="1456" w:type="dxa"/>
            <w:tcBorders>
              <w:top w:val="nil"/>
              <w:bottom w:val="single" w:sz="16" w:space="0" w:color="000000"/>
              <w:right w:val="single" w:sz="16" w:space="0" w:color="000000"/>
            </w:tcBorders>
            <w:shd w:val="clear" w:color="auto" w:fill="FFFFFF"/>
            <w:vAlign w:val="center"/>
          </w:tcPr>
          <w:p w:rsidR="001E5CD8" w:rsidRPr="001E5CD8" w:rsidRDefault="001E5CD8" w:rsidP="00FC5D6A">
            <w:pPr>
              <w:autoSpaceDE w:val="0"/>
              <w:autoSpaceDN w:val="0"/>
              <w:adjustRightInd w:val="0"/>
              <w:spacing w:line="276" w:lineRule="auto"/>
              <w:jc w:val="center"/>
              <w:rPr>
                <w:rFonts w:cs="Times New Roman"/>
                <w:lang w:val="nl-NL" w:eastAsia="en-US" w:bidi="ar-SA"/>
              </w:rPr>
            </w:pPr>
          </w:p>
        </w:tc>
      </w:tr>
      <w:tr w:rsidR="001E5CD8" w:rsidRPr="001E5CD8" w:rsidTr="001E5CD8">
        <w:trPr>
          <w:cantSplit/>
        </w:trPr>
        <w:tc>
          <w:tcPr>
            <w:tcW w:w="7726" w:type="dxa"/>
            <w:gridSpan w:val="5"/>
            <w:tcBorders>
              <w:top w:val="nil"/>
              <w:left w:val="nil"/>
              <w:bottom w:val="nil"/>
              <w:right w:val="nil"/>
            </w:tcBorders>
            <w:shd w:val="clear" w:color="auto" w:fill="FFFFFF"/>
          </w:tcPr>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a. Bonds 2011 rating allocation &lt; Bonds 2006 rating allocation</w:t>
            </w:r>
          </w:p>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b. Bonds 2011 rating allocation &gt; Bonds 2006 rating allocation</w:t>
            </w:r>
          </w:p>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c. Bonds 2011 rating allocation = Bonds 2006 rating allocation</w:t>
            </w:r>
          </w:p>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d. Bonds 2011 position allocation &lt; Bonds 2006 position allocation</w:t>
            </w:r>
          </w:p>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e. Bonds 2011 position allocation &gt; Bonds 2006 position allocation</w:t>
            </w:r>
          </w:p>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f. Bonds 2011 position allocation = Bonds 2006 position allocation</w:t>
            </w:r>
          </w:p>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g. Bonds 2011 GIIPS allocation &lt; Bonds 2006 GIIPS allocation</w:t>
            </w:r>
          </w:p>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h. Bonds 2011 GIIPS allocation &gt; Bonds 2006 GIIPS allocation</w:t>
            </w:r>
          </w:p>
          <w:p w:rsidR="001E5CD8" w:rsidRPr="001E5CD8" w:rsidRDefault="001E5CD8" w:rsidP="00BF7556">
            <w:pPr>
              <w:autoSpaceDE w:val="0"/>
              <w:autoSpaceDN w:val="0"/>
              <w:adjustRightInd w:val="0"/>
              <w:spacing w:line="276" w:lineRule="auto"/>
              <w:ind w:left="60" w:right="60"/>
              <w:rPr>
                <w:rFonts w:ascii="Arial" w:hAnsi="Arial" w:cs="Arial"/>
                <w:color w:val="000000"/>
                <w:sz w:val="18"/>
                <w:szCs w:val="18"/>
                <w:lang w:val="en-US" w:eastAsia="en-US" w:bidi="ar-SA"/>
              </w:rPr>
            </w:pPr>
            <w:proofErr w:type="spellStart"/>
            <w:r w:rsidRPr="001E5CD8">
              <w:rPr>
                <w:rFonts w:ascii="Arial" w:hAnsi="Arial" w:cs="Arial"/>
                <w:color w:val="000000"/>
                <w:sz w:val="18"/>
                <w:szCs w:val="18"/>
                <w:lang w:val="en-US" w:eastAsia="en-US" w:bidi="ar-SA"/>
              </w:rPr>
              <w:t>i</w:t>
            </w:r>
            <w:proofErr w:type="spellEnd"/>
            <w:r w:rsidRPr="001E5CD8">
              <w:rPr>
                <w:rFonts w:ascii="Arial" w:hAnsi="Arial" w:cs="Arial"/>
                <w:color w:val="000000"/>
                <w:sz w:val="18"/>
                <w:szCs w:val="18"/>
                <w:lang w:val="en-US" w:eastAsia="en-US" w:bidi="ar-SA"/>
              </w:rPr>
              <w:t>. Bonds 2011 GIIPS allocation = Bonds 2006 GIIPS allocation</w:t>
            </w:r>
          </w:p>
        </w:tc>
      </w:tr>
    </w:tbl>
    <w:p w:rsidR="001E5CD8" w:rsidRPr="003F703E" w:rsidRDefault="001E5CD8" w:rsidP="00BF7556">
      <w:pPr>
        <w:spacing w:line="320" w:lineRule="atLeast"/>
        <w:rPr>
          <w:rFonts w:cs="Times New Roman"/>
          <w:lang w:val="en-US" w:eastAsia="en-US" w:bidi="ar-SA"/>
        </w:rPr>
      </w:pPr>
      <w:r>
        <w:rPr>
          <w:rFonts w:cs="Times New Roman"/>
          <w:sz w:val="20"/>
          <w:szCs w:val="20"/>
          <w:lang w:val="en-US" w:eastAsia="en-US" w:bidi="ar-SA"/>
        </w:rPr>
        <w:t>Table 3</w:t>
      </w:r>
      <w:r w:rsidR="00174C85">
        <w:rPr>
          <w:rFonts w:cs="Times New Roman"/>
          <w:sz w:val="20"/>
          <w:szCs w:val="20"/>
          <w:lang w:val="en-US" w:eastAsia="en-US" w:bidi="ar-SA"/>
        </w:rPr>
        <w:t>5</w:t>
      </w:r>
      <w:r w:rsidRPr="00511B05">
        <w:rPr>
          <w:rFonts w:cs="Times New Roman"/>
          <w:sz w:val="20"/>
          <w:szCs w:val="20"/>
          <w:lang w:val="en-US" w:eastAsia="en-US" w:bidi="ar-SA"/>
        </w:rPr>
        <w:t xml:space="preserve">: </w:t>
      </w:r>
      <w:r>
        <w:rPr>
          <w:rFonts w:cs="Times New Roman"/>
          <w:sz w:val="20"/>
          <w:szCs w:val="20"/>
          <w:lang w:val="en-US" w:eastAsia="en-US" w:bidi="ar-SA"/>
        </w:rPr>
        <w:t>Ranks</w:t>
      </w:r>
      <w:r w:rsidRPr="00511B05">
        <w:rPr>
          <w:rFonts w:cs="Times New Roman"/>
          <w:sz w:val="20"/>
          <w:szCs w:val="20"/>
          <w:lang w:val="en-US" w:eastAsia="en-US" w:bidi="ar-SA"/>
        </w:rPr>
        <w:t xml:space="preserve"> </w:t>
      </w:r>
      <w:r w:rsidR="00EA23FC">
        <w:rPr>
          <w:rFonts w:cs="Times New Roman"/>
          <w:sz w:val="20"/>
          <w:szCs w:val="20"/>
          <w:lang w:val="en-US" w:eastAsia="en-US" w:bidi="ar-SA"/>
        </w:rPr>
        <w:t>applied to disclosures of rating, position and GIIPS</w:t>
      </w:r>
      <w:r w:rsidRPr="00511B05">
        <w:rPr>
          <w:rFonts w:cs="Times New Roman"/>
          <w:sz w:val="20"/>
          <w:szCs w:val="20"/>
          <w:lang w:val="en-US" w:eastAsia="en-US" w:bidi="ar-SA"/>
        </w:rPr>
        <w:t xml:space="preserve"> allocations regarding </w:t>
      </w:r>
      <w:r w:rsidR="00EA23FC">
        <w:rPr>
          <w:rFonts w:cs="Times New Roman"/>
          <w:sz w:val="20"/>
          <w:szCs w:val="20"/>
          <w:lang w:val="en-US" w:eastAsia="en-US" w:bidi="ar-SA"/>
        </w:rPr>
        <w:t>bonds</w:t>
      </w:r>
    </w:p>
    <w:p w:rsidR="001E5CD8" w:rsidRPr="001E5CD8" w:rsidRDefault="00EA23FC" w:rsidP="001E5CD8">
      <w:pPr>
        <w:autoSpaceDE w:val="0"/>
        <w:autoSpaceDN w:val="0"/>
        <w:adjustRightInd w:val="0"/>
        <w:spacing w:line="400" w:lineRule="atLeast"/>
        <w:rPr>
          <w:rFonts w:cs="Times New Roman"/>
          <w:lang w:val="en-US" w:eastAsia="en-US" w:bidi="ar-SA"/>
        </w:rPr>
      </w:pPr>
      <w:r>
        <w:rPr>
          <w:rFonts w:cs="Times New Roman"/>
          <w:lang w:val="en-US" w:eastAsia="en-US" w:bidi="ar-SA"/>
        </w:rPr>
        <w:t>For further</w:t>
      </w:r>
      <w:r w:rsidR="00CE0F82">
        <w:rPr>
          <w:rFonts w:cs="Times New Roman"/>
          <w:lang w:val="en-US" w:eastAsia="en-US" w:bidi="ar-SA"/>
        </w:rPr>
        <w:t xml:space="preserve"> details on how to read table 3</w:t>
      </w:r>
      <w:r w:rsidR="00174C85">
        <w:rPr>
          <w:rFonts w:cs="Times New Roman"/>
          <w:lang w:val="en-US" w:eastAsia="en-US" w:bidi="ar-SA"/>
        </w:rPr>
        <w:t>5</w:t>
      </w:r>
      <w:r>
        <w:rPr>
          <w:rFonts w:cs="Times New Roman"/>
          <w:lang w:val="en-US" w:eastAsia="en-US" w:bidi="ar-SA"/>
        </w:rPr>
        <w:t xml:space="preserve">, I refer </w:t>
      </w:r>
      <w:r w:rsidR="00CE0F82">
        <w:rPr>
          <w:rFonts w:cs="Times New Roman"/>
          <w:lang w:val="en-US" w:eastAsia="en-US" w:bidi="ar-SA"/>
        </w:rPr>
        <w:t>to the explanation on</w:t>
      </w:r>
      <w:r>
        <w:rPr>
          <w:rFonts w:cs="Times New Roman"/>
          <w:lang w:val="en-US" w:eastAsia="en-US" w:bidi="ar-SA"/>
        </w:rPr>
        <w:t xml:space="preserve"> </w:t>
      </w:r>
      <w:r w:rsidR="00174C85">
        <w:rPr>
          <w:rFonts w:cs="Times New Roman"/>
          <w:lang w:val="en-US" w:eastAsia="en-US" w:bidi="ar-SA"/>
        </w:rPr>
        <w:t>table 22</w:t>
      </w:r>
      <w:r w:rsidR="004D68BD">
        <w:rPr>
          <w:rFonts w:cs="Times New Roman"/>
          <w:lang w:val="en-US" w:eastAsia="en-US" w:bidi="ar-SA"/>
        </w:rPr>
        <w:t>.</w:t>
      </w:r>
    </w:p>
    <w:p w:rsidR="001E5CD8" w:rsidRPr="001E5CD8" w:rsidRDefault="001E5CD8" w:rsidP="001E5CD8">
      <w:pPr>
        <w:autoSpaceDE w:val="0"/>
        <w:autoSpaceDN w:val="0"/>
        <w:adjustRightInd w:val="0"/>
        <w:rPr>
          <w:rFonts w:cs="Times New Roman"/>
          <w:lang w:val="en-US" w:eastAsia="en-US" w:bidi="ar-SA"/>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46"/>
        <w:gridCol w:w="2207"/>
        <w:gridCol w:w="2126"/>
        <w:gridCol w:w="2126"/>
      </w:tblGrid>
      <w:tr w:rsidR="001E5CD8" w:rsidRPr="001E5CD8" w:rsidTr="00101ABA">
        <w:trPr>
          <w:cantSplit/>
          <w:tblHeader/>
        </w:trPr>
        <w:tc>
          <w:tcPr>
            <w:tcW w:w="8505" w:type="dxa"/>
            <w:gridSpan w:val="4"/>
            <w:tcBorders>
              <w:top w:val="nil"/>
              <w:left w:val="nil"/>
              <w:bottom w:val="nil"/>
              <w:right w:val="nil"/>
            </w:tcBorders>
            <w:shd w:val="clear" w:color="auto" w:fill="FFFFFF"/>
            <w:vAlign w:val="center"/>
          </w:tcPr>
          <w:p w:rsidR="001E5CD8" w:rsidRPr="001E5CD8" w:rsidRDefault="001E5CD8" w:rsidP="00667160">
            <w:pPr>
              <w:autoSpaceDE w:val="0"/>
              <w:autoSpaceDN w:val="0"/>
              <w:adjustRightInd w:val="0"/>
              <w:spacing w:line="240" w:lineRule="atLeast"/>
              <w:ind w:left="62" w:right="62"/>
              <w:jc w:val="center"/>
              <w:rPr>
                <w:rFonts w:ascii="Arial" w:hAnsi="Arial" w:cs="Arial"/>
                <w:color w:val="000000"/>
                <w:sz w:val="18"/>
                <w:szCs w:val="18"/>
                <w:lang w:val="nl-NL" w:eastAsia="en-US" w:bidi="ar-SA"/>
              </w:rPr>
            </w:pPr>
            <w:r w:rsidRPr="001E5CD8">
              <w:rPr>
                <w:rFonts w:ascii="Arial" w:hAnsi="Arial" w:cs="Arial"/>
                <w:b/>
                <w:bCs/>
                <w:color w:val="000000"/>
                <w:sz w:val="18"/>
                <w:szCs w:val="18"/>
                <w:lang w:val="nl-NL" w:eastAsia="en-US" w:bidi="ar-SA"/>
              </w:rPr>
              <w:t xml:space="preserve">Test </w:t>
            </w:r>
            <w:proofErr w:type="spellStart"/>
            <w:r w:rsidRPr="001E5CD8">
              <w:rPr>
                <w:rFonts w:ascii="Arial" w:hAnsi="Arial" w:cs="Arial"/>
                <w:b/>
                <w:bCs/>
                <w:color w:val="000000"/>
                <w:sz w:val="18"/>
                <w:szCs w:val="18"/>
                <w:lang w:val="nl-NL" w:eastAsia="en-US" w:bidi="ar-SA"/>
              </w:rPr>
              <w:t>Statistics</w:t>
            </w:r>
            <w:r w:rsidRPr="001E5CD8">
              <w:rPr>
                <w:rFonts w:ascii="Arial" w:hAnsi="Arial" w:cs="Arial"/>
                <w:b/>
                <w:bCs/>
                <w:color w:val="000000"/>
                <w:sz w:val="18"/>
                <w:szCs w:val="18"/>
                <w:vertAlign w:val="superscript"/>
                <w:lang w:val="nl-NL" w:eastAsia="en-US" w:bidi="ar-SA"/>
              </w:rPr>
              <w:t>b</w:t>
            </w:r>
            <w:proofErr w:type="spellEnd"/>
          </w:p>
        </w:tc>
      </w:tr>
      <w:tr w:rsidR="001E5CD8" w:rsidRPr="001E5CD8" w:rsidTr="00101ABA">
        <w:trPr>
          <w:cantSplit/>
          <w:tblHeader/>
        </w:trPr>
        <w:tc>
          <w:tcPr>
            <w:tcW w:w="204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1E5CD8" w:rsidRPr="001E5CD8" w:rsidRDefault="001E5CD8" w:rsidP="001B19F0">
            <w:pPr>
              <w:autoSpaceDE w:val="0"/>
              <w:autoSpaceDN w:val="0"/>
              <w:adjustRightInd w:val="0"/>
              <w:spacing w:line="276" w:lineRule="auto"/>
              <w:jc w:val="center"/>
              <w:rPr>
                <w:rFonts w:cs="Times New Roman"/>
                <w:lang w:val="nl-NL" w:eastAsia="en-US" w:bidi="ar-SA"/>
              </w:rPr>
            </w:pPr>
          </w:p>
        </w:tc>
        <w:tc>
          <w:tcPr>
            <w:tcW w:w="2207" w:type="dxa"/>
            <w:tcBorders>
              <w:top w:val="single" w:sz="16" w:space="0" w:color="000000"/>
              <w:left w:val="single" w:sz="16" w:space="0" w:color="000000"/>
              <w:bottom w:val="single" w:sz="16" w:space="0" w:color="000000"/>
            </w:tcBorders>
            <w:shd w:val="clear" w:color="auto" w:fill="FFFFFF"/>
            <w:vAlign w:val="bottom"/>
          </w:tcPr>
          <w:p w:rsidR="001E5CD8" w:rsidRPr="001E5CD8" w:rsidRDefault="001E5CD8"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Bonds 2011 rating allocation - Bonds 2006 rating allocation</w:t>
            </w:r>
          </w:p>
        </w:tc>
        <w:tc>
          <w:tcPr>
            <w:tcW w:w="2126" w:type="dxa"/>
            <w:tcBorders>
              <w:top w:val="single" w:sz="16" w:space="0" w:color="000000"/>
              <w:bottom w:val="single" w:sz="16" w:space="0" w:color="000000"/>
            </w:tcBorders>
            <w:shd w:val="clear" w:color="auto" w:fill="FFFFFF"/>
            <w:vAlign w:val="bottom"/>
          </w:tcPr>
          <w:p w:rsidR="001E5CD8" w:rsidRPr="001E5CD8" w:rsidRDefault="001E5CD8"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Bonds 2011 position allocation - Bonds 2006 position allocation</w:t>
            </w:r>
          </w:p>
        </w:tc>
        <w:tc>
          <w:tcPr>
            <w:tcW w:w="2126" w:type="dxa"/>
            <w:tcBorders>
              <w:top w:val="single" w:sz="16" w:space="0" w:color="000000"/>
              <w:bottom w:val="single" w:sz="16" w:space="0" w:color="000000"/>
              <w:right w:val="single" w:sz="16" w:space="0" w:color="000000"/>
            </w:tcBorders>
            <w:shd w:val="clear" w:color="auto" w:fill="FFFFFF"/>
            <w:vAlign w:val="bottom"/>
          </w:tcPr>
          <w:p w:rsidR="001E5CD8" w:rsidRPr="001E5CD8" w:rsidRDefault="001E5CD8" w:rsidP="001B19F0">
            <w:pPr>
              <w:autoSpaceDE w:val="0"/>
              <w:autoSpaceDN w:val="0"/>
              <w:adjustRightInd w:val="0"/>
              <w:spacing w:line="276" w:lineRule="auto"/>
              <w:ind w:left="60" w:right="60"/>
              <w:jc w:val="center"/>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Bonds 2011 GIIPS allocation - Bonds 2006 GIIPS allocation</w:t>
            </w:r>
          </w:p>
        </w:tc>
      </w:tr>
      <w:tr w:rsidR="001E5CD8" w:rsidRPr="001E5CD8" w:rsidTr="00101ABA">
        <w:trPr>
          <w:cantSplit/>
          <w:tblHeader/>
        </w:trPr>
        <w:tc>
          <w:tcPr>
            <w:tcW w:w="2046" w:type="dxa"/>
            <w:tcBorders>
              <w:top w:val="single" w:sz="16" w:space="0" w:color="000000"/>
              <w:left w:val="single" w:sz="16" w:space="0" w:color="000000"/>
              <w:bottom w:val="nil"/>
              <w:right w:val="single" w:sz="16" w:space="0" w:color="000000"/>
            </w:tcBorders>
            <w:shd w:val="clear" w:color="auto" w:fill="FFFFFF"/>
          </w:tcPr>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Z</w:t>
            </w:r>
          </w:p>
        </w:tc>
        <w:tc>
          <w:tcPr>
            <w:tcW w:w="2207" w:type="dxa"/>
            <w:tcBorders>
              <w:top w:val="single" w:sz="16" w:space="0" w:color="000000"/>
              <w:left w:val="single" w:sz="16" w:space="0" w:color="000000"/>
              <w:bottom w:val="nil"/>
            </w:tcBorders>
            <w:shd w:val="clear" w:color="auto" w:fill="FFFFFF"/>
          </w:tcPr>
          <w:p w:rsidR="001E5CD8" w:rsidRPr="001E5CD8" w:rsidRDefault="001E5CD8"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-3.051</w:t>
            </w:r>
            <w:r w:rsidRPr="001E5CD8">
              <w:rPr>
                <w:rFonts w:ascii="Arial" w:hAnsi="Arial" w:cs="Arial"/>
                <w:color w:val="000000"/>
                <w:sz w:val="18"/>
                <w:szCs w:val="18"/>
                <w:vertAlign w:val="superscript"/>
                <w:lang w:val="nl-NL" w:eastAsia="en-US" w:bidi="ar-SA"/>
              </w:rPr>
              <w:t>a</w:t>
            </w:r>
          </w:p>
        </w:tc>
        <w:tc>
          <w:tcPr>
            <w:tcW w:w="2126" w:type="dxa"/>
            <w:tcBorders>
              <w:top w:val="single" w:sz="16" w:space="0" w:color="000000"/>
              <w:bottom w:val="nil"/>
            </w:tcBorders>
            <w:shd w:val="clear" w:color="auto" w:fill="FFFFFF"/>
          </w:tcPr>
          <w:p w:rsidR="001E5CD8" w:rsidRPr="001E5CD8" w:rsidRDefault="001E5CD8"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-2.887</w:t>
            </w:r>
            <w:r w:rsidRPr="001E5CD8">
              <w:rPr>
                <w:rFonts w:ascii="Arial" w:hAnsi="Arial" w:cs="Arial"/>
                <w:color w:val="000000"/>
                <w:sz w:val="18"/>
                <w:szCs w:val="18"/>
                <w:vertAlign w:val="superscript"/>
                <w:lang w:val="nl-NL" w:eastAsia="en-US" w:bidi="ar-SA"/>
              </w:rPr>
              <w:t>a</w:t>
            </w:r>
          </w:p>
        </w:tc>
        <w:tc>
          <w:tcPr>
            <w:tcW w:w="2126" w:type="dxa"/>
            <w:tcBorders>
              <w:top w:val="single" w:sz="16" w:space="0" w:color="000000"/>
              <w:bottom w:val="nil"/>
              <w:right w:val="single" w:sz="16" w:space="0" w:color="000000"/>
            </w:tcBorders>
            <w:shd w:val="clear" w:color="auto" w:fill="FFFFFF"/>
          </w:tcPr>
          <w:p w:rsidR="001E5CD8" w:rsidRPr="001E5CD8" w:rsidRDefault="001E5CD8"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-3.162</w:t>
            </w:r>
            <w:r w:rsidRPr="001E5CD8">
              <w:rPr>
                <w:rFonts w:ascii="Arial" w:hAnsi="Arial" w:cs="Arial"/>
                <w:color w:val="000000"/>
                <w:sz w:val="18"/>
                <w:szCs w:val="18"/>
                <w:vertAlign w:val="superscript"/>
                <w:lang w:val="nl-NL" w:eastAsia="en-US" w:bidi="ar-SA"/>
              </w:rPr>
              <w:t>a</w:t>
            </w:r>
          </w:p>
        </w:tc>
      </w:tr>
      <w:tr w:rsidR="001E5CD8" w:rsidRPr="001E5CD8" w:rsidTr="00101ABA">
        <w:trPr>
          <w:cantSplit/>
          <w:tblHeader/>
        </w:trPr>
        <w:tc>
          <w:tcPr>
            <w:tcW w:w="2046" w:type="dxa"/>
            <w:tcBorders>
              <w:top w:val="nil"/>
              <w:left w:val="single" w:sz="16" w:space="0" w:color="000000"/>
              <w:bottom w:val="single" w:sz="16" w:space="0" w:color="000000"/>
              <w:right w:val="single" w:sz="16" w:space="0" w:color="000000"/>
            </w:tcBorders>
            <w:shd w:val="clear" w:color="auto" w:fill="FFFFFF"/>
          </w:tcPr>
          <w:p w:rsidR="001E5CD8" w:rsidRPr="001E5CD8" w:rsidRDefault="001E5CD8" w:rsidP="001B19F0">
            <w:pPr>
              <w:autoSpaceDE w:val="0"/>
              <w:autoSpaceDN w:val="0"/>
              <w:adjustRightInd w:val="0"/>
              <w:spacing w:line="276" w:lineRule="auto"/>
              <w:ind w:left="60" w:right="60"/>
              <w:rPr>
                <w:rFonts w:ascii="Arial" w:hAnsi="Arial" w:cs="Arial"/>
                <w:color w:val="000000"/>
                <w:sz w:val="18"/>
                <w:szCs w:val="18"/>
                <w:lang w:val="nl-NL" w:eastAsia="en-US" w:bidi="ar-SA"/>
              </w:rPr>
            </w:pPr>
            <w:proofErr w:type="spellStart"/>
            <w:r w:rsidRPr="001E5CD8">
              <w:rPr>
                <w:rFonts w:ascii="Arial" w:hAnsi="Arial" w:cs="Arial"/>
                <w:color w:val="000000"/>
                <w:sz w:val="18"/>
                <w:szCs w:val="18"/>
                <w:lang w:val="nl-NL" w:eastAsia="en-US" w:bidi="ar-SA"/>
              </w:rPr>
              <w:t>Asymp</w:t>
            </w:r>
            <w:proofErr w:type="spellEnd"/>
            <w:r w:rsidRPr="001E5CD8">
              <w:rPr>
                <w:rFonts w:ascii="Arial" w:hAnsi="Arial" w:cs="Arial"/>
                <w:color w:val="000000"/>
                <w:sz w:val="18"/>
                <w:szCs w:val="18"/>
                <w:lang w:val="nl-NL" w:eastAsia="en-US" w:bidi="ar-SA"/>
              </w:rPr>
              <w:t xml:space="preserve">. </w:t>
            </w:r>
            <w:proofErr w:type="spellStart"/>
            <w:r w:rsidRPr="001E5CD8">
              <w:rPr>
                <w:rFonts w:ascii="Arial" w:hAnsi="Arial" w:cs="Arial"/>
                <w:color w:val="000000"/>
                <w:sz w:val="18"/>
                <w:szCs w:val="18"/>
                <w:lang w:val="nl-NL" w:eastAsia="en-US" w:bidi="ar-SA"/>
              </w:rPr>
              <w:t>Sig</w:t>
            </w:r>
            <w:proofErr w:type="spellEnd"/>
            <w:r w:rsidRPr="001E5CD8">
              <w:rPr>
                <w:rFonts w:ascii="Arial" w:hAnsi="Arial" w:cs="Arial"/>
                <w:color w:val="000000"/>
                <w:sz w:val="18"/>
                <w:szCs w:val="18"/>
                <w:lang w:val="nl-NL" w:eastAsia="en-US" w:bidi="ar-SA"/>
              </w:rPr>
              <w:t>. (2-tailed)</w:t>
            </w:r>
          </w:p>
        </w:tc>
        <w:tc>
          <w:tcPr>
            <w:tcW w:w="2207" w:type="dxa"/>
            <w:tcBorders>
              <w:top w:val="nil"/>
              <w:left w:val="single" w:sz="16" w:space="0" w:color="000000"/>
              <w:bottom w:val="single" w:sz="16" w:space="0" w:color="000000"/>
            </w:tcBorders>
            <w:shd w:val="clear" w:color="auto" w:fill="FFFFFF"/>
          </w:tcPr>
          <w:p w:rsidR="001E5CD8" w:rsidRPr="001E5CD8" w:rsidRDefault="001E5CD8"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.002</w:t>
            </w:r>
          </w:p>
        </w:tc>
        <w:tc>
          <w:tcPr>
            <w:tcW w:w="2126" w:type="dxa"/>
            <w:tcBorders>
              <w:top w:val="nil"/>
              <w:bottom w:val="single" w:sz="16" w:space="0" w:color="000000"/>
            </w:tcBorders>
            <w:shd w:val="clear" w:color="auto" w:fill="FFFFFF"/>
          </w:tcPr>
          <w:p w:rsidR="001E5CD8" w:rsidRPr="001E5CD8" w:rsidRDefault="001E5CD8"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.004</w:t>
            </w:r>
          </w:p>
        </w:tc>
        <w:tc>
          <w:tcPr>
            <w:tcW w:w="2126" w:type="dxa"/>
            <w:tcBorders>
              <w:top w:val="nil"/>
              <w:bottom w:val="single" w:sz="16" w:space="0" w:color="000000"/>
              <w:right w:val="single" w:sz="16" w:space="0" w:color="000000"/>
            </w:tcBorders>
            <w:shd w:val="clear" w:color="auto" w:fill="FFFFFF"/>
          </w:tcPr>
          <w:p w:rsidR="001E5CD8" w:rsidRPr="001E5CD8" w:rsidRDefault="001E5CD8"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1E5CD8">
              <w:rPr>
                <w:rFonts w:ascii="Arial" w:hAnsi="Arial" w:cs="Arial"/>
                <w:color w:val="000000"/>
                <w:sz w:val="18"/>
                <w:szCs w:val="18"/>
                <w:lang w:val="nl-NL" w:eastAsia="en-US" w:bidi="ar-SA"/>
              </w:rPr>
              <w:t>.002</w:t>
            </w:r>
          </w:p>
        </w:tc>
      </w:tr>
      <w:tr w:rsidR="001E5CD8" w:rsidRPr="001E5CD8" w:rsidTr="00101ABA">
        <w:trPr>
          <w:cantSplit/>
        </w:trPr>
        <w:tc>
          <w:tcPr>
            <w:tcW w:w="8505" w:type="dxa"/>
            <w:gridSpan w:val="4"/>
            <w:tcBorders>
              <w:top w:val="nil"/>
              <w:left w:val="nil"/>
              <w:bottom w:val="nil"/>
              <w:right w:val="nil"/>
            </w:tcBorders>
            <w:shd w:val="clear" w:color="auto" w:fill="FFFFFF"/>
          </w:tcPr>
          <w:p w:rsidR="001E5CD8" w:rsidRPr="001E5CD8" w:rsidRDefault="001E5CD8" w:rsidP="00667160">
            <w:pPr>
              <w:autoSpaceDE w:val="0"/>
              <w:autoSpaceDN w:val="0"/>
              <w:adjustRightInd w:val="0"/>
              <w:spacing w:line="276" w:lineRule="auto"/>
              <w:ind w:left="60" w:right="60"/>
              <w:rPr>
                <w:rFonts w:ascii="Arial" w:hAnsi="Arial" w:cs="Arial"/>
                <w:color w:val="000000"/>
                <w:sz w:val="18"/>
                <w:szCs w:val="18"/>
                <w:lang w:val="en-US" w:eastAsia="en-US" w:bidi="ar-SA"/>
              </w:rPr>
            </w:pPr>
            <w:r w:rsidRPr="001E5CD8">
              <w:rPr>
                <w:rFonts w:ascii="Arial" w:hAnsi="Arial" w:cs="Arial"/>
                <w:color w:val="000000"/>
                <w:sz w:val="18"/>
                <w:szCs w:val="18"/>
                <w:lang w:val="en-US" w:eastAsia="en-US" w:bidi="ar-SA"/>
              </w:rPr>
              <w:t>a. Based on negative ranks.</w:t>
            </w:r>
          </w:p>
          <w:p w:rsidR="001E5CD8" w:rsidRPr="009A26FE" w:rsidRDefault="001E5CD8" w:rsidP="00667160">
            <w:pPr>
              <w:autoSpaceDE w:val="0"/>
              <w:autoSpaceDN w:val="0"/>
              <w:adjustRightInd w:val="0"/>
              <w:spacing w:line="276" w:lineRule="auto"/>
              <w:ind w:left="60" w:right="60"/>
              <w:rPr>
                <w:rFonts w:ascii="Arial" w:hAnsi="Arial" w:cs="Arial"/>
                <w:color w:val="000000"/>
                <w:sz w:val="18"/>
                <w:szCs w:val="18"/>
                <w:lang w:val="en-US" w:eastAsia="en-US" w:bidi="ar-SA"/>
              </w:rPr>
            </w:pPr>
            <w:r w:rsidRPr="009A26FE">
              <w:rPr>
                <w:rFonts w:ascii="Arial" w:hAnsi="Arial" w:cs="Arial"/>
                <w:color w:val="000000"/>
                <w:sz w:val="18"/>
                <w:szCs w:val="18"/>
                <w:lang w:val="en-US" w:eastAsia="en-US" w:bidi="ar-SA"/>
              </w:rPr>
              <w:t xml:space="preserve">b. </w:t>
            </w:r>
            <w:proofErr w:type="spellStart"/>
            <w:r w:rsidRPr="009A26FE">
              <w:rPr>
                <w:rFonts w:ascii="Arial" w:hAnsi="Arial" w:cs="Arial"/>
                <w:color w:val="000000"/>
                <w:sz w:val="18"/>
                <w:szCs w:val="18"/>
                <w:lang w:val="en-US" w:eastAsia="en-US" w:bidi="ar-SA"/>
              </w:rPr>
              <w:t>Wilcoxon</w:t>
            </w:r>
            <w:proofErr w:type="spellEnd"/>
            <w:r w:rsidRPr="009A26FE">
              <w:rPr>
                <w:rFonts w:ascii="Arial" w:hAnsi="Arial" w:cs="Arial"/>
                <w:color w:val="000000"/>
                <w:sz w:val="18"/>
                <w:szCs w:val="18"/>
                <w:lang w:val="en-US" w:eastAsia="en-US" w:bidi="ar-SA"/>
              </w:rPr>
              <w:t xml:space="preserve"> Signed Ranks Test</w:t>
            </w:r>
          </w:p>
          <w:p w:rsidR="00C649D9" w:rsidRPr="001E5CD8" w:rsidRDefault="004E00AD" w:rsidP="00667160">
            <w:pPr>
              <w:spacing w:line="320" w:lineRule="atLeast"/>
              <w:rPr>
                <w:rFonts w:ascii="Arial" w:hAnsi="Arial" w:cs="Arial"/>
                <w:color w:val="000000"/>
                <w:sz w:val="18"/>
                <w:szCs w:val="18"/>
                <w:lang w:val="en-US" w:eastAsia="en-US" w:bidi="ar-SA"/>
              </w:rPr>
            </w:pPr>
            <w:r>
              <w:rPr>
                <w:rFonts w:cs="Times New Roman"/>
                <w:sz w:val="20"/>
                <w:szCs w:val="20"/>
                <w:lang w:val="en-US" w:eastAsia="en-US" w:bidi="ar-SA"/>
              </w:rPr>
              <w:t>Table 3</w:t>
            </w:r>
            <w:r w:rsidR="00174C85">
              <w:rPr>
                <w:rFonts w:cs="Times New Roman"/>
                <w:sz w:val="20"/>
                <w:szCs w:val="20"/>
                <w:lang w:val="en-US" w:eastAsia="en-US" w:bidi="ar-SA"/>
              </w:rPr>
              <w:t>6</w:t>
            </w:r>
            <w:r w:rsidR="00C649D9" w:rsidRPr="00511B05">
              <w:rPr>
                <w:rFonts w:cs="Times New Roman"/>
                <w:sz w:val="20"/>
                <w:szCs w:val="20"/>
                <w:lang w:val="en-US" w:eastAsia="en-US" w:bidi="ar-SA"/>
              </w:rPr>
              <w:t>: Test</w:t>
            </w:r>
            <w:r w:rsidR="00C649D9">
              <w:rPr>
                <w:rFonts w:cs="Times New Roman"/>
                <w:sz w:val="20"/>
                <w:szCs w:val="20"/>
                <w:lang w:val="en-US" w:eastAsia="en-US" w:bidi="ar-SA"/>
              </w:rPr>
              <w:t xml:space="preserve"> statistics</w:t>
            </w:r>
            <w:r w:rsidR="00C649D9" w:rsidRPr="00511B05">
              <w:rPr>
                <w:rFonts w:cs="Times New Roman"/>
                <w:sz w:val="20"/>
                <w:szCs w:val="20"/>
                <w:lang w:val="en-US" w:eastAsia="en-US" w:bidi="ar-SA"/>
              </w:rPr>
              <w:t xml:space="preserve"> applied to disclosures of </w:t>
            </w:r>
            <w:r w:rsidR="00C649D9">
              <w:rPr>
                <w:rFonts w:cs="Times New Roman"/>
                <w:sz w:val="20"/>
                <w:szCs w:val="20"/>
                <w:lang w:val="en-US" w:eastAsia="en-US" w:bidi="ar-SA"/>
              </w:rPr>
              <w:t xml:space="preserve">rating, </w:t>
            </w:r>
            <w:r w:rsidR="00C649D9" w:rsidRPr="00511B05">
              <w:rPr>
                <w:rFonts w:cs="Times New Roman"/>
                <w:sz w:val="20"/>
                <w:szCs w:val="20"/>
                <w:lang w:val="en-US" w:eastAsia="en-US" w:bidi="ar-SA"/>
              </w:rPr>
              <w:t xml:space="preserve">position </w:t>
            </w:r>
            <w:r w:rsidR="00C649D9">
              <w:rPr>
                <w:rFonts w:cs="Times New Roman"/>
                <w:sz w:val="20"/>
                <w:szCs w:val="20"/>
                <w:lang w:val="en-US" w:eastAsia="en-US" w:bidi="ar-SA"/>
              </w:rPr>
              <w:t xml:space="preserve">and GIIPS </w:t>
            </w:r>
            <w:r w:rsidR="00C649D9" w:rsidRPr="00511B05">
              <w:rPr>
                <w:rFonts w:cs="Times New Roman"/>
                <w:sz w:val="20"/>
                <w:szCs w:val="20"/>
                <w:lang w:val="en-US" w:eastAsia="en-US" w:bidi="ar-SA"/>
              </w:rPr>
              <w:t xml:space="preserve">allocations regarding </w:t>
            </w:r>
            <w:r w:rsidR="00C649D9">
              <w:rPr>
                <w:rFonts w:cs="Times New Roman"/>
                <w:sz w:val="20"/>
                <w:szCs w:val="20"/>
                <w:lang w:val="en-US" w:eastAsia="en-US" w:bidi="ar-SA"/>
              </w:rPr>
              <w:t>bonds</w:t>
            </w:r>
          </w:p>
        </w:tc>
      </w:tr>
    </w:tbl>
    <w:p w:rsidR="00667160" w:rsidRDefault="00667160" w:rsidP="00667160">
      <w:pPr>
        <w:spacing w:line="240" w:lineRule="atLeast"/>
        <w:jc w:val="both"/>
        <w:rPr>
          <w:bCs/>
        </w:rPr>
      </w:pPr>
    </w:p>
    <w:p w:rsidR="001E5CD8" w:rsidRDefault="004E00AD" w:rsidP="005F5E1F">
      <w:pPr>
        <w:spacing w:line="360" w:lineRule="auto"/>
        <w:jc w:val="both"/>
        <w:rPr>
          <w:rFonts w:cs="Times New Roman"/>
          <w:lang w:val="en-US" w:eastAsia="en-US" w:bidi="ar-SA"/>
        </w:rPr>
      </w:pPr>
      <w:r>
        <w:rPr>
          <w:bCs/>
          <w:lang w:val="en-US"/>
        </w:rPr>
        <w:t>Table 3</w:t>
      </w:r>
      <w:r w:rsidR="00174C85">
        <w:rPr>
          <w:bCs/>
          <w:lang w:val="en-US"/>
        </w:rPr>
        <w:t>6</w:t>
      </w:r>
      <w:r>
        <w:rPr>
          <w:bCs/>
          <w:lang w:val="en-US"/>
        </w:rPr>
        <w:t xml:space="preserve"> reveals that the calculated value</w:t>
      </w:r>
      <w:r w:rsidR="00667160">
        <w:rPr>
          <w:bCs/>
          <w:lang w:val="en-US"/>
        </w:rPr>
        <w:t>s</w:t>
      </w:r>
      <w:r>
        <w:rPr>
          <w:bCs/>
          <w:lang w:val="en-US"/>
        </w:rPr>
        <w:t xml:space="preserve"> of the Z-score of -3.051, -2.887 and -3.162  are significant</w:t>
      </w:r>
      <w:r w:rsidR="00CE0F82">
        <w:rPr>
          <w:bCs/>
          <w:lang w:val="en-US"/>
        </w:rPr>
        <w:t xml:space="preserve"> at</w:t>
      </w:r>
      <w:r>
        <w:rPr>
          <w:bCs/>
          <w:lang w:val="en-US"/>
        </w:rPr>
        <w:t xml:space="preserve"> p=0.002, respectively p=0.004 and p=0.002 regarding the rating, position and GIIPS allocations. For this reason can be concluded that since 2006, the year before the beginning of the financial crisis, there has been a significant increase in the disclosure of rating, position and GIIPS allocations regarding the asset category bonds (z=-2.828</w:t>
      </w:r>
      <w:r w:rsidR="00DE651C">
        <w:rPr>
          <w:bCs/>
          <w:lang w:val="en-US"/>
        </w:rPr>
        <w:t>, respectively, z=-2.887 and z=-3.162</w:t>
      </w:r>
      <w:r>
        <w:rPr>
          <w:bCs/>
          <w:lang w:val="en-US"/>
        </w:rPr>
        <w:t xml:space="preserve"> and p&lt;0.05). </w:t>
      </w:r>
    </w:p>
    <w:p w:rsidR="00667160" w:rsidRDefault="00667160" w:rsidP="006B5D29">
      <w:pPr>
        <w:spacing w:line="360" w:lineRule="auto"/>
        <w:rPr>
          <w:bCs/>
          <w:lang w:val="en-US"/>
        </w:rPr>
      </w:pPr>
    </w:p>
    <w:p w:rsidR="00667160" w:rsidRDefault="00667160" w:rsidP="006B5D29">
      <w:pPr>
        <w:spacing w:line="360" w:lineRule="auto"/>
        <w:rPr>
          <w:bCs/>
          <w:lang w:val="en-US"/>
        </w:rPr>
      </w:pPr>
    </w:p>
    <w:p w:rsidR="00667160" w:rsidRDefault="00667160" w:rsidP="006B5D29">
      <w:pPr>
        <w:spacing w:line="360" w:lineRule="auto"/>
        <w:rPr>
          <w:bCs/>
          <w:lang w:val="en-US"/>
        </w:rPr>
      </w:pPr>
    </w:p>
    <w:p w:rsidR="00151E0E" w:rsidRDefault="00151E0E" w:rsidP="00151E0E">
      <w:pPr>
        <w:spacing w:line="360" w:lineRule="auto"/>
        <w:rPr>
          <w:b/>
          <w:bCs/>
          <w:i/>
          <w:lang w:val="en-US"/>
        </w:rPr>
      </w:pPr>
      <w:r>
        <w:rPr>
          <w:b/>
          <w:bCs/>
          <w:i/>
          <w:lang w:val="en-US"/>
        </w:rPr>
        <w:t>Quality of bond investment risk disclosures and pension fund size</w:t>
      </w:r>
    </w:p>
    <w:p w:rsidR="00DE651C" w:rsidRDefault="00E60FED" w:rsidP="005F5E1F">
      <w:pPr>
        <w:spacing w:line="360" w:lineRule="auto"/>
        <w:jc w:val="both"/>
        <w:rPr>
          <w:bCs/>
          <w:lang w:val="en-US"/>
        </w:rPr>
      </w:pPr>
      <w:r>
        <w:rPr>
          <w:bCs/>
          <w:lang w:val="en-US"/>
        </w:rPr>
        <w:t>For the same reasons as described in paragraph</w:t>
      </w:r>
      <w:r w:rsidR="00667160">
        <w:rPr>
          <w:bCs/>
          <w:lang w:val="en-US"/>
        </w:rPr>
        <w:t xml:space="preserve"> 4.4.1</w:t>
      </w:r>
      <w:r>
        <w:rPr>
          <w:bCs/>
          <w:lang w:val="en-US"/>
        </w:rPr>
        <w:t>, logistic regression is applied to determine if there is a relation between the AUM in 2006 respectively 2011 and the disclosure of investment risks regarding bonds</w:t>
      </w:r>
      <w:r w:rsidR="009A26FE">
        <w:rPr>
          <w:bCs/>
          <w:lang w:val="en-US"/>
        </w:rPr>
        <w:t xml:space="preserve"> in 2006 and 2011</w:t>
      </w:r>
      <w:r>
        <w:rPr>
          <w:bCs/>
          <w:lang w:val="en-US"/>
        </w:rPr>
        <w:t>.</w:t>
      </w:r>
    </w:p>
    <w:p w:rsidR="001F6A24" w:rsidRDefault="001F6A24" w:rsidP="005F5E1F">
      <w:pPr>
        <w:spacing w:line="360" w:lineRule="auto"/>
        <w:jc w:val="both"/>
        <w:rPr>
          <w:bCs/>
          <w:lang w:val="en-US"/>
        </w:rPr>
      </w:pPr>
    </w:p>
    <w:tbl>
      <w:tblP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A912F1" w:rsidRPr="00AD2AC8" w:rsidTr="00A912F1">
        <w:trPr>
          <w:cantSplit/>
          <w:tblHeader/>
        </w:trPr>
        <w:tc>
          <w:tcPr>
            <w:tcW w:w="4253" w:type="dxa"/>
            <w:gridSpan w:val="4"/>
            <w:tcBorders>
              <w:top w:val="nil"/>
              <w:left w:val="nil"/>
              <w:bottom w:val="nil"/>
              <w:right w:val="nil"/>
            </w:tcBorders>
            <w:shd w:val="clear" w:color="auto" w:fill="FFFFFF"/>
            <w:vAlign w:val="center"/>
          </w:tcPr>
          <w:p w:rsidR="00A912F1" w:rsidRPr="00AD2AC8" w:rsidRDefault="00A912F1" w:rsidP="00A912F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A912F1"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A912F1"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27.694</w:t>
            </w:r>
            <w:r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.181</w:t>
            </w:r>
          </w:p>
        </w:tc>
        <w:tc>
          <w:tcPr>
            <w:tcW w:w="1418" w:type="dxa"/>
            <w:tcBorders>
              <w:top w:val="single" w:sz="16" w:space="0" w:color="000000"/>
              <w:bottom w:val="single" w:sz="16" w:space="0" w:color="000000"/>
              <w:right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.248</w:t>
            </w:r>
          </w:p>
        </w:tc>
      </w:tr>
      <w:tr w:rsidR="00A912F1" w:rsidRPr="00AD2AC8" w:rsidTr="00A912F1">
        <w:trPr>
          <w:cantSplit/>
        </w:trPr>
        <w:tc>
          <w:tcPr>
            <w:tcW w:w="4253" w:type="dxa"/>
            <w:gridSpan w:val="4"/>
            <w:tcBorders>
              <w:top w:val="nil"/>
              <w:left w:val="nil"/>
              <w:bottom w:val="nil"/>
              <w:right w:val="nil"/>
            </w:tcBorders>
            <w:shd w:val="clear" w:color="auto" w:fill="FFFFFF"/>
          </w:tcPr>
          <w:p w:rsidR="00A912F1" w:rsidRPr="00BC2E83" w:rsidRDefault="00A912F1" w:rsidP="00A912F1">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Pr>
                <w:rFonts w:ascii="Arial" w:hAnsi="Arial" w:cs="Arial"/>
                <w:color w:val="000000"/>
                <w:sz w:val="17"/>
                <w:szCs w:val="17"/>
                <w:lang w:val="en-US" w:eastAsia="en-US" w:bidi="ar-SA"/>
              </w:rPr>
              <w:t>6</w:t>
            </w:r>
            <w:r w:rsidRPr="00BC2E83">
              <w:rPr>
                <w:rFonts w:ascii="Arial" w:hAnsi="Arial" w:cs="Arial"/>
                <w:color w:val="000000"/>
                <w:sz w:val="17"/>
                <w:szCs w:val="17"/>
                <w:lang w:val="en-US" w:eastAsia="en-US" w:bidi="ar-SA"/>
              </w:rPr>
              <w:t xml:space="preserve"> because parameter estimates changed by less than .001.</w:t>
            </w:r>
          </w:p>
        </w:tc>
      </w:tr>
    </w:tbl>
    <w:tbl>
      <w:tblPr>
        <w:tblpPr w:leftFromText="141" w:rightFromText="141" w:vertAnchor="text" w:horzAnchor="margin" w:tblpXSpec="right" w:tblpY="-1785"/>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A912F1" w:rsidRPr="00AD2AC8" w:rsidTr="00A912F1">
        <w:trPr>
          <w:cantSplit/>
          <w:tblHeader/>
        </w:trPr>
        <w:tc>
          <w:tcPr>
            <w:tcW w:w="4253" w:type="dxa"/>
            <w:gridSpan w:val="4"/>
            <w:tcBorders>
              <w:top w:val="nil"/>
              <w:left w:val="nil"/>
              <w:bottom w:val="nil"/>
              <w:right w:val="nil"/>
            </w:tcBorders>
            <w:shd w:val="clear" w:color="auto" w:fill="FFFFFF"/>
            <w:vAlign w:val="center"/>
          </w:tcPr>
          <w:p w:rsidR="00A912F1" w:rsidRPr="00AD2AC8" w:rsidRDefault="00A912F1" w:rsidP="00A912F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A912F1"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A912F1"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24.183</w:t>
            </w:r>
            <w:r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.033</w:t>
            </w:r>
          </w:p>
        </w:tc>
        <w:tc>
          <w:tcPr>
            <w:tcW w:w="1418" w:type="dxa"/>
            <w:tcBorders>
              <w:top w:val="single" w:sz="16" w:space="0" w:color="000000"/>
              <w:bottom w:val="single" w:sz="16" w:space="0" w:color="000000"/>
              <w:right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.052</w:t>
            </w:r>
          </w:p>
        </w:tc>
      </w:tr>
      <w:tr w:rsidR="00A912F1" w:rsidRPr="00AD2AC8" w:rsidTr="00A912F1">
        <w:trPr>
          <w:cantSplit/>
        </w:trPr>
        <w:tc>
          <w:tcPr>
            <w:tcW w:w="4253" w:type="dxa"/>
            <w:gridSpan w:val="4"/>
            <w:tcBorders>
              <w:top w:val="nil"/>
              <w:left w:val="nil"/>
              <w:bottom w:val="nil"/>
              <w:right w:val="nil"/>
            </w:tcBorders>
            <w:shd w:val="clear" w:color="auto" w:fill="FFFFFF"/>
          </w:tcPr>
          <w:p w:rsidR="00A912F1" w:rsidRPr="00BC2E83" w:rsidRDefault="00A912F1" w:rsidP="00A912F1">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Pr>
                <w:rFonts w:ascii="Arial" w:hAnsi="Arial" w:cs="Arial"/>
                <w:color w:val="000000"/>
                <w:sz w:val="17"/>
                <w:szCs w:val="17"/>
                <w:lang w:val="en-US" w:eastAsia="en-US" w:bidi="ar-SA"/>
              </w:rPr>
              <w:t>6</w:t>
            </w:r>
            <w:r w:rsidRPr="00BC2E83">
              <w:rPr>
                <w:rFonts w:ascii="Arial" w:hAnsi="Arial" w:cs="Arial"/>
                <w:color w:val="000000"/>
                <w:sz w:val="17"/>
                <w:szCs w:val="17"/>
                <w:lang w:val="en-US" w:eastAsia="en-US" w:bidi="ar-SA"/>
              </w:rPr>
              <w:t xml:space="preserve"> because parameter estimates changed by less than .001.</w:t>
            </w:r>
          </w:p>
        </w:tc>
      </w:tr>
    </w:tbl>
    <w:p w:rsidR="00A912F1" w:rsidRDefault="00A912F1" w:rsidP="00A912F1">
      <w:pPr>
        <w:autoSpaceDE w:val="0"/>
        <w:autoSpaceDN w:val="0"/>
        <w:adjustRightInd w:val="0"/>
        <w:rPr>
          <w:rFonts w:cs="Times New Roman"/>
          <w:lang w:val="en-US" w:eastAsia="en-US" w:bidi="ar-SA"/>
        </w:rPr>
      </w:pPr>
    </w:p>
    <w:p w:rsidR="00216C19" w:rsidRDefault="009155B4" w:rsidP="00A912F1">
      <w:pPr>
        <w:spacing w:line="320" w:lineRule="atLeast"/>
        <w:rPr>
          <w:rFonts w:cs="Times New Roman"/>
          <w:sz w:val="20"/>
          <w:szCs w:val="20"/>
          <w:lang w:val="en-US" w:eastAsia="en-US" w:bidi="ar-SA"/>
        </w:rPr>
      </w:pPr>
      <w:r>
        <w:rPr>
          <w:rFonts w:cs="Times New Roman"/>
          <w:sz w:val="20"/>
          <w:szCs w:val="20"/>
          <w:lang w:val="en-US" w:eastAsia="en-US" w:bidi="ar-SA"/>
        </w:rPr>
        <w:t>Table 3</w:t>
      </w:r>
      <w:r w:rsidR="00174C85">
        <w:rPr>
          <w:rFonts w:cs="Times New Roman"/>
          <w:sz w:val="20"/>
          <w:szCs w:val="20"/>
          <w:lang w:val="en-US" w:eastAsia="en-US" w:bidi="ar-SA"/>
        </w:rPr>
        <w:t>7</w:t>
      </w:r>
      <w:r w:rsidR="00216C19">
        <w:rPr>
          <w:rFonts w:cs="Times New Roman"/>
          <w:sz w:val="20"/>
          <w:szCs w:val="20"/>
          <w:lang w:val="en-US" w:eastAsia="en-US" w:bidi="ar-SA"/>
        </w:rPr>
        <w:t xml:space="preserve">: Logistic regression with dependent </w:t>
      </w:r>
      <w:r w:rsidR="00216C19">
        <w:rPr>
          <w:rFonts w:cs="Times New Roman"/>
          <w:sz w:val="20"/>
          <w:szCs w:val="20"/>
          <w:lang w:val="en-US" w:eastAsia="en-US" w:bidi="ar-SA"/>
        </w:rPr>
        <w:tab/>
      </w:r>
      <w:r w:rsidR="00336A8B">
        <w:rPr>
          <w:rFonts w:cs="Times New Roman"/>
          <w:sz w:val="20"/>
          <w:szCs w:val="20"/>
          <w:lang w:val="en-US" w:eastAsia="en-US" w:bidi="ar-SA"/>
        </w:rPr>
        <w:tab/>
      </w:r>
      <w:r>
        <w:rPr>
          <w:rFonts w:cs="Times New Roman"/>
          <w:sz w:val="20"/>
          <w:szCs w:val="20"/>
          <w:lang w:val="en-US" w:eastAsia="en-US" w:bidi="ar-SA"/>
        </w:rPr>
        <w:t>Table 3</w:t>
      </w:r>
      <w:r w:rsidR="00174C85">
        <w:rPr>
          <w:rFonts w:cs="Times New Roman"/>
          <w:sz w:val="20"/>
          <w:szCs w:val="20"/>
          <w:lang w:val="en-US" w:eastAsia="en-US" w:bidi="ar-SA"/>
        </w:rPr>
        <w:t>8</w:t>
      </w:r>
      <w:r w:rsidR="00216C19">
        <w:rPr>
          <w:rFonts w:cs="Times New Roman"/>
          <w:sz w:val="20"/>
          <w:szCs w:val="20"/>
          <w:lang w:val="en-US" w:eastAsia="en-US" w:bidi="ar-SA"/>
        </w:rPr>
        <w:t xml:space="preserve">: Logistic regression with dependent </w:t>
      </w:r>
    </w:p>
    <w:p w:rsidR="00216C19" w:rsidRDefault="00216C19" w:rsidP="00A912F1">
      <w:pPr>
        <w:spacing w:line="320" w:lineRule="atLeast"/>
        <w:rPr>
          <w:rFonts w:cs="Times New Roman"/>
          <w:sz w:val="20"/>
          <w:szCs w:val="20"/>
          <w:lang w:val="en-US" w:eastAsia="en-US" w:bidi="ar-SA"/>
        </w:rPr>
      </w:pPr>
      <w:r>
        <w:rPr>
          <w:rFonts w:cs="Times New Roman"/>
          <w:sz w:val="20"/>
          <w:szCs w:val="20"/>
          <w:lang w:val="en-US" w:eastAsia="en-US" w:bidi="ar-SA"/>
        </w:rPr>
        <w:t xml:space="preserve">variable disclosure rating allocation in financial </w:t>
      </w:r>
      <w:r>
        <w:rPr>
          <w:rFonts w:cs="Times New Roman"/>
          <w:sz w:val="20"/>
          <w:szCs w:val="20"/>
          <w:lang w:val="en-US" w:eastAsia="en-US" w:bidi="ar-SA"/>
        </w:rPr>
        <w:tab/>
      </w:r>
      <w:r w:rsidR="00336A8B">
        <w:rPr>
          <w:rFonts w:cs="Times New Roman"/>
          <w:sz w:val="20"/>
          <w:szCs w:val="20"/>
          <w:lang w:val="en-US" w:eastAsia="en-US" w:bidi="ar-SA"/>
        </w:rPr>
        <w:tab/>
      </w:r>
      <w:r>
        <w:rPr>
          <w:rFonts w:cs="Times New Roman"/>
          <w:sz w:val="20"/>
          <w:szCs w:val="20"/>
          <w:lang w:val="en-US" w:eastAsia="en-US" w:bidi="ar-SA"/>
        </w:rPr>
        <w:t>variable disclosure rating allocation in financial</w:t>
      </w:r>
    </w:p>
    <w:p w:rsidR="00216C19" w:rsidRDefault="00216C19" w:rsidP="00A912F1">
      <w:pPr>
        <w:spacing w:line="320" w:lineRule="atLeast"/>
        <w:rPr>
          <w:rFonts w:cs="Times New Roman"/>
          <w:sz w:val="20"/>
          <w:szCs w:val="20"/>
          <w:lang w:val="en-US" w:eastAsia="en-US" w:bidi="ar-SA"/>
        </w:rPr>
      </w:pPr>
      <w:r>
        <w:rPr>
          <w:rFonts w:cs="Times New Roman"/>
          <w:sz w:val="20"/>
          <w:szCs w:val="20"/>
          <w:lang w:val="en-US" w:eastAsia="en-US" w:bidi="ar-SA"/>
        </w:rPr>
        <w:t>statements 2006 and as covariate AUM 2006</w:t>
      </w:r>
      <w:r>
        <w:rPr>
          <w:rFonts w:cs="Times New Roman"/>
          <w:sz w:val="20"/>
          <w:szCs w:val="20"/>
          <w:lang w:val="en-US" w:eastAsia="en-US" w:bidi="ar-SA"/>
        </w:rPr>
        <w:tab/>
      </w:r>
      <w:r>
        <w:rPr>
          <w:rFonts w:cs="Times New Roman"/>
          <w:sz w:val="20"/>
          <w:szCs w:val="20"/>
          <w:lang w:val="en-US" w:eastAsia="en-US" w:bidi="ar-SA"/>
        </w:rPr>
        <w:tab/>
      </w:r>
      <w:r w:rsidR="00336A8B">
        <w:rPr>
          <w:rFonts w:cs="Times New Roman"/>
          <w:sz w:val="20"/>
          <w:szCs w:val="20"/>
          <w:lang w:val="en-US" w:eastAsia="en-US" w:bidi="ar-SA"/>
        </w:rPr>
        <w:tab/>
      </w:r>
      <w:r>
        <w:rPr>
          <w:rFonts w:cs="Times New Roman"/>
          <w:sz w:val="20"/>
          <w:szCs w:val="20"/>
          <w:lang w:val="en-US" w:eastAsia="en-US" w:bidi="ar-SA"/>
        </w:rPr>
        <w:t>statements 2011 and as covariate AUM 2011</w:t>
      </w:r>
    </w:p>
    <w:p w:rsidR="001430AB" w:rsidRDefault="001430AB" w:rsidP="00216C19">
      <w:pPr>
        <w:spacing w:line="360" w:lineRule="auto"/>
        <w:rPr>
          <w:rFonts w:cs="Times New Roman"/>
          <w:sz w:val="20"/>
          <w:szCs w:val="20"/>
          <w:lang w:val="en-US" w:eastAsia="en-US" w:bidi="ar-SA"/>
        </w:rPr>
      </w:pPr>
    </w:p>
    <w:p w:rsidR="009155B4" w:rsidRDefault="001430AB" w:rsidP="00A912F1">
      <w:pPr>
        <w:spacing w:line="360" w:lineRule="auto"/>
        <w:jc w:val="both"/>
        <w:rPr>
          <w:rFonts w:cs="Times New Roman"/>
          <w:lang w:val="en-US" w:eastAsia="en-US" w:bidi="ar-SA"/>
        </w:rPr>
      </w:pPr>
      <w:r>
        <w:rPr>
          <w:rFonts w:cs="Times New Roman"/>
          <w:lang w:val="en-US" w:eastAsia="en-US" w:bidi="ar-SA"/>
        </w:rPr>
        <w:t xml:space="preserve">De </w:t>
      </w:r>
      <w:proofErr w:type="spellStart"/>
      <w:r>
        <w:rPr>
          <w:rFonts w:cs="Times New Roman"/>
          <w:lang w:val="en-US" w:eastAsia="en-US" w:bidi="ar-SA"/>
        </w:rPr>
        <w:t>Vocht</w:t>
      </w:r>
      <w:proofErr w:type="spellEnd"/>
      <w:r>
        <w:rPr>
          <w:rFonts w:cs="Times New Roman"/>
          <w:lang w:val="en-US" w:eastAsia="en-US" w:bidi="ar-SA"/>
        </w:rPr>
        <w:t xml:space="preserve"> (2011) describes that the </w:t>
      </w:r>
      <w:proofErr w:type="spellStart"/>
      <w:r>
        <w:rPr>
          <w:rFonts w:cs="Times New Roman"/>
          <w:lang w:val="en-US" w:eastAsia="en-US" w:bidi="ar-SA"/>
        </w:rPr>
        <w:t>Nagelkerke</w:t>
      </w:r>
      <w:proofErr w:type="spellEnd"/>
      <w:r>
        <w:rPr>
          <w:rFonts w:cs="Times New Roman"/>
          <w:lang w:val="en-US" w:eastAsia="en-US" w:bidi="ar-SA"/>
        </w:rPr>
        <w:t xml:space="preserve"> R Square measures the quality of the model and has always a value between 0 and 1. The </w:t>
      </w:r>
      <w:proofErr w:type="spellStart"/>
      <w:r>
        <w:rPr>
          <w:rFonts w:cs="Times New Roman"/>
          <w:lang w:val="en-US" w:eastAsia="en-US" w:bidi="ar-SA"/>
        </w:rPr>
        <w:t>Nagelkerke</w:t>
      </w:r>
      <w:proofErr w:type="spellEnd"/>
      <w:r>
        <w:rPr>
          <w:rFonts w:cs="Times New Roman"/>
          <w:lang w:val="en-US" w:eastAsia="en-US" w:bidi="ar-SA"/>
        </w:rPr>
        <w:t xml:space="preserve"> R</w:t>
      </w:r>
      <w:r w:rsidRPr="00DA28F7">
        <w:rPr>
          <w:rFonts w:cs="Times New Roman"/>
          <w:vertAlign w:val="superscript"/>
          <w:lang w:val="en-US" w:eastAsia="en-US" w:bidi="ar-SA"/>
        </w:rPr>
        <w:t>2</w:t>
      </w:r>
      <w:r>
        <w:rPr>
          <w:rFonts w:cs="Times New Roman"/>
          <w:lang w:val="en-US" w:eastAsia="en-US" w:bidi="ar-SA"/>
        </w:rPr>
        <w:t xml:space="preserve"> of 0.248</w:t>
      </w:r>
      <w:r w:rsidR="00CE0F82">
        <w:rPr>
          <w:rFonts w:cs="Times New Roman"/>
          <w:lang w:val="en-US" w:eastAsia="en-US" w:bidi="ar-SA"/>
        </w:rPr>
        <w:t xml:space="preserve"> </w:t>
      </w:r>
      <w:r>
        <w:rPr>
          <w:rFonts w:cs="Times New Roman"/>
          <w:lang w:val="en-US" w:eastAsia="en-US" w:bidi="ar-SA"/>
        </w:rPr>
        <w:t>depicted in table 3</w:t>
      </w:r>
      <w:r w:rsidR="00174C85">
        <w:rPr>
          <w:rFonts w:cs="Times New Roman"/>
          <w:lang w:val="en-US" w:eastAsia="en-US" w:bidi="ar-SA"/>
        </w:rPr>
        <w:t>7</w:t>
      </w:r>
      <w:r>
        <w:rPr>
          <w:rFonts w:cs="Times New Roman"/>
          <w:lang w:val="en-US" w:eastAsia="en-US" w:bidi="ar-SA"/>
        </w:rPr>
        <w:t xml:space="preserve"> indicates that in 2006, there is a weak relation between AUM and the disclosure of a rating allocation. Table 3</w:t>
      </w:r>
      <w:r w:rsidR="00174C85">
        <w:rPr>
          <w:rFonts w:cs="Times New Roman"/>
          <w:lang w:val="en-US" w:eastAsia="en-US" w:bidi="ar-SA"/>
        </w:rPr>
        <w:t>8</w:t>
      </w:r>
      <w:r>
        <w:rPr>
          <w:rFonts w:cs="Times New Roman"/>
          <w:lang w:val="en-US" w:eastAsia="en-US" w:bidi="ar-SA"/>
        </w:rPr>
        <w:t xml:space="preserve"> reveals a </w:t>
      </w:r>
      <w:proofErr w:type="spellStart"/>
      <w:r>
        <w:rPr>
          <w:rFonts w:cs="Times New Roman"/>
          <w:lang w:val="en-US" w:eastAsia="en-US" w:bidi="ar-SA"/>
        </w:rPr>
        <w:t>Nagelkerke</w:t>
      </w:r>
      <w:proofErr w:type="spellEnd"/>
      <w:r>
        <w:rPr>
          <w:rFonts w:cs="Times New Roman"/>
          <w:lang w:val="en-US" w:eastAsia="en-US" w:bidi="ar-SA"/>
        </w:rPr>
        <w:t xml:space="preserve"> R</w:t>
      </w:r>
      <w:r w:rsidRPr="00DA28F7">
        <w:rPr>
          <w:rFonts w:cs="Times New Roman"/>
          <w:vertAlign w:val="superscript"/>
          <w:lang w:val="en-US" w:eastAsia="en-US" w:bidi="ar-SA"/>
        </w:rPr>
        <w:t>2</w:t>
      </w:r>
      <w:r>
        <w:rPr>
          <w:rFonts w:cs="Times New Roman"/>
          <w:lang w:val="en-US" w:eastAsia="en-US" w:bidi="ar-SA"/>
        </w:rPr>
        <w:t xml:space="preserve"> of 0.052 which indicates that in 2011, there is a weak relation between AUM and the disclosure of a rating allocation.</w:t>
      </w:r>
    </w:p>
    <w:p w:rsidR="001F6A24" w:rsidRDefault="001F6A24" w:rsidP="00A912F1">
      <w:pPr>
        <w:spacing w:line="360" w:lineRule="auto"/>
        <w:jc w:val="both"/>
        <w:rPr>
          <w:rFonts w:cs="Times New Roman"/>
          <w:sz w:val="20"/>
          <w:szCs w:val="20"/>
          <w:lang w:val="en-US" w:eastAsia="en-US" w:bidi="ar-SA"/>
        </w:rPr>
      </w:pPr>
    </w:p>
    <w:tbl>
      <w:tblP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A912F1" w:rsidRPr="00AD2AC8" w:rsidTr="00A912F1">
        <w:trPr>
          <w:cantSplit/>
          <w:tblHeader/>
        </w:trPr>
        <w:tc>
          <w:tcPr>
            <w:tcW w:w="4253" w:type="dxa"/>
            <w:gridSpan w:val="4"/>
            <w:tcBorders>
              <w:top w:val="nil"/>
              <w:left w:val="nil"/>
              <w:bottom w:val="nil"/>
              <w:right w:val="nil"/>
            </w:tcBorders>
            <w:shd w:val="clear" w:color="auto" w:fill="FFFFFF"/>
            <w:vAlign w:val="center"/>
          </w:tcPr>
          <w:p w:rsidR="00A912F1" w:rsidRPr="00AD2AC8" w:rsidRDefault="00A912F1" w:rsidP="00A912F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A912F1"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A912F1"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A912F1" w:rsidRPr="00AD2AC8" w:rsidRDefault="00F00074"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19.346</w:t>
            </w:r>
            <w:r w:rsidR="00A912F1"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w:t>
            </w:r>
            <w:r w:rsidR="00F00074">
              <w:rPr>
                <w:rFonts w:ascii="Arial" w:hAnsi="Arial" w:cs="Arial"/>
                <w:color w:val="000000"/>
                <w:sz w:val="18"/>
                <w:szCs w:val="18"/>
                <w:lang w:val="nl-NL" w:eastAsia="en-US" w:bidi="ar-SA"/>
              </w:rPr>
              <w:t>203</w:t>
            </w:r>
          </w:p>
        </w:tc>
        <w:tc>
          <w:tcPr>
            <w:tcW w:w="1418" w:type="dxa"/>
            <w:tcBorders>
              <w:top w:val="single" w:sz="16" w:space="0" w:color="000000"/>
              <w:bottom w:val="single" w:sz="16" w:space="0" w:color="000000"/>
              <w:right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w:t>
            </w:r>
            <w:r w:rsidR="00F00074">
              <w:rPr>
                <w:rFonts w:ascii="Arial" w:hAnsi="Arial" w:cs="Arial"/>
                <w:color w:val="000000"/>
                <w:sz w:val="18"/>
                <w:szCs w:val="18"/>
                <w:lang w:val="nl-NL" w:eastAsia="en-US" w:bidi="ar-SA"/>
              </w:rPr>
              <w:t>321</w:t>
            </w:r>
          </w:p>
        </w:tc>
      </w:tr>
      <w:tr w:rsidR="00A912F1" w:rsidRPr="00AD2AC8" w:rsidTr="00A912F1">
        <w:trPr>
          <w:cantSplit/>
        </w:trPr>
        <w:tc>
          <w:tcPr>
            <w:tcW w:w="4253" w:type="dxa"/>
            <w:gridSpan w:val="4"/>
            <w:tcBorders>
              <w:top w:val="nil"/>
              <w:left w:val="nil"/>
              <w:bottom w:val="nil"/>
              <w:right w:val="nil"/>
            </w:tcBorders>
            <w:shd w:val="clear" w:color="auto" w:fill="FFFFFF"/>
          </w:tcPr>
          <w:p w:rsidR="00A912F1" w:rsidRPr="00BC2E83" w:rsidRDefault="00A912F1" w:rsidP="00F00074">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sidR="00F00074">
              <w:rPr>
                <w:rFonts w:ascii="Arial" w:hAnsi="Arial" w:cs="Arial"/>
                <w:color w:val="000000"/>
                <w:sz w:val="17"/>
                <w:szCs w:val="17"/>
                <w:lang w:val="en-US" w:eastAsia="en-US" w:bidi="ar-SA"/>
              </w:rPr>
              <w:t>6</w:t>
            </w:r>
            <w:r w:rsidRPr="00BC2E83">
              <w:rPr>
                <w:rFonts w:ascii="Arial" w:hAnsi="Arial" w:cs="Arial"/>
                <w:color w:val="000000"/>
                <w:sz w:val="17"/>
                <w:szCs w:val="17"/>
                <w:lang w:val="en-US" w:eastAsia="en-US" w:bidi="ar-SA"/>
              </w:rPr>
              <w:t xml:space="preserve"> because parameter estimates changed by less than .001.</w:t>
            </w:r>
          </w:p>
        </w:tc>
      </w:tr>
    </w:tbl>
    <w:tbl>
      <w:tblPr>
        <w:tblpPr w:leftFromText="141" w:rightFromText="141" w:vertAnchor="text" w:horzAnchor="margin" w:tblpXSpec="right" w:tblpY="-1786"/>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A912F1" w:rsidRPr="00AD2AC8" w:rsidTr="00A912F1">
        <w:trPr>
          <w:cantSplit/>
          <w:tblHeader/>
        </w:trPr>
        <w:tc>
          <w:tcPr>
            <w:tcW w:w="4253" w:type="dxa"/>
            <w:gridSpan w:val="4"/>
            <w:tcBorders>
              <w:top w:val="nil"/>
              <w:left w:val="nil"/>
              <w:bottom w:val="nil"/>
              <w:right w:val="nil"/>
            </w:tcBorders>
            <w:shd w:val="clear" w:color="auto" w:fill="FFFFFF"/>
            <w:vAlign w:val="center"/>
          </w:tcPr>
          <w:p w:rsidR="00A912F1" w:rsidRPr="00AD2AC8" w:rsidRDefault="00A912F1" w:rsidP="00A912F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A912F1"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A912F1" w:rsidRPr="00AD2AC8" w:rsidRDefault="00A912F1" w:rsidP="00A912F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A912F1" w:rsidRPr="00AD2AC8" w:rsidTr="00A912F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A912F1" w:rsidRPr="00AD2AC8" w:rsidRDefault="00F00074"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33.650</w:t>
            </w:r>
            <w:r w:rsidR="00A912F1"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A912F1" w:rsidRPr="00AD2AC8" w:rsidRDefault="00A912F1" w:rsidP="00A912F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.000</w:t>
            </w:r>
          </w:p>
        </w:tc>
        <w:tc>
          <w:tcPr>
            <w:tcW w:w="1418" w:type="dxa"/>
            <w:tcBorders>
              <w:top w:val="single" w:sz="16" w:space="0" w:color="000000"/>
              <w:bottom w:val="single" w:sz="16" w:space="0" w:color="000000"/>
              <w:right w:val="single" w:sz="16" w:space="0" w:color="000000"/>
            </w:tcBorders>
            <w:shd w:val="clear" w:color="auto" w:fill="FFFFFF"/>
          </w:tcPr>
          <w:p w:rsidR="00A912F1" w:rsidRPr="00AD2AC8" w:rsidRDefault="00A912F1" w:rsidP="00F00074">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.00</w:t>
            </w:r>
            <w:r w:rsidR="00F00074">
              <w:rPr>
                <w:rFonts w:ascii="Arial" w:hAnsi="Arial" w:cs="Arial"/>
                <w:color w:val="000000"/>
                <w:sz w:val="18"/>
                <w:szCs w:val="18"/>
                <w:lang w:val="nl-NL" w:eastAsia="en-US" w:bidi="ar-SA"/>
              </w:rPr>
              <w:t>0</w:t>
            </w:r>
          </w:p>
        </w:tc>
      </w:tr>
      <w:tr w:rsidR="00A912F1" w:rsidRPr="00AD2AC8" w:rsidTr="00A912F1">
        <w:trPr>
          <w:cantSplit/>
        </w:trPr>
        <w:tc>
          <w:tcPr>
            <w:tcW w:w="4253" w:type="dxa"/>
            <w:gridSpan w:val="4"/>
            <w:tcBorders>
              <w:top w:val="nil"/>
              <w:left w:val="nil"/>
              <w:bottom w:val="nil"/>
              <w:right w:val="nil"/>
            </w:tcBorders>
            <w:shd w:val="clear" w:color="auto" w:fill="FFFFFF"/>
          </w:tcPr>
          <w:p w:rsidR="00A912F1" w:rsidRPr="00BC2E83" w:rsidRDefault="00A912F1" w:rsidP="00A912F1">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Pr>
                <w:rFonts w:ascii="Arial" w:hAnsi="Arial" w:cs="Arial"/>
                <w:color w:val="000000"/>
                <w:sz w:val="17"/>
                <w:szCs w:val="17"/>
                <w:lang w:val="en-US" w:eastAsia="en-US" w:bidi="ar-SA"/>
              </w:rPr>
              <w:t>3</w:t>
            </w:r>
            <w:r w:rsidRPr="00BC2E83">
              <w:rPr>
                <w:rFonts w:ascii="Arial" w:hAnsi="Arial" w:cs="Arial"/>
                <w:color w:val="000000"/>
                <w:sz w:val="17"/>
                <w:szCs w:val="17"/>
                <w:lang w:val="en-US" w:eastAsia="en-US" w:bidi="ar-SA"/>
              </w:rPr>
              <w:t xml:space="preserve"> because parameter estimates changed by less than .001.</w:t>
            </w:r>
          </w:p>
        </w:tc>
      </w:tr>
    </w:tbl>
    <w:p w:rsidR="00A912F1" w:rsidRDefault="00A912F1" w:rsidP="00A912F1">
      <w:pPr>
        <w:rPr>
          <w:rFonts w:cs="Times New Roman"/>
          <w:sz w:val="20"/>
          <w:szCs w:val="20"/>
          <w:lang w:val="en-US" w:eastAsia="en-US" w:bidi="ar-SA"/>
        </w:rPr>
      </w:pPr>
    </w:p>
    <w:p w:rsidR="009155B4" w:rsidRDefault="009155B4" w:rsidP="00A912F1">
      <w:pPr>
        <w:spacing w:line="320" w:lineRule="atLeast"/>
        <w:rPr>
          <w:rFonts w:cs="Times New Roman"/>
          <w:sz w:val="20"/>
          <w:szCs w:val="20"/>
          <w:lang w:val="en-US" w:eastAsia="en-US" w:bidi="ar-SA"/>
        </w:rPr>
      </w:pPr>
      <w:r>
        <w:rPr>
          <w:rFonts w:cs="Times New Roman"/>
          <w:sz w:val="20"/>
          <w:szCs w:val="20"/>
          <w:lang w:val="en-US" w:eastAsia="en-US" w:bidi="ar-SA"/>
        </w:rPr>
        <w:t>Table 3</w:t>
      </w:r>
      <w:r w:rsidR="00174C85">
        <w:rPr>
          <w:rFonts w:cs="Times New Roman"/>
          <w:sz w:val="20"/>
          <w:szCs w:val="20"/>
          <w:lang w:val="en-US" w:eastAsia="en-US" w:bidi="ar-SA"/>
        </w:rPr>
        <w:t>9</w:t>
      </w:r>
      <w:r>
        <w:rPr>
          <w:rFonts w:cs="Times New Roman"/>
          <w:sz w:val="20"/>
          <w:szCs w:val="20"/>
          <w:lang w:val="en-US" w:eastAsia="en-US" w:bidi="ar-SA"/>
        </w:rPr>
        <w:t xml:space="preserve">: Logistic regression with dependent </w:t>
      </w:r>
      <w:r>
        <w:rPr>
          <w:rFonts w:cs="Times New Roman"/>
          <w:sz w:val="20"/>
          <w:szCs w:val="20"/>
          <w:lang w:val="en-US" w:eastAsia="en-US" w:bidi="ar-SA"/>
        </w:rPr>
        <w:tab/>
      </w:r>
      <w:r>
        <w:rPr>
          <w:rFonts w:cs="Times New Roman"/>
          <w:sz w:val="20"/>
          <w:szCs w:val="20"/>
          <w:lang w:val="en-US" w:eastAsia="en-US" w:bidi="ar-SA"/>
        </w:rPr>
        <w:tab/>
        <w:t xml:space="preserve">Table </w:t>
      </w:r>
      <w:r w:rsidR="00174C85">
        <w:rPr>
          <w:rFonts w:cs="Times New Roman"/>
          <w:sz w:val="20"/>
          <w:szCs w:val="20"/>
          <w:lang w:val="en-US" w:eastAsia="en-US" w:bidi="ar-SA"/>
        </w:rPr>
        <w:t>40</w:t>
      </w:r>
      <w:r>
        <w:rPr>
          <w:rFonts w:cs="Times New Roman"/>
          <w:sz w:val="20"/>
          <w:szCs w:val="20"/>
          <w:lang w:val="en-US" w:eastAsia="en-US" w:bidi="ar-SA"/>
        </w:rPr>
        <w:t xml:space="preserve">: Logistic regression with dependent </w:t>
      </w:r>
    </w:p>
    <w:p w:rsidR="009155B4" w:rsidRDefault="009155B4" w:rsidP="00A912F1">
      <w:pPr>
        <w:spacing w:line="320" w:lineRule="atLeast"/>
        <w:rPr>
          <w:rFonts w:cs="Times New Roman"/>
          <w:sz w:val="20"/>
          <w:szCs w:val="20"/>
          <w:lang w:val="en-US" w:eastAsia="en-US" w:bidi="ar-SA"/>
        </w:rPr>
      </w:pPr>
      <w:r>
        <w:rPr>
          <w:rFonts w:cs="Times New Roman"/>
          <w:sz w:val="20"/>
          <w:szCs w:val="20"/>
          <w:lang w:val="en-US" w:eastAsia="en-US" w:bidi="ar-SA"/>
        </w:rPr>
        <w:t xml:space="preserve">variable disclosure position allocation in financial </w:t>
      </w:r>
      <w:r>
        <w:rPr>
          <w:rFonts w:cs="Times New Roman"/>
          <w:sz w:val="20"/>
          <w:szCs w:val="20"/>
          <w:lang w:val="en-US" w:eastAsia="en-US" w:bidi="ar-SA"/>
        </w:rPr>
        <w:tab/>
      </w:r>
      <w:r>
        <w:rPr>
          <w:rFonts w:cs="Times New Roman"/>
          <w:sz w:val="20"/>
          <w:szCs w:val="20"/>
          <w:lang w:val="en-US" w:eastAsia="en-US" w:bidi="ar-SA"/>
        </w:rPr>
        <w:tab/>
        <w:t xml:space="preserve">variable disclosure </w:t>
      </w:r>
      <w:r w:rsidR="009044C1">
        <w:rPr>
          <w:rFonts w:cs="Times New Roman"/>
          <w:sz w:val="20"/>
          <w:szCs w:val="20"/>
          <w:lang w:val="en-US" w:eastAsia="en-US" w:bidi="ar-SA"/>
        </w:rPr>
        <w:t xml:space="preserve">position </w:t>
      </w:r>
      <w:r>
        <w:rPr>
          <w:rFonts w:cs="Times New Roman"/>
          <w:sz w:val="20"/>
          <w:szCs w:val="20"/>
          <w:lang w:val="en-US" w:eastAsia="en-US" w:bidi="ar-SA"/>
        </w:rPr>
        <w:t>allocation in financial</w:t>
      </w:r>
    </w:p>
    <w:p w:rsidR="009155B4" w:rsidRDefault="009155B4" w:rsidP="00A912F1">
      <w:pPr>
        <w:spacing w:line="320" w:lineRule="atLeast"/>
        <w:rPr>
          <w:rFonts w:cs="Times New Roman"/>
          <w:sz w:val="20"/>
          <w:szCs w:val="20"/>
          <w:lang w:val="en-US" w:eastAsia="en-US" w:bidi="ar-SA"/>
        </w:rPr>
      </w:pPr>
      <w:r>
        <w:rPr>
          <w:rFonts w:cs="Times New Roman"/>
          <w:sz w:val="20"/>
          <w:szCs w:val="20"/>
          <w:lang w:val="en-US" w:eastAsia="en-US" w:bidi="ar-SA"/>
        </w:rPr>
        <w:t>statements 2006 and as covariate AUM 2006</w:t>
      </w:r>
      <w:r>
        <w:rPr>
          <w:rFonts w:cs="Times New Roman"/>
          <w:sz w:val="20"/>
          <w:szCs w:val="20"/>
          <w:lang w:val="en-US" w:eastAsia="en-US" w:bidi="ar-SA"/>
        </w:rPr>
        <w:tab/>
      </w:r>
      <w:r>
        <w:rPr>
          <w:rFonts w:cs="Times New Roman"/>
          <w:sz w:val="20"/>
          <w:szCs w:val="20"/>
          <w:lang w:val="en-US" w:eastAsia="en-US" w:bidi="ar-SA"/>
        </w:rPr>
        <w:tab/>
      </w:r>
      <w:r>
        <w:rPr>
          <w:rFonts w:cs="Times New Roman"/>
          <w:sz w:val="20"/>
          <w:szCs w:val="20"/>
          <w:lang w:val="en-US" w:eastAsia="en-US" w:bidi="ar-SA"/>
        </w:rPr>
        <w:tab/>
        <w:t>statements 2011 and as covariate AUM 2011</w:t>
      </w:r>
    </w:p>
    <w:p w:rsidR="00336A8B" w:rsidRPr="00336A8B" w:rsidRDefault="00336A8B" w:rsidP="00A912F1">
      <w:pPr>
        <w:autoSpaceDE w:val="0"/>
        <w:autoSpaceDN w:val="0"/>
        <w:adjustRightInd w:val="0"/>
        <w:rPr>
          <w:rFonts w:cs="Times New Roman"/>
          <w:lang w:val="en-US" w:eastAsia="en-US" w:bidi="ar-SA"/>
        </w:rPr>
      </w:pPr>
    </w:p>
    <w:p w:rsidR="000D0F07" w:rsidRDefault="000D0F07" w:rsidP="005F5E1F">
      <w:pPr>
        <w:spacing w:line="360" w:lineRule="auto"/>
        <w:jc w:val="both"/>
        <w:rPr>
          <w:rFonts w:cs="Times New Roman"/>
          <w:lang w:val="en-US" w:eastAsia="en-US" w:bidi="ar-SA"/>
        </w:rPr>
      </w:pPr>
      <w:r>
        <w:rPr>
          <w:rFonts w:cs="Times New Roman"/>
          <w:lang w:val="en-US" w:eastAsia="en-US" w:bidi="ar-SA"/>
        </w:rPr>
        <w:t>Regarding the relation between AUM and the disclosure of a position allocation, table 3</w:t>
      </w:r>
      <w:r w:rsidR="00174C85">
        <w:rPr>
          <w:rFonts w:cs="Times New Roman"/>
          <w:lang w:val="en-US" w:eastAsia="en-US" w:bidi="ar-SA"/>
        </w:rPr>
        <w:t>9</w:t>
      </w:r>
      <w:r>
        <w:rPr>
          <w:rFonts w:cs="Times New Roman"/>
          <w:lang w:val="en-US" w:eastAsia="en-US" w:bidi="ar-SA"/>
        </w:rPr>
        <w:t xml:space="preserve"> reveals in 2006 with a </w:t>
      </w:r>
      <w:proofErr w:type="spellStart"/>
      <w:r>
        <w:rPr>
          <w:rFonts w:cs="Times New Roman"/>
          <w:lang w:val="en-US" w:eastAsia="en-US" w:bidi="ar-SA"/>
        </w:rPr>
        <w:t>Nagelkerke</w:t>
      </w:r>
      <w:proofErr w:type="spellEnd"/>
      <w:r>
        <w:rPr>
          <w:rFonts w:cs="Times New Roman"/>
          <w:lang w:val="en-US" w:eastAsia="en-US" w:bidi="ar-SA"/>
        </w:rPr>
        <w:t xml:space="preserve"> R</w:t>
      </w:r>
      <w:r w:rsidRPr="00DA28F7">
        <w:rPr>
          <w:rFonts w:cs="Times New Roman"/>
          <w:vertAlign w:val="superscript"/>
          <w:lang w:val="en-US" w:eastAsia="en-US" w:bidi="ar-SA"/>
        </w:rPr>
        <w:t>2</w:t>
      </w:r>
      <w:r>
        <w:rPr>
          <w:rFonts w:cs="Times New Roman"/>
          <w:lang w:val="en-US" w:eastAsia="en-US" w:bidi="ar-SA"/>
        </w:rPr>
        <w:t xml:space="preserve"> of 0.321 a reasonably strong relation. With 0.000, the relation hardly exists in 2011.</w:t>
      </w:r>
    </w:p>
    <w:p w:rsidR="001F6A24" w:rsidRDefault="001F6A24" w:rsidP="005F5E1F">
      <w:pPr>
        <w:spacing w:line="360" w:lineRule="auto"/>
        <w:jc w:val="both"/>
        <w:rPr>
          <w:rFonts w:cs="Times New Roman"/>
          <w:lang w:val="en-US" w:eastAsia="en-US" w:bidi="ar-SA"/>
        </w:rPr>
      </w:pPr>
    </w:p>
    <w:p w:rsidR="001F6A24" w:rsidRDefault="001F6A24" w:rsidP="005F5E1F">
      <w:pPr>
        <w:spacing w:line="360" w:lineRule="auto"/>
        <w:jc w:val="both"/>
        <w:rPr>
          <w:rFonts w:cs="Times New Roman"/>
          <w:lang w:val="en-US" w:eastAsia="en-US" w:bidi="ar-SA"/>
        </w:rPr>
      </w:pPr>
    </w:p>
    <w:p w:rsidR="001F6A24" w:rsidRDefault="001F6A24" w:rsidP="005F5E1F">
      <w:pPr>
        <w:spacing w:line="360" w:lineRule="auto"/>
        <w:jc w:val="both"/>
        <w:rPr>
          <w:rFonts w:cs="Times New Roman"/>
          <w:lang w:val="en-US" w:eastAsia="en-US" w:bidi="ar-SA"/>
        </w:rPr>
      </w:pPr>
    </w:p>
    <w:p w:rsidR="00075B37" w:rsidRPr="00174C85" w:rsidRDefault="00075B37" w:rsidP="00A912F1">
      <w:pPr>
        <w:autoSpaceDE w:val="0"/>
        <w:autoSpaceDN w:val="0"/>
        <w:adjustRightInd w:val="0"/>
        <w:spacing w:line="40" w:lineRule="atLeast"/>
        <w:rPr>
          <w:rFonts w:cs="Times New Roman"/>
          <w:lang w:val="en-US" w:eastAsia="en-US" w:bidi="ar-SA"/>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2185"/>
        <w:gridCol w:w="1012"/>
        <w:gridCol w:w="1010"/>
        <w:gridCol w:w="1012"/>
        <w:gridCol w:w="1012"/>
        <w:gridCol w:w="1012"/>
        <w:gridCol w:w="1012"/>
      </w:tblGrid>
      <w:tr w:rsidR="00075B37" w:rsidRPr="00075B37" w:rsidTr="004C6E2F">
        <w:trPr>
          <w:cantSplit/>
          <w:tblHeader/>
        </w:trPr>
        <w:tc>
          <w:tcPr>
            <w:tcW w:w="9180" w:type="dxa"/>
            <w:gridSpan w:val="8"/>
            <w:tcBorders>
              <w:top w:val="nil"/>
              <w:left w:val="nil"/>
              <w:bottom w:val="nil"/>
              <w:right w:val="nil"/>
            </w:tcBorders>
            <w:shd w:val="clear" w:color="auto" w:fill="FFFFFF"/>
            <w:vAlign w:val="center"/>
          </w:tcPr>
          <w:p w:rsidR="00075B37" w:rsidRPr="00075B37" w:rsidRDefault="00075B37" w:rsidP="00075B37">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075B37">
              <w:rPr>
                <w:rFonts w:ascii="Arial" w:hAnsi="Arial" w:cs="Arial"/>
                <w:b/>
                <w:bCs/>
                <w:color w:val="000000"/>
                <w:sz w:val="18"/>
                <w:szCs w:val="18"/>
                <w:lang w:val="nl-NL" w:eastAsia="en-US" w:bidi="ar-SA"/>
              </w:rPr>
              <w:t xml:space="preserve">Variables in the </w:t>
            </w:r>
            <w:proofErr w:type="spellStart"/>
            <w:r w:rsidRPr="00075B37">
              <w:rPr>
                <w:rFonts w:ascii="Arial" w:hAnsi="Arial" w:cs="Arial"/>
                <w:b/>
                <w:bCs/>
                <w:color w:val="000000"/>
                <w:sz w:val="18"/>
                <w:szCs w:val="18"/>
                <w:lang w:val="nl-NL" w:eastAsia="en-US" w:bidi="ar-SA"/>
              </w:rPr>
              <w:t>Equation</w:t>
            </w:r>
            <w:proofErr w:type="spellEnd"/>
          </w:p>
        </w:tc>
      </w:tr>
      <w:tr w:rsidR="00075B37" w:rsidRPr="00075B37" w:rsidTr="004C6E2F">
        <w:trPr>
          <w:cantSplit/>
          <w:tblHeader/>
        </w:trPr>
        <w:tc>
          <w:tcPr>
            <w:tcW w:w="311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75B37" w:rsidRPr="00075B37" w:rsidRDefault="00075B37" w:rsidP="001B19F0">
            <w:pPr>
              <w:autoSpaceDE w:val="0"/>
              <w:autoSpaceDN w:val="0"/>
              <w:adjustRightInd w:val="0"/>
              <w:spacing w:line="276" w:lineRule="auto"/>
              <w:jc w:val="center"/>
              <w:rPr>
                <w:rFonts w:cs="Times New Roman"/>
                <w:lang w:val="nl-NL" w:eastAsia="en-US" w:bidi="ar-SA"/>
              </w:rPr>
            </w:pPr>
          </w:p>
        </w:tc>
        <w:tc>
          <w:tcPr>
            <w:tcW w:w="1012" w:type="dxa"/>
            <w:tcBorders>
              <w:top w:val="single" w:sz="16" w:space="0" w:color="000000"/>
              <w:left w:val="single" w:sz="16" w:space="0" w:color="000000"/>
              <w:bottom w:val="single" w:sz="16" w:space="0" w:color="000000"/>
            </w:tcBorders>
            <w:shd w:val="clear" w:color="auto" w:fill="FFFFFF"/>
            <w:vAlign w:val="bottom"/>
          </w:tcPr>
          <w:p w:rsidR="00075B37" w:rsidRPr="00075B37" w:rsidRDefault="00075B37"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B</w:t>
            </w:r>
          </w:p>
        </w:tc>
        <w:tc>
          <w:tcPr>
            <w:tcW w:w="1010" w:type="dxa"/>
            <w:tcBorders>
              <w:top w:val="single" w:sz="16" w:space="0" w:color="000000"/>
              <w:bottom w:val="single" w:sz="16" w:space="0" w:color="000000"/>
            </w:tcBorders>
            <w:shd w:val="clear" w:color="auto" w:fill="FFFFFF"/>
            <w:vAlign w:val="bottom"/>
          </w:tcPr>
          <w:p w:rsidR="00075B37" w:rsidRPr="00075B37" w:rsidRDefault="00075B37"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S.E.</w:t>
            </w:r>
          </w:p>
        </w:tc>
        <w:tc>
          <w:tcPr>
            <w:tcW w:w="1012" w:type="dxa"/>
            <w:tcBorders>
              <w:top w:val="single" w:sz="16" w:space="0" w:color="000000"/>
              <w:bottom w:val="single" w:sz="16" w:space="0" w:color="000000"/>
            </w:tcBorders>
            <w:shd w:val="clear" w:color="auto" w:fill="FFFFFF"/>
            <w:vAlign w:val="bottom"/>
          </w:tcPr>
          <w:p w:rsidR="00075B37" w:rsidRPr="00075B37" w:rsidRDefault="00075B37"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075B37">
              <w:rPr>
                <w:rFonts w:ascii="Arial" w:hAnsi="Arial" w:cs="Arial"/>
                <w:color w:val="000000"/>
                <w:sz w:val="18"/>
                <w:szCs w:val="18"/>
                <w:lang w:val="nl-NL" w:eastAsia="en-US" w:bidi="ar-SA"/>
              </w:rPr>
              <w:t>Wald</w:t>
            </w:r>
            <w:proofErr w:type="spellEnd"/>
          </w:p>
        </w:tc>
        <w:tc>
          <w:tcPr>
            <w:tcW w:w="1012" w:type="dxa"/>
            <w:tcBorders>
              <w:top w:val="single" w:sz="16" w:space="0" w:color="000000"/>
              <w:bottom w:val="single" w:sz="16" w:space="0" w:color="000000"/>
            </w:tcBorders>
            <w:shd w:val="clear" w:color="auto" w:fill="FFFFFF"/>
            <w:vAlign w:val="bottom"/>
          </w:tcPr>
          <w:p w:rsidR="00075B37" w:rsidRPr="00075B37" w:rsidRDefault="00075B37"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075B37">
              <w:rPr>
                <w:rFonts w:ascii="Arial" w:hAnsi="Arial" w:cs="Arial"/>
                <w:color w:val="000000"/>
                <w:sz w:val="18"/>
                <w:szCs w:val="18"/>
                <w:lang w:val="nl-NL" w:eastAsia="en-US" w:bidi="ar-SA"/>
              </w:rPr>
              <w:t>df</w:t>
            </w:r>
            <w:proofErr w:type="spellEnd"/>
          </w:p>
        </w:tc>
        <w:tc>
          <w:tcPr>
            <w:tcW w:w="1012" w:type="dxa"/>
            <w:tcBorders>
              <w:top w:val="single" w:sz="16" w:space="0" w:color="000000"/>
              <w:bottom w:val="single" w:sz="16" w:space="0" w:color="000000"/>
            </w:tcBorders>
            <w:shd w:val="clear" w:color="auto" w:fill="FFFFFF"/>
            <w:vAlign w:val="bottom"/>
          </w:tcPr>
          <w:p w:rsidR="00075B37" w:rsidRPr="00075B37" w:rsidRDefault="00075B37"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075B37">
              <w:rPr>
                <w:rFonts w:ascii="Arial" w:hAnsi="Arial" w:cs="Arial"/>
                <w:color w:val="000000"/>
                <w:sz w:val="18"/>
                <w:szCs w:val="18"/>
                <w:lang w:val="nl-NL" w:eastAsia="en-US" w:bidi="ar-SA"/>
              </w:rPr>
              <w:t>Sig</w:t>
            </w:r>
            <w:proofErr w:type="spellEnd"/>
            <w:r w:rsidRPr="00075B37">
              <w:rPr>
                <w:rFonts w:ascii="Arial" w:hAnsi="Arial" w:cs="Arial"/>
                <w:color w:val="000000"/>
                <w:sz w:val="18"/>
                <w:szCs w:val="18"/>
                <w:lang w:val="nl-NL" w:eastAsia="en-US" w:bidi="ar-SA"/>
              </w:rPr>
              <w:t>.</w:t>
            </w:r>
          </w:p>
        </w:tc>
        <w:tc>
          <w:tcPr>
            <w:tcW w:w="1012" w:type="dxa"/>
            <w:tcBorders>
              <w:top w:val="single" w:sz="16" w:space="0" w:color="000000"/>
              <w:bottom w:val="single" w:sz="16" w:space="0" w:color="000000"/>
              <w:right w:val="single" w:sz="16" w:space="0" w:color="000000"/>
            </w:tcBorders>
            <w:shd w:val="clear" w:color="auto" w:fill="FFFFFF"/>
            <w:vAlign w:val="bottom"/>
          </w:tcPr>
          <w:p w:rsidR="00075B37" w:rsidRPr="00075B37" w:rsidRDefault="00075B37" w:rsidP="001B19F0">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075B37">
              <w:rPr>
                <w:rFonts w:ascii="Arial" w:hAnsi="Arial" w:cs="Arial"/>
                <w:color w:val="000000"/>
                <w:sz w:val="18"/>
                <w:szCs w:val="18"/>
                <w:lang w:val="nl-NL" w:eastAsia="en-US" w:bidi="ar-SA"/>
              </w:rPr>
              <w:t>Exp</w:t>
            </w:r>
            <w:proofErr w:type="spellEnd"/>
            <w:r w:rsidRPr="00075B37">
              <w:rPr>
                <w:rFonts w:ascii="Arial" w:hAnsi="Arial" w:cs="Arial"/>
                <w:color w:val="000000"/>
                <w:sz w:val="18"/>
                <w:szCs w:val="18"/>
                <w:lang w:val="nl-NL" w:eastAsia="en-US" w:bidi="ar-SA"/>
              </w:rPr>
              <w:t>(B)</w:t>
            </w:r>
          </w:p>
        </w:tc>
      </w:tr>
      <w:tr w:rsidR="00075B37" w:rsidRPr="00075B37" w:rsidTr="004C6E2F">
        <w:trPr>
          <w:cantSplit/>
          <w:tblHeader/>
        </w:trPr>
        <w:tc>
          <w:tcPr>
            <w:tcW w:w="925" w:type="dxa"/>
            <w:vMerge w:val="restart"/>
            <w:tcBorders>
              <w:top w:val="single" w:sz="16" w:space="0" w:color="000000"/>
              <w:left w:val="single" w:sz="16" w:space="0" w:color="000000"/>
              <w:bottom w:val="single" w:sz="16" w:space="0" w:color="000000"/>
              <w:right w:val="nil"/>
            </w:tcBorders>
            <w:shd w:val="clear" w:color="auto" w:fill="FFFFFF"/>
          </w:tcPr>
          <w:p w:rsidR="00075B37" w:rsidRPr="00075B37" w:rsidRDefault="00075B37"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Step 1</w:t>
            </w:r>
            <w:r w:rsidRPr="00075B37">
              <w:rPr>
                <w:rFonts w:ascii="Arial" w:hAnsi="Arial" w:cs="Arial"/>
                <w:color w:val="000000"/>
                <w:sz w:val="18"/>
                <w:szCs w:val="18"/>
                <w:vertAlign w:val="superscript"/>
                <w:lang w:val="nl-NL" w:eastAsia="en-US" w:bidi="ar-SA"/>
              </w:rPr>
              <w:t>a</w:t>
            </w:r>
          </w:p>
        </w:tc>
        <w:tc>
          <w:tcPr>
            <w:tcW w:w="2185" w:type="dxa"/>
            <w:tcBorders>
              <w:top w:val="single" w:sz="16" w:space="0" w:color="000000"/>
              <w:left w:val="nil"/>
              <w:bottom w:val="nil"/>
              <w:right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AUM_2006_</w:t>
            </w:r>
            <w:proofErr w:type="spellStart"/>
            <w:r w:rsidRPr="00075B37">
              <w:rPr>
                <w:rFonts w:ascii="Arial" w:hAnsi="Arial" w:cs="Arial"/>
                <w:color w:val="000000"/>
                <w:sz w:val="18"/>
                <w:szCs w:val="18"/>
                <w:lang w:val="nl-NL" w:eastAsia="en-US" w:bidi="ar-SA"/>
              </w:rPr>
              <w:t>billion</w:t>
            </w:r>
            <w:proofErr w:type="spellEnd"/>
            <w:r w:rsidRPr="00075B37">
              <w:rPr>
                <w:rFonts w:ascii="Arial" w:hAnsi="Arial" w:cs="Arial"/>
                <w:color w:val="000000"/>
                <w:sz w:val="18"/>
                <w:szCs w:val="18"/>
                <w:lang w:val="nl-NL" w:eastAsia="en-US" w:bidi="ar-SA"/>
              </w:rPr>
              <w:t>_</w:t>
            </w:r>
            <w:proofErr w:type="spellStart"/>
            <w:r w:rsidRPr="00075B37">
              <w:rPr>
                <w:rFonts w:ascii="Arial" w:hAnsi="Arial" w:cs="Arial"/>
                <w:color w:val="000000"/>
                <w:sz w:val="18"/>
                <w:szCs w:val="18"/>
                <w:lang w:val="nl-NL" w:eastAsia="en-US" w:bidi="ar-SA"/>
              </w:rPr>
              <w:t>eur</w:t>
            </w:r>
            <w:proofErr w:type="spellEnd"/>
          </w:p>
        </w:tc>
        <w:tc>
          <w:tcPr>
            <w:tcW w:w="1012" w:type="dxa"/>
            <w:tcBorders>
              <w:top w:val="single" w:sz="16" w:space="0" w:color="000000"/>
              <w:left w:val="single" w:sz="16" w:space="0" w:color="000000"/>
              <w:bottom w:val="nil"/>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.042</w:t>
            </w:r>
          </w:p>
        </w:tc>
        <w:tc>
          <w:tcPr>
            <w:tcW w:w="1010" w:type="dxa"/>
            <w:tcBorders>
              <w:top w:val="single" w:sz="16" w:space="0" w:color="000000"/>
              <w:bottom w:val="nil"/>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.029</w:t>
            </w:r>
          </w:p>
        </w:tc>
        <w:tc>
          <w:tcPr>
            <w:tcW w:w="1012" w:type="dxa"/>
            <w:tcBorders>
              <w:top w:val="single" w:sz="16" w:space="0" w:color="000000"/>
              <w:bottom w:val="nil"/>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2.024</w:t>
            </w:r>
          </w:p>
        </w:tc>
        <w:tc>
          <w:tcPr>
            <w:tcW w:w="1012" w:type="dxa"/>
            <w:tcBorders>
              <w:top w:val="single" w:sz="16" w:space="0" w:color="000000"/>
              <w:bottom w:val="nil"/>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1</w:t>
            </w:r>
          </w:p>
        </w:tc>
        <w:tc>
          <w:tcPr>
            <w:tcW w:w="1012" w:type="dxa"/>
            <w:tcBorders>
              <w:top w:val="single" w:sz="16" w:space="0" w:color="000000"/>
              <w:bottom w:val="nil"/>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.155</w:t>
            </w:r>
          </w:p>
        </w:tc>
        <w:tc>
          <w:tcPr>
            <w:tcW w:w="1012" w:type="dxa"/>
            <w:tcBorders>
              <w:top w:val="single" w:sz="16" w:space="0" w:color="000000"/>
              <w:bottom w:val="nil"/>
              <w:right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1.043</w:t>
            </w:r>
          </w:p>
        </w:tc>
      </w:tr>
      <w:tr w:rsidR="00075B37" w:rsidRPr="00075B37" w:rsidTr="004C6E2F">
        <w:trPr>
          <w:cantSplit/>
          <w:tblHeader/>
        </w:trPr>
        <w:tc>
          <w:tcPr>
            <w:tcW w:w="925" w:type="dxa"/>
            <w:vMerge/>
            <w:tcBorders>
              <w:top w:val="single" w:sz="16" w:space="0" w:color="000000"/>
              <w:left w:val="single" w:sz="16" w:space="0" w:color="000000"/>
              <w:bottom w:val="single" w:sz="16" w:space="0" w:color="000000"/>
              <w:right w:val="nil"/>
            </w:tcBorders>
            <w:shd w:val="clear" w:color="auto" w:fill="FFFFFF"/>
          </w:tcPr>
          <w:p w:rsidR="00075B37" w:rsidRPr="00075B37" w:rsidRDefault="00075B37" w:rsidP="001B19F0">
            <w:pPr>
              <w:autoSpaceDE w:val="0"/>
              <w:autoSpaceDN w:val="0"/>
              <w:adjustRightInd w:val="0"/>
              <w:spacing w:line="276" w:lineRule="auto"/>
              <w:rPr>
                <w:rFonts w:ascii="Arial" w:hAnsi="Arial" w:cs="Arial"/>
                <w:color w:val="000000"/>
                <w:sz w:val="18"/>
                <w:szCs w:val="18"/>
                <w:lang w:val="nl-NL" w:eastAsia="en-US" w:bidi="ar-SA"/>
              </w:rPr>
            </w:pPr>
          </w:p>
        </w:tc>
        <w:tc>
          <w:tcPr>
            <w:tcW w:w="2185" w:type="dxa"/>
            <w:tcBorders>
              <w:top w:val="nil"/>
              <w:left w:val="nil"/>
              <w:bottom w:val="single" w:sz="16" w:space="0" w:color="000000"/>
              <w:right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Constant</w:t>
            </w:r>
          </w:p>
        </w:tc>
        <w:tc>
          <w:tcPr>
            <w:tcW w:w="1012" w:type="dxa"/>
            <w:tcBorders>
              <w:top w:val="nil"/>
              <w:left w:val="single" w:sz="16" w:space="0" w:color="000000"/>
              <w:bottom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-2.172</w:t>
            </w:r>
          </w:p>
        </w:tc>
        <w:tc>
          <w:tcPr>
            <w:tcW w:w="1010" w:type="dxa"/>
            <w:tcBorders>
              <w:top w:val="nil"/>
              <w:bottom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.721</w:t>
            </w:r>
          </w:p>
        </w:tc>
        <w:tc>
          <w:tcPr>
            <w:tcW w:w="1012" w:type="dxa"/>
            <w:tcBorders>
              <w:top w:val="nil"/>
              <w:bottom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9.084</w:t>
            </w:r>
          </w:p>
        </w:tc>
        <w:tc>
          <w:tcPr>
            <w:tcW w:w="1012" w:type="dxa"/>
            <w:tcBorders>
              <w:top w:val="nil"/>
              <w:bottom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1</w:t>
            </w:r>
          </w:p>
        </w:tc>
        <w:tc>
          <w:tcPr>
            <w:tcW w:w="1012" w:type="dxa"/>
            <w:tcBorders>
              <w:top w:val="nil"/>
              <w:bottom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.003</w:t>
            </w:r>
          </w:p>
        </w:tc>
        <w:tc>
          <w:tcPr>
            <w:tcW w:w="1012" w:type="dxa"/>
            <w:tcBorders>
              <w:top w:val="nil"/>
              <w:bottom w:val="single" w:sz="16" w:space="0" w:color="000000"/>
              <w:right w:val="single" w:sz="16" w:space="0" w:color="000000"/>
            </w:tcBorders>
            <w:shd w:val="clear" w:color="auto" w:fill="FFFFFF"/>
          </w:tcPr>
          <w:p w:rsidR="00075B37" w:rsidRPr="00075B37" w:rsidRDefault="00075B37" w:rsidP="001B19F0">
            <w:pPr>
              <w:autoSpaceDE w:val="0"/>
              <w:autoSpaceDN w:val="0"/>
              <w:adjustRightInd w:val="0"/>
              <w:spacing w:line="276" w:lineRule="auto"/>
              <w:ind w:left="60" w:right="60"/>
              <w:jc w:val="right"/>
              <w:rPr>
                <w:rFonts w:ascii="Arial" w:hAnsi="Arial" w:cs="Arial"/>
                <w:color w:val="000000"/>
                <w:sz w:val="18"/>
                <w:szCs w:val="18"/>
                <w:lang w:val="nl-NL" w:eastAsia="en-US" w:bidi="ar-SA"/>
              </w:rPr>
            </w:pPr>
            <w:r w:rsidRPr="00075B37">
              <w:rPr>
                <w:rFonts w:ascii="Arial" w:hAnsi="Arial" w:cs="Arial"/>
                <w:color w:val="000000"/>
                <w:sz w:val="18"/>
                <w:szCs w:val="18"/>
                <w:lang w:val="nl-NL" w:eastAsia="en-US" w:bidi="ar-SA"/>
              </w:rPr>
              <w:t>.114</w:t>
            </w:r>
          </w:p>
        </w:tc>
      </w:tr>
      <w:tr w:rsidR="00075B37" w:rsidRPr="00075B37" w:rsidTr="004C6E2F">
        <w:trPr>
          <w:cantSplit/>
        </w:trPr>
        <w:tc>
          <w:tcPr>
            <w:tcW w:w="9180" w:type="dxa"/>
            <w:gridSpan w:val="8"/>
            <w:tcBorders>
              <w:top w:val="nil"/>
              <w:left w:val="nil"/>
              <w:bottom w:val="nil"/>
              <w:right w:val="nil"/>
            </w:tcBorders>
            <w:shd w:val="clear" w:color="auto" w:fill="FFFFFF"/>
          </w:tcPr>
          <w:p w:rsidR="00075B37" w:rsidRPr="00075B37" w:rsidRDefault="00075B37" w:rsidP="00A912F1">
            <w:pPr>
              <w:autoSpaceDE w:val="0"/>
              <w:autoSpaceDN w:val="0"/>
              <w:adjustRightInd w:val="0"/>
              <w:spacing w:line="320" w:lineRule="atLeast"/>
              <w:ind w:left="60" w:right="60"/>
              <w:rPr>
                <w:rFonts w:ascii="Arial" w:hAnsi="Arial" w:cs="Arial"/>
                <w:color w:val="000000"/>
                <w:sz w:val="18"/>
                <w:szCs w:val="18"/>
                <w:lang w:val="en-US" w:eastAsia="en-US" w:bidi="ar-SA"/>
              </w:rPr>
            </w:pPr>
            <w:r w:rsidRPr="00075B37">
              <w:rPr>
                <w:rFonts w:ascii="Arial" w:hAnsi="Arial" w:cs="Arial"/>
                <w:color w:val="000000"/>
                <w:sz w:val="18"/>
                <w:szCs w:val="18"/>
                <w:lang w:val="en-US" w:eastAsia="en-US" w:bidi="ar-SA"/>
              </w:rPr>
              <w:t>a. Variable(s) entered on step 1: AUM_2006_billion_eur.</w:t>
            </w:r>
          </w:p>
        </w:tc>
      </w:tr>
    </w:tbl>
    <w:p w:rsidR="004C6E2F" w:rsidRDefault="00174C85" w:rsidP="00F00074">
      <w:pPr>
        <w:spacing w:line="320" w:lineRule="atLeast"/>
        <w:rPr>
          <w:rFonts w:cs="Times New Roman"/>
          <w:sz w:val="20"/>
          <w:szCs w:val="20"/>
          <w:lang w:val="en-US" w:eastAsia="en-US" w:bidi="ar-SA"/>
        </w:rPr>
      </w:pPr>
      <w:r>
        <w:rPr>
          <w:rFonts w:cs="Times New Roman"/>
          <w:sz w:val="20"/>
          <w:szCs w:val="20"/>
          <w:lang w:val="en-US" w:eastAsia="en-US" w:bidi="ar-SA"/>
        </w:rPr>
        <w:t>Table 41</w:t>
      </w:r>
      <w:r w:rsidR="004C6E2F">
        <w:rPr>
          <w:rFonts w:cs="Times New Roman"/>
          <w:sz w:val="20"/>
          <w:szCs w:val="20"/>
          <w:lang w:val="en-US" w:eastAsia="en-US" w:bidi="ar-SA"/>
        </w:rPr>
        <w:t>: Building blocks regarding the regression equation between dependent variable position allocations regarding bonds in financial statements 2006 and as covariate AUM 2006</w:t>
      </w:r>
    </w:p>
    <w:p w:rsidR="00075B37" w:rsidRPr="00075B37" w:rsidRDefault="00075B37" w:rsidP="00075B37">
      <w:pPr>
        <w:autoSpaceDE w:val="0"/>
        <w:autoSpaceDN w:val="0"/>
        <w:adjustRightInd w:val="0"/>
        <w:spacing w:line="400" w:lineRule="atLeast"/>
        <w:rPr>
          <w:rFonts w:cs="Times New Roman"/>
          <w:lang w:val="en-US" w:eastAsia="en-US" w:bidi="ar-SA"/>
        </w:rPr>
      </w:pPr>
    </w:p>
    <w:p w:rsidR="00075B37" w:rsidRDefault="00075B37" w:rsidP="005F5E1F">
      <w:pPr>
        <w:spacing w:line="360" w:lineRule="auto"/>
        <w:jc w:val="both"/>
        <w:rPr>
          <w:lang w:val="en-US"/>
        </w:rPr>
      </w:pPr>
      <w:r w:rsidRPr="00703F5D">
        <w:rPr>
          <w:lang w:val="en-US"/>
        </w:rPr>
        <w:t xml:space="preserve">Given the reasonably strong relation between AUM 2006 and the disclosure of a </w:t>
      </w:r>
      <w:r>
        <w:rPr>
          <w:lang w:val="en-US"/>
        </w:rPr>
        <w:t>position allocation regarding bonds</w:t>
      </w:r>
      <w:r w:rsidRPr="00703F5D">
        <w:rPr>
          <w:lang w:val="en-US"/>
        </w:rPr>
        <w:t xml:space="preserve"> in the financial statements of 2006, this relation will be further analyzed</w:t>
      </w:r>
      <w:r>
        <w:rPr>
          <w:lang w:val="en-US"/>
        </w:rPr>
        <w:t xml:space="preserve">. Although ‘AUM 2006’ is with 0.155 not significant, De </w:t>
      </w:r>
      <w:proofErr w:type="spellStart"/>
      <w:r>
        <w:rPr>
          <w:lang w:val="en-US"/>
        </w:rPr>
        <w:t>Vocht</w:t>
      </w:r>
      <w:proofErr w:type="spellEnd"/>
      <w:r>
        <w:rPr>
          <w:lang w:val="en-US"/>
        </w:rPr>
        <w:t xml:space="preserve"> (2011) recommends to present the independent variable in the logistic regression equation. This leads to the following logistic regression equation:</w:t>
      </w:r>
    </w:p>
    <w:p w:rsidR="00075B37" w:rsidRDefault="00075B37" w:rsidP="00F00074">
      <w:pPr>
        <w:rPr>
          <w:lang w:val="en-US"/>
        </w:rPr>
      </w:pPr>
    </w:p>
    <w:p w:rsidR="00075B37" w:rsidRPr="00703F5D" w:rsidRDefault="00075B37" w:rsidP="00075B37">
      <w:pPr>
        <w:pBdr>
          <w:top w:val="single" w:sz="4" w:space="1" w:color="auto"/>
          <w:left w:val="single" w:sz="4" w:space="4" w:color="auto"/>
          <w:bottom w:val="single" w:sz="4" w:space="1" w:color="auto"/>
          <w:right w:val="single" w:sz="4" w:space="4" w:color="auto"/>
        </w:pBdr>
        <w:spacing w:line="360" w:lineRule="auto"/>
        <w:rPr>
          <w:lang w:val="en-US"/>
        </w:rPr>
      </w:pPr>
      <w:proofErr w:type="spellStart"/>
      <w:r>
        <w:rPr>
          <w:lang w:val="en-US"/>
        </w:rPr>
        <w:t>Logit</w:t>
      </w:r>
      <w:proofErr w:type="spellEnd"/>
      <w:r>
        <w:rPr>
          <w:lang w:val="en-US"/>
        </w:rPr>
        <w:t xml:space="preserve"> = -2.172</w:t>
      </w:r>
      <w:r w:rsidR="004C6E2F">
        <w:rPr>
          <w:lang w:val="en-US"/>
        </w:rPr>
        <w:t xml:space="preserve"> + 0.042</w:t>
      </w:r>
      <w:r>
        <w:rPr>
          <w:lang w:val="en-US"/>
        </w:rPr>
        <w:t>* AUM 2006 in billion euro</w:t>
      </w:r>
    </w:p>
    <w:p w:rsidR="00075B37" w:rsidRDefault="00075B37" w:rsidP="00F00074">
      <w:pPr>
        <w:autoSpaceDE w:val="0"/>
        <w:autoSpaceDN w:val="0"/>
        <w:adjustRightInd w:val="0"/>
        <w:rPr>
          <w:bCs/>
          <w:noProof/>
          <w:lang w:val="en-US" w:eastAsia="nl-NL" w:bidi="ar-SA"/>
        </w:rPr>
      </w:pPr>
    </w:p>
    <w:p w:rsidR="00755EEC" w:rsidRPr="00755EEC" w:rsidRDefault="00075B37" w:rsidP="005F5E1F">
      <w:pPr>
        <w:autoSpaceDE w:val="0"/>
        <w:autoSpaceDN w:val="0"/>
        <w:adjustRightInd w:val="0"/>
        <w:spacing w:line="400" w:lineRule="atLeast"/>
        <w:jc w:val="both"/>
        <w:rPr>
          <w:rFonts w:cs="Times New Roman"/>
          <w:lang w:val="en-US" w:eastAsia="en-US" w:bidi="ar-SA"/>
        </w:rPr>
      </w:pPr>
      <w:r>
        <w:rPr>
          <w:bCs/>
          <w:noProof/>
          <w:lang w:val="en-US" w:eastAsia="nl-NL" w:bidi="ar-SA"/>
        </w:rPr>
        <w:t>The regr</w:t>
      </w:r>
      <w:r w:rsidR="004C6E2F">
        <w:rPr>
          <w:bCs/>
          <w:noProof/>
          <w:lang w:val="en-US" w:eastAsia="nl-NL" w:bidi="ar-SA"/>
        </w:rPr>
        <w:t>ession coefficient is with 0.042</w:t>
      </w:r>
      <w:r>
        <w:rPr>
          <w:bCs/>
          <w:noProof/>
          <w:lang w:val="en-US" w:eastAsia="nl-NL" w:bidi="ar-SA"/>
        </w:rPr>
        <w:t xml:space="preserve"> positive. In other words, the </w:t>
      </w:r>
      <w:r w:rsidR="00F00074">
        <w:rPr>
          <w:bCs/>
          <w:noProof/>
          <w:lang w:val="en-US" w:eastAsia="nl-NL" w:bidi="ar-SA"/>
        </w:rPr>
        <w:t>larger</w:t>
      </w:r>
      <w:r>
        <w:rPr>
          <w:bCs/>
          <w:noProof/>
          <w:lang w:val="en-US" w:eastAsia="nl-NL" w:bidi="ar-SA"/>
        </w:rPr>
        <w:t xml:space="preserve"> the pension fund</w:t>
      </w:r>
      <w:r w:rsidR="00CE0F82">
        <w:rPr>
          <w:bCs/>
          <w:noProof/>
          <w:lang w:val="en-US" w:eastAsia="nl-NL" w:bidi="ar-SA"/>
        </w:rPr>
        <w:t xml:space="preserve"> in 2006</w:t>
      </w:r>
      <w:r>
        <w:rPr>
          <w:bCs/>
          <w:noProof/>
          <w:lang w:val="en-US" w:eastAsia="nl-NL" w:bidi="ar-SA"/>
        </w:rPr>
        <w:t>, the bigger the chance on disclosure of a position allocation</w:t>
      </w:r>
      <w:r w:rsidR="004C6E2F">
        <w:rPr>
          <w:bCs/>
          <w:noProof/>
          <w:lang w:val="en-US" w:eastAsia="nl-NL" w:bidi="ar-SA"/>
        </w:rPr>
        <w:t xml:space="preserve"> regarding bonds</w:t>
      </w:r>
      <w:r>
        <w:rPr>
          <w:bCs/>
          <w:noProof/>
          <w:lang w:val="en-US" w:eastAsia="nl-NL" w:bidi="ar-SA"/>
        </w:rPr>
        <w:t>.</w:t>
      </w:r>
    </w:p>
    <w:p w:rsidR="00D64419" w:rsidRPr="00D64419" w:rsidRDefault="00D64419" w:rsidP="00D64419">
      <w:pPr>
        <w:autoSpaceDE w:val="0"/>
        <w:autoSpaceDN w:val="0"/>
        <w:adjustRightInd w:val="0"/>
        <w:rPr>
          <w:rFonts w:cs="Times New Roman"/>
          <w:lang w:val="en-US" w:eastAsia="en-US" w:bidi="ar-SA"/>
        </w:rPr>
      </w:pPr>
    </w:p>
    <w:tbl>
      <w:tblPr>
        <w:tblW w:w="4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276"/>
        <w:gridCol w:w="1418"/>
      </w:tblGrid>
      <w:tr w:rsidR="00E30C53" w:rsidRPr="00AD2AC8" w:rsidTr="007430AD">
        <w:trPr>
          <w:cantSplit/>
          <w:tblHeader/>
        </w:trPr>
        <w:tc>
          <w:tcPr>
            <w:tcW w:w="4395" w:type="dxa"/>
            <w:gridSpan w:val="4"/>
            <w:tcBorders>
              <w:top w:val="nil"/>
              <w:left w:val="nil"/>
              <w:bottom w:val="nil"/>
              <w:right w:val="nil"/>
            </w:tcBorders>
            <w:shd w:val="clear" w:color="auto" w:fill="FFFFFF"/>
            <w:vAlign w:val="center"/>
          </w:tcPr>
          <w:p w:rsidR="00E30C53" w:rsidRPr="00AD2AC8" w:rsidRDefault="00E30C53" w:rsidP="003D508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E30C53" w:rsidRPr="00AD2AC8" w:rsidTr="007430AD">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30C53" w:rsidRPr="00AD2AC8" w:rsidRDefault="00E30C53" w:rsidP="003D508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E30C53" w:rsidRPr="00AD2AC8" w:rsidRDefault="00E30C53" w:rsidP="003D508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276" w:type="dxa"/>
            <w:tcBorders>
              <w:top w:val="single" w:sz="16" w:space="0" w:color="000000"/>
              <w:bottom w:val="single" w:sz="16" w:space="0" w:color="000000"/>
            </w:tcBorders>
            <w:shd w:val="clear" w:color="auto" w:fill="FFFFFF"/>
            <w:vAlign w:val="bottom"/>
          </w:tcPr>
          <w:p w:rsidR="00E30C53" w:rsidRPr="00AD2AC8" w:rsidRDefault="00E30C53" w:rsidP="003D508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E30C53" w:rsidRPr="00AD2AC8" w:rsidRDefault="00E30C53" w:rsidP="003D508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E30C53" w:rsidRPr="00AD2AC8" w:rsidTr="007430AD">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E30C53" w:rsidRPr="00AD2AC8" w:rsidRDefault="00E30C53" w:rsidP="003D508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E30C53" w:rsidRPr="00AD2AC8" w:rsidRDefault="00E30C53" w:rsidP="003D508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6.729</w:t>
            </w:r>
            <w:r w:rsidRPr="00AD2AC8">
              <w:rPr>
                <w:rFonts w:ascii="Arial" w:hAnsi="Arial" w:cs="Arial"/>
                <w:color w:val="000000"/>
                <w:sz w:val="18"/>
                <w:szCs w:val="18"/>
                <w:vertAlign w:val="superscript"/>
                <w:lang w:val="nl-NL" w:eastAsia="en-US" w:bidi="ar-SA"/>
              </w:rPr>
              <w:t>a</w:t>
            </w:r>
          </w:p>
        </w:tc>
        <w:tc>
          <w:tcPr>
            <w:tcW w:w="1276" w:type="dxa"/>
            <w:tcBorders>
              <w:top w:val="single" w:sz="16" w:space="0" w:color="000000"/>
              <w:bottom w:val="single" w:sz="16" w:space="0" w:color="000000"/>
            </w:tcBorders>
            <w:shd w:val="clear" w:color="auto" w:fill="FFFFFF"/>
          </w:tcPr>
          <w:p w:rsidR="00E30C53" w:rsidRPr="00AD2AC8" w:rsidRDefault="00E30C53" w:rsidP="003D508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.065</w:t>
            </w:r>
          </w:p>
        </w:tc>
        <w:tc>
          <w:tcPr>
            <w:tcW w:w="1418" w:type="dxa"/>
            <w:tcBorders>
              <w:top w:val="single" w:sz="16" w:space="0" w:color="000000"/>
              <w:bottom w:val="single" w:sz="16" w:space="0" w:color="000000"/>
              <w:right w:val="single" w:sz="16" w:space="0" w:color="000000"/>
            </w:tcBorders>
            <w:shd w:val="clear" w:color="auto" w:fill="FFFFFF"/>
          </w:tcPr>
          <w:p w:rsidR="00E30C53" w:rsidRPr="00AD2AC8" w:rsidRDefault="00E30C53" w:rsidP="003D508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.226</w:t>
            </w:r>
          </w:p>
        </w:tc>
      </w:tr>
      <w:tr w:rsidR="00E30C53" w:rsidRPr="00AD2AC8" w:rsidTr="007430AD">
        <w:trPr>
          <w:cantSplit/>
        </w:trPr>
        <w:tc>
          <w:tcPr>
            <w:tcW w:w="4395" w:type="dxa"/>
            <w:gridSpan w:val="4"/>
            <w:tcBorders>
              <w:top w:val="nil"/>
              <w:left w:val="nil"/>
              <w:bottom w:val="nil"/>
              <w:right w:val="nil"/>
            </w:tcBorders>
            <w:shd w:val="clear" w:color="auto" w:fill="FFFFFF"/>
          </w:tcPr>
          <w:p w:rsidR="00E30C53" w:rsidRPr="00BC2E83" w:rsidRDefault="00E30C53" w:rsidP="007430AD">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sidR="007430AD">
              <w:rPr>
                <w:rFonts w:ascii="Arial" w:hAnsi="Arial" w:cs="Arial"/>
                <w:color w:val="000000"/>
                <w:sz w:val="17"/>
                <w:szCs w:val="17"/>
                <w:lang w:val="en-US" w:eastAsia="en-US" w:bidi="ar-SA"/>
              </w:rPr>
              <w:t>11</w:t>
            </w:r>
            <w:r w:rsidRPr="00BC2E83">
              <w:rPr>
                <w:rFonts w:ascii="Arial" w:hAnsi="Arial" w:cs="Arial"/>
                <w:color w:val="000000"/>
                <w:sz w:val="17"/>
                <w:szCs w:val="17"/>
                <w:lang w:val="en-US" w:eastAsia="en-US" w:bidi="ar-SA"/>
              </w:rPr>
              <w:t>because parameter estimates changed by less than .001.</w:t>
            </w:r>
          </w:p>
        </w:tc>
      </w:tr>
    </w:tbl>
    <w:tbl>
      <w:tblPr>
        <w:tblpPr w:leftFromText="141" w:rightFromText="141" w:vertAnchor="text" w:horzAnchor="margin" w:tblpXSpec="right" w:tblpY="-1786"/>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75"/>
        <w:gridCol w:w="1134"/>
        <w:gridCol w:w="1418"/>
      </w:tblGrid>
      <w:tr w:rsidR="00E30C53" w:rsidRPr="00AD2AC8" w:rsidTr="003D5081">
        <w:trPr>
          <w:cantSplit/>
          <w:tblHeader/>
        </w:trPr>
        <w:tc>
          <w:tcPr>
            <w:tcW w:w="4253" w:type="dxa"/>
            <w:gridSpan w:val="4"/>
            <w:tcBorders>
              <w:top w:val="nil"/>
              <w:left w:val="nil"/>
              <w:bottom w:val="nil"/>
              <w:right w:val="nil"/>
            </w:tcBorders>
            <w:shd w:val="clear" w:color="auto" w:fill="FFFFFF"/>
            <w:vAlign w:val="center"/>
          </w:tcPr>
          <w:p w:rsidR="00E30C53" w:rsidRPr="00AD2AC8" w:rsidRDefault="00E30C53" w:rsidP="003D5081">
            <w:pPr>
              <w:autoSpaceDE w:val="0"/>
              <w:autoSpaceDN w:val="0"/>
              <w:adjustRightInd w:val="0"/>
              <w:spacing w:line="320" w:lineRule="atLeast"/>
              <w:ind w:left="60" w:right="60"/>
              <w:jc w:val="center"/>
              <w:rPr>
                <w:rFonts w:ascii="Arial" w:hAnsi="Arial" w:cs="Arial"/>
                <w:color w:val="000000"/>
                <w:sz w:val="18"/>
                <w:szCs w:val="18"/>
                <w:lang w:val="nl-NL" w:eastAsia="en-US" w:bidi="ar-SA"/>
              </w:rPr>
            </w:pPr>
            <w:r w:rsidRPr="00AD2AC8">
              <w:rPr>
                <w:rFonts w:ascii="Arial" w:hAnsi="Arial" w:cs="Arial"/>
                <w:b/>
                <w:bCs/>
                <w:color w:val="000000"/>
                <w:sz w:val="18"/>
                <w:szCs w:val="18"/>
                <w:lang w:val="nl-NL" w:eastAsia="en-US" w:bidi="ar-SA"/>
              </w:rPr>
              <w:t xml:space="preserve">Model </w:t>
            </w:r>
            <w:proofErr w:type="spellStart"/>
            <w:r w:rsidRPr="00AD2AC8">
              <w:rPr>
                <w:rFonts w:ascii="Arial" w:hAnsi="Arial" w:cs="Arial"/>
                <w:b/>
                <w:bCs/>
                <w:color w:val="000000"/>
                <w:sz w:val="18"/>
                <w:szCs w:val="18"/>
                <w:lang w:val="nl-NL" w:eastAsia="en-US" w:bidi="ar-SA"/>
              </w:rPr>
              <w:t>Summary</w:t>
            </w:r>
            <w:proofErr w:type="spellEnd"/>
          </w:p>
        </w:tc>
      </w:tr>
      <w:tr w:rsidR="00E30C53" w:rsidRPr="00AD2AC8" w:rsidTr="003D508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30C53" w:rsidRPr="00AD2AC8" w:rsidRDefault="00E30C53" w:rsidP="003D508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Step</w:t>
            </w:r>
          </w:p>
        </w:tc>
        <w:tc>
          <w:tcPr>
            <w:tcW w:w="975" w:type="dxa"/>
            <w:tcBorders>
              <w:top w:val="single" w:sz="16" w:space="0" w:color="000000"/>
              <w:left w:val="single" w:sz="16" w:space="0" w:color="000000"/>
              <w:bottom w:val="single" w:sz="16" w:space="0" w:color="000000"/>
            </w:tcBorders>
            <w:shd w:val="clear" w:color="auto" w:fill="FFFFFF"/>
            <w:vAlign w:val="bottom"/>
          </w:tcPr>
          <w:p w:rsidR="00E30C53" w:rsidRPr="00AD2AC8" w:rsidRDefault="00E30C53" w:rsidP="003D508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-2 Log </w:t>
            </w:r>
            <w:proofErr w:type="spellStart"/>
            <w:r w:rsidRPr="00AD2AC8">
              <w:rPr>
                <w:rFonts w:ascii="Arial" w:hAnsi="Arial" w:cs="Arial"/>
                <w:color w:val="000000"/>
                <w:sz w:val="18"/>
                <w:szCs w:val="18"/>
                <w:lang w:val="nl-NL" w:eastAsia="en-US" w:bidi="ar-SA"/>
              </w:rPr>
              <w:t>likelihood</w:t>
            </w:r>
            <w:proofErr w:type="spellEnd"/>
          </w:p>
        </w:tc>
        <w:tc>
          <w:tcPr>
            <w:tcW w:w="1134" w:type="dxa"/>
            <w:tcBorders>
              <w:top w:val="single" w:sz="16" w:space="0" w:color="000000"/>
              <w:bottom w:val="single" w:sz="16" w:space="0" w:color="000000"/>
            </w:tcBorders>
            <w:shd w:val="clear" w:color="auto" w:fill="FFFFFF"/>
            <w:vAlign w:val="bottom"/>
          </w:tcPr>
          <w:p w:rsidR="00E30C53" w:rsidRPr="00AD2AC8" w:rsidRDefault="00E30C53" w:rsidP="003D5081">
            <w:pPr>
              <w:autoSpaceDE w:val="0"/>
              <w:autoSpaceDN w:val="0"/>
              <w:adjustRightInd w:val="0"/>
              <w:spacing w:line="276" w:lineRule="auto"/>
              <w:ind w:left="60" w:right="60"/>
              <w:jc w:val="center"/>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 xml:space="preserve">Cox &amp; </w:t>
            </w:r>
            <w:proofErr w:type="spellStart"/>
            <w:r w:rsidRPr="00AD2AC8">
              <w:rPr>
                <w:rFonts w:ascii="Arial" w:hAnsi="Arial" w:cs="Arial"/>
                <w:color w:val="000000"/>
                <w:sz w:val="18"/>
                <w:szCs w:val="18"/>
                <w:lang w:val="nl-NL" w:eastAsia="en-US" w:bidi="ar-SA"/>
              </w:rPr>
              <w:t>Snell</w:t>
            </w:r>
            <w:proofErr w:type="spellEnd"/>
            <w:r w:rsidRPr="00AD2AC8">
              <w:rPr>
                <w:rFonts w:ascii="Arial" w:hAnsi="Arial" w:cs="Arial"/>
                <w:color w:val="000000"/>
                <w:sz w:val="18"/>
                <w:szCs w:val="18"/>
                <w:lang w:val="nl-NL" w:eastAsia="en-US" w:bidi="ar-SA"/>
              </w:rPr>
              <w:t xml:space="preserve"> R Square</w:t>
            </w:r>
          </w:p>
        </w:tc>
        <w:tc>
          <w:tcPr>
            <w:tcW w:w="1418" w:type="dxa"/>
            <w:tcBorders>
              <w:top w:val="single" w:sz="16" w:space="0" w:color="000000"/>
              <w:bottom w:val="single" w:sz="16" w:space="0" w:color="000000"/>
              <w:right w:val="single" w:sz="16" w:space="0" w:color="000000"/>
            </w:tcBorders>
            <w:shd w:val="clear" w:color="auto" w:fill="FFFFFF"/>
            <w:vAlign w:val="bottom"/>
          </w:tcPr>
          <w:p w:rsidR="00E30C53" w:rsidRPr="00AD2AC8" w:rsidRDefault="00E30C53" w:rsidP="003D5081">
            <w:pPr>
              <w:autoSpaceDE w:val="0"/>
              <w:autoSpaceDN w:val="0"/>
              <w:adjustRightInd w:val="0"/>
              <w:spacing w:line="276" w:lineRule="auto"/>
              <w:ind w:left="60" w:right="60"/>
              <w:jc w:val="center"/>
              <w:rPr>
                <w:rFonts w:ascii="Arial" w:hAnsi="Arial" w:cs="Arial"/>
                <w:color w:val="000000"/>
                <w:sz w:val="18"/>
                <w:szCs w:val="18"/>
                <w:lang w:val="nl-NL" w:eastAsia="en-US" w:bidi="ar-SA"/>
              </w:rPr>
            </w:pPr>
            <w:proofErr w:type="spellStart"/>
            <w:r w:rsidRPr="00AD2AC8">
              <w:rPr>
                <w:rFonts w:ascii="Arial" w:hAnsi="Arial" w:cs="Arial"/>
                <w:color w:val="000000"/>
                <w:sz w:val="18"/>
                <w:szCs w:val="18"/>
                <w:lang w:val="nl-NL" w:eastAsia="en-US" w:bidi="ar-SA"/>
              </w:rPr>
              <w:t>Nagelkerke</w:t>
            </w:r>
            <w:proofErr w:type="spellEnd"/>
            <w:r w:rsidRPr="00AD2AC8">
              <w:rPr>
                <w:rFonts w:ascii="Arial" w:hAnsi="Arial" w:cs="Arial"/>
                <w:color w:val="000000"/>
                <w:sz w:val="18"/>
                <w:szCs w:val="18"/>
                <w:lang w:val="nl-NL" w:eastAsia="en-US" w:bidi="ar-SA"/>
              </w:rPr>
              <w:t xml:space="preserve"> R Square</w:t>
            </w:r>
          </w:p>
        </w:tc>
      </w:tr>
      <w:tr w:rsidR="00E30C53" w:rsidRPr="00AD2AC8" w:rsidTr="003D5081">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E30C53" w:rsidRPr="00AD2AC8" w:rsidRDefault="00E30C53" w:rsidP="003D5081">
            <w:pPr>
              <w:autoSpaceDE w:val="0"/>
              <w:autoSpaceDN w:val="0"/>
              <w:adjustRightInd w:val="0"/>
              <w:spacing w:line="276" w:lineRule="auto"/>
              <w:ind w:left="60" w:right="60"/>
              <w:rPr>
                <w:rFonts w:ascii="Arial" w:hAnsi="Arial" w:cs="Arial"/>
                <w:color w:val="000000"/>
                <w:sz w:val="18"/>
                <w:szCs w:val="18"/>
                <w:lang w:val="nl-NL" w:eastAsia="en-US" w:bidi="ar-SA"/>
              </w:rPr>
            </w:pPr>
            <w:r w:rsidRPr="00AD2AC8">
              <w:rPr>
                <w:rFonts w:ascii="Arial" w:hAnsi="Arial" w:cs="Arial"/>
                <w:color w:val="000000"/>
                <w:sz w:val="18"/>
                <w:szCs w:val="18"/>
                <w:lang w:val="nl-NL" w:eastAsia="en-US" w:bidi="ar-SA"/>
              </w:rPr>
              <w:t>1</w:t>
            </w:r>
          </w:p>
        </w:tc>
        <w:tc>
          <w:tcPr>
            <w:tcW w:w="975" w:type="dxa"/>
            <w:tcBorders>
              <w:top w:val="single" w:sz="16" w:space="0" w:color="000000"/>
              <w:left w:val="single" w:sz="16" w:space="0" w:color="000000"/>
              <w:bottom w:val="single" w:sz="16" w:space="0" w:color="000000"/>
            </w:tcBorders>
            <w:shd w:val="clear" w:color="auto" w:fill="FFFFFF"/>
          </w:tcPr>
          <w:p w:rsidR="00E30C53" w:rsidRPr="00AD2AC8" w:rsidRDefault="00E30C53" w:rsidP="003D508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33.728</w:t>
            </w:r>
            <w:r w:rsidRPr="00AD2AC8">
              <w:rPr>
                <w:rFonts w:ascii="Arial" w:hAnsi="Arial" w:cs="Arial"/>
                <w:color w:val="000000"/>
                <w:sz w:val="18"/>
                <w:szCs w:val="18"/>
                <w:vertAlign w:val="superscript"/>
                <w:lang w:val="nl-NL" w:eastAsia="en-US" w:bidi="ar-SA"/>
              </w:rPr>
              <w:t>a</w:t>
            </w:r>
          </w:p>
        </w:tc>
        <w:tc>
          <w:tcPr>
            <w:tcW w:w="1134" w:type="dxa"/>
            <w:tcBorders>
              <w:top w:val="single" w:sz="16" w:space="0" w:color="000000"/>
              <w:bottom w:val="single" w:sz="16" w:space="0" w:color="000000"/>
            </w:tcBorders>
            <w:shd w:val="clear" w:color="auto" w:fill="FFFFFF"/>
          </w:tcPr>
          <w:p w:rsidR="00E30C53" w:rsidRPr="00AD2AC8" w:rsidRDefault="00E30C53" w:rsidP="003D508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.022</w:t>
            </w:r>
          </w:p>
        </w:tc>
        <w:tc>
          <w:tcPr>
            <w:tcW w:w="1418" w:type="dxa"/>
            <w:tcBorders>
              <w:top w:val="single" w:sz="16" w:space="0" w:color="000000"/>
              <w:bottom w:val="single" w:sz="16" w:space="0" w:color="000000"/>
              <w:right w:val="single" w:sz="16" w:space="0" w:color="000000"/>
            </w:tcBorders>
            <w:shd w:val="clear" w:color="auto" w:fill="FFFFFF"/>
          </w:tcPr>
          <w:p w:rsidR="00E30C53" w:rsidRPr="00AD2AC8" w:rsidRDefault="00E30C53" w:rsidP="003D5081">
            <w:pPr>
              <w:autoSpaceDE w:val="0"/>
              <w:autoSpaceDN w:val="0"/>
              <w:adjustRightInd w:val="0"/>
              <w:spacing w:line="276" w:lineRule="auto"/>
              <w:ind w:left="60" w:right="60"/>
              <w:jc w:val="right"/>
              <w:rPr>
                <w:rFonts w:ascii="Arial" w:hAnsi="Arial" w:cs="Arial"/>
                <w:color w:val="000000"/>
                <w:sz w:val="18"/>
                <w:szCs w:val="18"/>
                <w:lang w:val="nl-NL" w:eastAsia="en-US" w:bidi="ar-SA"/>
              </w:rPr>
            </w:pPr>
            <w:r>
              <w:rPr>
                <w:rFonts w:ascii="Arial" w:hAnsi="Arial" w:cs="Arial"/>
                <w:color w:val="000000"/>
                <w:sz w:val="18"/>
                <w:szCs w:val="18"/>
                <w:lang w:val="nl-NL" w:eastAsia="en-US" w:bidi="ar-SA"/>
              </w:rPr>
              <w:t>.030</w:t>
            </w:r>
          </w:p>
        </w:tc>
      </w:tr>
      <w:tr w:rsidR="00E30C53" w:rsidRPr="00AD2AC8" w:rsidTr="003D5081">
        <w:trPr>
          <w:cantSplit/>
        </w:trPr>
        <w:tc>
          <w:tcPr>
            <w:tcW w:w="4253" w:type="dxa"/>
            <w:gridSpan w:val="4"/>
            <w:tcBorders>
              <w:top w:val="nil"/>
              <w:left w:val="nil"/>
              <w:bottom w:val="nil"/>
              <w:right w:val="nil"/>
            </w:tcBorders>
            <w:shd w:val="clear" w:color="auto" w:fill="FFFFFF"/>
          </w:tcPr>
          <w:p w:rsidR="00E30C53" w:rsidRPr="00BC2E83" w:rsidRDefault="00E30C53" w:rsidP="003D5081">
            <w:pPr>
              <w:autoSpaceDE w:val="0"/>
              <w:autoSpaceDN w:val="0"/>
              <w:adjustRightInd w:val="0"/>
              <w:spacing w:line="320" w:lineRule="atLeast"/>
              <w:ind w:left="60" w:right="60"/>
              <w:rPr>
                <w:rFonts w:ascii="Arial" w:hAnsi="Arial" w:cs="Arial"/>
                <w:color w:val="000000"/>
                <w:sz w:val="17"/>
                <w:szCs w:val="17"/>
                <w:lang w:val="en-US" w:eastAsia="en-US" w:bidi="ar-SA"/>
              </w:rPr>
            </w:pPr>
            <w:r w:rsidRPr="00BC2E83">
              <w:rPr>
                <w:rFonts w:ascii="Arial" w:hAnsi="Arial" w:cs="Arial"/>
                <w:color w:val="000000"/>
                <w:sz w:val="17"/>
                <w:szCs w:val="17"/>
                <w:lang w:val="en-US" w:eastAsia="en-US" w:bidi="ar-SA"/>
              </w:rPr>
              <w:t xml:space="preserve">a. Estimation terminated at iteration number </w:t>
            </w:r>
            <w:r>
              <w:rPr>
                <w:rFonts w:ascii="Arial" w:hAnsi="Arial" w:cs="Arial"/>
                <w:color w:val="000000"/>
                <w:sz w:val="17"/>
                <w:szCs w:val="17"/>
                <w:lang w:val="en-US" w:eastAsia="en-US" w:bidi="ar-SA"/>
              </w:rPr>
              <w:t>3</w:t>
            </w:r>
            <w:r w:rsidRPr="00BC2E83">
              <w:rPr>
                <w:rFonts w:ascii="Arial" w:hAnsi="Arial" w:cs="Arial"/>
                <w:color w:val="000000"/>
                <w:sz w:val="17"/>
                <w:szCs w:val="17"/>
                <w:lang w:val="en-US" w:eastAsia="en-US" w:bidi="ar-SA"/>
              </w:rPr>
              <w:t xml:space="preserve"> because parameter estimates changed by less than .001.</w:t>
            </w:r>
          </w:p>
        </w:tc>
      </w:tr>
    </w:tbl>
    <w:p w:rsidR="00E30C53" w:rsidRDefault="00E30C53" w:rsidP="00E30C53">
      <w:pPr>
        <w:autoSpaceDE w:val="0"/>
        <w:autoSpaceDN w:val="0"/>
        <w:adjustRightInd w:val="0"/>
        <w:rPr>
          <w:rFonts w:cs="Times New Roman"/>
          <w:lang w:val="en-US" w:eastAsia="en-US" w:bidi="ar-SA"/>
        </w:rPr>
      </w:pPr>
    </w:p>
    <w:p w:rsidR="00FA5740" w:rsidRDefault="00FA5740" w:rsidP="00E30C53">
      <w:pPr>
        <w:spacing w:line="320" w:lineRule="atLeast"/>
        <w:rPr>
          <w:rFonts w:cs="Times New Roman"/>
          <w:sz w:val="20"/>
          <w:szCs w:val="20"/>
          <w:lang w:val="en-US" w:eastAsia="en-US" w:bidi="ar-SA"/>
        </w:rPr>
      </w:pPr>
      <w:r>
        <w:rPr>
          <w:rFonts w:cs="Times New Roman"/>
          <w:sz w:val="20"/>
          <w:szCs w:val="20"/>
          <w:lang w:val="en-US" w:eastAsia="en-US" w:bidi="ar-SA"/>
        </w:rPr>
        <w:t xml:space="preserve">Table </w:t>
      </w:r>
      <w:r w:rsidR="003D4928">
        <w:rPr>
          <w:rFonts w:cs="Times New Roman"/>
          <w:sz w:val="20"/>
          <w:szCs w:val="20"/>
          <w:lang w:val="en-US" w:eastAsia="en-US" w:bidi="ar-SA"/>
        </w:rPr>
        <w:t>4</w:t>
      </w:r>
      <w:r w:rsidR="000C5BC2">
        <w:rPr>
          <w:rFonts w:cs="Times New Roman"/>
          <w:sz w:val="20"/>
          <w:szCs w:val="20"/>
          <w:lang w:val="en-US" w:eastAsia="en-US" w:bidi="ar-SA"/>
        </w:rPr>
        <w:t>2</w:t>
      </w:r>
      <w:r>
        <w:rPr>
          <w:rFonts w:cs="Times New Roman"/>
          <w:sz w:val="20"/>
          <w:szCs w:val="20"/>
          <w:lang w:val="en-US" w:eastAsia="en-US" w:bidi="ar-SA"/>
        </w:rPr>
        <w:t xml:space="preserve">: Logistic regression with dependent </w:t>
      </w:r>
      <w:r>
        <w:rPr>
          <w:rFonts w:cs="Times New Roman"/>
          <w:sz w:val="20"/>
          <w:szCs w:val="20"/>
          <w:lang w:val="en-US" w:eastAsia="en-US" w:bidi="ar-SA"/>
        </w:rPr>
        <w:tab/>
      </w:r>
      <w:r>
        <w:rPr>
          <w:rFonts w:cs="Times New Roman"/>
          <w:sz w:val="20"/>
          <w:szCs w:val="20"/>
          <w:lang w:val="en-US" w:eastAsia="en-US" w:bidi="ar-SA"/>
        </w:rPr>
        <w:tab/>
        <w:t xml:space="preserve">Table </w:t>
      </w:r>
      <w:r w:rsidR="003D4928">
        <w:rPr>
          <w:rFonts w:cs="Times New Roman"/>
          <w:sz w:val="20"/>
          <w:szCs w:val="20"/>
          <w:lang w:val="en-US" w:eastAsia="en-US" w:bidi="ar-SA"/>
        </w:rPr>
        <w:t>4</w:t>
      </w:r>
      <w:r w:rsidR="000C5BC2">
        <w:rPr>
          <w:rFonts w:cs="Times New Roman"/>
          <w:sz w:val="20"/>
          <w:szCs w:val="20"/>
          <w:lang w:val="en-US" w:eastAsia="en-US" w:bidi="ar-SA"/>
        </w:rPr>
        <w:t>3</w:t>
      </w:r>
      <w:r>
        <w:rPr>
          <w:rFonts w:cs="Times New Roman"/>
          <w:sz w:val="20"/>
          <w:szCs w:val="20"/>
          <w:lang w:val="en-US" w:eastAsia="en-US" w:bidi="ar-SA"/>
        </w:rPr>
        <w:t xml:space="preserve">: Logistic regression with dependent </w:t>
      </w:r>
    </w:p>
    <w:p w:rsidR="00FA5740" w:rsidRDefault="00FA5740" w:rsidP="00E30C53">
      <w:pPr>
        <w:spacing w:line="320" w:lineRule="atLeast"/>
        <w:rPr>
          <w:rFonts w:cs="Times New Roman"/>
          <w:sz w:val="20"/>
          <w:szCs w:val="20"/>
          <w:lang w:val="en-US" w:eastAsia="en-US" w:bidi="ar-SA"/>
        </w:rPr>
      </w:pPr>
      <w:r>
        <w:rPr>
          <w:rFonts w:cs="Times New Roman"/>
          <w:sz w:val="20"/>
          <w:szCs w:val="20"/>
          <w:lang w:val="en-US" w:eastAsia="en-US" w:bidi="ar-SA"/>
        </w:rPr>
        <w:t xml:space="preserve">variable disclosure GIIPS allocation in financial </w:t>
      </w:r>
      <w:r>
        <w:rPr>
          <w:rFonts w:cs="Times New Roman"/>
          <w:sz w:val="20"/>
          <w:szCs w:val="20"/>
          <w:lang w:val="en-US" w:eastAsia="en-US" w:bidi="ar-SA"/>
        </w:rPr>
        <w:tab/>
      </w:r>
      <w:r>
        <w:rPr>
          <w:rFonts w:cs="Times New Roman"/>
          <w:sz w:val="20"/>
          <w:szCs w:val="20"/>
          <w:lang w:val="en-US" w:eastAsia="en-US" w:bidi="ar-SA"/>
        </w:rPr>
        <w:tab/>
        <w:t>variable disclosure GIIPS allocation in financial</w:t>
      </w:r>
    </w:p>
    <w:p w:rsidR="00FA5740" w:rsidRDefault="00FA5740" w:rsidP="00E30C53">
      <w:pPr>
        <w:spacing w:line="320" w:lineRule="atLeast"/>
        <w:rPr>
          <w:rFonts w:cs="Times New Roman"/>
          <w:sz w:val="20"/>
          <w:szCs w:val="20"/>
          <w:lang w:val="en-US" w:eastAsia="en-US" w:bidi="ar-SA"/>
        </w:rPr>
      </w:pPr>
      <w:r>
        <w:rPr>
          <w:rFonts w:cs="Times New Roman"/>
          <w:sz w:val="20"/>
          <w:szCs w:val="20"/>
          <w:lang w:val="en-US" w:eastAsia="en-US" w:bidi="ar-SA"/>
        </w:rPr>
        <w:t>statements 2006 and as covariate AUM 2006</w:t>
      </w:r>
      <w:r>
        <w:rPr>
          <w:rFonts w:cs="Times New Roman"/>
          <w:sz w:val="20"/>
          <w:szCs w:val="20"/>
          <w:lang w:val="en-US" w:eastAsia="en-US" w:bidi="ar-SA"/>
        </w:rPr>
        <w:tab/>
      </w:r>
      <w:r>
        <w:rPr>
          <w:rFonts w:cs="Times New Roman"/>
          <w:sz w:val="20"/>
          <w:szCs w:val="20"/>
          <w:lang w:val="en-US" w:eastAsia="en-US" w:bidi="ar-SA"/>
        </w:rPr>
        <w:tab/>
      </w:r>
      <w:r>
        <w:rPr>
          <w:rFonts w:cs="Times New Roman"/>
          <w:sz w:val="20"/>
          <w:szCs w:val="20"/>
          <w:lang w:val="en-US" w:eastAsia="en-US" w:bidi="ar-SA"/>
        </w:rPr>
        <w:tab/>
        <w:t>statements 2011 and as covariate AUM 2011</w:t>
      </w:r>
    </w:p>
    <w:p w:rsidR="00FA5740" w:rsidRDefault="00FA5740" w:rsidP="00FA5740">
      <w:pPr>
        <w:autoSpaceDE w:val="0"/>
        <w:autoSpaceDN w:val="0"/>
        <w:adjustRightInd w:val="0"/>
        <w:rPr>
          <w:rFonts w:cs="Times New Roman"/>
          <w:lang w:val="en-US" w:eastAsia="en-US" w:bidi="ar-SA"/>
        </w:rPr>
      </w:pPr>
    </w:p>
    <w:p w:rsidR="00884256" w:rsidRDefault="00884256"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Regarding the relation between AUM and the disclosure</w:t>
      </w:r>
      <w:r w:rsidR="008C1127">
        <w:rPr>
          <w:rFonts w:cs="Times New Roman"/>
          <w:lang w:val="en-US" w:eastAsia="en-US" w:bidi="ar-SA"/>
        </w:rPr>
        <w:t xml:space="preserve"> of a sector allocation, table </w:t>
      </w:r>
      <w:r w:rsidR="003D4928">
        <w:rPr>
          <w:rFonts w:cs="Times New Roman"/>
          <w:lang w:val="en-US" w:eastAsia="en-US" w:bidi="ar-SA"/>
        </w:rPr>
        <w:t>4</w:t>
      </w:r>
      <w:r w:rsidR="007C4E4B">
        <w:rPr>
          <w:rFonts w:cs="Times New Roman"/>
          <w:lang w:val="en-US" w:eastAsia="en-US" w:bidi="ar-SA"/>
        </w:rPr>
        <w:t>2</w:t>
      </w:r>
      <w:r w:rsidR="008C1127">
        <w:rPr>
          <w:rFonts w:cs="Times New Roman"/>
          <w:lang w:val="en-US" w:eastAsia="en-US" w:bidi="ar-SA"/>
        </w:rPr>
        <w:t xml:space="preserve"> and table </w:t>
      </w:r>
      <w:r w:rsidR="003D4928">
        <w:rPr>
          <w:rFonts w:cs="Times New Roman"/>
          <w:lang w:val="en-US" w:eastAsia="en-US" w:bidi="ar-SA"/>
        </w:rPr>
        <w:t>4</w:t>
      </w:r>
      <w:r w:rsidR="000C5BC2">
        <w:rPr>
          <w:rFonts w:cs="Times New Roman"/>
          <w:lang w:val="en-US" w:eastAsia="en-US" w:bidi="ar-SA"/>
        </w:rPr>
        <w:t>3</w:t>
      </w:r>
      <w:r>
        <w:rPr>
          <w:rFonts w:cs="Times New Roman"/>
          <w:lang w:val="en-US" w:eastAsia="en-US" w:bidi="ar-SA"/>
        </w:rPr>
        <w:t xml:space="preserve"> reveal in 2006 and 2011 with a </w:t>
      </w:r>
      <w:proofErr w:type="spellStart"/>
      <w:r>
        <w:rPr>
          <w:rFonts w:cs="Times New Roman"/>
          <w:lang w:val="en-US" w:eastAsia="en-US" w:bidi="ar-SA"/>
        </w:rPr>
        <w:t>Nagelkerke</w:t>
      </w:r>
      <w:proofErr w:type="spellEnd"/>
      <w:r>
        <w:rPr>
          <w:rFonts w:cs="Times New Roman"/>
          <w:lang w:val="en-US" w:eastAsia="en-US" w:bidi="ar-SA"/>
        </w:rPr>
        <w:t xml:space="preserve"> R</w:t>
      </w:r>
      <w:r w:rsidRPr="00DA28F7">
        <w:rPr>
          <w:rFonts w:cs="Times New Roman"/>
          <w:vertAlign w:val="superscript"/>
          <w:lang w:val="en-US" w:eastAsia="en-US" w:bidi="ar-SA"/>
        </w:rPr>
        <w:t>2</w:t>
      </w:r>
      <w:r w:rsidR="008C1127">
        <w:rPr>
          <w:rFonts w:cs="Times New Roman"/>
          <w:lang w:val="en-US" w:eastAsia="en-US" w:bidi="ar-SA"/>
        </w:rPr>
        <w:t xml:space="preserve"> of 0.226 respectively 0.030</w:t>
      </w:r>
      <w:r>
        <w:rPr>
          <w:rFonts w:cs="Times New Roman"/>
          <w:lang w:val="en-US" w:eastAsia="en-US" w:bidi="ar-SA"/>
        </w:rPr>
        <w:t xml:space="preserve"> a </w:t>
      </w:r>
      <w:r w:rsidR="008C1127">
        <w:rPr>
          <w:rFonts w:cs="Times New Roman"/>
          <w:lang w:val="en-US" w:eastAsia="en-US" w:bidi="ar-SA"/>
        </w:rPr>
        <w:t>weak and very weak relation</w:t>
      </w:r>
      <w:r>
        <w:rPr>
          <w:rFonts w:cs="Times New Roman"/>
          <w:lang w:val="en-US" w:eastAsia="en-US" w:bidi="ar-SA"/>
        </w:rPr>
        <w:t>.</w:t>
      </w:r>
    </w:p>
    <w:p w:rsidR="00884256" w:rsidRPr="00FA5740" w:rsidRDefault="00884256" w:rsidP="00FA5740">
      <w:pPr>
        <w:autoSpaceDE w:val="0"/>
        <w:autoSpaceDN w:val="0"/>
        <w:adjustRightInd w:val="0"/>
        <w:rPr>
          <w:rFonts w:cs="Times New Roman"/>
          <w:lang w:val="en-US" w:eastAsia="en-US" w:bidi="ar-SA"/>
        </w:rPr>
      </w:pPr>
    </w:p>
    <w:p w:rsidR="00FB4FA8" w:rsidRPr="00825FED" w:rsidRDefault="009D154F" w:rsidP="00FB4FA8">
      <w:pPr>
        <w:pStyle w:val="Kop2"/>
        <w:numPr>
          <w:ilvl w:val="0"/>
          <w:numId w:val="0"/>
        </w:numPr>
        <w:spacing w:line="360" w:lineRule="auto"/>
        <w:ind w:left="576" w:hanging="576"/>
        <w:jc w:val="both"/>
        <w:rPr>
          <w:rFonts w:ascii="Times New Roman" w:hAnsi="Times New Roman" w:cs="Times New Roman"/>
          <w:bCs w:val="0"/>
          <w:i w:val="0"/>
          <w:iCs w:val="0"/>
          <w:sz w:val="24"/>
          <w:szCs w:val="24"/>
          <w:lang w:val="en-US"/>
        </w:rPr>
      </w:pPr>
      <w:bookmarkStart w:id="66" w:name="_Toc355387315"/>
      <w:r w:rsidRPr="00825FED">
        <w:rPr>
          <w:rFonts w:ascii="Times New Roman" w:hAnsi="Times New Roman" w:cs="Times New Roman"/>
          <w:bCs w:val="0"/>
          <w:i w:val="0"/>
          <w:iCs w:val="0"/>
          <w:sz w:val="24"/>
          <w:szCs w:val="24"/>
          <w:lang w:val="en-US"/>
        </w:rPr>
        <w:t>4.5</w:t>
      </w:r>
      <w:r w:rsidR="00FB4FA8" w:rsidRPr="00825FED">
        <w:rPr>
          <w:rFonts w:ascii="Times New Roman" w:hAnsi="Times New Roman" w:cs="Times New Roman"/>
          <w:bCs w:val="0"/>
          <w:i w:val="0"/>
          <w:iCs w:val="0"/>
          <w:sz w:val="24"/>
          <w:szCs w:val="24"/>
          <w:lang w:val="en-US"/>
        </w:rPr>
        <w:tab/>
        <w:t>Summary</w:t>
      </w:r>
      <w:bookmarkEnd w:id="66"/>
    </w:p>
    <w:p w:rsidR="00582F50" w:rsidRDefault="00CE0F82" w:rsidP="005F5E1F">
      <w:pPr>
        <w:autoSpaceDE w:val="0"/>
        <w:autoSpaceDN w:val="0"/>
        <w:adjustRightInd w:val="0"/>
        <w:spacing w:line="400" w:lineRule="atLeast"/>
        <w:jc w:val="both"/>
        <w:rPr>
          <w:rFonts w:cs="Times New Roman"/>
          <w:lang w:val="en-US" w:eastAsia="en-US" w:bidi="ar-SA"/>
        </w:rPr>
      </w:pPr>
      <w:r w:rsidRPr="00CE0F82">
        <w:rPr>
          <w:rFonts w:cs="Times New Roman"/>
          <w:lang w:val="en-US" w:eastAsia="en-US" w:bidi="ar-SA"/>
        </w:rPr>
        <w:t xml:space="preserve">The analyses </w:t>
      </w:r>
      <w:r w:rsidR="00041F5F">
        <w:rPr>
          <w:rFonts w:cs="Times New Roman"/>
          <w:lang w:val="en-US" w:eastAsia="en-US" w:bidi="ar-SA"/>
        </w:rPr>
        <w:t xml:space="preserve">in this chapter </w:t>
      </w:r>
      <w:r w:rsidR="00B13E85">
        <w:rPr>
          <w:rFonts w:cs="Times New Roman"/>
          <w:lang w:val="en-US" w:eastAsia="en-US" w:bidi="ar-SA"/>
        </w:rPr>
        <w:t xml:space="preserve">have been undertaken </w:t>
      </w:r>
      <w:r w:rsidR="00041F5F">
        <w:rPr>
          <w:rFonts w:cs="Times New Roman"/>
          <w:lang w:val="en-US" w:eastAsia="en-US" w:bidi="ar-SA"/>
        </w:rPr>
        <w:t xml:space="preserve">on the data that have been collected by applying the checklist of appendix </w:t>
      </w:r>
      <w:r w:rsidR="00210323">
        <w:rPr>
          <w:rFonts w:cs="Times New Roman"/>
          <w:lang w:val="en-US" w:eastAsia="en-US" w:bidi="ar-SA"/>
        </w:rPr>
        <w:t>10</w:t>
      </w:r>
      <w:r w:rsidR="00B13E85">
        <w:rPr>
          <w:rFonts w:cs="Times New Roman"/>
          <w:lang w:val="en-US" w:eastAsia="en-US" w:bidi="ar-SA"/>
        </w:rPr>
        <w:t xml:space="preserve"> </w:t>
      </w:r>
      <w:r w:rsidR="00CB5AA5">
        <w:rPr>
          <w:rFonts w:cs="Times New Roman"/>
          <w:lang w:val="en-US" w:eastAsia="en-US" w:bidi="ar-SA"/>
        </w:rPr>
        <w:t>to</w:t>
      </w:r>
      <w:r w:rsidR="00041F5F">
        <w:rPr>
          <w:rFonts w:cs="Times New Roman"/>
          <w:lang w:val="en-US" w:eastAsia="en-US" w:bidi="ar-SA"/>
        </w:rPr>
        <w:t xml:space="preserve"> the financial statements of 25 Dutch pension funds.</w:t>
      </w:r>
      <w:r w:rsidR="00CB5AA5">
        <w:rPr>
          <w:rFonts w:cs="Times New Roman"/>
          <w:lang w:val="en-US" w:eastAsia="en-US" w:bidi="ar-SA"/>
        </w:rPr>
        <w:t xml:space="preserve"> First of all can be concluded from the analyses that there is a statistical significant relation between the variables pension fund size and pension fund type. Furthermore can be concluded that regarding the year 2007 and 2011 that the larger the pension fund</w:t>
      </w:r>
      <w:r w:rsidR="00582F50">
        <w:rPr>
          <w:rFonts w:cs="Times New Roman"/>
          <w:lang w:val="en-US" w:eastAsia="en-US" w:bidi="ar-SA"/>
        </w:rPr>
        <w:t xml:space="preserve">, the more frequent the word crisis has been disclosed in the financial statements. </w:t>
      </w:r>
    </w:p>
    <w:p w:rsidR="00582F50" w:rsidRDefault="00210323"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 xml:space="preserve">With regard to </w:t>
      </w:r>
      <w:r w:rsidR="00582F50">
        <w:rPr>
          <w:rFonts w:cs="Times New Roman"/>
          <w:lang w:val="en-US" w:eastAsia="en-US" w:bidi="ar-SA"/>
        </w:rPr>
        <w:t>2006</w:t>
      </w:r>
      <w:r>
        <w:rPr>
          <w:rFonts w:cs="Times New Roman"/>
          <w:lang w:val="en-US" w:eastAsia="en-US" w:bidi="ar-SA"/>
        </w:rPr>
        <w:t>,</w:t>
      </w:r>
      <w:r w:rsidR="00582F50">
        <w:rPr>
          <w:rFonts w:cs="Times New Roman"/>
          <w:lang w:val="en-US" w:eastAsia="en-US" w:bidi="ar-SA"/>
        </w:rPr>
        <w:t xml:space="preserve"> the disclosure quantity of words regarding investment risks is much larger for X large pension funds than for the other pension fund size categories. The in paragraph 2.8 described theories elaborated by </w:t>
      </w:r>
      <w:proofErr w:type="spellStart"/>
      <w:r w:rsidR="00582F50">
        <w:rPr>
          <w:rFonts w:cs="Times New Roman"/>
          <w:lang w:val="en-US" w:eastAsia="en-US" w:bidi="ar-SA"/>
        </w:rPr>
        <w:t>Buzby</w:t>
      </w:r>
      <w:proofErr w:type="spellEnd"/>
      <w:r w:rsidR="00582F50">
        <w:rPr>
          <w:rFonts w:cs="Times New Roman"/>
          <w:lang w:val="en-US" w:eastAsia="en-US" w:bidi="ar-SA"/>
        </w:rPr>
        <w:t xml:space="preserve"> (1975) and Cooke (1989) provide an answer to the noticed differences in disclosure quantity between larger and smaller Dutch pension funds. </w:t>
      </w:r>
      <w:r w:rsidR="008C0693">
        <w:rPr>
          <w:rFonts w:cs="Times New Roman"/>
          <w:lang w:val="en-US" w:eastAsia="en-US" w:bidi="ar-SA"/>
        </w:rPr>
        <w:t>In 2006 can be concluded that the larger the pension fund, the more frequent the</w:t>
      </w:r>
      <w:r w:rsidR="003110E2">
        <w:rPr>
          <w:rFonts w:cs="Times New Roman"/>
          <w:lang w:val="en-US" w:eastAsia="en-US" w:bidi="ar-SA"/>
        </w:rPr>
        <w:t xml:space="preserve"> disclosure of investment risks. In 2007 and 2011 these differences are not noticeable. </w:t>
      </w:r>
      <w:r w:rsidR="005C46CA">
        <w:rPr>
          <w:rFonts w:cs="Times New Roman"/>
          <w:lang w:val="en-US" w:eastAsia="en-US" w:bidi="ar-SA"/>
        </w:rPr>
        <w:t xml:space="preserve"> However, irrespective of pension fund size </w:t>
      </w:r>
      <w:r w:rsidR="008C0693">
        <w:rPr>
          <w:rFonts w:cs="Times New Roman"/>
          <w:lang w:val="en-US" w:eastAsia="en-US" w:bidi="ar-SA"/>
        </w:rPr>
        <w:t xml:space="preserve">can be concluded that since 2006, the year before the financial crisis, </w:t>
      </w:r>
      <w:r w:rsidR="005C46CA">
        <w:rPr>
          <w:rFonts w:cs="Times New Roman"/>
          <w:lang w:val="en-US" w:eastAsia="en-US" w:bidi="ar-SA"/>
        </w:rPr>
        <w:t xml:space="preserve">the frequency of </w:t>
      </w:r>
      <w:r w:rsidR="00813BEA">
        <w:rPr>
          <w:rFonts w:cs="Times New Roman"/>
          <w:lang w:val="en-US" w:eastAsia="en-US" w:bidi="ar-SA"/>
        </w:rPr>
        <w:t xml:space="preserve">the disclosure of </w:t>
      </w:r>
      <w:r w:rsidR="005C46CA">
        <w:rPr>
          <w:rFonts w:cs="Times New Roman"/>
          <w:lang w:val="en-US" w:eastAsia="en-US" w:bidi="ar-SA"/>
        </w:rPr>
        <w:t xml:space="preserve">words regarding investment risks </w:t>
      </w:r>
      <w:r w:rsidR="00813BEA">
        <w:rPr>
          <w:rFonts w:cs="Times New Roman"/>
          <w:lang w:val="en-US" w:eastAsia="en-US" w:bidi="ar-SA"/>
        </w:rPr>
        <w:t xml:space="preserve">in the financial statements </w:t>
      </w:r>
      <w:r w:rsidR="005C46CA">
        <w:rPr>
          <w:rFonts w:cs="Times New Roman"/>
          <w:lang w:val="en-US" w:eastAsia="en-US" w:bidi="ar-SA"/>
        </w:rPr>
        <w:t>has increased significantly in 2007 and 2011.</w:t>
      </w:r>
    </w:p>
    <w:p w:rsidR="00813BEA" w:rsidRDefault="005C46CA"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 xml:space="preserve">For reasons explained in paragraph 3.2, the analyses of the disclosure quality of investment risks focus on </w:t>
      </w:r>
      <w:r w:rsidR="00A37C6F">
        <w:rPr>
          <w:rFonts w:cs="Times New Roman"/>
          <w:lang w:val="en-US" w:eastAsia="en-US" w:bidi="ar-SA"/>
        </w:rPr>
        <w:t xml:space="preserve">the disclosure of different allocations for </w:t>
      </w:r>
      <w:r>
        <w:rPr>
          <w:rFonts w:cs="Times New Roman"/>
          <w:lang w:val="en-US" w:eastAsia="en-US" w:bidi="ar-SA"/>
        </w:rPr>
        <w:t>the asset categories real estate and bonds.</w:t>
      </w:r>
      <w:r w:rsidR="00A37C6F">
        <w:rPr>
          <w:rFonts w:cs="Times New Roman"/>
          <w:lang w:val="en-US" w:eastAsia="en-US" w:bidi="ar-SA"/>
        </w:rPr>
        <w:t xml:space="preserve"> Regarding real estate can be concluded that </w:t>
      </w:r>
      <w:r w:rsidR="00DE4AB8">
        <w:rPr>
          <w:rFonts w:cs="Times New Roman"/>
          <w:lang w:val="en-US" w:eastAsia="en-US" w:bidi="ar-SA"/>
        </w:rPr>
        <w:t xml:space="preserve">since the year before the financial crisis, </w:t>
      </w:r>
      <w:r w:rsidR="00A37C6F">
        <w:rPr>
          <w:rFonts w:cs="Times New Roman"/>
          <w:lang w:val="en-US" w:eastAsia="en-US" w:bidi="ar-SA"/>
        </w:rPr>
        <w:t>the</w:t>
      </w:r>
      <w:r w:rsidR="00DE4AB8">
        <w:rPr>
          <w:rFonts w:cs="Times New Roman"/>
          <w:lang w:val="en-US" w:eastAsia="en-US" w:bidi="ar-SA"/>
        </w:rPr>
        <w:t xml:space="preserve">re has been a significant increase in the disclosure </w:t>
      </w:r>
      <w:r w:rsidR="00A37C6F">
        <w:rPr>
          <w:rFonts w:cs="Times New Roman"/>
          <w:lang w:val="en-US" w:eastAsia="en-US" w:bidi="ar-SA"/>
        </w:rPr>
        <w:t xml:space="preserve">of </w:t>
      </w:r>
      <w:r w:rsidR="00DE4AB8">
        <w:rPr>
          <w:rFonts w:cs="Times New Roman"/>
          <w:lang w:val="en-US" w:eastAsia="en-US" w:bidi="ar-SA"/>
        </w:rPr>
        <w:t>region allocations. However, this is not the case for sector and position allocations</w:t>
      </w:r>
      <w:r w:rsidR="001E5EB2">
        <w:rPr>
          <w:rFonts w:cs="Times New Roman"/>
          <w:lang w:val="en-US" w:eastAsia="en-US" w:bidi="ar-SA"/>
        </w:rPr>
        <w:t xml:space="preserve"> of real estate. Regarding bonds can be concluded that since 2006, there has been a significant increase in the disclosure of all the bond allocations that were subject of research. </w:t>
      </w:r>
    </w:p>
    <w:p w:rsidR="005C46CA" w:rsidRDefault="001314F9"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A relation between pension fund size and the disclosure quality of bond and real estate investment</w:t>
      </w:r>
      <w:r w:rsidR="00813BEA">
        <w:rPr>
          <w:rFonts w:cs="Times New Roman"/>
          <w:lang w:val="en-US" w:eastAsia="en-US" w:bidi="ar-SA"/>
        </w:rPr>
        <w:t xml:space="preserve"> risks</w:t>
      </w:r>
      <w:r>
        <w:rPr>
          <w:rFonts w:cs="Times New Roman"/>
          <w:lang w:val="en-US" w:eastAsia="en-US" w:bidi="ar-SA"/>
        </w:rPr>
        <w:t xml:space="preserve"> is harder to detect. Although indeed can be concluded that the </w:t>
      </w:r>
      <w:r w:rsidR="005B1B07">
        <w:rPr>
          <w:rFonts w:cs="Times New Roman"/>
          <w:lang w:val="en-US" w:eastAsia="en-US" w:bidi="ar-SA"/>
        </w:rPr>
        <w:t>larger</w:t>
      </w:r>
      <w:r>
        <w:rPr>
          <w:rFonts w:cs="Times New Roman"/>
          <w:lang w:val="en-US" w:eastAsia="en-US" w:bidi="ar-SA"/>
        </w:rPr>
        <w:t xml:space="preserve"> the pension fund, the bigger the chance on position allocations for bonds and real estate in 2006. </w:t>
      </w:r>
      <w:r w:rsidR="001E5EB2">
        <w:rPr>
          <w:rFonts w:cs="Times New Roman"/>
          <w:lang w:val="en-US" w:eastAsia="en-US" w:bidi="ar-SA"/>
        </w:rPr>
        <w:t xml:space="preserve"> </w:t>
      </w:r>
      <w:r w:rsidR="00DE4AB8">
        <w:rPr>
          <w:rFonts w:cs="Times New Roman"/>
          <w:lang w:val="en-US" w:eastAsia="en-US" w:bidi="ar-SA"/>
        </w:rPr>
        <w:t xml:space="preserve"> </w:t>
      </w:r>
      <w:r w:rsidR="00A37C6F">
        <w:rPr>
          <w:rFonts w:cs="Times New Roman"/>
          <w:lang w:val="en-US" w:eastAsia="en-US" w:bidi="ar-SA"/>
        </w:rPr>
        <w:t xml:space="preserve"> </w:t>
      </w:r>
      <w:r w:rsidR="00A71E50">
        <w:rPr>
          <w:rFonts w:cs="Times New Roman"/>
          <w:lang w:val="en-US" w:eastAsia="en-US" w:bidi="ar-SA"/>
        </w:rPr>
        <w:t xml:space="preserve"> </w:t>
      </w:r>
      <w:r w:rsidR="00F96F7C">
        <w:rPr>
          <w:rFonts w:cs="Times New Roman"/>
          <w:lang w:val="en-US" w:eastAsia="en-US" w:bidi="ar-SA"/>
        </w:rPr>
        <w:t xml:space="preserve"> </w:t>
      </w:r>
      <w:r w:rsidR="005C46CA">
        <w:rPr>
          <w:rFonts w:cs="Times New Roman"/>
          <w:lang w:val="en-US" w:eastAsia="en-US" w:bidi="ar-SA"/>
        </w:rPr>
        <w:t xml:space="preserve"> </w:t>
      </w:r>
    </w:p>
    <w:p w:rsidR="00FB4FA8" w:rsidRPr="00CE0F82" w:rsidRDefault="001314F9" w:rsidP="005F5E1F">
      <w:pPr>
        <w:autoSpaceDE w:val="0"/>
        <w:autoSpaceDN w:val="0"/>
        <w:adjustRightInd w:val="0"/>
        <w:spacing w:line="400" w:lineRule="atLeast"/>
        <w:jc w:val="both"/>
        <w:rPr>
          <w:rFonts w:cs="Times New Roman"/>
          <w:lang w:val="en-US" w:eastAsia="en-US" w:bidi="ar-SA"/>
        </w:rPr>
      </w:pPr>
      <w:r>
        <w:rPr>
          <w:rFonts w:cs="Times New Roman"/>
          <w:lang w:val="en-US" w:eastAsia="en-US" w:bidi="ar-SA"/>
        </w:rPr>
        <w:t>In the</w:t>
      </w:r>
      <w:r w:rsidR="00FE0050">
        <w:rPr>
          <w:rFonts w:cs="Times New Roman"/>
          <w:lang w:val="en-US" w:eastAsia="en-US" w:bidi="ar-SA"/>
        </w:rPr>
        <w:t xml:space="preserve"> next chapter will be found out if the </w:t>
      </w:r>
      <w:r w:rsidR="00CE0F82" w:rsidRPr="00CE0F82">
        <w:rPr>
          <w:rFonts w:cs="Times New Roman"/>
          <w:lang w:val="en-US" w:eastAsia="en-US" w:bidi="ar-SA"/>
        </w:rPr>
        <w:t xml:space="preserve">results </w:t>
      </w:r>
      <w:r>
        <w:rPr>
          <w:rFonts w:cs="Times New Roman"/>
          <w:lang w:val="en-US" w:eastAsia="en-US" w:bidi="ar-SA"/>
        </w:rPr>
        <w:t xml:space="preserve">and analyses </w:t>
      </w:r>
      <w:r w:rsidR="00EE09D9">
        <w:rPr>
          <w:rFonts w:cs="Times New Roman"/>
          <w:lang w:val="en-US" w:eastAsia="en-US" w:bidi="ar-SA"/>
        </w:rPr>
        <w:t xml:space="preserve">regarding disclosure </w:t>
      </w:r>
      <w:r w:rsidR="00CE0F82">
        <w:rPr>
          <w:rFonts w:cs="Times New Roman"/>
          <w:lang w:val="en-US" w:eastAsia="en-US" w:bidi="ar-SA"/>
        </w:rPr>
        <w:t xml:space="preserve">quantity and quality have lead to </w:t>
      </w:r>
      <w:r w:rsidR="00CE0F82" w:rsidRPr="00CE0F82">
        <w:rPr>
          <w:rFonts w:cs="Times New Roman"/>
          <w:lang w:val="en-US" w:eastAsia="en-US" w:bidi="ar-SA"/>
        </w:rPr>
        <w:t xml:space="preserve">sufficient information to give an answer to the </w:t>
      </w:r>
      <w:r w:rsidR="00CE0F82">
        <w:rPr>
          <w:rFonts w:cs="Times New Roman"/>
          <w:lang w:val="en-US" w:eastAsia="en-US" w:bidi="ar-SA"/>
        </w:rPr>
        <w:t>hypotheses</w:t>
      </w:r>
      <w:r w:rsidR="00527CA6">
        <w:rPr>
          <w:rFonts w:cs="Times New Roman"/>
          <w:lang w:val="en-US" w:eastAsia="en-US" w:bidi="ar-SA"/>
        </w:rPr>
        <w:t xml:space="preserve"> and main research question</w:t>
      </w:r>
      <w:r w:rsidR="00FE0050">
        <w:rPr>
          <w:rFonts w:cs="Times New Roman"/>
          <w:lang w:val="en-US" w:eastAsia="en-US" w:bidi="ar-SA"/>
        </w:rPr>
        <w:t>. Furthermore, research limitations and recommendations for further research will be described.</w:t>
      </w:r>
      <w:r w:rsidR="00CE0F82">
        <w:rPr>
          <w:rFonts w:cs="Times New Roman"/>
          <w:lang w:val="en-US" w:eastAsia="en-US" w:bidi="ar-SA"/>
        </w:rPr>
        <w:t xml:space="preserve"> </w:t>
      </w:r>
    </w:p>
    <w:p w:rsidR="006526B6" w:rsidRPr="009440AE" w:rsidRDefault="009D582B" w:rsidP="00FB4FA8">
      <w:pPr>
        <w:pStyle w:val="Kop1"/>
        <w:numPr>
          <w:ilvl w:val="0"/>
          <w:numId w:val="0"/>
        </w:numPr>
        <w:ind w:left="432" w:hanging="432"/>
        <w:rPr>
          <w:lang w:val="en-US"/>
        </w:rPr>
      </w:pPr>
      <w:r w:rsidRPr="009440AE">
        <w:rPr>
          <w:lang w:val="en-US"/>
        </w:rPr>
        <w:br w:type="page"/>
      </w:r>
      <w:bookmarkStart w:id="67" w:name="_Toc355387316"/>
      <w:r w:rsidR="001552A7" w:rsidRPr="009440AE">
        <w:rPr>
          <w:lang w:val="en-US"/>
        </w:rPr>
        <w:t>5</w:t>
      </w:r>
      <w:r w:rsidR="00F021A4" w:rsidRPr="009440AE">
        <w:rPr>
          <w:lang w:val="en-US"/>
        </w:rPr>
        <w:tab/>
      </w:r>
      <w:r w:rsidR="00F021A4" w:rsidRPr="009440AE">
        <w:rPr>
          <w:lang w:val="en-US"/>
        </w:rPr>
        <w:tab/>
      </w:r>
      <w:r w:rsidR="00BD6EFE" w:rsidRPr="009440AE">
        <w:rPr>
          <w:lang w:val="en-US"/>
        </w:rPr>
        <w:t>C</w:t>
      </w:r>
      <w:r w:rsidR="00926DB2" w:rsidRPr="009440AE">
        <w:rPr>
          <w:lang w:val="en-US"/>
        </w:rPr>
        <w:t>onclusions</w:t>
      </w:r>
      <w:r w:rsidR="00AF40E7" w:rsidRPr="009440AE">
        <w:rPr>
          <w:lang w:val="en-US"/>
        </w:rPr>
        <w:t>, limitations and recomm</w:t>
      </w:r>
      <w:r w:rsidR="007D78E4" w:rsidRPr="009440AE">
        <w:rPr>
          <w:lang w:val="en-US"/>
        </w:rPr>
        <w:t>e</w:t>
      </w:r>
      <w:r w:rsidR="00BD6EFE" w:rsidRPr="009440AE">
        <w:rPr>
          <w:lang w:val="en-US"/>
        </w:rPr>
        <w:t>ndations</w:t>
      </w:r>
      <w:bookmarkEnd w:id="67"/>
    </w:p>
    <w:p w:rsidR="00A36AA2" w:rsidRPr="009440AE" w:rsidRDefault="00A36AA2">
      <w:pPr>
        <w:rPr>
          <w:lang w:val="en-US"/>
        </w:rPr>
      </w:pPr>
    </w:p>
    <w:p w:rsidR="00A36AA2" w:rsidRPr="009440AE" w:rsidRDefault="009440AE" w:rsidP="005F5E1F">
      <w:pPr>
        <w:spacing w:line="360" w:lineRule="auto"/>
        <w:jc w:val="both"/>
        <w:rPr>
          <w:lang w:val="en-US"/>
        </w:rPr>
      </w:pPr>
      <w:r>
        <w:rPr>
          <w:lang w:val="en-US"/>
        </w:rPr>
        <w:t xml:space="preserve">In the previous chapter, the research results have been presented and analyzed. </w:t>
      </w:r>
      <w:r w:rsidR="00BA77D7">
        <w:rPr>
          <w:lang w:val="en-US"/>
        </w:rPr>
        <w:t>T</w:t>
      </w:r>
      <w:r w:rsidR="009677E0">
        <w:rPr>
          <w:lang w:val="en-US"/>
        </w:rPr>
        <w:t>his chapter</w:t>
      </w:r>
      <w:r w:rsidR="00BA77D7">
        <w:rPr>
          <w:lang w:val="en-US"/>
        </w:rPr>
        <w:t xml:space="preserve"> presents</w:t>
      </w:r>
      <w:r w:rsidR="009677E0">
        <w:rPr>
          <w:lang w:val="en-US"/>
        </w:rPr>
        <w:t xml:space="preserve"> </w:t>
      </w:r>
      <w:r w:rsidR="00527CA6">
        <w:rPr>
          <w:lang w:val="en-US"/>
        </w:rPr>
        <w:t>the conclusions from the results and</w:t>
      </w:r>
      <w:r w:rsidR="001B7D21">
        <w:rPr>
          <w:lang w:val="en-US"/>
        </w:rPr>
        <w:t xml:space="preserve"> analyses by giving an answer to</w:t>
      </w:r>
      <w:r w:rsidR="00527CA6">
        <w:rPr>
          <w:lang w:val="en-US"/>
        </w:rPr>
        <w:t xml:space="preserve"> the research question and hypotheses as presented in chapter 3. </w:t>
      </w:r>
      <w:r w:rsidR="009677E0">
        <w:rPr>
          <w:lang w:val="en-US"/>
        </w:rPr>
        <w:t>Furthermore, t</w:t>
      </w:r>
      <w:r>
        <w:rPr>
          <w:lang w:val="en-US"/>
        </w:rPr>
        <w:t xml:space="preserve">his chapter aims to </w:t>
      </w:r>
      <w:r w:rsidR="0021631A">
        <w:rPr>
          <w:lang w:val="en-US"/>
        </w:rPr>
        <w:t xml:space="preserve">present </w:t>
      </w:r>
      <w:r w:rsidR="001B7D21">
        <w:rPr>
          <w:lang w:val="en-US"/>
        </w:rPr>
        <w:t xml:space="preserve">limitations of the research and </w:t>
      </w:r>
      <w:r w:rsidR="0021631A">
        <w:rPr>
          <w:lang w:val="en-US"/>
        </w:rPr>
        <w:t>recommendations for further research</w:t>
      </w:r>
      <w:r w:rsidR="001B7D21">
        <w:rPr>
          <w:lang w:val="en-US"/>
        </w:rPr>
        <w:t>.</w:t>
      </w:r>
    </w:p>
    <w:p w:rsidR="00BD6EFE" w:rsidRDefault="001552A7" w:rsidP="00C5602F">
      <w:pPr>
        <w:pStyle w:val="Kop2"/>
        <w:numPr>
          <w:ilvl w:val="0"/>
          <w:numId w:val="0"/>
        </w:numPr>
        <w:spacing w:line="360" w:lineRule="auto"/>
        <w:ind w:left="576" w:hanging="576"/>
        <w:jc w:val="both"/>
        <w:rPr>
          <w:rFonts w:ascii="Times New Roman" w:hAnsi="Times New Roman" w:cs="Times New Roman"/>
          <w:bCs w:val="0"/>
          <w:i w:val="0"/>
          <w:iCs w:val="0"/>
          <w:sz w:val="24"/>
          <w:szCs w:val="24"/>
          <w:lang w:val="en-US"/>
        </w:rPr>
      </w:pPr>
      <w:bookmarkStart w:id="68" w:name="_Toc355387317"/>
      <w:r w:rsidRPr="009440AE">
        <w:rPr>
          <w:rFonts w:ascii="Times New Roman" w:hAnsi="Times New Roman" w:cs="Times New Roman"/>
          <w:bCs w:val="0"/>
          <w:i w:val="0"/>
          <w:iCs w:val="0"/>
          <w:sz w:val="24"/>
          <w:szCs w:val="24"/>
          <w:lang w:val="en-US"/>
        </w:rPr>
        <w:t>5</w:t>
      </w:r>
      <w:r w:rsidR="00BD6EFE" w:rsidRPr="009440AE">
        <w:rPr>
          <w:rFonts w:ascii="Times New Roman" w:hAnsi="Times New Roman" w:cs="Times New Roman"/>
          <w:bCs w:val="0"/>
          <w:i w:val="0"/>
          <w:iCs w:val="0"/>
          <w:sz w:val="24"/>
          <w:szCs w:val="24"/>
          <w:lang w:val="en-US"/>
        </w:rPr>
        <w:t>.1</w:t>
      </w:r>
      <w:r w:rsidR="00BD6EFE" w:rsidRPr="009440AE">
        <w:rPr>
          <w:rFonts w:ascii="Times New Roman" w:hAnsi="Times New Roman" w:cs="Times New Roman"/>
          <w:bCs w:val="0"/>
          <w:i w:val="0"/>
          <w:iCs w:val="0"/>
          <w:sz w:val="24"/>
          <w:szCs w:val="24"/>
          <w:lang w:val="en-US"/>
        </w:rPr>
        <w:tab/>
        <w:t>Conclusions</w:t>
      </w:r>
      <w:bookmarkEnd w:id="68"/>
    </w:p>
    <w:p w:rsidR="007A60F6" w:rsidRDefault="008B0D07" w:rsidP="005F5E1F">
      <w:pPr>
        <w:spacing w:line="360" w:lineRule="auto"/>
        <w:jc w:val="both"/>
        <w:rPr>
          <w:lang w:val="en-US"/>
        </w:rPr>
      </w:pPr>
      <w:r>
        <w:rPr>
          <w:lang w:val="en-US"/>
        </w:rPr>
        <w:t xml:space="preserve">This thesis aims to research if </w:t>
      </w:r>
      <w:r w:rsidR="00AA47DB">
        <w:rPr>
          <w:lang w:val="en-US"/>
        </w:rPr>
        <w:t>disclosure quantity and disclosure quality have increased since the start of the financial crisis in 2007 and if there are differences noticeable regarding pension fund size.</w:t>
      </w:r>
      <w:r w:rsidR="00E070EE">
        <w:rPr>
          <w:lang w:val="en-US"/>
        </w:rPr>
        <w:t xml:space="preserve"> </w:t>
      </w:r>
      <w:r w:rsidR="007A60F6">
        <w:rPr>
          <w:lang w:val="en-US"/>
        </w:rPr>
        <w:t>Although several researches have been conducted regarding disclosure quantity and disclosure quality, less research has been conducted specifically on pension funds regarding the financial crisis and investment risk. In particular</w:t>
      </w:r>
      <w:r w:rsidR="00EE09D9">
        <w:rPr>
          <w:lang w:val="en-US"/>
        </w:rPr>
        <w:t>,</w:t>
      </w:r>
      <w:r w:rsidR="007A60F6">
        <w:rPr>
          <w:lang w:val="en-US"/>
        </w:rPr>
        <w:t xml:space="preserve"> few or no scientific researches </w:t>
      </w:r>
      <w:r w:rsidR="00EE09D9">
        <w:rPr>
          <w:lang w:val="en-US"/>
        </w:rPr>
        <w:t xml:space="preserve">seem to have been conducted, </w:t>
      </w:r>
      <w:r w:rsidR="007A60F6">
        <w:rPr>
          <w:lang w:val="en-US"/>
        </w:rPr>
        <w:t>that take also into account pension fund size. However, the number of stakeholders in Dutch pension funds is considerable and it is in the interest of these stakeholders to conduct more research on this topic.</w:t>
      </w:r>
    </w:p>
    <w:p w:rsidR="00334A27" w:rsidRPr="00334A27" w:rsidRDefault="00334A27" w:rsidP="005F5E1F">
      <w:pPr>
        <w:jc w:val="both"/>
        <w:rPr>
          <w:lang w:val="en-US"/>
        </w:rPr>
      </w:pPr>
    </w:p>
    <w:p w:rsidR="00011CFA" w:rsidRDefault="000E6E4F" w:rsidP="005F5E1F">
      <w:pPr>
        <w:spacing w:line="360" w:lineRule="auto"/>
        <w:jc w:val="both"/>
        <w:rPr>
          <w:lang w:val="en-US"/>
        </w:rPr>
      </w:pPr>
      <w:r>
        <w:rPr>
          <w:lang w:val="en-US"/>
        </w:rPr>
        <w:t>C</w:t>
      </w:r>
      <w:r w:rsidR="008C5437">
        <w:rPr>
          <w:lang w:val="en-US"/>
        </w:rPr>
        <w:t>onstructi</w:t>
      </w:r>
      <w:r>
        <w:rPr>
          <w:lang w:val="en-US"/>
        </w:rPr>
        <w:t xml:space="preserve">ng </w:t>
      </w:r>
      <w:r w:rsidR="008C5437">
        <w:rPr>
          <w:lang w:val="en-US"/>
        </w:rPr>
        <w:t>the research design</w:t>
      </w:r>
      <w:r>
        <w:rPr>
          <w:lang w:val="en-US"/>
        </w:rPr>
        <w:t xml:space="preserve"> </w:t>
      </w:r>
      <w:r w:rsidR="00750674">
        <w:rPr>
          <w:lang w:val="en-US"/>
        </w:rPr>
        <w:t>in chapter three</w:t>
      </w:r>
      <w:r>
        <w:rPr>
          <w:lang w:val="en-US"/>
        </w:rPr>
        <w:t>,</w:t>
      </w:r>
      <w:r w:rsidR="00750674">
        <w:rPr>
          <w:lang w:val="en-US"/>
        </w:rPr>
        <w:t xml:space="preserve"> six hypotheses have been formulated. In chapter four, the research results and </w:t>
      </w:r>
      <w:r w:rsidR="00776DDD">
        <w:rPr>
          <w:lang w:val="en-US"/>
        </w:rPr>
        <w:t xml:space="preserve">analyses have been presented. </w:t>
      </w:r>
      <w:r>
        <w:rPr>
          <w:lang w:val="en-US"/>
        </w:rPr>
        <w:t>As part of the conclusions, these hypotheses will be repeated and accompanied by an answer to make sure that all hypotheses</w:t>
      </w:r>
      <w:r w:rsidR="00E02F4B">
        <w:rPr>
          <w:lang w:val="en-US"/>
        </w:rPr>
        <w:t xml:space="preserve"> have been tested sufficiently</w:t>
      </w:r>
      <w:r>
        <w:rPr>
          <w:lang w:val="en-US"/>
        </w:rPr>
        <w:t>.</w:t>
      </w:r>
    </w:p>
    <w:p w:rsidR="00011CFA" w:rsidRPr="00011CFA" w:rsidRDefault="00011CFA" w:rsidP="005F5E1F">
      <w:pPr>
        <w:spacing w:line="360" w:lineRule="auto"/>
        <w:jc w:val="both"/>
        <w:rPr>
          <w:lang w:val="en-US"/>
        </w:rPr>
      </w:pPr>
    </w:p>
    <w:p w:rsidR="009440AE" w:rsidRDefault="009440AE" w:rsidP="005F5E1F">
      <w:pPr>
        <w:spacing w:line="360" w:lineRule="auto"/>
        <w:jc w:val="both"/>
        <w:rPr>
          <w:b/>
          <w:bCs/>
          <w:iCs/>
        </w:rPr>
      </w:pPr>
      <w:r w:rsidRPr="00DF0DB4">
        <w:rPr>
          <w:b/>
          <w:bCs/>
        </w:rPr>
        <w:t>H</w:t>
      </w:r>
      <w:r>
        <w:rPr>
          <w:b/>
          <w:bCs/>
        </w:rPr>
        <w:t>1</w:t>
      </w:r>
      <w:r w:rsidRPr="00DF0DB4">
        <w:rPr>
          <w:b/>
          <w:bCs/>
        </w:rPr>
        <w:t xml:space="preserve">: </w:t>
      </w:r>
      <w:r>
        <w:rPr>
          <w:b/>
          <w:bCs/>
          <w:iCs/>
        </w:rPr>
        <w:t>The financial crisis is a topic in the financial statements of Dutch pension funds.</w:t>
      </w:r>
    </w:p>
    <w:p w:rsidR="00C5602F" w:rsidRDefault="00C5602F" w:rsidP="005F5E1F">
      <w:pPr>
        <w:spacing w:line="360" w:lineRule="auto"/>
        <w:jc w:val="both"/>
      </w:pPr>
      <w:r>
        <w:t>The first hypothesis is not rejected</w:t>
      </w:r>
      <w:r w:rsidR="00EE09D9">
        <w:t xml:space="preserve"> as the financial crisis is certainly a topic in the financial statements</w:t>
      </w:r>
      <w:r>
        <w:t>. The analysis on the conducted re</w:t>
      </w:r>
      <w:r w:rsidR="004460A0">
        <w:t>search in paragraph 4.2 reveals</w:t>
      </w:r>
      <w:r>
        <w:t xml:space="preserve"> that </w:t>
      </w:r>
      <w:r w:rsidR="004460A0">
        <w:t>the word financial crisis and words regarding the crisis have been mentioned frequently in the financial statements of both 2007 and 2011.</w:t>
      </w:r>
    </w:p>
    <w:p w:rsidR="004460A0" w:rsidRDefault="004460A0" w:rsidP="005F5E1F">
      <w:pPr>
        <w:spacing w:line="360" w:lineRule="auto"/>
        <w:jc w:val="both"/>
      </w:pPr>
    </w:p>
    <w:p w:rsidR="009440AE" w:rsidRDefault="009440AE" w:rsidP="005F5E1F">
      <w:pPr>
        <w:spacing w:line="360" w:lineRule="auto"/>
        <w:jc w:val="both"/>
        <w:rPr>
          <w:b/>
          <w:bCs/>
          <w:iCs/>
        </w:rPr>
      </w:pPr>
      <w:r w:rsidRPr="00DF0DB4">
        <w:rPr>
          <w:b/>
          <w:bCs/>
        </w:rPr>
        <w:t>H</w:t>
      </w:r>
      <w:r>
        <w:rPr>
          <w:b/>
          <w:bCs/>
        </w:rPr>
        <w:t>2</w:t>
      </w:r>
      <w:r w:rsidRPr="00DF0DB4">
        <w:rPr>
          <w:b/>
          <w:bCs/>
        </w:rPr>
        <w:t xml:space="preserve">: </w:t>
      </w:r>
      <w:r>
        <w:rPr>
          <w:b/>
          <w:bCs/>
        </w:rPr>
        <w:t xml:space="preserve">The disclosure quantity of the financial crisis in the financial statements of Dutch pension funds is larger for bigger </w:t>
      </w:r>
      <w:r>
        <w:rPr>
          <w:b/>
          <w:bCs/>
          <w:iCs/>
        </w:rPr>
        <w:t>Dutch pension funds</w:t>
      </w:r>
      <w:r w:rsidRPr="00DF0DB4">
        <w:rPr>
          <w:b/>
          <w:bCs/>
          <w:iCs/>
        </w:rPr>
        <w:t xml:space="preserve"> </w:t>
      </w:r>
      <w:r>
        <w:rPr>
          <w:b/>
          <w:bCs/>
          <w:iCs/>
        </w:rPr>
        <w:t>than for smaller Dutch pension funds.</w:t>
      </w:r>
    </w:p>
    <w:p w:rsidR="004460A0" w:rsidRDefault="004460A0" w:rsidP="005F5E1F">
      <w:pPr>
        <w:spacing w:line="360" w:lineRule="auto"/>
        <w:jc w:val="both"/>
        <w:rPr>
          <w:bCs/>
        </w:rPr>
      </w:pPr>
      <w:r>
        <w:rPr>
          <w:bCs/>
          <w:iCs/>
        </w:rPr>
        <w:t>On the basis of the analysis conducted in paragraph 4.2 can indeed be concluded that b</w:t>
      </w:r>
      <w:r w:rsidR="00A91773">
        <w:rPr>
          <w:bCs/>
          <w:iCs/>
        </w:rPr>
        <w:t>oth in 2007 and 2011, the larger</w:t>
      </w:r>
      <w:r>
        <w:rPr>
          <w:bCs/>
          <w:iCs/>
        </w:rPr>
        <w:t xml:space="preserve"> a pension fund, the more frequent</w:t>
      </w:r>
      <w:r w:rsidR="00621389">
        <w:rPr>
          <w:bCs/>
          <w:iCs/>
        </w:rPr>
        <w:t>ly</w:t>
      </w:r>
      <w:r>
        <w:rPr>
          <w:bCs/>
          <w:iCs/>
        </w:rPr>
        <w:t xml:space="preserve"> words regarding the financial crisis are disclosed in the financial statements.</w:t>
      </w:r>
    </w:p>
    <w:p w:rsidR="009440AE" w:rsidRDefault="009440AE" w:rsidP="005F5E1F">
      <w:pPr>
        <w:spacing w:line="360" w:lineRule="auto"/>
        <w:jc w:val="both"/>
        <w:rPr>
          <w:b/>
          <w:bCs/>
          <w:iCs/>
        </w:rPr>
      </w:pPr>
      <w:r w:rsidRPr="00DF0DB4">
        <w:rPr>
          <w:b/>
          <w:bCs/>
        </w:rPr>
        <w:t>H</w:t>
      </w:r>
      <w:r>
        <w:rPr>
          <w:b/>
          <w:bCs/>
        </w:rPr>
        <w:t>3</w:t>
      </w:r>
      <w:r w:rsidRPr="00DF0DB4">
        <w:rPr>
          <w:b/>
          <w:bCs/>
        </w:rPr>
        <w:t xml:space="preserve">: </w:t>
      </w:r>
      <w:r>
        <w:rPr>
          <w:b/>
          <w:bCs/>
          <w:iCs/>
        </w:rPr>
        <w:t>The quantity of investment risk disclosures in the financial statements of Dutch pension funds</w:t>
      </w:r>
      <w:r w:rsidRPr="00DF0DB4">
        <w:rPr>
          <w:b/>
          <w:bCs/>
          <w:iCs/>
        </w:rPr>
        <w:t xml:space="preserve"> </w:t>
      </w:r>
      <w:r>
        <w:rPr>
          <w:b/>
          <w:bCs/>
          <w:iCs/>
        </w:rPr>
        <w:t>has increased s</w:t>
      </w:r>
      <w:r w:rsidRPr="00DF0DB4">
        <w:rPr>
          <w:b/>
          <w:bCs/>
          <w:iCs/>
        </w:rPr>
        <w:t>ince the</w:t>
      </w:r>
      <w:r>
        <w:rPr>
          <w:b/>
          <w:bCs/>
          <w:iCs/>
        </w:rPr>
        <w:t xml:space="preserve"> financial crisis</w:t>
      </w:r>
      <w:r w:rsidRPr="00DF0DB4">
        <w:rPr>
          <w:b/>
          <w:bCs/>
          <w:iCs/>
        </w:rPr>
        <w:t>.</w:t>
      </w:r>
    </w:p>
    <w:p w:rsidR="00621389" w:rsidRDefault="00BD2D97" w:rsidP="005F5E1F">
      <w:pPr>
        <w:spacing w:line="360" w:lineRule="auto"/>
        <w:jc w:val="both"/>
      </w:pPr>
      <w:r>
        <w:t>The analysis in paragraph 4.3 supports this hypothesis, since 2006, the year before the start of the financial crisis, the frequency of the use of words regarding investment risks has increased significantly in 2007 and 2011.</w:t>
      </w:r>
    </w:p>
    <w:p w:rsidR="003F1299" w:rsidRDefault="003F1299" w:rsidP="005F5E1F">
      <w:pPr>
        <w:spacing w:line="360" w:lineRule="auto"/>
        <w:jc w:val="both"/>
      </w:pPr>
    </w:p>
    <w:p w:rsidR="00540246" w:rsidRDefault="003F1299" w:rsidP="005F5E1F">
      <w:pPr>
        <w:spacing w:line="360" w:lineRule="auto"/>
        <w:jc w:val="both"/>
        <w:rPr>
          <w:b/>
          <w:bCs/>
          <w:iCs/>
        </w:rPr>
      </w:pPr>
      <w:r w:rsidRPr="00DF0DB4">
        <w:rPr>
          <w:b/>
          <w:bCs/>
        </w:rPr>
        <w:t>H</w:t>
      </w:r>
      <w:r>
        <w:rPr>
          <w:b/>
          <w:bCs/>
        </w:rPr>
        <w:t xml:space="preserve">4: </w:t>
      </w:r>
      <w:r w:rsidR="00540246">
        <w:rPr>
          <w:b/>
          <w:bCs/>
        </w:rPr>
        <w:t xml:space="preserve">The quantity of investment risk disclosures in the financial statements of Dutch pension funds is bigger for larger </w:t>
      </w:r>
      <w:r w:rsidR="00540246">
        <w:rPr>
          <w:b/>
          <w:bCs/>
          <w:iCs/>
        </w:rPr>
        <w:t>Dutch pension funds</w:t>
      </w:r>
      <w:r w:rsidR="00540246" w:rsidRPr="00DF0DB4">
        <w:rPr>
          <w:b/>
          <w:bCs/>
          <w:iCs/>
        </w:rPr>
        <w:t xml:space="preserve"> </w:t>
      </w:r>
      <w:r w:rsidR="00540246">
        <w:rPr>
          <w:b/>
          <w:bCs/>
          <w:iCs/>
        </w:rPr>
        <w:t>than for smaller Dutch pension funds before and after the start of the financial crisis.</w:t>
      </w:r>
    </w:p>
    <w:p w:rsidR="003F1299" w:rsidRPr="00DF0DB4" w:rsidRDefault="00540246" w:rsidP="005F5E1F">
      <w:pPr>
        <w:spacing w:line="360" w:lineRule="auto"/>
        <w:jc w:val="both"/>
      </w:pPr>
      <w:r>
        <w:t xml:space="preserve">This hypothesis is supported by the analysis conducted in paragraph 4.3 regarding 2006, the year before the financial crisis. However, with regard to </w:t>
      </w:r>
      <w:r w:rsidR="00E40F5A">
        <w:t xml:space="preserve">the years </w:t>
      </w:r>
      <w:r>
        <w:t xml:space="preserve">2007 </w:t>
      </w:r>
      <w:r w:rsidR="00E40F5A">
        <w:t>and 2011, the hypothesis cannot be supported.</w:t>
      </w:r>
    </w:p>
    <w:p w:rsidR="009440AE" w:rsidRDefault="009440AE" w:rsidP="005F5E1F">
      <w:pPr>
        <w:spacing w:line="360" w:lineRule="auto"/>
        <w:jc w:val="both"/>
      </w:pPr>
    </w:p>
    <w:p w:rsidR="009440AE" w:rsidRDefault="009440AE" w:rsidP="005F5E1F">
      <w:pPr>
        <w:spacing w:line="360" w:lineRule="auto"/>
        <w:jc w:val="both"/>
        <w:rPr>
          <w:b/>
          <w:bCs/>
          <w:iCs/>
        </w:rPr>
      </w:pPr>
      <w:r w:rsidRPr="00DF0DB4">
        <w:rPr>
          <w:b/>
          <w:bCs/>
        </w:rPr>
        <w:t>H</w:t>
      </w:r>
      <w:r w:rsidR="00A71E50">
        <w:rPr>
          <w:b/>
          <w:bCs/>
        </w:rPr>
        <w:t>5</w:t>
      </w:r>
      <w:r>
        <w:rPr>
          <w:b/>
          <w:bCs/>
        </w:rPr>
        <w:t xml:space="preserve">: </w:t>
      </w:r>
      <w:r>
        <w:rPr>
          <w:b/>
          <w:bCs/>
          <w:iCs/>
        </w:rPr>
        <w:t>The quality of investment risk disclosures in the financial statements of Dutch pension funds</w:t>
      </w:r>
      <w:r w:rsidRPr="00DF0DB4">
        <w:rPr>
          <w:b/>
          <w:bCs/>
          <w:iCs/>
        </w:rPr>
        <w:t xml:space="preserve"> </w:t>
      </w:r>
      <w:r>
        <w:rPr>
          <w:b/>
          <w:bCs/>
          <w:iCs/>
        </w:rPr>
        <w:t>has increased s</w:t>
      </w:r>
      <w:r w:rsidRPr="00DF0DB4">
        <w:rPr>
          <w:b/>
          <w:bCs/>
          <w:iCs/>
        </w:rPr>
        <w:t>ince the</w:t>
      </w:r>
      <w:r>
        <w:rPr>
          <w:b/>
          <w:bCs/>
          <w:iCs/>
        </w:rPr>
        <w:t xml:space="preserve"> financial crisis</w:t>
      </w:r>
      <w:r w:rsidRPr="00DF0DB4">
        <w:rPr>
          <w:b/>
          <w:bCs/>
          <w:iCs/>
        </w:rPr>
        <w:t>.</w:t>
      </w:r>
    </w:p>
    <w:p w:rsidR="009440AE" w:rsidRDefault="00E40F5A" w:rsidP="005F5E1F">
      <w:pPr>
        <w:spacing w:line="360" w:lineRule="auto"/>
        <w:jc w:val="both"/>
        <w:rPr>
          <w:b/>
          <w:bCs/>
          <w:iCs/>
        </w:rPr>
      </w:pPr>
      <w:r>
        <w:rPr>
          <w:bCs/>
          <w:iCs/>
        </w:rPr>
        <w:t xml:space="preserve">The </w:t>
      </w:r>
      <w:r w:rsidR="00EE09D9">
        <w:rPr>
          <w:bCs/>
          <w:iCs/>
        </w:rPr>
        <w:t>analysis</w:t>
      </w:r>
      <w:r>
        <w:rPr>
          <w:bCs/>
          <w:iCs/>
        </w:rPr>
        <w:t xml:space="preserve"> in paragraph </w:t>
      </w:r>
      <w:r w:rsidR="0084728C">
        <w:rPr>
          <w:bCs/>
          <w:iCs/>
        </w:rPr>
        <w:t>4.4 only support</w:t>
      </w:r>
      <w:r w:rsidR="00EE09D9">
        <w:rPr>
          <w:bCs/>
          <w:iCs/>
        </w:rPr>
        <w:t>s</w:t>
      </w:r>
      <w:r w:rsidR="0084728C">
        <w:rPr>
          <w:bCs/>
          <w:iCs/>
        </w:rPr>
        <w:t xml:space="preserve"> this hypothesis partly. The quality of real estate investment risk disclosures has only increased since the financial crisis regarding the region allocations. For bonds, the quality of the investment risk disclosures has increased significantly for all allocations that have been researched.</w:t>
      </w:r>
    </w:p>
    <w:p w:rsidR="009440AE" w:rsidRDefault="009440AE" w:rsidP="005F5E1F">
      <w:pPr>
        <w:spacing w:line="360" w:lineRule="auto"/>
        <w:jc w:val="both"/>
      </w:pPr>
    </w:p>
    <w:p w:rsidR="00532537" w:rsidRDefault="009440AE" w:rsidP="005F5E1F">
      <w:pPr>
        <w:spacing w:line="360" w:lineRule="auto"/>
        <w:jc w:val="both"/>
        <w:rPr>
          <w:b/>
          <w:bCs/>
          <w:iCs/>
        </w:rPr>
      </w:pPr>
      <w:r w:rsidRPr="00DF0DB4">
        <w:rPr>
          <w:b/>
          <w:bCs/>
        </w:rPr>
        <w:t>H</w:t>
      </w:r>
      <w:r>
        <w:rPr>
          <w:b/>
          <w:bCs/>
        </w:rPr>
        <w:t xml:space="preserve">6: </w:t>
      </w:r>
      <w:r w:rsidR="00532537">
        <w:rPr>
          <w:b/>
          <w:bCs/>
        </w:rPr>
        <w:t xml:space="preserve">The quality of investment risk disclosures in the financial statements of Dutch pension funds is bigger for larger </w:t>
      </w:r>
      <w:r w:rsidR="00532537">
        <w:rPr>
          <w:b/>
          <w:bCs/>
          <w:iCs/>
        </w:rPr>
        <w:t>Dutch pension funds</w:t>
      </w:r>
      <w:r w:rsidR="00532537" w:rsidRPr="00DF0DB4">
        <w:rPr>
          <w:b/>
          <w:bCs/>
          <w:iCs/>
        </w:rPr>
        <w:t xml:space="preserve"> </w:t>
      </w:r>
      <w:r w:rsidR="00532537">
        <w:rPr>
          <w:b/>
          <w:bCs/>
          <w:iCs/>
        </w:rPr>
        <w:t>than for smaller Dutch pension funds before and after the start of the financial crisis.</w:t>
      </w:r>
    </w:p>
    <w:p w:rsidR="009440AE" w:rsidRPr="00DF0DB4" w:rsidRDefault="00EE09D9" w:rsidP="005F5E1F">
      <w:pPr>
        <w:spacing w:line="360" w:lineRule="auto"/>
        <w:jc w:val="both"/>
      </w:pPr>
      <w:r>
        <w:t>For this hypothesis, the analysi</w:t>
      </w:r>
      <w:r w:rsidR="0084728C">
        <w:t xml:space="preserve">s in paragraph </w:t>
      </w:r>
      <w:r>
        <w:t>4.4 supplies</w:t>
      </w:r>
      <w:r w:rsidR="0084728C">
        <w:t xml:space="preserve"> only </w:t>
      </w:r>
      <w:r w:rsidR="00532537">
        <w:t>part</w:t>
      </w:r>
      <w:r>
        <w:t>ially</w:t>
      </w:r>
      <w:r w:rsidR="0084728C">
        <w:t xml:space="preserve"> support.</w:t>
      </w:r>
      <w:r w:rsidR="00532537">
        <w:t xml:space="preserve"> From the analyses regarding the quality of both real estate and bond inve</w:t>
      </w:r>
      <w:r w:rsidR="00947BD3">
        <w:t xml:space="preserve">stment risk disclosures </w:t>
      </w:r>
      <w:r w:rsidR="00532537">
        <w:t xml:space="preserve">can </w:t>
      </w:r>
      <w:r w:rsidR="00947BD3">
        <w:t xml:space="preserve">only </w:t>
      </w:r>
      <w:r w:rsidR="00532537">
        <w:t xml:space="preserve">be concluded that </w:t>
      </w:r>
      <w:r w:rsidR="00947BD3">
        <w:t xml:space="preserve">both in 2006 and 2011, </w:t>
      </w:r>
      <w:r w:rsidR="00532537">
        <w:t>the bigger the pension fund was, the bigger the chance of the disclosure of a position allocation.</w:t>
      </w:r>
      <w:r w:rsidR="00947BD3">
        <w:t xml:space="preserve"> </w:t>
      </w:r>
      <w:r w:rsidR="00532537">
        <w:t xml:space="preserve">  </w:t>
      </w:r>
    </w:p>
    <w:p w:rsidR="009440AE" w:rsidRPr="009440AE" w:rsidRDefault="009440AE" w:rsidP="005F5E1F">
      <w:pPr>
        <w:spacing w:line="360" w:lineRule="auto"/>
        <w:jc w:val="both"/>
      </w:pPr>
    </w:p>
    <w:p w:rsidR="00A36AA2" w:rsidRPr="00F21FFE" w:rsidRDefault="00011CFA" w:rsidP="005F5E1F">
      <w:pPr>
        <w:spacing w:line="360" w:lineRule="auto"/>
        <w:jc w:val="both"/>
        <w:rPr>
          <w:lang w:val="en-US"/>
        </w:rPr>
      </w:pPr>
      <w:r>
        <w:rPr>
          <w:lang w:val="en-US"/>
        </w:rPr>
        <w:t xml:space="preserve">Given these answers on the hypotheses, the answer on the main research question </w:t>
      </w:r>
      <w:r w:rsidR="000E6E4F">
        <w:rPr>
          <w:lang w:val="en-US"/>
        </w:rPr>
        <w:t>that</w:t>
      </w:r>
      <w:r w:rsidR="00EE09D9">
        <w:rPr>
          <w:lang w:val="en-US"/>
        </w:rPr>
        <w:t xml:space="preserve"> has been repeated below will be</w:t>
      </w:r>
      <w:r>
        <w:rPr>
          <w:lang w:val="en-US"/>
        </w:rPr>
        <w:t xml:space="preserve"> formulated.</w:t>
      </w:r>
    </w:p>
    <w:p w:rsidR="00E132A1" w:rsidRDefault="00F21FFE" w:rsidP="005F5E1F">
      <w:pPr>
        <w:spacing w:line="480" w:lineRule="auto"/>
        <w:jc w:val="both"/>
        <w:rPr>
          <w:b/>
          <w:bCs/>
          <w:i/>
          <w:iCs/>
        </w:rPr>
      </w:pPr>
      <w:r w:rsidRPr="00DF0DB4">
        <w:rPr>
          <w:b/>
          <w:bCs/>
          <w:i/>
          <w:iCs/>
        </w:rPr>
        <w:t>“</w:t>
      </w:r>
      <w:r>
        <w:rPr>
          <w:b/>
          <w:bCs/>
          <w:i/>
          <w:iCs/>
        </w:rPr>
        <w:t xml:space="preserve">To what extent have the quantity and quality of investment risk disclosures in the financial </w:t>
      </w:r>
      <w:r w:rsidRPr="0072082C">
        <w:rPr>
          <w:b/>
          <w:bCs/>
          <w:i/>
          <w:iCs/>
          <w:lang w:val="en-GB"/>
        </w:rPr>
        <w:t>statements</w:t>
      </w:r>
      <w:r>
        <w:rPr>
          <w:b/>
          <w:bCs/>
          <w:i/>
          <w:iCs/>
        </w:rPr>
        <w:t xml:space="preserve"> of Dutch pension funds increased since the financial crisis and does pension fund size result in differences in disclosure quantity and quality?” </w:t>
      </w:r>
    </w:p>
    <w:p w:rsidR="00450C56" w:rsidRDefault="00024BBD" w:rsidP="005F5E1F">
      <w:pPr>
        <w:spacing w:line="360" w:lineRule="auto"/>
        <w:jc w:val="both"/>
      </w:pPr>
      <w:r w:rsidRPr="00E132A1">
        <w:t>The quantity of investment risk disclosures in the</w:t>
      </w:r>
      <w:r w:rsidR="00E132A1" w:rsidRPr="00E132A1">
        <w:t xml:space="preserve"> financial statements of Dutch pension funds has increased significantly since the financial crisis. Only in 2006, the year before the start of the financial crisis, pension fund size resulted in differences, in 2006, the </w:t>
      </w:r>
      <w:r w:rsidR="00450C56">
        <w:t>larger</w:t>
      </w:r>
      <w:r w:rsidR="00E132A1" w:rsidRPr="00E132A1">
        <w:t xml:space="preserve"> the pension fund, the more frequently investment risks were mentioned in the financial statements.</w:t>
      </w:r>
      <w:r w:rsidR="00E23A8B">
        <w:t xml:space="preserve"> </w:t>
      </w:r>
    </w:p>
    <w:p w:rsidR="00F018F6" w:rsidRDefault="00E23A8B" w:rsidP="005F5E1F">
      <w:pPr>
        <w:spacing w:line="360" w:lineRule="auto"/>
        <w:jc w:val="both"/>
      </w:pPr>
      <w:proofErr w:type="spellStart"/>
      <w:r>
        <w:t>Buzby</w:t>
      </w:r>
      <w:proofErr w:type="spellEnd"/>
      <w:r>
        <w:t xml:space="preserve"> (1975) and Cooke (1989) </w:t>
      </w:r>
      <w:r w:rsidR="00FA5261">
        <w:t>explain</w:t>
      </w:r>
      <w:r w:rsidR="00F018F6">
        <w:t xml:space="preserve"> </w:t>
      </w:r>
      <w:r w:rsidR="00FA5261">
        <w:t xml:space="preserve">these </w:t>
      </w:r>
      <w:r w:rsidR="00F018F6">
        <w:t xml:space="preserve">differences between larger and smaller pension funds amongst others by stating that smaller companies </w:t>
      </w:r>
      <w:r w:rsidR="00450C56">
        <w:t>do</w:t>
      </w:r>
      <w:r w:rsidR="00F018F6">
        <w:t xml:space="preserve"> not have the resources to be able to collect and present a broader range of information. </w:t>
      </w:r>
      <w:r w:rsidR="00EE09D9">
        <w:t xml:space="preserve">Although </w:t>
      </w:r>
      <w:r w:rsidR="00F018F6">
        <w:t xml:space="preserve">smaller Dutch pension funds have </w:t>
      </w:r>
      <w:r w:rsidR="00450C56">
        <w:t xml:space="preserve">not </w:t>
      </w:r>
      <w:r w:rsidR="009C0BCC">
        <w:t>been able to increase the investment risk disclosure quantity in 2006 due to a lack of resources, the differences between smaller and larger Dutch pension are not significant in 2007 and 2011 anymo</w:t>
      </w:r>
      <w:r w:rsidR="00450C56">
        <w:t xml:space="preserve">re. Smaller pension funds </w:t>
      </w:r>
      <w:r w:rsidR="009C0BCC">
        <w:t xml:space="preserve">have </w:t>
      </w:r>
      <w:r w:rsidR="00450C56">
        <w:t xml:space="preserve">probably </w:t>
      </w:r>
      <w:r w:rsidR="009C0BCC">
        <w:t>increased their investment risk disclosure quantit</w:t>
      </w:r>
      <w:r w:rsidR="00E84F59">
        <w:t>y easily in 2007 and 2011 by critically going through</w:t>
      </w:r>
      <w:r w:rsidR="009C0BCC">
        <w:t xml:space="preserve"> and learning of the financial statements of larger pension funds, despite their potential lack of resources. </w:t>
      </w:r>
      <w:r w:rsidR="00F018F6">
        <w:t xml:space="preserve">  </w:t>
      </w:r>
    </w:p>
    <w:p w:rsidR="00E132A1" w:rsidRPr="00E132A1" w:rsidRDefault="00E132A1" w:rsidP="005F5E1F">
      <w:pPr>
        <w:spacing w:line="360" w:lineRule="auto"/>
        <w:jc w:val="both"/>
      </w:pPr>
      <w:r w:rsidRPr="00E132A1">
        <w:t xml:space="preserve">The quality of investment risk disclosures has only partly increased since the financial crisis. Differences in pension fund size </w:t>
      </w:r>
      <w:r>
        <w:t xml:space="preserve">resulted </w:t>
      </w:r>
      <w:r w:rsidR="00B3007F">
        <w:t xml:space="preserve">only </w:t>
      </w:r>
      <w:r>
        <w:t>very limited in differences in disclosure quality</w:t>
      </w:r>
      <w:r w:rsidR="005968B3">
        <w:t xml:space="preserve"> of investment risks</w:t>
      </w:r>
      <w:r>
        <w:t>.</w:t>
      </w:r>
      <w:r w:rsidR="00450C56">
        <w:t xml:space="preserve"> R</w:t>
      </w:r>
      <w:r w:rsidR="00FA7906">
        <w:t xml:space="preserve">egarding disclosure quality, the different preparers of the financial statements have other ideas of what major investment risks are and what not, regardless of the size of a pension fund. The preparers of the financial statements </w:t>
      </w:r>
      <w:r w:rsidR="005E2BE4">
        <w:t xml:space="preserve">have the possibility to apply </w:t>
      </w:r>
      <w:r w:rsidR="00FA7906">
        <w:t xml:space="preserve">professional judgement in </w:t>
      </w:r>
      <w:r w:rsidR="005F5E1F">
        <w:t>their decisions</w:t>
      </w:r>
      <w:r w:rsidR="00450C56">
        <w:t>, this has</w:t>
      </w:r>
      <w:r w:rsidR="005E2BE4">
        <w:t xml:space="preserve"> </w:t>
      </w:r>
      <w:r w:rsidR="00450C56">
        <w:t xml:space="preserve">probably </w:t>
      </w:r>
      <w:r w:rsidR="005E2BE4">
        <w:t>result</w:t>
      </w:r>
      <w:r w:rsidR="00450C56">
        <w:t>ed</w:t>
      </w:r>
      <w:r w:rsidR="005E2BE4">
        <w:t xml:space="preserve"> in differences in the disclosure quality of investment risks. </w:t>
      </w:r>
    </w:p>
    <w:p w:rsidR="009440AE" w:rsidRPr="005968B3" w:rsidRDefault="009440AE" w:rsidP="005F5E1F">
      <w:pPr>
        <w:jc w:val="both"/>
      </w:pPr>
    </w:p>
    <w:p w:rsidR="00BD6EFE" w:rsidRPr="00E23A8B" w:rsidRDefault="001552A7" w:rsidP="00BD6EFE">
      <w:pPr>
        <w:pStyle w:val="Kop2"/>
        <w:numPr>
          <w:ilvl w:val="0"/>
          <w:numId w:val="0"/>
        </w:numPr>
        <w:ind w:left="576" w:hanging="576"/>
        <w:jc w:val="both"/>
        <w:rPr>
          <w:rFonts w:ascii="Times New Roman" w:hAnsi="Times New Roman" w:cs="Times New Roman"/>
          <w:i w:val="0"/>
          <w:iCs w:val="0"/>
          <w:kern w:val="32"/>
          <w:sz w:val="24"/>
          <w:szCs w:val="24"/>
          <w:lang w:val="en-US"/>
        </w:rPr>
      </w:pPr>
      <w:bookmarkStart w:id="69" w:name="_Toc355387318"/>
      <w:r w:rsidRPr="00E23A8B">
        <w:rPr>
          <w:rFonts w:ascii="Times New Roman" w:hAnsi="Times New Roman" w:cs="Times New Roman"/>
          <w:i w:val="0"/>
          <w:iCs w:val="0"/>
          <w:kern w:val="32"/>
          <w:sz w:val="24"/>
          <w:szCs w:val="24"/>
          <w:lang w:val="en-US"/>
        </w:rPr>
        <w:t>5</w:t>
      </w:r>
      <w:r w:rsidR="00BD6EFE" w:rsidRPr="00E23A8B">
        <w:rPr>
          <w:rFonts w:ascii="Times New Roman" w:hAnsi="Times New Roman" w:cs="Times New Roman"/>
          <w:i w:val="0"/>
          <w:iCs w:val="0"/>
          <w:kern w:val="32"/>
          <w:sz w:val="24"/>
          <w:szCs w:val="24"/>
          <w:lang w:val="en-US"/>
        </w:rPr>
        <w:t>.2</w:t>
      </w:r>
      <w:r w:rsidR="00BD6EFE" w:rsidRPr="00E23A8B">
        <w:rPr>
          <w:rFonts w:ascii="Times New Roman" w:hAnsi="Times New Roman" w:cs="Times New Roman"/>
          <w:i w:val="0"/>
          <w:iCs w:val="0"/>
          <w:kern w:val="32"/>
          <w:sz w:val="24"/>
          <w:szCs w:val="24"/>
          <w:lang w:val="en-US"/>
        </w:rPr>
        <w:tab/>
        <w:t>Limitations</w:t>
      </w:r>
      <w:bookmarkEnd w:id="69"/>
    </w:p>
    <w:p w:rsidR="00BD6EFE" w:rsidRPr="00E23A8B" w:rsidRDefault="00BD6EFE" w:rsidP="00BD6EFE">
      <w:pPr>
        <w:rPr>
          <w:lang w:val="en-US"/>
        </w:rPr>
      </w:pPr>
    </w:p>
    <w:p w:rsidR="00B945B3" w:rsidRDefault="00B945B3" w:rsidP="005F5E1F">
      <w:pPr>
        <w:spacing w:line="360" w:lineRule="auto"/>
        <w:jc w:val="both"/>
        <w:rPr>
          <w:lang w:val="en-US"/>
        </w:rPr>
      </w:pPr>
      <w:r>
        <w:rPr>
          <w:lang w:val="en-US"/>
        </w:rPr>
        <w:t xml:space="preserve">A </w:t>
      </w:r>
      <w:r w:rsidR="00B453FC">
        <w:rPr>
          <w:lang w:val="en-US"/>
        </w:rPr>
        <w:t>limitation</w:t>
      </w:r>
      <w:r>
        <w:rPr>
          <w:lang w:val="en-US"/>
        </w:rPr>
        <w:t xml:space="preserve"> of this </w:t>
      </w:r>
      <w:r w:rsidR="00066079">
        <w:rPr>
          <w:lang w:val="en-US"/>
        </w:rPr>
        <w:t xml:space="preserve">individual research is that no 4-eyes principle could be applied, while during the research, unfortunately, </w:t>
      </w:r>
      <w:r w:rsidR="00E84F59">
        <w:rPr>
          <w:lang w:val="en-US"/>
        </w:rPr>
        <w:t>mistakes like typo’s might occur</w:t>
      </w:r>
      <w:r w:rsidR="00066079">
        <w:rPr>
          <w:lang w:val="en-US"/>
        </w:rPr>
        <w:t xml:space="preserve"> easily</w:t>
      </w:r>
      <w:r w:rsidR="000551DF">
        <w:rPr>
          <w:lang w:val="en-US"/>
        </w:rPr>
        <w:t xml:space="preserve"> and could have impact on the research results</w:t>
      </w:r>
      <w:r w:rsidR="00066079">
        <w:rPr>
          <w:lang w:val="en-US"/>
        </w:rPr>
        <w:t>.</w:t>
      </w:r>
    </w:p>
    <w:p w:rsidR="00066079" w:rsidRPr="00B945B3" w:rsidRDefault="00AD5E29" w:rsidP="005F5E1F">
      <w:pPr>
        <w:spacing w:line="360" w:lineRule="auto"/>
        <w:jc w:val="both"/>
        <w:rPr>
          <w:lang w:val="en-US"/>
        </w:rPr>
      </w:pPr>
      <w:r>
        <w:rPr>
          <w:lang w:val="en-US"/>
        </w:rPr>
        <w:t>The applied research method</w:t>
      </w:r>
      <w:r w:rsidR="008348AD">
        <w:rPr>
          <w:lang w:val="en-US"/>
        </w:rPr>
        <w:t>s</w:t>
      </w:r>
      <w:r>
        <w:rPr>
          <w:lang w:val="en-US"/>
        </w:rPr>
        <w:t xml:space="preserve">, </w:t>
      </w:r>
      <w:r w:rsidR="003F6DE6">
        <w:rPr>
          <w:lang w:val="en-US"/>
        </w:rPr>
        <w:t xml:space="preserve">disclosure index study and </w:t>
      </w:r>
      <w:r>
        <w:rPr>
          <w:lang w:val="en-US"/>
        </w:rPr>
        <w:t xml:space="preserve">content analysis, </w:t>
      </w:r>
      <w:r w:rsidR="002972BD">
        <w:rPr>
          <w:lang w:val="en-US"/>
        </w:rPr>
        <w:t xml:space="preserve">involve </w:t>
      </w:r>
      <w:r w:rsidR="00DC1C5A" w:rsidRPr="00DC1C5A">
        <w:rPr>
          <w:lang w:val="en-US"/>
        </w:rPr>
        <w:t>problems with validity</w:t>
      </w:r>
      <w:r w:rsidR="003F6DE6">
        <w:rPr>
          <w:lang w:val="en-US"/>
        </w:rPr>
        <w:t xml:space="preserve"> and objectivity</w:t>
      </w:r>
      <w:r w:rsidR="00DC1C5A" w:rsidRPr="00DC1C5A">
        <w:rPr>
          <w:lang w:val="en-US"/>
        </w:rPr>
        <w:t>.</w:t>
      </w:r>
      <w:r w:rsidR="008348AD">
        <w:rPr>
          <w:lang w:val="en-US"/>
        </w:rPr>
        <w:t xml:space="preserve"> </w:t>
      </w:r>
      <w:r w:rsidR="00FC358B">
        <w:rPr>
          <w:lang w:val="en-US"/>
        </w:rPr>
        <w:t xml:space="preserve">The </w:t>
      </w:r>
      <w:r w:rsidR="008348AD">
        <w:rPr>
          <w:lang w:val="en-US"/>
        </w:rPr>
        <w:t xml:space="preserve">frequent application </w:t>
      </w:r>
      <w:r w:rsidR="00067CB4">
        <w:rPr>
          <w:lang w:val="en-US"/>
        </w:rPr>
        <w:t xml:space="preserve">of nonparametric tests for data analysis has also a limitation. </w:t>
      </w:r>
      <w:r w:rsidR="00067CB4">
        <w:rPr>
          <w:lang w:val="en-GB"/>
        </w:rPr>
        <w:t>T</w:t>
      </w:r>
      <w:r w:rsidR="005E2BE4">
        <w:rPr>
          <w:lang w:val="en-GB"/>
        </w:rPr>
        <w:t xml:space="preserve">hese tests </w:t>
      </w:r>
      <w:r w:rsidR="00067CB4">
        <w:rPr>
          <w:lang w:val="en-GB"/>
        </w:rPr>
        <w:t>a</w:t>
      </w:r>
      <w:r w:rsidR="005E2BE4">
        <w:rPr>
          <w:lang w:val="en-GB"/>
        </w:rPr>
        <w:t>re often less ‘powerful</w:t>
      </w:r>
      <w:r w:rsidR="00432C32">
        <w:rPr>
          <w:lang w:val="en-GB"/>
        </w:rPr>
        <w:t>’ than parametric tests</w:t>
      </w:r>
      <w:r w:rsidR="00067CB4">
        <w:rPr>
          <w:lang w:val="en-GB"/>
        </w:rPr>
        <w:t xml:space="preserve"> as</w:t>
      </w:r>
      <w:r w:rsidR="00432C32">
        <w:rPr>
          <w:lang w:val="en-GB"/>
        </w:rPr>
        <w:t xml:space="preserve"> the chances of rejecting a false nil</w:t>
      </w:r>
      <w:r w:rsidR="00B3007F">
        <w:rPr>
          <w:lang w:val="en-GB"/>
        </w:rPr>
        <w:t xml:space="preserve"> hypothesi</w:t>
      </w:r>
      <w:r w:rsidR="00432C32">
        <w:rPr>
          <w:lang w:val="en-GB"/>
        </w:rPr>
        <w:t>s are smaller</w:t>
      </w:r>
      <w:r w:rsidR="000551DF">
        <w:rPr>
          <w:lang w:val="en-GB"/>
        </w:rPr>
        <w:t xml:space="preserve"> (De </w:t>
      </w:r>
      <w:proofErr w:type="spellStart"/>
      <w:r w:rsidR="000551DF">
        <w:rPr>
          <w:lang w:val="en-GB"/>
        </w:rPr>
        <w:t>Vocht</w:t>
      </w:r>
      <w:proofErr w:type="spellEnd"/>
      <w:r w:rsidR="000551DF">
        <w:rPr>
          <w:lang w:val="en-GB"/>
        </w:rPr>
        <w:t>, 2011)</w:t>
      </w:r>
      <w:r w:rsidR="00432C32">
        <w:rPr>
          <w:lang w:val="en-GB"/>
        </w:rPr>
        <w:t xml:space="preserve">. </w:t>
      </w:r>
      <w:r w:rsidR="005E2BE4">
        <w:rPr>
          <w:lang w:val="en-US"/>
        </w:rPr>
        <w:t xml:space="preserve"> </w:t>
      </w:r>
    </w:p>
    <w:p w:rsidR="000551DF" w:rsidRPr="005217A8" w:rsidRDefault="00D671BA" w:rsidP="005F5E1F">
      <w:pPr>
        <w:spacing w:line="360" w:lineRule="auto"/>
        <w:jc w:val="both"/>
        <w:rPr>
          <w:lang w:val="en-US"/>
        </w:rPr>
      </w:pPr>
      <w:r>
        <w:rPr>
          <w:lang w:val="en-US"/>
        </w:rPr>
        <w:t>Smaller pension funds might publish (almost) the same financial statements as larger pension funds when these pension funds have the same administration organization.</w:t>
      </w:r>
      <w:r w:rsidR="00DC1C5A">
        <w:rPr>
          <w:lang w:val="en-US"/>
        </w:rPr>
        <w:t xml:space="preserve"> </w:t>
      </w:r>
      <w:r w:rsidR="00DC1C5A" w:rsidRPr="005217A8">
        <w:rPr>
          <w:lang w:val="en-US"/>
        </w:rPr>
        <w:t xml:space="preserve">This could </w:t>
      </w:r>
      <w:r w:rsidR="005217A8" w:rsidRPr="005217A8">
        <w:rPr>
          <w:lang w:val="en-US"/>
        </w:rPr>
        <w:t>also ensue</w:t>
      </w:r>
      <w:r w:rsidR="000551DF" w:rsidRPr="005217A8">
        <w:rPr>
          <w:lang w:val="en-US"/>
        </w:rPr>
        <w:t xml:space="preserve"> limitations</w:t>
      </w:r>
      <w:r w:rsidR="00067CB4">
        <w:rPr>
          <w:lang w:val="en-US"/>
        </w:rPr>
        <w:t xml:space="preserve"> and have impact on research results</w:t>
      </w:r>
      <w:r w:rsidR="00DC1C5A" w:rsidRPr="005217A8">
        <w:rPr>
          <w:lang w:val="en-US"/>
        </w:rPr>
        <w:t>.</w:t>
      </w:r>
    </w:p>
    <w:p w:rsidR="000551DF" w:rsidRPr="00AC42F4" w:rsidRDefault="00FB19B1" w:rsidP="005F5E1F">
      <w:pPr>
        <w:spacing w:line="360" w:lineRule="auto"/>
        <w:jc w:val="both"/>
        <w:rPr>
          <w:lang w:val="en-US"/>
        </w:rPr>
      </w:pPr>
      <w:r>
        <w:rPr>
          <w:lang w:val="en-US"/>
        </w:rPr>
        <w:t>T</w:t>
      </w:r>
      <w:r w:rsidR="000551DF" w:rsidRPr="000551DF">
        <w:rPr>
          <w:lang w:val="en-US"/>
        </w:rPr>
        <w:t>he research has b</w:t>
      </w:r>
      <w:r w:rsidR="000551DF">
        <w:rPr>
          <w:lang w:val="en-US"/>
        </w:rPr>
        <w:t>een restricted to the financial statements.</w:t>
      </w:r>
      <w:r w:rsidR="00AC42F4">
        <w:rPr>
          <w:lang w:val="en-US"/>
        </w:rPr>
        <w:t xml:space="preserve"> </w:t>
      </w:r>
      <w:r>
        <w:rPr>
          <w:lang w:val="en-US"/>
        </w:rPr>
        <w:t>However, i</w:t>
      </w:r>
      <w:r w:rsidR="00C1027A">
        <w:rPr>
          <w:lang w:val="en-US"/>
        </w:rPr>
        <w:t>nformation asymmetry does not</w:t>
      </w:r>
      <w:r w:rsidR="00AC42F4">
        <w:rPr>
          <w:lang w:val="en-US"/>
        </w:rPr>
        <w:t xml:space="preserve"> necessarily need to be declined by disclosures</w:t>
      </w:r>
      <w:r w:rsidR="00C1027A">
        <w:rPr>
          <w:lang w:val="en-US"/>
        </w:rPr>
        <w:t xml:space="preserve"> in the financial statements. There are also other ways </w:t>
      </w:r>
      <w:r w:rsidR="00AC42F4">
        <w:rPr>
          <w:lang w:val="en-US"/>
        </w:rPr>
        <w:t xml:space="preserve">such as </w:t>
      </w:r>
      <w:r w:rsidR="00C1027A">
        <w:rPr>
          <w:lang w:val="en-US"/>
        </w:rPr>
        <w:t>overviews on the website of pension funds</w:t>
      </w:r>
      <w:r w:rsidR="00AC42F4">
        <w:rPr>
          <w:lang w:val="en-US"/>
        </w:rPr>
        <w:t xml:space="preserve"> and newsletters to inform stakeholders like the participants of pension funds of certain investment risks</w:t>
      </w:r>
      <w:r w:rsidR="00C1027A">
        <w:rPr>
          <w:lang w:val="en-US"/>
        </w:rPr>
        <w:t>.</w:t>
      </w:r>
      <w:r w:rsidR="00C1027A" w:rsidRPr="00AC42F4">
        <w:rPr>
          <w:lang w:val="en-US"/>
        </w:rPr>
        <w:t xml:space="preserve"> </w:t>
      </w:r>
    </w:p>
    <w:p w:rsidR="000551DF" w:rsidRPr="00AC42F4" w:rsidRDefault="00AC42F4" w:rsidP="005F5E1F">
      <w:pPr>
        <w:spacing w:line="360" w:lineRule="auto"/>
        <w:jc w:val="both"/>
        <w:rPr>
          <w:lang w:val="en-US"/>
        </w:rPr>
      </w:pPr>
      <w:r w:rsidRPr="00AC42F4">
        <w:rPr>
          <w:lang w:val="en-US"/>
        </w:rPr>
        <w:t xml:space="preserve">Moreover, it could </w:t>
      </w:r>
      <w:r>
        <w:rPr>
          <w:lang w:val="en-US"/>
        </w:rPr>
        <w:t xml:space="preserve">possibly </w:t>
      </w:r>
      <w:r w:rsidR="00B3007F">
        <w:rPr>
          <w:lang w:val="en-US"/>
        </w:rPr>
        <w:t xml:space="preserve">be not </w:t>
      </w:r>
      <w:r>
        <w:rPr>
          <w:lang w:val="en-US"/>
        </w:rPr>
        <w:t xml:space="preserve">in the interest of participants of pension funds to enhance disclosure quality for example by providing </w:t>
      </w:r>
      <w:r w:rsidR="00EE252E">
        <w:rPr>
          <w:lang w:val="en-US"/>
        </w:rPr>
        <w:t xml:space="preserve">detailed </w:t>
      </w:r>
      <w:r>
        <w:rPr>
          <w:lang w:val="en-US"/>
        </w:rPr>
        <w:t xml:space="preserve">position </w:t>
      </w:r>
      <w:r w:rsidR="00EE252E">
        <w:rPr>
          <w:lang w:val="en-US"/>
        </w:rPr>
        <w:t xml:space="preserve">allocations. The managers of a number of Dutch pension funds might have decided </w:t>
      </w:r>
      <w:r w:rsidR="00B3007F">
        <w:rPr>
          <w:lang w:val="en-US"/>
        </w:rPr>
        <w:t xml:space="preserve">for example </w:t>
      </w:r>
      <w:r w:rsidR="00EE252E">
        <w:rPr>
          <w:lang w:val="en-US"/>
        </w:rPr>
        <w:t>to avoid disclosing certain overviews due to competition considerations. Enhanced disclosure quality might in that case harm the returns of pension funds.</w:t>
      </w:r>
      <w:r>
        <w:rPr>
          <w:lang w:val="en-US"/>
        </w:rPr>
        <w:t xml:space="preserve"> </w:t>
      </w:r>
    </w:p>
    <w:p w:rsidR="006526B6" w:rsidRPr="00A36AA2" w:rsidRDefault="004126B1" w:rsidP="005F5E1F">
      <w:pPr>
        <w:pStyle w:val="Kop2"/>
        <w:numPr>
          <w:ilvl w:val="0"/>
          <w:numId w:val="0"/>
        </w:numPr>
        <w:spacing w:line="360" w:lineRule="auto"/>
        <w:ind w:left="576" w:hanging="576"/>
        <w:jc w:val="both"/>
        <w:rPr>
          <w:rFonts w:ascii="Times New Roman" w:hAnsi="Times New Roman" w:cs="Times New Roman"/>
          <w:i w:val="0"/>
          <w:iCs w:val="0"/>
          <w:kern w:val="32"/>
          <w:sz w:val="24"/>
          <w:szCs w:val="24"/>
          <w:lang w:val="en-US"/>
        </w:rPr>
      </w:pPr>
      <w:bookmarkStart w:id="70" w:name="_Toc355387319"/>
      <w:r w:rsidRPr="00A36AA2">
        <w:rPr>
          <w:rFonts w:ascii="Times New Roman" w:hAnsi="Times New Roman" w:cs="Times New Roman"/>
          <w:i w:val="0"/>
          <w:iCs w:val="0"/>
          <w:kern w:val="32"/>
          <w:sz w:val="24"/>
          <w:szCs w:val="24"/>
          <w:lang w:val="en-US"/>
        </w:rPr>
        <w:t>5.3</w:t>
      </w:r>
      <w:r w:rsidRPr="00A36AA2">
        <w:rPr>
          <w:rFonts w:ascii="Times New Roman" w:hAnsi="Times New Roman" w:cs="Times New Roman"/>
          <w:i w:val="0"/>
          <w:iCs w:val="0"/>
          <w:kern w:val="32"/>
          <w:sz w:val="24"/>
          <w:szCs w:val="24"/>
          <w:lang w:val="en-US"/>
        </w:rPr>
        <w:tab/>
        <w:t>Recommendations for further research</w:t>
      </w:r>
      <w:bookmarkEnd w:id="70"/>
    </w:p>
    <w:p w:rsidR="00BD5363" w:rsidRDefault="00756068" w:rsidP="005F5E1F">
      <w:pPr>
        <w:spacing w:line="360" w:lineRule="auto"/>
        <w:jc w:val="both"/>
      </w:pPr>
      <w:r>
        <w:t>T</w:t>
      </w:r>
      <w:r w:rsidR="00B81099">
        <w:t xml:space="preserve">his thesis </w:t>
      </w:r>
      <w:r w:rsidR="006526B6">
        <w:t xml:space="preserve">focuses on </w:t>
      </w:r>
      <w:r w:rsidR="00161535">
        <w:t>investment risks</w:t>
      </w:r>
      <w:r>
        <w:t>, f</w:t>
      </w:r>
      <w:r w:rsidR="00161535">
        <w:t xml:space="preserve">urther research could be conducted on the investment risk </w:t>
      </w:r>
      <w:r w:rsidR="00161535" w:rsidRPr="00756068">
        <w:rPr>
          <w:i/>
        </w:rPr>
        <w:t>policy</w:t>
      </w:r>
      <w:r w:rsidR="00FD5007">
        <w:t xml:space="preserve"> and more specifically on </w:t>
      </w:r>
      <w:r w:rsidR="008F47AC">
        <w:t>crisis plans</w:t>
      </w:r>
      <w:r w:rsidR="00B81099">
        <w:t xml:space="preserve"> that Dutch pension funds have developed</w:t>
      </w:r>
      <w:r w:rsidR="00161535">
        <w:t xml:space="preserve">. </w:t>
      </w:r>
      <w:r w:rsidR="00FD5007">
        <w:t xml:space="preserve">Subsequently, </w:t>
      </w:r>
      <w:r w:rsidR="00161535">
        <w:t xml:space="preserve">investment risks and investment risk policy </w:t>
      </w:r>
      <w:r w:rsidR="00FD5007">
        <w:t xml:space="preserve">can be brought </w:t>
      </w:r>
      <w:r w:rsidR="00E04C2A">
        <w:t>together by applyin</w:t>
      </w:r>
      <w:r w:rsidR="00FD5007">
        <w:t>g a relational content analysis, as described in paragraph 2.7.3.</w:t>
      </w:r>
      <w:r w:rsidR="00E04C2A">
        <w:t xml:space="preserve"> </w:t>
      </w:r>
    </w:p>
    <w:p w:rsidR="00E81458" w:rsidRDefault="00573A62" w:rsidP="005F5E1F">
      <w:pPr>
        <w:spacing w:line="360" w:lineRule="auto"/>
        <w:jc w:val="both"/>
        <w:rPr>
          <w:lang w:val="en-US"/>
        </w:rPr>
      </w:pPr>
      <w:r>
        <w:rPr>
          <w:lang w:val="en-US"/>
        </w:rPr>
        <w:t>Further research can take pension fund type into account as t</w:t>
      </w:r>
      <w:r w:rsidR="00E81458" w:rsidRPr="00E81458">
        <w:rPr>
          <w:lang w:val="en-US"/>
        </w:rPr>
        <w:t>he Chi-square test i</w:t>
      </w:r>
      <w:r w:rsidR="00E81458">
        <w:rPr>
          <w:lang w:val="en-US"/>
        </w:rPr>
        <w:t xml:space="preserve">n paragraph 4.1 revealed a relation between pension fund </w:t>
      </w:r>
      <w:r w:rsidR="00FD5007">
        <w:rPr>
          <w:lang w:val="en-US"/>
        </w:rPr>
        <w:t xml:space="preserve">type and pension fund size. </w:t>
      </w:r>
      <w:r>
        <w:rPr>
          <w:lang w:val="en-US"/>
        </w:rPr>
        <w:t xml:space="preserve">In addition, </w:t>
      </w:r>
      <w:r w:rsidR="0026216A">
        <w:rPr>
          <w:lang w:val="en-US"/>
        </w:rPr>
        <w:t xml:space="preserve">the administration organizations of the Dutch pension funds </w:t>
      </w:r>
      <w:r>
        <w:rPr>
          <w:lang w:val="en-US"/>
        </w:rPr>
        <w:t xml:space="preserve">can be considered </w:t>
      </w:r>
      <w:r w:rsidR="0026216A">
        <w:rPr>
          <w:lang w:val="en-US"/>
        </w:rPr>
        <w:t xml:space="preserve">for reasons described in the previous paragraph. </w:t>
      </w:r>
    </w:p>
    <w:p w:rsidR="009459F9" w:rsidRDefault="00573A62" w:rsidP="005F5E1F">
      <w:pPr>
        <w:spacing w:line="360" w:lineRule="auto"/>
        <w:jc w:val="both"/>
        <w:rPr>
          <w:lang w:val="en-US"/>
        </w:rPr>
      </w:pPr>
      <w:r>
        <w:rPr>
          <w:lang w:val="en-US"/>
        </w:rPr>
        <w:t>It would be interesting to conduct cross-sectional research</w:t>
      </w:r>
      <w:r w:rsidR="009459F9">
        <w:rPr>
          <w:lang w:val="en-US"/>
        </w:rPr>
        <w:t xml:space="preserve"> and compare outcomes of pension funds in this research with outcomes for companies in other sectors</w:t>
      </w:r>
      <w:r>
        <w:rPr>
          <w:lang w:val="en-US"/>
        </w:rPr>
        <w:t>.</w:t>
      </w:r>
      <w:r w:rsidR="009459F9">
        <w:rPr>
          <w:lang w:val="en-US"/>
        </w:rPr>
        <w:t xml:space="preserve"> More frequently researched sectors such as the banking sector could provide </w:t>
      </w:r>
      <w:r w:rsidR="001F7C89">
        <w:rPr>
          <w:lang w:val="en-US"/>
        </w:rPr>
        <w:t xml:space="preserve">valuable reference. </w:t>
      </w:r>
      <w:r w:rsidR="009459F9">
        <w:rPr>
          <w:lang w:val="en-US"/>
        </w:rPr>
        <w:t xml:space="preserve"> </w:t>
      </w:r>
      <w:r>
        <w:rPr>
          <w:lang w:val="en-US"/>
        </w:rPr>
        <w:t xml:space="preserve"> </w:t>
      </w:r>
    </w:p>
    <w:p w:rsidR="007E6ACA" w:rsidRDefault="001F7C89" w:rsidP="005F5E1F">
      <w:pPr>
        <w:spacing w:line="360" w:lineRule="auto"/>
        <w:jc w:val="both"/>
        <w:rPr>
          <w:lang w:val="en-US"/>
        </w:rPr>
      </w:pPr>
      <w:r>
        <w:rPr>
          <w:lang w:val="en-US"/>
        </w:rPr>
        <w:t xml:space="preserve">Future research could </w:t>
      </w:r>
      <w:r w:rsidR="00C71DAA">
        <w:rPr>
          <w:lang w:val="en-US"/>
        </w:rPr>
        <w:t xml:space="preserve">focus on overviews on </w:t>
      </w:r>
      <w:r>
        <w:rPr>
          <w:lang w:val="en-US"/>
        </w:rPr>
        <w:t>voluntary disclosures such like web publications</w:t>
      </w:r>
      <w:r w:rsidR="00C71DAA">
        <w:rPr>
          <w:lang w:val="en-US"/>
        </w:rPr>
        <w:t xml:space="preserve"> </w:t>
      </w:r>
      <w:r>
        <w:rPr>
          <w:lang w:val="en-US"/>
        </w:rPr>
        <w:t xml:space="preserve">that are also </w:t>
      </w:r>
      <w:r w:rsidR="00B3007F">
        <w:rPr>
          <w:lang w:val="en-US"/>
        </w:rPr>
        <w:t xml:space="preserve">used </w:t>
      </w:r>
      <w:r w:rsidR="00C71DAA">
        <w:rPr>
          <w:lang w:val="en-US"/>
        </w:rPr>
        <w:t>to inform stakeholders of pension funds of certain investment risks</w:t>
      </w:r>
      <w:r>
        <w:rPr>
          <w:lang w:val="en-US"/>
        </w:rPr>
        <w:t xml:space="preserve">. </w:t>
      </w:r>
      <w:r w:rsidR="00C71DAA">
        <w:rPr>
          <w:lang w:val="en-US"/>
        </w:rPr>
        <w:t>The mot</w:t>
      </w:r>
      <w:r>
        <w:rPr>
          <w:lang w:val="en-US"/>
        </w:rPr>
        <w:t xml:space="preserve">ivations of preparers of </w:t>
      </w:r>
      <w:r w:rsidR="00C71DAA">
        <w:rPr>
          <w:lang w:val="en-US"/>
        </w:rPr>
        <w:t>financial statements whether or not to disclose certa</w:t>
      </w:r>
      <w:r>
        <w:rPr>
          <w:lang w:val="en-US"/>
        </w:rPr>
        <w:t xml:space="preserve">in overviews provides also </w:t>
      </w:r>
      <w:r w:rsidR="00C71DAA">
        <w:rPr>
          <w:lang w:val="en-US"/>
        </w:rPr>
        <w:t>a very interesting subject of research</w:t>
      </w:r>
      <w:r w:rsidR="007E6ACA">
        <w:rPr>
          <w:lang w:val="en-US"/>
        </w:rPr>
        <w:t xml:space="preserve"> that can </w:t>
      </w:r>
      <w:r w:rsidR="00B004AF">
        <w:rPr>
          <w:lang w:val="en-US"/>
        </w:rPr>
        <w:t>be further investigated by</w:t>
      </w:r>
      <w:r w:rsidR="007E6ACA">
        <w:rPr>
          <w:lang w:val="en-US"/>
        </w:rPr>
        <w:t xml:space="preserve"> applying a </w:t>
      </w:r>
      <w:r w:rsidR="00B004AF">
        <w:rPr>
          <w:lang w:val="en-US"/>
        </w:rPr>
        <w:t>disclosure survey</w:t>
      </w:r>
      <w:r w:rsidR="007E6ACA">
        <w:rPr>
          <w:lang w:val="en-US"/>
        </w:rPr>
        <w:t xml:space="preserve">. </w:t>
      </w:r>
    </w:p>
    <w:p w:rsidR="00B00B2F" w:rsidRPr="00782255" w:rsidRDefault="007E6ACA" w:rsidP="005F5E1F">
      <w:pPr>
        <w:spacing w:line="360" w:lineRule="auto"/>
        <w:jc w:val="both"/>
        <w:rPr>
          <w:lang w:val="en-US"/>
        </w:rPr>
      </w:pPr>
      <w:r>
        <w:rPr>
          <w:lang w:val="en-US"/>
        </w:rPr>
        <w:t xml:space="preserve">Finally, going through the financial statements of the pension funds in the sample, I noticed that several pension funds restricted their definitions on investment risks to the risk on losses (e.g. </w:t>
      </w:r>
      <w:proofErr w:type="spellStart"/>
      <w:r>
        <w:rPr>
          <w:lang w:val="en-US"/>
        </w:rPr>
        <w:t>Stichting</w:t>
      </w:r>
      <w:proofErr w:type="spellEnd"/>
      <w:r>
        <w:rPr>
          <w:lang w:val="en-US"/>
        </w:rPr>
        <w:t xml:space="preserve"> </w:t>
      </w:r>
      <w:proofErr w:type="spellStart"/>
      <w:r>
        <w:rPr>
          <w:lang w:val="en-US"/>
        </w:rPr>
        <w:t>Pensioenfonds</w:t>
      </w:r>
      <w:proofErr w:type="spellEnd"/>
      <w:r>
        <w:rPr>
          <w:lang w:val="en-US"/>
        </w:rPr>
        <w:t xml:space="preserve"> </w:t>
      </w:r>
      <w:proofErr w:type="spellStart"/>
      <w:r>
        <w:rPr>
          <w:lang w:val="en-US"/>
        </w:rPr>
        <w:t>Openbaar</w:t>
      </w:r>
      <w:proofErr w:type="spellEnd"/>
      <w:r>
        <w:rPr>
          <w:lang w:val="en-US"/>
        </w:rPr>
        <w:t xml:space="preserve"> </w:t>
      </w:r>
      <w:proofErr w:type="spellStart"/>
      <w:r>
        <w:rPr>
          <w:lang w:val="en-US"/>
        </w:rPr>
        <w:t>Vervoer</w:t>
      </w:r>
      <w:proofErr w:type="spellEnd"/>
      <w:r>
        <w:rPr>
          <w:lang w:val="en-US"/>
        </w:rPr>
        <w:t xml:space="preserve"> and Campina, financial statements 2011). The interpretation of Dutch pension funds of investment risks could be an interesting subject for further research as well, as the </w:t>
      </w:r>
      <w:r w:rsidR="00990C88">
        <w:rPr>
          <w:lang w:val="en-US"/>
        </w:rPr>
        <w:t xml:space="preserve">Dutch Council of Annual Reporting </w:t>
      </w:r>
      <w:r w:rsidR="008C3B3C">
        <w:rPr>
          <w:lang w:val="en-US"/>
        </w:rPr>
        <w:t xml:space="preserve">recommends </w:t>
      </w:r>
      <w:r>
        <w:rPr>
          <w:lang w:val="en-US"/>
        </w:rPr>
        <w:t xml:space="preserve">for investment risks such as </w:t>
      </w:r>
      <w:r w:rsidR="00641063">
        <w:rPr>
          <w:lang w:val="en-US"/>
        </w:rPr>
        <w:t>price risk to focus on the risk of gains</w:t>
      </w:r>
      <w:r>
        <w:rPr>
          <w:lang w:val="en-US"/>
        </w:rPr>
        <w:t xml:space="preserve"> as well. </w:t>
      </w:r>
      <w:r w:rsidR="00990C88">
        <w:rPr>
          <w:lang w:val="en-US"/>
        </w:rPr>
        <w:t xml:space="preserve"> </w:t>
      </w:r>
      <w:r w:rsidR="00782255">
        <w:rPr>
          <w:lang w:val="en-US"/>
        </w:rPr>
        <w:t xml:space="preserve"> </w:t>
      </w:r>
    </w:p>
    <w:p w:rsidR="003F4E6D" w:rsidRPr="000C7943" w:rsidRDefault="004126B1" w:rsidP="009D582B">
      <w:pPr>
        <w:pStyle w:val="Kop1"/>
        <w:numPr>
          <w:ilvl w:val="0"/>
          <w:numId w:val="0"/>
        </w:numPr>
        <w:ind w:left="432" w:hanging="432"/>
        <w:rPr>
          <w:lang w:val="en-US"/>
        </w:rPr>
      </w:pPr>
      <w:r w:rsidRPr="00EE09D9">
        <w:rPr>
          <w:lang w:val="en-US"/>
        </w:rPr>
        <w:br w:type="page"/>
      </w:r>
      <w:bookmarkStart w:id="71" w:name="_Toc355387320"/>
      <w:r w:rsidR="003F4E6D" w:rsidRPr="000C7943">
        <w:rPr>
          <w:lang w:val="en-US"/>
        </w:rPr>
        <w:t>Reference</w:t>
      </w:r>
      <w:r w:rsidR="00F021A4" w:rsidRPr="000C7943">
        <w:rPr>
          <w:lang w:val="en-US"/>
        </w:rPr>
        <w:t>s</w:t>
      </w:r>
      <w:bookmarkEnd w:id="71"/>
    </w:p>
    <w:p w:rsidR="00A257A6" w:rsidRPr="000C7943" w:rsidRDefault="00A257A6" w:rsidP="00A257A6">
      <w:pPr>
        <w:rPr>
          <w:lang w:val="en-US"/>
        </w:rPr>
      </w:pPr>
    </w:p>
    <w:p w:rsidR="00A257A6" w:rsidRPr="000C7943" w:rsidRDefault="00A257A6" w:rsidP="00A257A6">
      <w:pPr>
        <w:rPr>
          <w:b/>
          <w:lang w:val="en-US"/>
        </w:rPr>
      </w:pPr>
      <w:r w:rsidRPr="000C7943">
        <w:rPr>
          <w:b/>
          <w:lang w:val="en-US"/>
        </w:rPr>
        <w:t>Articles/books:</w:t>
      </w:r>
    </w:p>
    <w:p w:rsidR="009D582B" w:rsidRPr="000C7943" w:rsidRDefault="009D582B" w:rsidP="009D582B">
      <w:pPr>
        <w:rPr>
          <w:rFonts w:cs="Times New Roman"/>
          <w:szCs w:val="28"/>
          <w:lang w:val="en-US"/>
        </w:rPr>
      </w:pPr>
    </w:p>
    <w:p w:rsidR="00A257A6" w:rsidRDefault="00A257A6" w:rsidP="00692891">
      <w:pPr>
        <w:jc w:val="both"/>
      </w:pPr>
      <w:proofErr w:type="spellStart"/>
      <w:r w:rsidRPr="000C7943">
        <w:rPr>
          <w:lang w:val="en-US"/>
        </w:rPr>
        <w:t>Arens</w:t>
      </w:r>
      <w:proofErr w:type="spellEnd"/>
      <w:r w:rsidRPr="000C7943">
        <w:rPr>
          <w:lang w:val="en-US"/>
        </w:rPr>
        <w:t xml:space="preserve">, A., Elder, R. and M. Beasley, 2012. </w:t>
      </w:r>
      <w:r w:rsidRPr="009C085C">
        <w:rPr>
          <w:i/>
        </w:rPr>
        <w:t>Auditing and assurance services.</w:t>
      </w:r>
      <w:r>
        <w:t xml:space="preserve"> Harlow: Pearson </w:t>
      </w:r>
    </w:p>
    <w:p w:rsidR="00A257A6" w:rsidRDefault="00A257A6" w:rsidP="00692891">
      <w:pPr>
        <w:jc w:val="both"/>
      </w:pPr>
    </w:p>
    <w:p w:rsidR="00A257A6" w:rsidRDefault="00A257A6" w:rsidP="00692891">
      <w:pPr>
        <w:jc w:val="both"/>
        <w:rPr>
          <w:lang w:val="en-US"/>
        </w:rPr>
      </w:pPr>
      <w:proofErr w:type="spellStart"/>
      <w:r>
        <w:t>Babbie</w:t>
      </w:r>
      <w:proofErr w:type="spellEnd"/>
      <w:r>
        <w:t xml:space="preserve">, E. 2007. </w:t>
      </w:r>
      <w:r>
        <w:rPr>
          <w:i/>
        </w:rPr>
        <w:t xml:space="preserve">The practice of social research. </w:t>
      </w:r>
      <w:r w:rsidRPr="00222A3F">
        <w:rPr>
          <w:lang w:val="en-US"/>
        </w:rPr>
        <w:t>Belmont: Thomson Wadsworth</w:t>
      </w:r>
    </w:p>
    <w:p w:rsidR="00264237" w:rsidRDefault="00264237" w:rsidP="00692891">
      <w:pPr>
        <w:jc w:val="both"/>
        <w:rPr>
          <w:lang w:val="en-US"/>
        </w:rPr>
      </w:pPr>
    </w:p>
    <w:p w:rsidR="00264237" w:rsidRPr="00264237" w:rsidRDefault="00264237" w:rsidP="00692891">
      <w:pPr>
        <w:jc w:val="both"/>
        <w:rPr>
          <w:lang w:val="en-US"/>
        </w:rPr>
      </w:pPr>
      <w:r>
        <w:rPr>
          <w:lang w:val="en-US"/>
        </w:rPr>
        <w:t xml:space="preserve">Ball, M. Cities and Housing Markets: Changes and Continuities in the Aftermath of the 2007-08 World Financial Crisis. </w:t>
      </w:r>
      <w:r>
        <w:rPr>
          <w:i/>
          <w:lang w:val="en-US"/>
        </w:rPr>
        <w:t xml:space="preserve">Urban Studies, </w:t>
      </w:r>
      <w:r>
        <w:rPr>
          <w:lang w:val="en-US"/>
        </w:rPr>
        <w:t>January 2010: p. 931-944</w:t>
      </w:r>
    </w:p>
    <w:p w:rsidR="00A257A6" w:rsidRPr="00222A3F" w:rsidRDefault="00A257A6" w:rsidP="00692891">
      <w:pPr>
        <w:jc w:val="both"/>
        <w:rPr>
          <w:lang w:val="en-US"/>
        </w:rPr>
      </w:pPr>
    </w:p>
    <w:p w:rsidR="00EB73F1" w:rsidRPr="00B002C0" w:rsidRDefault="00EB73F1" w:rsidP="00692891">
      <w:pPr>
        <w:jc w:val="both"/>
        <w:rPr>
          <w:i/>
        </w:rPr>
      </w:pPr>
      <w:r w:rsidRPr="00B002C0">
        <w:t xml:space="preserve">Beattie, V., </w:t>
      </w:r>
      <w:proofErr w:type="spellStart"/>
      <w:r w:rsidRPr="00B002C0">
        <w:t>McInnes</w:t>
      </w:r>
      <w:proofErr w:type="spellEnd"/>
      <w:r w:rsidRPr="00B002C0">
        <w:t xml:space="preserve">, B. </w:t>
      </w:r>
      <w:r w:rsidR="00A82FF4">
        <w:t>a</w:t>
      </w:r>
      <w:r w:rsidRPr="00B002C0">
        <w:t xml:space="preserve">nd S. </w:t>
      </w:r>
      <w:proofErr w:type="spellStart"/>
      <w:r w:rsidRPr="00B002C0">
        <w:t>Fearnley</w:t>
      </w:r>
      <w:proofErr w:type="spellEnd"/>
      <w:r w:rsidRPr="00B002C0">
        <w:t xml:space="preserve">, 2004. </w:t>
      </w:r>
      <w:r w:rsidRPr="00AF6C63">
        <w:t xml:space="preserve">A methodology for analysing and evaluating </w:t>
      </w:r>
      <w:r>
        <w:t xml:space="preserve">narratives in annual reports: a comprehensive descriptive profile and metrics for quality attributes. </w:t>
      </w:r>
      <w:r w:rsidRPr="00B002C0">
        <w:rPr>
          <w:i/>
        </w:rPr>
        <w:t xml:space="preserve">Accounting Forum, </w:t>
      </w:r>
      <w:r w:rsidRPr="00B002C0">
        <w:t xml:space="preserve">28 p. 205-236 </w:t>
      </w:r>
    </w:p>
    <w:p w:rsidR="00C623EB" w:rsidRDefault="00C623EB" w:rsidP="00692891">
      <w:pPr>
        <w:jc w:val="both"/>
      </w:pPr>
    </w:p>
    <w:p w:rsidR="00727273" w:rsidRPr="00F16EFA" w:rsidRDefault="00727273" w:rsidP="00692891">
      <w:pPr>
        <w:jc w:val="both"/>
      </w:pPr>
      <w:r>
        <w:t xml:space="preserve">Beretta, S. and S. </w:t>
      </w:r>
      <w:proofErr w:type="spellStart"/>
      <w:r>
        <w:t>Bozzolan</w:t>
      </w:r>
      <w:proofErr w:type="spellEnd"/>
      <w:r>
        <w:t xml:space="preserve">, 2004. A framework for the analysis of firm risk communication. </w:t>
      </w:r>
      <w:r w:rsidR="00F16EFA">
        <w:rPr>
          <w:i/>
        </w:rPr>
        <w:t xml:space="preserve">The International Journal of Accounting, </w:t>
      </w:r>
      <w:r w:rsidR="00F16EFA">
        <w:t>39 p. 265-288</w:t>
      </w:r>
    </w:p>
    <w:p w:rsidR="006854AC" w:rsidRDefault="006854AC" w:rsidP="00692891">
      <w:pPr>
        <w:jc w:val="both"/>
        <w:rPr>
          <w:i/>
        </w:rPr>
      </w:pPr>
    </w:p>
    <w:p w:rsidR="005B258F" w:rsidRPr="00B84865" w:rsidRDefault="006854AC" w:rsidP="00692891">
      <w:pPr>
        <w:jc w:val="both"/>
        <w:rPr>
          <w:i/>
          <w:lang w:val="en-US"/>
        </w:rPr>
      </w:pPr>
      <w:proofErr w:type="spellStart"/>
      <w:r w:rsidRPr="007F63E4">
        <w:rPr>
          <w:lang w:val="en-US"/>
        </w:rPr>
        <w:t>Blij</w:t>
      </w:r>
      <w:proofErr w:type="spellEnd"/>
      <w:r w:rsidRPr="007F63E4">
        <w:rPr>
          <w:lang w:val="en-US"/>
        </w:rPr>
        <w:t xml:space="preserve">, I.H.C. and G.M.H. </w:t>
      </w:r>
      <w:proofErr w:type="spellStart"/>
      <w:r w:rsidRPr="007F63E4">
        <w:rPr>
          <w:lang w:val="en-US"/>
        </w:rPr>
        <w:t>Mertens</w:t>
      </w:r>
      <w:proofErr w:type="spellEnd"/>
      <w:r w:rsidRPr="007F63E4">
        <w:rPr>
          <w:lang w:val="en-US"/>
        </w:rPr>
        <w:t xml:space="preserve">, 2008. </w:t>
      </w:r>
      <w:r>
        <w:rPr>
          <w:lang w:val="nl-NL"/>
        </w:rPr>
        <w:t xml:space="preserve">Inzicht in Onzekerheid, Onderzoek naar de risicoparagrafen in de jaarverslagen 2007 van beursfondsen. </w:t>
      </w:r>
      <w:r w:rsidR="005B258F" w:rsidRPr="00B84865">
        <w:rPr>
          <w:i/>
          <w:lang w:val="en-US"/>
        </w:rPr>
        <w:t xml:space="preserve">Research by order of </w:t>
      </w:r>
    </w:p>
    <w:p w:rsidR="005B258F" w:rsidRPr="00511B05" w:rsidRDefault="005B258F" w:rsidP="00692891">
      <w:pPr>
        <w:jc w:val="both"/>
        <w:rPr>
          <w:i/>
          <w:lang w:val="en-US"/>
        </w:rPr>
      </w:pPr>
      <w:proofErr w:type="spellStart"/>
      <w:r w:rsidRPr="00511B05">
        <w:rPr>
          <w:i/>
          <w:lang w:val="en-US"/>
        </w:rPr>
        <w:t>Eumedion</w:t>
      </w:r>
      <w:proofErr w:type="spellEnd"/>
      <w:r w:rsidRPr="00511B05">
        <w:rPr>
          <w:i/>
          <w:lang w:val="en-US"/>
        </w:rPr>
        <w:t xml:space="preserve"> and </w:t>
      </w:r>
      <w:proofErr w:type="spellStart"/>
      <w:r w:rsidRPr="00511B05">
        <w:rPr>
          <w:i/>
          <w:lang w:val="en-US"/>
        </w:rPr>
        <w:t>Koninklijk</w:t>
      </w:r>
      <w:proofErr w:type="spellEnd"/>
      <w:r w:rsidRPr="00511B05">
        <w:rPr>
          <w:i/>
          <w:lang w:val="en-US"/>
        </w:rPr>
        <w:t xml:space="preserve"> </w:t>
      </w:r>
      <w:proofErr w:type="spellStart"/>
      <w:r w:rsidRPr="00511B05">
        <w:rPr>
          <w:i/>
          <w:lang w:val="en-US"/>
        </w:rPr>
        <w:t>Nederlands</w:t>
      </w:r>
      <w:proofErr w:type="spellEnd"/>
      <w:r w:rsidRPr="00511B05">
        <w:rPr>
          <w:i/>
          <w:lang w:val="en-US"/>
        </w:rPr>
        <w:t xml:space="preserve"> </w:t>
      </w:r>
      <w:proofErr w:type="spellStart"/>
      <w:r w:rsidRPr="00511B05">
        <w:rPr>
          <w:i/>
          <w:lang w:val="en-US"/>
        </w:rPr>
        <w:t>Instituut</w:t>
      </w:r>
      <w:proofErr w:type="spellEnd"/>
      <w:r w:rsidRPr="00511B05">
        <w:rPr>
          <w:i/>
          <w:lang w:val="en-US"/>
        </w:rPr>
        <w:t xml:space="preserve"> van </w:t>
      </w:r>
      <w:proofErr w:type="spellStart"/>
      <w:r w:rsidRPr="00511B05">
        <w:rPr>
          <w:i/>
          <w:lang w:val="en-US"/>
        </w:rPr>
        <w:t>Registeraccountants</w:t>
      </w:r>
      <w:proofErr w:type="spellEnd"/>
    </w:p>
    <w:p w:rsidR="005B258F" w:rsidRPr="00511B05" w:rsidRDefault="005B258F" w:rsidP="00692891">
      <w:pPr>
        <w:jc w:val="both"/>
        <w:rPr>
          <w:lang w:val="en-US"/>
        </w:rPr>
      </w:pPr>
    </w:p>
    <w:p w:rsidR="00C83913" w:rsidRDefault="00C83913" w:rsidP="00692891">
      <w:pPr>
        <w:jc w:val="both"/>
        <w:rPr>
          <w:lang w:val="nl-NL"/>
        </w:rPr>
      </w:pPr>
      <w:proofErr w:type="spellStart"/>
      <w:r>
        <w:rPr>
          <w:lang w:val="en-US"/>
        </w:rPr>
        <w:t>Blokzijl</w:t>
      </w:r>
      <w:proofErr w:type="spellEnd"/>
      <w:r>
        <w:rPr>
          <w:lang w:val="en-US"/>
        </w:rPr>
        <w:t>, C</w:t>
      </w:r>
      <w:r w:rsidRPr="00C83913">
        <w:rPr>
          <w:lang w:val="en-US"/>
        </w:rPr>
        <w:t xml:space="preserve">. </w:t>
      </w:r>
      <w:r w:rsidR="006854AC">
        <w:rPr>
          <w:lang w:val="en-US"/>
        </w:rPr>
        <w:t>and D. Slob,</w:t>
      </w:r>
      <w:r>
        <w:rPr>
          <w:lang w:val="en-US"/>
        </w:rPr>
        <w:t xml:space="preserve"> </w:t>
      </w:r>
      <w:r w:rsidRPr="00C83913">
        <w:rPr>
          <w:lang w:val="en-US"/>
        </w:rPr>
        <w:t xml:space="preserve">2012. </w:t>
      </w:r>
      <w:r w:rsidRPr="00C83913">
        <w:rPr>
          <w:lang w:val="nl-NL"/>
        </w:rPr>
        <w:t xml:space="preserve">Schaalvergroting, zin en onzin </w:t>
      </w:r>
      <w:proofErr w:type="spellStart"/>
      <w:r w:rsidRPr="00C83913">
        <w:rPr>
          <w:i/>
          <w:lang w:val="nl-NL"/>
        </w:rPr>
        <w:t>Investments</w:t>
      </w:r>
      <w:proofErr w:type="spellEnd"/>
      <w:r w:rsidRPr="00C83913">
        <w:rPr>
          <w:i/>
          <w:lang w:val="nl-NL"/>
        </w:rPr>
        <w:t xml:space="preserve"> &amp; Pensions </w:t>
      </w:r>
      <w:proofErr w:type="spellStart"/>
      <w:r w:rsidRPr="00C83913">
        <w:rPr>
          <w:i/>
          <w:lang w:val="nl-NL"/>
        </w:rPr>
        <w:t>Europe</w:t>
      </w:r>
      <w:proofErr w:type="spellEnd"/>
      <w:r w:rsidRPr="00C83913">
        <w:rPr>
          <w:i/>
          <w:lang w:val="nl-NL"/>
        </w:rPr>
        <w:t xml:space="preserve"> </w:t>
      </w:r>
      <w:proofErr w:type="spellStart"/>
      <w:r w:rsidRPr="00C83913">
        <w:rPr>
          <w:i/>
          <w:lang w:val="nl-NL"/>
        </w:rPr>
        <w:t>Netherlands</w:t>
      </w:r>
      <w:proofErr w:type="spellEnd"/>
      <w:r w:rsidRPr="00C83913">
        <w:rPr>
          <w:i/>
          <w:lang w:val="nl-NL"/>
        </w:rPr>
        <w:t xml:space="preserve">, </w:t>
      </w:r>
      <w:r w:rsidRPr="00C83913">
        <w:rPr>
          <w:lang w:val="nl-NL"/>
        </w:rPr>
        <w:t xml:space="preserve">24 </w:t>
      </w:r>
      <w:r w:rsidR="00BB2FED">
        <w:rPr>
          <w:lang w:val="nl-NL"/>
        </w:rPr>
        <w:t>p. 12</w:t>
      </w:r>
      <w:r w:rsidRPr="00C83913">
        <w:rPr>
          <w:lang w:val="nl-NL"/>
        </w:rPr>
        <w:t>-1</w:t>
      </w:r>
      <w:r>
        <w:rPr>
          <w:lang w:val="nl-NL"/>
        </w:rPr>
        <w:t>8</w:t>
      </w:r>
    </w:p>
    <w:p w:rsidR="00392A77" w:rsidRDefault="00392A77" w:rsidP="00692891">
      <w:pPr>
        <w:jc w:val="both"/>
        <w:rPr>
          <w:lang w:val="nl-NL"/>
        </w:rPr>
      </w:pPr>
    </w:p>
    <w:p w:rsidR="00392A77" w:rsidRPr="00DC730E" w:rsidRDefault="00392A77" w:rsidP="00692891">
      <w:pPr>
        <w:jc w:val="both"/>
      </w:pPr>
      <w:r>
        <w:t>Blumberg, B., Cooper, D.R. and P.S. Schindler</w:t>
      </w:r>
      <w:r w:rsidR="000A2630">
        <w:t>,</w:t>
      </w:r>
      <w:r>
        <w:t xml:space="preserve"> 2011. </w:t>
      </w:r>
      <w:r>
        <w:rPr>
          <w:i/>
        </w:rPr>
        <w:t xml:space="preserve">Business research methods. </w:t>
      </w:r>
      <w:r>
        <w:t>Maidenhead: McGraw-Hill Education</w:t>
      </w:r>
    </w:p>
    <w:p w:rsidR="00392A77" w:rsidRDefault="00392A77" w:rsidP="00692891">
      <w:pPr>
        <w:jc w:val="both"/>
      </w:pPr>
    </w:p>
    <w:p w:rsidR="000A2630" w:rsidRPr="009440AE" w:rsidRDefault="00392A77" w:rsidP="00692891">
      <w:pPr>
        <w:jc w:val="both"/>
        <w:rPr>
          <w:lang w:val="nl-NL"/>
        </w:rPr>
      </w:pPr>
      <w:proofErr w:type="spellStart"/>
      <w:r w:rsidRPr="00392A77">
        <w:rPr>
          <w:lang w:val="nl-NL"/>
        </w:rPr>
        <w:t>Böhmer</w:t>
      </w:r>
      <w:proofErr w:type="spellEnd"/>
      <w:r w:rsidRPr="00392A77">
        <w:rPr>
          <w:lang w:val="nl-NL"/>
        </w:rPr>
        <w:t xml:space="preserve">, </w:t>
      </w:r>
      <w:proofErr w:type="spellStart"/>
      <w:r w:rsidRPr="00392A77">
        <w:rPr>
          <w:lang w:val="nl-NL"/>
        </w:rPr>
        <w:t>e.a</w:t>
      </w:r>
      <w:proofErr w:type="spellEnd"/>
      <w:r w:rsidRPr="00392A77">
        <w:rPr>
          <w:lang w:val="nl-NL"/>
        </w:rPr>
        <w:t xml:space="preserve">, 2012. </w:t>
      </w:r>
      <w:r w:rsidRPr="000C18F4">
        <w:rPr>
          <w:i/>
          <w:lang w:val="nl-NL"/>
        </w:rPr>
        <w:t>Ernst &amp; Young Handboek Jaarrekening 2012</w:t>
      </w:r>
      <w:r>
        <w:rPr>
          <w:lang w:val="nl-NL"/>
        </w:rPr>
        <w:t xml:space="preserve">. </w:t>
      </w:r>
      <w:r w:rsidR="00270975" w:rsidRPr="009440AE">
        <w:rPr>
          <w:lang w:val="nl-NL"/>
        </w:rPr>
        <w:t xml:space="preserve">Hoofddorp: </w:t>
      </w:r>
      <w:proofErr w:type="spellStart"/>
      <w:r w:rsidR="00270975" w:rsidRPr="009440AE">
        <w:rPr>
          <w:lang w:val="nl-NL"/>
        </w:rPr>
        <w:t>Kluwer</w:t>
      </w:r>
      <w:proofErr w:type="spellEnd"/>
    </w:p>
    <w:p w:rsidR="004543D9" w:rsidRPr="009440AE" w:rsidRDefault="004543D9" w:rsidP="00692891">
      <w:pPr>
        <w:jc w:val="both"/>
        <w:rPr>
          <w:lang w:val="nl-NL"/>
        </w:rPr>
      </w:pPr>
    </w:p>
    <w:p w:rsidR="00EA5B17" w:rsidRPr="00EA5B17" w:rsidRDefault="00270975" w:rsidP="00692891">
      <w:pPr>
        <w:jc w:val="both"/>
        <w:rPr>
          <w:lang w:val="en-US"/>
        </w:rPr>
      </w:pPr>
      <w:proofErr w:type="spellStart"/>
      <w:r w:rsidRPr="009440AE">
        <w:rPr>
          <w:lang w:val="nl-NL"/>
        </w:rPr>
        <w:t>Bordo</w:t>
      </w:r>
      <w:proofErr w:type="spellEnd"/>
      <w:r w:rsidRPr="009440AE">
        <w:rPr>
          <w:lang w:val="nl-NL"/>
        </w:rPr>
        <w:t xml:space="preserve">, M., </w:t>
      </w:r>
      <w:proofErr w:type="spellStart"/>
      <w:r w:rsidRPr="009440AE">
        <w:rPr>
          <w:lang w:val="nl-NL"/>
        </w:rPr>
        <w:t>Eichengreen</w:t>
      </w:r>
      <w:proofErr w:type="spellEnd"/>
      <w:r w:rsidRPr="009440AE">
        <w:rPr>
          <w:lang w:val="nl-NL"/>
        </w:rPr>
        <w:t xml:space="preserve">, B., </w:t>
      </w:r>
      <w:proofErr w:type="spellStart"/>
      <w:r w:rsidRPr="009440AE">
        <w:rPr>
          <w:lang w:val="nl-NL"/>
        </w:rPr>
        <w:t>Klingebiel</w:t>
      </w:r>
      <w:proofErr w:type="spellEnd"/>
      <w:r w:rsidRPr="009440AE">
        <w:rPr>
          <w:lang w:val="nl-NL"/>
        </w:rPr>
        <w:t xml:space="preserve">, D. and M.S. </w:t>
      </w:r>
      <w:proofErr w:type="spellStart"/>
      <w:r w:rsidRPr="009440AE">
        <w:rPr>
          <w:lang w:val="nl-NL"/>
        </w:rPr>
        <w:t>Martinez-Peria</w:t>
      </w:r>
      <w:proofErr w:type="spellEnd"/>
      <w:r w:rsidRPr="009440AE">
        <w:rPr>
          <w:lang w:val="nl-NL"/>
        </w:rPr>
        <w:t xml:space="preserve">, 2001. </w:t>
      </w:r>
      <w:r w:rsidR="00EA5B17" w:rsidRPr="00EA5B17">
        <w:rPr>
          <w:lang w:val="en-US"/>
        </w:rPr>
        <w:t xml:space="preserve">Financial crises, lessons from the last 120 years, </w:t>
      </w:r>
      <w:r w:rsidR="00EA5B17" w:rsidRPr="00EA5B17">
        <w:rPr>
          <w:i/>
          <w:lang w:val="en-US"/>
        </w:rPr>
        <w:t xml:space="preserve">Economics Policy, </w:t>
      </w:r>
      <w:r w:rsidR="00EA5B17" w:rsidRPr="00EA5B17">
        <w:rPr>
          <w:lang w:val="en-US"/>
        </w:rPr>
        <w:t>A</w:t>
      </w:r>
      <w:r w:rsidR="00EA5B17">
        <w:rPr>
          <w:lang w:val="en-US"/>
        </w:rPr>
        <w:t>pril 2001, p. 52-60</w:t>
      </w:r>
    </w:p>
    <w:p w:rsidR="00EA5B17" w:rsidRPr="00EA5B17" w:rsidRDefault="00EA5B17" w:rsidP="00692891">
      <w:pPr>
        <w:jc w:val="both"/>
        <w:rPr>
          <w:lang w:val="en-US"/>
        </w:rPr>
      </w:pPr>
    </w:p>
    <w:p w:rsidR="004F5B33" w:rsidRPr="00AC3062" w:rsidRDefault="004F5B33" w:rsidP="00692891">
      <w:pPr>
        <w:jc w:val="both"/>
        <w:rPr>
          <w:lang w:val="en-US"/>
        </w:rPr>
      </w:pPr>
      <w:proofErr w:type="spellStart"/>
      <w:r w:rsidRPr="00AC3062">
        <w:rPr>
          <w:lang w:val="en-US"/>
        </w:rPr>
        <w:t>Botosan</w:t>
      </w:r>
      <w:proofErr w:type="spellEnd"/>
      <w:r w:rsidRPr="00AC3062">
        <w:rPr>
          <w:lang w:val="en-US"/>
        </w:rPr>
        <w:t xml:space="preserve">, </w:t>
      </w:r>
      <w:r w:rsidR="00AC3062" w:rsidRPr="00AC3062">
        <w:rPr>
          <w:lang w:val="en-US"/>
        </w:rPr>
        <w:t xml:space="preserve">C.A. </w:t>
      </w:r>
      <w:r w:rsidRPr="00AC3062">
        <w:rPr>
          <w:lang w:val="en-US"/>
        </w:rPr>
        <w:t>1997.</w:t>
      </w:r>
      <w:r>
        <w:rPr>
          <w:lang w:val="en-US"/>
        </w:rPr>
        <w:t xml:space="preserve"> </w:t>
      </w:r>
      <w:r w:rsidR="00AC3062">
        <w:rPr>
          <w:lang w:val="en-US"/>
        </w:rPr>
        <w:t xml:space="preserve">Disclosure level and the cost of equity capital. </w:t>
      </w:r>
      <w:r w:rsidR="00AC3062">
        <w:rPr>
          <w:i/>
          <w:lang w:val="en-US"/>
        </w:rPr>
        <w:t xml:space="preserve">The Accounting Review, </w:t>
      </w:r>
      <w:r w:rsidR="00AC3062">
        <w:rPr>
          <w:lang w:val="en-US"/>
        </w:rPr>
        <w:t xml:space="preserve">72 p. 323-349 </w:t>
      </w:r>
    </w:p>
    <w:p w:rsidR="004F5B33" w:rsidRDefault="004F5B33" w:rsidP="00692891">
      <w:pPr>
        <w:jc w:val="both"/>
        <w:rPr>
          <w:lang w:val="en-US"/>
        </w:rPr>
      </w:pPr>
    </w:p>
    <w:p w:rsidR="00366FD1" w:rsidRDefault="00366FD1" w:rsidP="00692891">
      <w:pPr>
        <w:jc w:val="both"/>
      </w:pPr>
      <w:proofErr w:type="spellStart"/>
      <w:r>
        <w:t>Buzby</w:t>
      </w:r>
      <w:proofErr w:type="spellEnd"/>
      <w:r>
        <w:t xml:space="preserve">, S.L., 1975. Company size, listed versus unlisted stocks, and the extent of financial disclosure. </w:t>
      </w:r>
      <w:r>
        <w:rPr>
          <w:i/>
        </w:rPr>
        <w:t xml:space="preserve">Journal of Accounting Research, </w:t>
      </w:r>
      <w:r>
        <w:t>13 p. 16-37</w:t>
      </w:r>
    </w:p>
    <w:p w:rsidR="00517B28" w:rsidRDefault="00517B28" w:rsidP="00692891">
      <w:pPr>
        <w:jc w:val="both"/>
      </w:pPr>
    </w:p>
    <w:p w:rsidR="00517B28" w:rsidRPr="00FD62F2" w:rsidRDefault="00517B28" w:rsidP="00692891">
      <w:pPr>
        <w:jc w:val="both"/>
      </w:pPr>
      <w:proofErr w:type="spellStart"/>
      <w:r>
        <w:t>Christo</w:t>
      </w:r>
      <w:r w:rsidR="008A3169">
        <w:t>ff</w:t>
      </w:r>
      <w:r>
        <w:t>e</w:t>
      </w:r>
      <w:r w:rsidR="008A3169">
        <w:t>r</w:t>
      </w:r>
      <w:r>
        <w:t>sen</w:t>
      </w:r>
      <w:proofErr w:type="spellEnd"/>
      <w:r>
        <w:t xml:space="preserve">, P.F., 2012. </w:t>
      </w:r>
      <w:r w:rsidR="00FD62F2">
        <w:rPr>
          <w:i/>
        </w:rPr>
        <w:t xml:space="preserve">Elements of Financial Risk Management. </w:t>
      </w:r>
      <w:r w:rsidR="00FD62F2">
        <w:t>Waltham: Academic Press</w:t>
      </w:r>
    </w:p>
    <w:p w:rsidR="00C623EB" w:rsidRDefault="00C623EB" w:rsidP="00692891">
      <w:pPr>
        <w:jc w:val="both"/>
        <w:rPr>
          <w:lang w:eastAsia="nl-NL"/>
        </w:rPr>
      </w:pPr>
    </w:p>
    <w:p w:rsidR="00EB73F1" w:rsidRDefault="00EB73F1" w:rsidP="00692891">
      <w:pPr>
        <w:jc w:val="both"/>
        <w:rPr>
          <w:lang w:eastAsia="nl-NL"/>
        </w:rPr>
      </w:pPr>
      <w:proofErr w:type="spellStart"/>
      <w:r>
        <w:rPr>
          <w:lang w:eastAsia="nl-NL"/>
        </w:rPr>
        <w:t>Claassen</w:t>
      </w:r>
      <w:proofErr w:type="spellEnd"/>
      <w:r>
        <w:rPr>
          <w:lang w:eastAsia="nl-NL"/>
        </w:rPr>
        <w:t xml:space="preserve">, A. </w:t>
      </w:r>
      <w:r w:rsidR="00A82FF4">
        <w:rPr>
          <w:lang w:eastAsia="nl-NL"/>
        </w:rPr>
        <w:t>a</w:t>
      </w:r>
      <w:r>
        <w:rPr>
          <w:lang w:eastAsia="nl-NL"/>
        </w:rPr>
        <w:t xml:space="preserve">nd E. </w:t>
      </w:r>
      <w:proofErr w:type="spellStart"/>
      <w:r>
        <w:rPr>
          <w:lang w:eastAsia="nl-NL"/>
        </w:rPr>
        <w:t>Gotink</w:t>
      </w:r>
      <w:proofErr w:type="spellEnd"/>
      <w:r>
        <w:rPr>
          <w:lang w:eastAsia="nl-NL"/>
        </w:rPr>
        <w:t xml:space="preserve">, 2010. Time to rethink wilting Dutch pension funds. </w:t>
      </w:r>
      <w:r>
        <w:rPr>
          <w:i/>
          <w:lang w:eastAsia="nl-NL"/>
        </w:rPr>
        <w:t xml:space="preserve">Financial Times, </w:t>
      </w:r>
      <w:r>
        <w:rPr>
          <w:lang w:eastAsia="nl-NL"/>
        </w:rPr>
        <w:t>11 March 2010</w:t>
      </w:r>
    </w:p>
    <w:p w:rsidR="001C2A7E" w:rsidRDefault="001C2A7E" w:rsidP="00692891">
      <w:pPr>
        <w:jc w:val="both"/>
        <w:rPr>
          <w:lang w:eastAsia="nl-NL"/>
        </w:rPr>
      </w:pPr>
    </w:p>
    <w:p w:rsidR="001C2A7E" w:rsidRPr="001C2A7E" w:rsidRDefault="001C2A7E" w:rsidP="00692891">
      <w:pPr>
        <w:jc w:val="both"/>
        <w:rPr>
          <w:lang w:eastAsia="nl-NL"/>
        </w:rPr>
      </w:pPr>
      <w:r>
        <w:rPr>
          <w:lang w:eastAsia="nl-NL"/>
        </w:rPr>
        <w:t xml:space="preserve">Cooke, T.E., 1989. Disclosure in the corporate annual report of Swedish companies. </w:t>
      </w:r>
      <w:r>
        <w:rPr>
          <w:i/>
          <w:lang w:eastAsia="nl-NL"/>
        </w:rPr>
        <w:t xml:space="preserve">Accounting and Business Research, </w:t>
      </w:r>
      <w:r>
        <w:rPr>
          <w:lang w:eastAsia="nl-NL"/>
        </w:rPr>
        <w:t>p. 113-124</w:t>
      </w:r>
    </w:p>
    <w:p w:rsidR="00861740" w:rsidRDefault="00861740" w:rsidP="00861740">
      <w:pPr>
        <w:jc w:val="both"/>
        <w:rPr>
          <w:lang w:val="en-US" w:eastAsia="nl-NL"/>
        </w:rPr>
      </w:pPr>
    </w:p>
    <w:p w:rsidR="00861740" w:rsidRPr="003F49DE" w:rsidRDefault="00861740" w:rsidP="00861740">
      <w:pPr>
        <w:jc w:val="both"/>
        <w:rPr>
          <w:i/>
          <w:lang w:eastAsia="nl-NL"/>
        </w:rPr>
      </w:pPr>
      <w:r w:rsidRPr="00861740">
        <w:rPr>
          <w:lang w:val="en-US" w:eastAsia="nl-NL"/>
        </w:rPr>
        <w:t xml:space="preserve">COSO, 2004. </w:t>
      </w:r>
      <w:r w:rsidRPr="003F49DE">
        <w:rPr>
          <w:lang w:eastAsia="nl-NL"/>
        </w:rPr>
        <w:t>Enterprise Risk Management – Integrated Framework</w:t>
      </w:r>
      <w:r>
        <w:rPr>
          <w:lang w:eastAsia="nl-NL"/>
        </w:rPr>
        <w:t xml:space="preserve">. </w:t>
      </w:r>
      <w:r>
        <w:rPr>
          <w:i/>
          <w:lang w:eastAsia="nl-NL"/>
        </w:rPr>
        <w:t xml:space="preserve">Committee of Sponsoring Organizations of the </w:t>
      </w:r>
      <w:proofErr w:type="spellStart"/>
      <w:r>
        <w:rPr>
          <w:i/>
          <w:lang w:eastAsia="nl-NL"/>
        </w:rPr>
        <w:t>Treadway</w:t>
      </w:r>
      <w:proofErr w:type="spellEnd"/>
      <w:r>
        <w:rPr>
          <w:i/>
          <w:lang w:eastAsia="nl-NL"/>
        </w:rPr>
        <w:t xml:space="preserve"> Commission</w:t>
      </w:r>
    </w:p>
    <w:p w:rsidR="00861740" w:rsidRDefault="00861740" w:rsidP="00692891">
      <w:pPr>
        <w:jc w:val="both"/>
        <w:rPr>
          <w:lang w:eastAsia="nl-NL"/>
        </w:rPr>
      </w:pPr>
    </w:p>
    <w:p w:rsidR="00583593" w:rsidRPr="00583593" w:rsidRDefault="00583593" w:rsidP="00692891">
      <w:pPr>
        <w:jc w:val="both"/>
        <w:rPr>
          <w:lang w:val="nl-NL" w:eastAsia="nl-NL"/>
        </w:rPr>
      </w:pPr>
      <w:proofErr w:type="spellStart"/>
      <w:r w:rsidRPr="00861740">
        <w:rPr>
          <w:lang w:val="nl-NL" w:eastAsia="nl-NL"/>
        </w:rPr>
        <w:t>Cremers</w:t>
      </w:r>
      <w:proofErr w:type="spellEnd"/>
      <w:r w:rsidRPr="00861740">
        <w:rPr>
          <w:lang w:val="nl-NL" w:eastAsia="nl-NL"/>
        </w:rPr>
        <w:t xml:space="preserve">, P.H.A.J. et al., 2006. </w:t>
      </w:r>
      <w:r w:rsidRPr="002C4BD3">
        <w:rPr>
          <w:i/>
          <w:lang w:val="nl-NL" w:eastAsia="nl-NL"/>
        </w:rPr>
        <w:t>De Nederlan</w:t>
      </w:r>
      <w:r>
        <w:rPr>
          <w:i/>
          <w:lang w:val="nl-NL" w:eastAsia="nl-NL"/>
        </w:rPr>
        <w:t xml:space="preserve">dse Wetboeken, </w:t>
      </w:r>
      <w:r>
        <w:rPr>
          <w:lang w:val="nl-NL" w:eastAsia="nl-NL"/>
        </w:rPr>
        <w:t xml:space="preserve">Deventer: </w:t>
      </w:r>
      <w:proofErr w:type="spellStart"/>
      <w:r>
        <w:rPr>
          <w:lang w:val="nl-NL" w:eastAsia="nl-NL"/>
        </w:rPr>
        <w:t>Kluwer</w:t>
      </w:r>
      <w:proofErr w:type="spellEnd"/>
    </w:p>
    <w:p w:rsidR="003F49DE" w:rsidRPr="00583593" w:rsidRDefault="003F49DE" w:rsidP="00692891">
      <w:pPr>
        <w:jc w:val="both"/>
        <w:rPr>
          <w:lang w:val="nl-NL" w:eastAsia="nl-NL"/>
        </w:rPr>
      </w:pPr>
    </w:p>
    <w:p w:rsidR="00E13F62" w:rsidRDefault="00E13F62" w:rsidP="00692891">
      <w:pPr>
        <w:jc w:val="both"/>
      </w:pPr>
      <w:proofErr w:type="spellStart"/>
      <w:r w:rsidRPr="00E136D4">
        <w:rPr>
          <w:lang w:val="nl-NL"/>
        </w:rPr>
        <w:t>Dabrowski</w:t>
      </w:r>
      <w:proofErr w:type="spellEnd"/>
      <w:r w:rsidRPr="00E136D4">
        <w:rPr>
          <w:lang w:val="nl-NL"/>
        </w:rPr>
        <w:t xml:space="preserve">, M., 2010. </w:t>
      </w:r>
      <w:r>
        <w:t xml:space="preserve">The global financial crisis: Lessons for European integration. </w:t>
      </w:r>
      <w:r>
        <w:rPr>
          <w:i/>
        </w:rPr>
        <w:t xml:space="preserve">Economic Systems </w:t>
      </w:r>
      <w:r w:rsidR="00392A77">
        <w:t>34, 38-54</w:t>
      </w:r>
    </w:p>
    <w:p w:rsidR="00392A77" w:rsidRDefault="00392A77" w:rsidP="00692891">
      <w:pPr>
        <w:jc w:val="both"/>
      </w:pPr>
    </w:p>
    <w:p w:rsidR="00392A77" w:rsidRDefault="00A82FF4" w:rsidP="00692891">
      <w:pPr>
        <w:jc w:val="both"/>
      </w:pPr>
      <w:proofErr w:type="spellStart"/>
      <w:r>
        <w:t>Deegan</w:t>
      </w:r>
      <w:proofErr w:type="spellEnd"/>
      <w:r>
        <w:t>, C. a</w:t>
      </w:r>
      <w:r w:rsidR="00392A77">
        <w:t xml:space="preserve">nd J. </w:t>
      </w:r>
      <w:proofErr w:type="spellStart"/>
      <w:r w:rsidR="00392A77">
        <w:t>Unerman</w:t>
      </w:r>
      <w:proofErr w:type="spellEnd"/>
      <w:r w:rsidR="00392A77">
        <w:t xml:space="preserve">. 2006. </w:t>
      </w:r>
      <w:r w:rsidR="00392A77">
        <w:rPr>
          <w:i/>
        </w:rPr>
        <w:t xml:space="preserve">Financial Accounting Theory. </w:t>
      </w:r>
      <w:r w:rsidR="00392A77">
        <w:t>Maidenhead: McGraw-Hill Education</w:t>
      </w:r>
    </w:p>
    <w:p w:rsidR="00114B58" w:rsidRDefault="00114B58" w:rsidP="00692891">
      <w:pPr>
        <w:jc w:val="both"/>
      </w:pPr>
    </w:p>
    <w:p w:rsidR="00114B58" w:rsidRPr="00114B58" w:rsidRDefault="00114B58" w:rsidP="00692891">
      <w:pPr>
        <w:autoSpaceDE w:val="0"/>
        <w:autoSpaceDN w:val="0"/>
        <w:adjustRightInd w:val="0"/>
        <w:jc w:val="both"/>
        <w:rPr>
          <w:rFonts w:cs="Times New Roman"/>
          <w:color w:val="000000"/>
          <w:sz w:val="23"/>
          <w:szCs w:val="23"/>
          <w:lang w:val="en-US" w:eastAsia="en-US" w:bidi="ar-SA"/>
        </w:rPr>
      </w:pPr>
      <w:proofErr w:type="spellStart"/>
      <w:r>
        <w:rPr>
          <w:rFonts w:cs="Times New Roman"/>
          <w:color w:val="000000"/>
          <w:sz w:val="23"/>
          <w:szCs w:val="23"/>
          <w:lang w:val="en-US" w:eastAsia="en-US" w:bidi="ar-SA"/>
        </w:rPr>
        <w:t>DiPiazza</w:t>
      </w:r>
      <w:proofErr w:type="spellEnd"/>
      <w:r>
        <w:rPr>
          <w:rFonts w:cs="Times New Roman"/>
          <w:color w:val="000000"/>
          <w:sz w:val="23"/>
          <w:szCs w:val="23"/>
          <w:lang w:val="en-US" w:eastAsia="en-US" w:bidi="ar-SA"/>
        </w:rPr>
        <w:t xml:space="preserve">,, S.A., </w:t>
      </w:r>
      <w:r w:rsidRPr="00114B58">
        <w:rPr>
          <w:rFonts w:cs="Times New Roman"/>
          <w:color w:val="000000"/>
          <w:sz w:val="23"/>
          <w:szCs w:val="23"/>
          <w:lang w:val="en-US" w:eastAsia="en-US" w:bidi="ar-SA"/>
        </w:rPr>
        <w:t xml:space="preserve">Flynn, </w:t>
      </w:r>
      <w:r>
        <w:rPr>
          <w:rFonts w:cs="Times New Roman"/>
          <w:color w:val="000000"/>
          <w:sz w:val="23"/>
          <w:szCs w:val="23"/>
          <w:lang w:val="en-US" w:eastAsia="en-US" w:bidi="ar-SA"/>
        </w:rPr>
        <w:t xml:space="preserve">T. </w:t>
      </w:r>
      <w:r w:rsidRPr="00114B58">
        <w:rPr>
          <w:rFonts w:cs="Times New Roman"/>
          <w:color w:val="000000"/>
          <w:sz w:val="23"/>
          <w:szCs w:val="23"/>
          <w:lang w:val="en-US" w:eastAsia="en-US" w:bidi="ar-SA"/>
        </w:rPr>
        <w:t xml:space="preserve">McDonnell, </w:t>
      </w:r>
      <w:r>
        <w:rPr>
          <w:rFonts w:cs="Times New Roman"/>
          <w:color w:val="000000"/>
          <w:sz w:val="23"/>
          <w:szCs w:val="23"/>
          <w:lang w:val="en-US" w:eastAsia="en-US" w:bidi="ar-SA"/>
        </w:rPr>
        <w:t xml:space="preserve">D., </w:t>
      </w:r>
      <w:proofErr w:type="spellStart"/>
      <w:r w:rsidRPr="00114B58">
        <w:rPr>
          <w:rFonts w:cs="Times New Roman"/>
          <w:color w:val="000000"/>
          <w:sz w:val="23"/>
          <w:szCs w:val="23"/>
          <w:lang w:val="en-US" w:eastAsia="en-US" w:bidi="ar-SA"/>
        </w:rPr>
        <w:t>Samyn</w:t>
      </w:r>
      <w:proofErr w:type="spellEnd"/>
      <w:r w:rsidRPr="00114B58">
        <w:rPr>
          <w:rFonts w:cs="Times New Roman"/>
          <w:color w:val="000000"/>
          <w:sz w:val="23"/>
          <w:szCs w:val="23"/>
          <w:lang w:val="en-US" w:eastAsia="en-US" w:bidi="ar-SA"/>
        </w:rPr>
        <w:t xml:space="preserve">, </w:t>
      </w:r>
      <w:r>
        <w:rPr>
          <w:rFonts w:cs="Times New Roman"/>
          <w:color w:val="000000"/>
          <w:sz w:val="23"/>
          <w:szCs w:val="23"/>
          <w:lang w:val="en-US" w:eastAsia="en-US" w:bidi="ar-SA"/>
        </w:rPr>
        <w:t xml:space="preserve">F., </w:t>
      </w:r>
      <w:r w:rsidRPr="00114B58">
        <w:rPr>
          <w:rFonts w:cs="Times New Roman"/>
          <w:color w:val="000000"/>
          <w:sz w:val="23"/>
          <w:szCs w:val="23"/>
          <w:lang w:val="en-US" w:eastAsia="en-US" w:bidi="ar-SA"/>
        </w:rPr>
        <w:t xml:space="preserve">Quigley, </w:t>
      </w:r>
      <w:r>
        <w:rPr>
          <w:rFonts w:cs="Times New Roman"/>
          <w:color w:val="000000"/>
          <w:sz w:val="23"/>
          <w:szCs w:val="23"/>
          <w:lang w:val="en-US" w:eastAsia="en-US" w:bidi="ar-SA"/>
        </w:rPr>
        <w:t>J.H. and J. S. Turley,</w:t>
      </w:r>
      <w:r w:rsidRPr="00114B58">
        <w:rPr>
          <w:rFonts w:cs="Times New Roman"/>
          <w:color w:val="000000"/>
          <w:sz w:val="23"/>
          <w:szCs w:val="23"/>
          <w:lang w:val="en-US" w:eastAsia="en-US" w:bidi="ar-SA"/>
        </w:rPr>
        <w:t xml:space="preserve"> 2008.</w:t>
      </w:r>
    </w:p>
    <w:p w:rsidR="00114B58" w:rsidRPr="00114B58" w:rsidRDefault="00114B58" w:rsidP="00692891">
      <w:pPr>
        <w:autoSpaceDE w:val="0"/>
        <w:autoSpaceDN w:val="0"/>
        <w:adjustRightInd w:val="0"/>
        <w:jc w:val="both"/>
        <w:rPr>
          <w:rFonts w:cs="Times New Roman"/>
          <w:color w:val="000000"/>
          <w:sz w:val="23"/>
          <w:szCs w:val="23"/>
          <w:lang w:val="en-US" w:eastAsia="en-US" w:bidi="ar-SA"/>
        </w:rPr>
      </w:pPr>
      <w:r w:rsidRPr="00114B58">
        <w:rPr>
          <w:rFonts w:cs="Times New Roman"/>
          <w:color w:val="000000"/>
          <w:sz w:val="23"/>
          <w:szCs w:val="23"/>
          <w:lang w:val="en-US" w:eastAsia="en-US" w:bidi="ar-SA"/>
        </w:rPr>
        <w:t>Principles-based accounting standards. White paper delivered by the CEOs of the</w:t>
      </w:r>
    </w:p>
    <w:p w:rsidR="00114B58" w:rsidRPr="00987BD5" w:rsidRDefault="00114B58" w:rsidP="00692891">
      <w:pPr>
        <w:autoSpaceDE w:val="0"/>
        <w:autoSpaceDN w:val="0"/>
        <w:adjustRightInd w:val="0"/>
        <w:jc w:val="both"/>
        <w:rPr>
          <w:lang w:val="en-US"/>
        </w:rPr>
      </w:pPr>
      <w:r w:rsidRPr="00114B58">
        <w:rPr>
          <w:rFonts w:cs="Times New Roman"/>
          <w:color w:val="000000"/>
          <w:sz w:val="23"/>
          <w:szCs w:val="23"/>
          <w:lang w:val="en-US" w:eastAsia="en-US" w:bidi="ar-SA"/>
        </w:rPr>
        <w:t xml:space="preserve">International Audit Networks at the Global Public Policy Symposium. </w:t>
      </w:r>
    </w:p>
    <w:p w:rsidR="00114B58" w:rsidRPr="00987BD5" w:rsidRDefault="00114B58" w:rsidP="00692891">
      <w:pPr>
        <w:jc w:val="both"/>
        <w:rPr>
          <w:lang w:val="en-US"/>
        </w:rPr>
      </w:pPr>
    </w:p>
    <w:p w:rsidR="00A1648E" w:rsidRPr="00FF338E" w:rsidRDefault="00EB73F1" w:rsidP="00692891">
      <w:pPr>
        <w:jc w:val="both"/>
        <w:rPr>
          <w:lang w:val="en-US"/>
        </w:rPr>
      </w:pPr>
      <w:proofErr w:type="spellStart"/>
      <w:r w:rsidRPr="00B84865">
        <w:rPr>
          <w:lang w:val="en-US"/>
        </w:rPr>
        <w:t>Ewijk</w:t>
      </w:r>
      <w:proofErr w:type="spellEnd"/>
      <w:r w:rsidRPr="00B84865">
        <w:rPr>
          <w:lang w:val="en-US"/>
        </w:rPr>
        <w:t xml:space="preserve">, C. </w:t>
      </w:r>
      <w:r w:rsidR="00EB0052" w:rsidRPr="00B84865">
        <w:rPr>
          <w:lang w:val="en-US"/>
        </w:rPr>
        <w:t>V</w:t>
      </w:r>
      <w:r w:rsidRPr="00B84865">
        <w:rPr>
          <w:lang w:val="en-US"/>
        </w:rPr>
        <w:t xml:space="preserve">an, 2009. </w:t>
      </w:r>
      <w:r w:rsidRPr="00953568">
        <w:t>Credit crisis and Dutch pension funds: Who bears the shock?</w:t>
      </w:r>
      <w:r>
        <w:t xml:space="preserve"> </w:t>
      </w:r>
      <w:r w:rsidRPr="00FF338E">
        <w:rPr>
          <w:i/>
          <w:lang w:val="en-US"/>
        </w:rPr>
        <w:t xml:space="preserve">De Economist, </w:t>
      </w:r>
      <w:r w:rsidRPr="00FF338E">
        <w:rPr>
          <w:lang w:val="en-US"/>
        </w:rPr>
        <w:t>157, p. 337-351</w:t>
      </w:r>
    </w:p>
    <w:p w:rsidR="00A1648E" w:rsidRPr="00FF338E" w:rsidRDefault="00A1648E" w:rsidP="00692891">
      <w:pPr>
        <w:jc w:val="both"/>
        <w:rPr>
          <w:lang w:val="en-US"/>
        </w:rPr>
      </w:pPr>
    </w:p>
    <w:p w:rsidR="00EB73F1" w:rsidRPr="00A1648E" w:rsidRDefault="005B258F" w:rsidP="00692891">
      <w:pPr>
        <w:jc w:val="both"/>
        <w:rPr>
          <w:lang w:val="en-US"/>
        </w:rPr>
      </w:pPr>
      <w:proofErr w:type="spellStart"/>
      <w:r>
        <w:rPr>
          <w:lang w:val="en-US"/>
        </w:rPr>
        <w:t>Fichadia</w:t>
      </w:r>
      <w:proofErr w:type="spellEnd"/>
      <w:r>
        <w:rPr>
          <w:lang w:val="en-US"/>
        </w:rPr>
        <w:t>, A. a</w:t>
      </w:r>
      <w:r w:rsidR="00A1648E" w:rsidRPr="00A1648E">
        <w:rPr>
          <w:lang w:val="en-US"/>
        </w:rPr>
        <w:t xml:space="preserve">nd V. </w:t>
      </w:r>
      <w:proofErr w:type="spellStart"/>
      <w:r w:rsidR="00A1648E" w:rsidRPr="00A1648E">
        <w:rPr>
          <w:lang w:val="en-US"/>
        </w:rPr>
        <w:t>Raval</w:t>
      </w:r>
      <w:proofErr w:type="spellEnd"/>
      <w:r w:rsidR="00A1648E" w:rsidRPr="00A1648E">
        <w:rPr>
          <w:lang w:val="en-US"/>
        </w:rPr>
        <w:t xml:space="preserve">, 2007. </w:t>
      </w:r>
      <w:r w:rsidR="00A1648E" w:rsidRPr="00A1648E">
        <w:rPr>
          <w:i/>
          <w:lang w:val="en-US"/>
        </w:rPr>
        <w:t>Risks, controls, and security, concepts and applications.</w:t>
      </w:r>
      <w:r w:rsidR="00A1648E">
        <w:rPr>
          <w:lang w:val="en-US"/>
        </w:rPr>
        <w:t xml:space="preserve"> </w:t>
      </w:r>
      <w:r w:rsidR="00EB73F1" w:rsidRPr="00A1648E">
        <w:rPr>
          <w:lang w:val="en-US"/>
        </w:rPr>
        <w:t xml:space="preserve"> </w:t>
      </w:r>
    </w:p>
    <w:p w:rsidR="00C623EB" w:rsidRDefault="008578A9" w:rsidP="00692891">
      <w:pPr>
        <w:jc w:val="both"/>
        <w:rPr>
          <w:lang w:val="en-US"/>
        </w:rPr>
      </w:pPr>
      <w:r>
        <w:rPr>
          <w:lang w:val="en-US"/>
        </w:rPr>
        <w:t>Hoboken, NJ: John Wiley &amp; Sons</w:t>
      </w:r>
    </w:p>
    <w:p w:rsidR="00327776" w:rsidRDefault="00327776" w:rsidP="00692891">
      <w:pPr>
        <w:jc w:val="both"/>
        <w:rPr>
          <w:lang w:val="en-US"/>
        </w:rPr>
      </w:pPr>
    </w:p>
    <w:p w:rsidR="00327776" w:rsidRPr="00327776" w:rsidRDefault="00327776" w:rsidP="00692891">
      <w:pPr>
        <w:jc w:val="both"/>
        <w:rPr>
          <w:lang w:val="en-US"/>
        </w:rPr>
      </w:pPr>
      <w:r>
        <w:rPr>
          <w:lang w:val="en-US"/>
        </w:rPr>
        <w:t xml:space="preserve">Field, A. 2005. </w:t>
      </w:r>
      <w:r>
        <w:rPr>
          <w:i/>
          <w:lang w:val="en-US"/>
        </w:rPr>
        <w:t xml:space="preserve">Discovering Statistics Using SPSS. </w:t>
      </w:r>
      <w:r>
        <w:rPr>
          <w:lang w:val="en-US"/>
        </w:rPr>
        <w:t>London: Sage Publications Ltd.</w:t>
      </w:r>
    </w:p>
    <w:p w:rsidR="008578A9" w:rsidRPr="00222A3F" w:rsidRDefault="008578A9" w:rsidP="00692891">
      <w:pPr>
        <w:jc w:val="both"/>
        <w:rPr>
          <w:lang w:val="en-US"/>
        </w:rPr>
      </w:pPr>
    </w:p>
    <w:p w:rsidR="00EB73F1" w:rsidRDefault="00EB73F1" w:rsidP="00692891">
      <w:pPr>
        <w:jc w:val="both"/>
        <w:rPr>
          <w:i/>
        </w:rPr>
      </w:pPr>
      <w:proofErr w:type="spellStart"/>
      <w:r w:rsidRPr="00222A3F">
        <w:rPr>
          <w:lang w:val="en-US"/>
        </w:rPr>
        <w:t>Frijns</w:t>
      </w:r>
      <w:proofErr w:type="spellEnd"/>
      <w:r w:rsidRPr="00222A3F">
        <w:rPr>
          <w:lang w:val="en-US"/>
        </w:rPr>
        <w:t xml:space="preserve">, J.M.G., </w:t>
      </w:r>
      <w:proofErr w:type="spellStart"/>
      <w:r w:rsidRPr="00222A3F">
        <w:rPr>
          <w:lang w:val="en-US"/>
        </w:rPr>
        <w:t>Nijssen</w:t>
      </w:r>
      <w:proofErr w:type="spellEnd"/>
      <w:r w:rsidRPr="00222A3F">
        <w:rPr>
          <w:lang w:val="en-US"/>
        </w:rPr>
        <w:t xml:space="preserve">, J.A. and L.J.R. </w:t>
      </w:r>
      <w:proofErr w:type="spellStart"/>
      <w:r w:rsidRPr="00222A3F">
        <w:rPr>
          <w:lang w:val="en-US"/>
        </w:rPr>
        <w:t>Scholtens</w:t>
      </w:r>
      <w:proofErr w:type="spellEnd"/>
      <w:r w:rsidRPr="00222A3F">
        <w:rPr>
          <w:lang w:val="en-US"/>
        </w:rPr>
        <w:t xml:space="preserve">, 2010. </w:t>
      </w:r>
      <w:r w:rsidRPr="00953568">
        <w:rPr>
          <w:lang w:val="nl-NL"/>
        </w:rPr>
        <w:t xml:space="preserve">Pensioen: </w:t>
      </w:r>
      <w:r w:rsidRPr="00957EEC">
        <w:rPr>
          <w:lang w:val="nl-NL"/>
        </w:rPr>
        <w:t>“Onzekere zekerheid”, Commissie Beleggingsbeleid en R</w:t>
      </w:r>
      <w:r>
        <w:rPr>
          <w:lang w:val="nl-NL"/>
        </w:rPr>
        <w:t xml:space="preserve">isicobeheer, Een analyse van het beleggingsbeleid en het risicobeheer van de Nederlandse pensioenfondsen. </w:t>
      </w:r>
      <w:r w:rsidRPr="001A1352">
        <w:rPr>
          <w:i/>
        </w:rPr>
        <w:t>Research by order of Ministry of Social Affairs and Employment</w:t>
      </w:r>
    </w:p>
    <w:p w:rsidR="00C623EB" w:rsidRDefault="00C623EB" w:rsidP="00692891">
      <w:pPr>
        <w:jc w:val="both"/>
      </w:pPr>
    </w:p>
    <w:p w:rsidR="00EB73F1" w:rsidRDefault="00EB73F1" w:rsidP="00692891">
      <w:pPr>
        <w:jc w:val="both"/>
      </w:pPr>
      <w:proofErr w:type="spellStart"/>
      <w:r>
        <w:t>Gibbins</w:t>
      </w:r>
      <w:proofErr w:type="spellEnd"/>
      <w:r>
        <w:t xml:space="preserve">, M., Richardson, A. </w:t>
      </w:r>
      <w:r w:rsidR="00A82FF4">
        <w:t>a</w:t>
      </w:r>
      <w:r>
        <w:t xml:space="preserve">nd J. Waterhouse, 1990. The management of corporate financial disclosure: Opportunism, ritualism, policies and processes. </w:t>
      </w:r>
      <w:r>
        <w:rPr>
          <w:i/>
        </w:rPr>
        <w:t xml:space="preserve">Journal of Accounting Research, </w:t>
      </w:r>
      <w:r>
        <w:t>28 p. 121-143</w:t>
      </w:r>
    </w:p>
    <w:p w:rsidR="005D0BAF" w:rsidRDefault="005D0BAF" w:rsidP="00692891">
      <w:pPr>
        <w:jc w:val="both"/>
      </w:pPr>
    </w:p>
    <w:p w:rsidR="005D0BAF" w:rsidRDefault="005D0BAF" w:rsidP="005D0BAF">
      <w:pPr>
        <w:jc w:val="both"/>
        <w:rPr>
          <w:i/>
        </w:rPr>
      </w:pPr>
      <w:proofErr w:type="spellStart"/>
      <w:r w:rsidRPr="00B002C0">
        <w:t>Goudswaard</w:t>
      </w:r>
      <w:proofErr w:type="spellEnd"/>
      <w:r w:rsidRPr="00B002C0">
        <w:t xml:space="preserve">, K.P., </w:t>
      </w:r>
      <w:proofErr w:type="spellStart"/>
      <w:r w:rsidRPr="00B002C0">
        <w:t>Beetsma</w:t>
      </w:r>
      <w:proofErr w:type="spellEnd"/>
      <w:r w:rsidRPr="00B002C0">
        <w:t xml:space="preserve">, R.M.W.J., </w:t>
      </w:r>
      <w:proofErr w:type="spellStart"/>
      <w:r w:rsidRPr="00B002C0">
        <w:t>Nijman</w:t>
      </w:r>
      <w:proofErr w:type="spellEnd"/>
      <w:r w:rsidRPr="00B002C0">
        <w:t xml:space="preserve">, T.E. and P. Schnabel, 2010. </w:t>
      </w:r>
      <w:r w:rsidRPr="000028ED">
        <w:rPr>
          <w:lang w:val="nl-NL"/>
        </w:rPr>
        <w:t xml:space="preserve">Een sterke tweede pijler, Naar een toekomstbestendig stelsel van aanvullende pensioenen. </w:t>
      </w:r>
      <w:r w:rsidRPr="001A1352">
        <w:rPr>
          <w:i/>
        </w:rPr>
        <w:t>Research by order of Ministry of Social Affairs and Employment</w:t>
      </w:r>
    </w:p>
    <w:p w:rsidR="0029265B" w:rsidRDefault="0029265B" w:rsidP="00692891">
      <w:pPr>
        <w:jc w:val="both"/>
      </w:pPr>
    </w:p>
    <w:p w:rsidR="001572BC" w:rsidRDefault="001572BC" w:rsidP="001572BC">
      <w:pPr>
        <w:jc w:val="both"/>
      </w:pPr>
      <w:r w:rsidRPr="001572BC">
        <w:t>Gray</w:t>
      </w:r>
      <w:r w:rsidR="00A82FF4">
        <w:t xml:space="preserve">, R., </w:t>
      </w:r>
      <w:proofErr w:type="spellStart"/>
      <w:r w:rsidR="00A82FF4">
        <w:t>Javad</w:t>
      </w:r>
      <w:proofErr w:type="spellEnd"/>
      <w:r w:rsidR="00A82FF4">
        <w:t>, M., Power, D.M., and</w:t>
      </w:r>
      <w:r w:rsidRPr="001572BC">
        <w:t xml:space="preserve"> Sinclair, C.D. (2001). Social and environmental disclosure</w:t>
      </w:r>
      <w:r>
        <w:t xml:space="preserve"> </w:t>
      </w:r>
      <w:r w:rsidRPr="001572BC">
        <w:t xml:space="preserve">and corporate characteristics: A research note and extension. </w:t>
      </w:r>
      <w:r w:rsidRPr="001572BC">
        <w:rPr>
          <w:i/>
        </w:rPr>
        <w:t>Journal of Business Finance &amp; Accounting,</w:t>
      </w:r>
      <w:r w:rsidRPr="001572BC">
        <w:t xml:space="preserve"> </w:t>
      </w:r>
      <w:r>
        <w:t>p. 327-356</w:t>
      </w:r>
    </w:p>
    <w:p w:rsidR="001572BC" w:rsidRDefault="001572BC" w:rsidP="00692891">
      <w:pPr>
        <w:jc w:val="both"/>
      </w:pPr>
    </w:p>
    <w:p w:rsidR="00EB73F1" w:rsidRDefault="00EB73F1" w:rsidP="00692891">
      <w:pPr>
        <w:jc w:val="both"/>
        <w:rPr>
          <w:rStyle w:val="Hyperlink"/>
        </w:rPr>
      </w:pPr>
      <w:r>
        <w:t xml:space="preserve">Hassan, O. </w:t>
      </w:r>
      <w:r w:rsidR="00EB0052">
        <w:t>A</w:t>
      </w:r>
      <w:r>
        <w:t xml:space="preserve">nd C. Marston, 2010. Disclosure measurement in the empirical accounting literature – a review article. </w:t>
      </w:r>
      <w:r w:rsidR="00FD2DB7" w:rsidRPr="00B96A8B">
        <w:rPr>
          <w:i/>
        </w:rPr>
        <w:t>Working paper</w:t>
      </w:r>
      <w:r w:rsidR="00FD2DB7">
        <w:t xml:space="preserve">, </w:t>
      </w:r>
      <w:r w:rsidR="00FD2DB7" w:rsidRPr="00B96A8B">
        <w:rPr>
          <w:rFonts w:cs="Times New Roman"/>
        </w:rPr>
        <w:t xml:space="preserve">Available at SSRN: http://ssrn.com/abstract=1640598 </w:t>
      </w:r>
    </w:p>
    <w:p w:rsidR="006D56AB" w:rsidRDefault="006D56AB" w:rsidP="00692891">
      <w:pPr>
        <w:jc w:val="both"/>
        <w:rPr>
          <w:rStyle w:val="Hyperlink"/>
        </w:rPr>
      </w:pPr>
    </w:p>
    <w:p w:rsidR="00EB73F1" w:rsidRPr="007F7F5B" w:rsidRDefault="00EB73F1" w:rsidP="00692891">
      <w:pPr>
        <w:jc w:val="both"/>
        <w:rPr>
          <w:lang w:val="en-US"/>
        </w:rPr>
      </w:pPr>
      <w:r>
        <w:t xml:space="preserve">Healy, P.M. and K.G. </w:t>
      </w:r>
      <w:proofErr w:type="spellStart"/>
      <w:r>
        <w:t>Palepu</w:t>
      </w:r>
      <w:proofErr w:type="spellEnd"/>
      <w:r>
        <w:t xml:space="preserve">, 2001. Information asymmetry, corporate disclosure, and the capital markets: A review of the empirical disclosure literature. </w:t>
      </w:r>
      <w:r w:rsidRPr="007F7F5B">
        <w:rPr>
          <w:i/>
          <w:lang w:val="en-US"/>
        </w:rPr>
        <w:t xml:space="preserve">Journal of Accounting and Economics, </w:t>
      </w:r>
      <w:r w:rsidRPr="007F7F5B">
        <w:rPr>
          <w:lang w:val="en-US"/>
        </w:rPr>
        <w:t>31 p. 405-440</w:t>
      </w:r>
    </w:p>
    <w:p w:rsidR="00D212E5" w:rsidRPr="007F7F5B" w:rsidRDefault="00D212E5" w:rsidP="00692891">
      <w:pPr>
        <w:jc w:val="both"/>
        <w:rPr>
          <w:lang w:val="en-US"/>
        </w:rPr>
      </w:pPr>
    </w:p>
    <w:p w:rsidR="00EB73F1" w:rsidRDefault="00EB73F1" w:rsidP="00692891">
      <w:pPr>
        <w:jc w:val="both"/>
      </w:pPr>
      <w:r w:rsidRPr="00074A6F">
        <w:rPr>
          <w:lang w:val="en-US"/>
        </w:rPr>
        <w:t xml:space="preserve">Jensen, M.C. and W.H. </w:t>
      </w:r>
      <w:proofErr w:type="spellStart"/>
      <w:r w:rsidRPr="00074A6F">
        <w:rPr>
          <w:lang w:val="en-US"/>
        </w:rPr>
        <w:t>Meckling</w:t>
      </w:r>
      <w:proofErr w:type="spellEnd"/>
      <w:r w:rsidRPr="00074A6F">
        <w:rPr>
          <w:lang w:val="en-US"/>
        </w:rPr>
        <w:t xml:space="preserve">, 1976. </w:t>
      </w:r>
      <w:r>
        <w:t xml:space="preserve">Theory of the firm: Managerial </w:t>
      </w:r>
      <w:r w:rsidR="00392A77">
        <w:t>b</w:t>
      </w:r>
      <w:r w:rsidR="00EB0052">
        <w:t>ehaviour</w:t>
      </w:r>
      <w:r>
        <w:t xml:space="preserve">, agency costs and ownership structure. </w:t>
      </w:r>
      <w:r>
        <w:rPr>
          <w:i/>
        </w:rPr>
        <w:t xml:space="preserve">Journal of Financial Economics, </w:t>
      </w:r>
      <w:r>
        <w:t>3 p. 305-360</w:t>
      </w:r>
    </w:p>
    <w:p w:rsidR="00877608" w:rsidRPr="007F63E4" w:rsidRDefault="00877608" w:rsidP="00692891">
      <w:pPr>
        <w:jc w:val="both"/>
        <w:rPr>
          <w:lang w:val="en-US"/>
        </w:rPr>
      </w:pPr>
      <w:r>
        <w:t xml:space="preserve">Jones, M.J. and P.A. Shoemaker, 1994. Accounting narratives, a review of empirical studies of content and readability. </w:t>
      </w:r>
      <w:r w:rsidRPr="007F63E4">
        <w:rPr>
          <w:i/>
          <w:lang w:val="en-US"/>
        </w:rPr>
        <w:t xml:space="preserve">The Journal of Accounting Literature, </w:t>
      </w:r>
      <w:r w:rsidRPr="007F63E4">
        <w:rPr>
          <w:lang w:val="en-US"/>
        </w:rPr>
        <w:t>13 p. 142-184</w:t>
      </w:r>
    </w:p>
    <w:p w:rsidR="00877608" w:rsidRPr="007F63E4" w:rsidRDefault="00877608" w:rsidP="00692891">
      <w:pPr>
        <w:jc w:val="both"/>
        <w:rPr>
          <w:lang w:val="en-US"/>
        </w:rPr>
      </w:pPr>
    </w:p>
    <w:p w:rsidR="00392A77" w:rsidRDefault="00392A77" w:rsidP="00692891">
      <w:pPr>
        <w:jc w:val="both"/>
      </w:pPr>
      <w:proofErr w:type="spellStart"/>
      <w:r w:rsidRPr="00180D22">
        <w:rPr>
          <w:lang w:val="en-US"/>
        </w:rPr>
        <w:t>Krippendorf</w:t>
      </w:r>
      <w:proofErr w:type="spellEnd"/>
      <w:r w:rsidRPr="00180D22">
        <w:rPr>
          <w:lang w:val="en-US"/>
        </w:rPr>
        <w:t xml:space="preserve">, K. 1980. </w:t>
      </w:r>
      <w:r>
        <w:rPr>
          <w:i/>
        </w:rPr>
        <w:t xml:space="preserve">Content analysis, an introduction to its methodology. </w:t>
      </w:r>
      <w:r>
        <w:t>London: Sage</w:t>
      </w:r>
    </w:p>
    <w:p w:rsidR="00877608" w:rsidRDefault="00877608" w:rsidP="00692891">
      <w:pPr>
        <w:jc w:val="both"/>
      </w:pPr>
    </w:p>
    <w:p w:rsidR="001572BC" w:rsidRPr="001572BC" w:rsidRDefault="001572BC" w:rsidP="00692891">
      <w:pPr>
        <w:jc w:val="both"/>
        <w:rPr>
          <w:lang w:val="en-US"/>
        </w:rPr>
      </w:pPr>
      <w:r w:rsidRPr="001572BC">
        <w:rPr>
          <w:lang w:val="en-US"/>
        </w:rPr>
        <w:t>Lev, B. (1992). Information disclosure strategy</w:t>
      </w:r>
      <w:r>
        <w:rPr>
          <w:lang w:val="en-US"/>
        </w:rPr>
        <w:t>.</w:t>
      </w:r>
      <w:r w:rsidRPr="001572BC">
        <w:rPr>
          <w:lang w:val="en-US"/>
        </w:rPr>
        <w:t xml:space="preserve"> </w:t>
      </w:r>
      <w:r w:rsidRPr="001572BC">
        <w:rPr>
          <w:i/>
          <w:lang w:val="en-US"/>
        </w:rPr>
        <w:t>California Management Review</w:t>
      </w:r>
      <w:r w:rsidRPr="001572BC">
        <w:rPr>
          <w:lang w:val="en-US"/>
        </w:rPr>
        <w:t>, 34</w:t>
      </w:r>
      <w:r>
        <w:rPr>
          <w:lang w:val="en-US"/>
        </w:rPr>
        <w:t xml:space="preserve"> p. </w:t>
      </w:r>
      <w:r w:rsidR="00A82FF4">
        <w:rPr>
          <w:lang w:val="en-US"/>
        </w:rPr>
        <w:t>9-32</w:t>
      </w:r>
    </w:p>
    <w:p w:rsidR="001572BC" w:rsidRDefault="001572BC" w:rsidP="00692891">
      <w:pPr>
        <w:jc w:val="both"/>
      </w:pPr>
    </w:p>
    <w:p w:rsidR="00EB73F1" w:rsidRDefault="00EB73F1" w:rsidP="00692891">
      <w:pPr>
        <w:jc w:val="both"/>
        <w:rPr>
          <w:lang w:val="en-US"/>
        </w:rPr>
      </w:pPr>
      <w:proofErr w:type="spellStart"/>
      <w:r w:rsidRPr="00261628">
        <w:t>Linsley</w:t>
      </w:r>
      <w:proofErr w:type="spellEnd"/>
      <w:r w:rsidRPr="00261628">
        <w:t xml:space="preserve"> P.M., </w:t>
      </w:r>
      <w:r w:rsidR="000227F4">
        <w:t xml:space="preserve">and P.J. </w:t>
      </w:r>
      <w:r w:rsidRPr="00261628">
        <w:t xml:space="preserve">Shrives, </w:t>
      </w:r>
      <w:r w:rsidR="003D281E">
        <w:t>2006</w:t>
      </w:r>
      <w:r w:rsidRPr="00261628">
        <w:t xml:space="preserve">. Risk reporting: a study of risk disclosures in the annual reports of UK companies. </w:t>
      </w:r>
      <w:r w:rsidRPr="002A3A4F">
        <w:rPr>
          <w:i/>
          <w:lang w:val="en-US"/>
        </w:rPr>
        <w:t>British Accounting Review</w:t>
      </w:r>
      <w:r w:rsidRPr="002A3A4F">
        <w:rPr>
          <w:lang w:val="en-US"/>
        </w:rPr>
        <w:t xml:space="preserve">, 38(4), </w:t>
      </w:r>
      <w:r w:rsidR="008A72D8" w:rsidRPr="002A3A4F">
        <w:rPr>
          <w:lang w:val="en-US"/>
        </w:rPr>
        <w:t>387-404</w:t>
      </w:r>
    </w:p>
    <w:p w:rsidR="00392A77" w:rsidRDefault="00392A77" w:rsidP="00692891">
      <w:pPr>
        <w:jc w:val="both"/>
        <w:rPr>
          <w:lang w:val="en-US"/>
        </w:rPr>
      </w:pPr>
    </w:p>
    <w:p w:rsidR="00392A77" w:rsidRDefault="00392A77" w:rsidP="00692891">
      <w:pPr>
        <w:jc w:val="both"/>
        <w:rPr>
          <w:lang w:val="en-US"/>
        </w:rPr>
      </w:pPr>
      <w:proofErr w:type="spellStart"/>
      <w:r w:rsidRPr="00D601D0">
        <w:t>Maatman</w:t>
      </w:r>
      <w:proofErr w:type="spellEnd"/>
      <w:r w:rsidRPr="00D601D0">
        <w:t xml:space="preserve">, R.H. 2004. </w:t>
      </w:r>
      <w:r w:rsidRPr="00D601D0">
        <w:rPr>
          <w:i/>
        </w:rPr>
        <w:t xml:space="preserve">Dutch pension funds. </w:t>
      </w:r>
      <w:r w:rsidRPr="00280ED9">
        <w:rPr>
          <w:lang w:val="en-US"/>
        </w:rPr>
        <w:t xml:space="preserve">Deventer: </w:t>
      </w:r>
      <w:proofErr w:type="spellStart"/>
      <w:r w:rsidRPr="00280ED9">
        <w:rPr>
          <w:lang w:val="en-US"/>
        </w:rPr>
        <w:t>Kluwer</w:t>
      </w:r>
      <w:proofErr w:type="spellEnd"/>
      <w:r w:rsidRPr="00280ED9">
        <w:rPr>
          <w:lang w:val="en-US"/>
        </w:rPr>
        <w:t xml:space="preserve"> B.V.</w:t>
      </w:r>
    </w:p>
    <w:p w:rsidR="003D5081" w:rsidRDefault="003D5081" w:rsidP="00692891">
      <w:pPr>
        <w:jc w:val="both"/>
        <w:rPr>
          <w:lang w:val="en-US"/>
        </w:rPr>
      </w:pPr>
    </w:p>
    <w:p w:rsidR="003D5081" w:rsidRPr="00280ED9" w:rsidRDefault="003D5081" w:rsidP="003D5081">
      <w:pPr>
        <w:rPr>
          <w:lang w:val="en-US"/>
        </w:rPr>
      </w:pPr>
      <w:r>
        <w:rPr>
          <w:lang w:val="en-US"/>
        </w:rPr>
        <w:t xml:space="preserve">Meijer, M.G.M., 2011. Risk disclosures in annual reports of Dutch listed companies during the years 2005-2008. </w:t>
      </w:r>
      <w:r>
        <w:rPr>
          <w:i/>
          <w:lang w:val="en-US"/>
        </w:rPr>
        <w:t xml:space="preserve">Master research. </w:t>
      </w:r>
      <w:r>
        <w:rPr>
          <w:lang w:val="en-US"/>
        </w:rPr>
        <w:t xml:space="preserve">University of </w:t>
      </w:r>
      <w:proofErr w:type="spellStart"/>
      <w:r>
        <w:rPr>
          <w:lang w:val="en-US"/>
        </w:rPr>
        <w:t>Twente</w:t>
      </w:r>
      <w:proofErr w:type="spellEnd"/>
      <w:r>
        <w:rPr>
          <w:lang w:val="en-US"/>
        </w:rPr>
        <w:t xml:space="preserve"> </w:t>
      </w:r>
    </w:p>
    <w:p w:rsidR="007A3097" w:rsidRDefault="007A3097" w:rsidP="00692891">
      <w:pPr>
        <w:jc w:val="both"/>
        <w:rPr>
          <w:lang w:val="en-US"/>
        </w:rPr>
      </w:pPr>
    </w:p>
    <w:p w:rsidR="008A72D8" w:rsidRDefault="008A72D8" w:rsidP="00692891">
      <w:pPr>
        <w:jc w:val="both"/>
        <w:rPr>
          <w:lang w:val="en-US"/>
        </w:rPr>
      </w:pPr>
      <w:proofErr w:type="spellStart"/>
      <w:r w:rsidRPr="008A72D8">
        <w:rPr>
          <w:lang w:val="en-US"/>
        </w:rPr>
        <w:t>Mishkin</w:t>
      </w:r>
      <w:proofErr w:type="spellEnd"/>
      <w:r w:rsidRPr="008A72D8">
        <w:rPr>
          <w:lang w:val="en-US"/>
        </w:rPr>
        <w:t>, F.S., 1991. Anatomy o</w:t>
      </w:r>
      <w:r>
        <w:rPr>
          <w:lang w:val="en-US"/>
        </w:rPr>
        <w:t xml:space="preserve">f a financial crisis. </w:t>
      </w:r>
      <w:r>
        <w:rPr>
          <w:i/>
          <w:lang w:val="en-US"/>
        </w:rPr>
        <w:t xml:space="preserve">Publication of National Bureau of Economic Research, </w:t>
      </w:r>
      <w:r>
        <w:rPr>
          <w:lang w:val="en-US"/>
        </w:rPr>
        <w:t>working paper no 3934</w:t>
      </w:r>
    </w:p>
    <w:p w:rsidR="00EF3536" w:rsidRDefault="00EF3536" w:rsidP="00692891">
      <w:pPr>
        <w:jc w:val="both"/>
        <w:rPr>
          <w:lang w:val="en-US"/>
        </w:rPr>
      </w:pPr>
    </w:p>
    <w:p w:rsidR="00EF3536" w:rsidRPr="007F63E4" w:rsidRDefault="00EF3536" w:rsidP="00692891">
      <w:pPr>
        <w:jc w:val="both"/>
        <w:rPr>
          <w:lang w:val="nl-NL"/>
        </w:rPr>
      </w:pPr>
      <w:proofErr w:type="spellStart"/>
      <w:r>
        <w:t>Mishkin</w:t>
      </w:r>
      <w:proofErr w:type="spellEnd"/>
      <w:r>
        <w:t xml:space="preserve">, F.S. 2009. Is monetary policy effective during financial crises? </w:t>
      </w:r>
      <w:r w:rsidRPr="007F63E4">
        <w:rPr>
          <w:i/>
          <w:lang w:val="nl-NL"/>
        </w:rPr>
        <w:t xml:space="preserve">National Bureau of </w:t>
      </w:r>
      <w:proofErr w:type="spellStart"/>
      <w:r w:rsidRPr="007F63E4">
        <w:rPr>
          <w:i/>
          <w:lang w:val="nl-NL"/>
        </w:rPr>
        <w:t>Economic</w:t>
      </w:r>
      <w:proofErr w:type="spellEnd"/>
      <w:r w:rsidRPr="007F63E4">
        <w:rPr>
          <w:i/>
          <w:lang w:val="nl-NL"/>
        </w:rPr>
        <w:t xml:space="preserve"> Research</w:t>
      </w:r>
      <w:r w:rsidRPr="007F63E4">
        <w:rPr>
          <w:lang w:val="nl-NL"/>
        </w:rPr>
        <w:t xml:space="preserve">, </w:t>
      </w:r>
      <w:proofErr w:type="spellStart"/>
      <w:r w:rsidRPr="007F63E4">
        <w:rPr>
          <w:lang w:val="nl-NL"/>
        </w:rPr>
        <w:t>working</w:t>
      </w:r>
      <w:proofErr w:type="spellEnd"/>
      <w:r w:rsidRPr="007F63E4">
        <w:rPr>
          <w:lang w:val="nl-NL"/>
        </w:rPr>
        <w:t xml:space="preserve"> paper, W14678</w:t>
      </w:r>
    </w:p>
    <w:p w:rsidR="007C4703" w:rsidRPr="007F63E4" w:rsidRDefault="007C4703" w:rsidP="00692891">
      <w:pPr>
        <w:jc w:val="both"/>
        <w:rPr>
          <w:lang w:val="nl-NL"/>
        </w:rPr>
      </w:pPr>
    </w:p>
    <w:p w:rsidR="007C4703" w:rsidRPr="00B84865" w:rsidRDefault="007C4703" w:rsidP="007C4703">
      <w:pPr>
        <w:jc w:val="both"/>
        <w:rPr>
          <w:i/>
          <w:lang w:val="en-US"/>
        </w:rPr>
      </w:pPr>
      <w:r>
        <w:rPr>
          <w:lang w:val="nl-NL"/>
        </w:rPr>
        <w:t xml:space="preserve">NIVRA, 2010. Onderzoek naar de risicoparagraaf in jaarverslagen 2009 van Nederlandse beursfondsen. </w:t>
      </w:r>
      <w:r w:rsidRPr="00B84865">
        <w:rPr>
          <w:i/>
          <w:lang w:val="en-US"/>
        </w:rPr>
        <w:t>Publication of NIVRA</w:t>
      </w:r>
      <w:r w:rsidRPr="00B84865">
        <w:rPr>
          <w:lang w:val="en-US"/>
        </w:rPr>
        <w:t xml:space="preserve"> </w:t>
      </w:r>
    </w:p>
    <w:p w:rsidR="00080D03" w:rsidRPr="008A72D8" w:rsidRDefault="00080D03" w:rsidP="00692891">
      <w:pPr>
        <w:jc w:val="both"/>
        <w:rPr>
          <w:lang w:val="en-US"/>
        </w:rPr>
      </w:pPr>
    </w:p>
    <w:p w:rsidR="00965B37" w:rsidRPr="007336BF" w:rsidRDefault="00965B37" w:rsidP="00692891">
      <w:pPr>
        <w:jc w:val="both"/>
        <w:rPr>
          <w:lang w:val="en-US"/>
        </w:rPr>
      </w:pPr>
      <w:r w:rsidRPr="00965B37">
        <w:rPr>
          <w:lang w:val="en-US"/>
        </w:rPr>
        <w:t xml:space="preserve">PricewaterhouseCoopers, 2010. </w:t>
      </w:r>
      <w:r w:rsidRPr="00965B37">
        <w:rPr>
          <w:i/>
          <w:lang w:val="en-US"/>
        </w:rPr>
        <w:t>A practical guide t</w:t>
      </w:r>
      <w:r>
        <w:rPr>
          <w:i/>
          <w:lang w:val="en-US"/>
        </w:rPr>
        <w:t>o IFRS 7</w:t>
      </w:r>
      <w:r w:rsidR="00CF29E7">
        <w:rPr>
          <w:i/>
          <w:lang w:val="en-US"/>
        </w:rPr>
        <w:t>, for investment managers and investment, private equity and real estate funds</w:t>
      </w:r>
      <w:r>
        <w:rPr>
          <w:i/>
          <w:lang w:val="en-US"/>
        </w:rPr>
        <w:t xml:space="preserve">. </w:t>
      </w:r>
      <w:r w:rsidR="00CF29E7" w:rsidRPr="007336BF">
        <w:rPr>
          <w:lang w:val="en-US"/>
        </w:rPr>
        <w:t>Publication of PricewaterhouseCoopers</w:t>
      </w:r>
    </w:p>
    <w:p w:rsidR="00930D4E" w:rsidRPr="007336BF" w:rsidRDefault="00930D4E" w:rsidP="00692891">
      <w:pPr>
        <w:jc w:val="both"/>
        <w:rPr>
          <w:lang w:val="en-US"/>
        </w:rPr>
      </w:pPr>
    </w:p>
    <w:p w:rsidR="00930D4E" w:rsidRPr="00636641" w:rsidRDefault="00930D4E" w:rsidP="00692891">
      <w:pPr>
        <w:jc w:val="both"/>
      </w:pPr>
      <w:r w:rsidRPr="00636641">
        <w:t xml:space="preserve">Scott, W.R. 2006. </w:t>
      </w:r>
      <w:r w:rsidRPr="00636641">
        <w:rPr>
          <w:i/>
        </w:rPr>
        <w:t xml:space="preserve">Financial Accounting Theory. </w:t>
      </w:r>
      <w:r w:rsidRPr="00636641">
        <w:t>Toronto: Pearson Prentice Hall</w:t>
      </w:r>
    </w:p>
    <w:p w:rsidR="00965B37" w:rsidRPr="007336BF" w:rsidRDefault="00965B37" w:rsidP="00692891">
      <w:pPr>
        <w:jc w:val="both"/>
        <w:rPr>
          <w:lang w:val="en-US"/>
        </w:rPr>
      </w:pPr>
    </w:p>
    <w:p w:rsidR="00D91C78" w:rsidRDefault="000643D5" w:rsidP="00692891">
      <w:pPr>
        <w:jc w:val="both"/>
      </w:pPr>
      <w:proofErr w:type="spellStart"/>
      <w:r>
        <w:t>Sydserff</w:t>
      </w:r>
      <w:proofErr w:type="spellEnd"/>
      <w:r>
        <w:t xml:space="preserve">, R. and P. </w:t>
      </w:r>
      <w:proofErr w:type="spellStart"/>
      <w:r>
        <w:t>Weetman</w:t>
      </w:r>
      <w:proofErr w:type="spellEnd"/>
      <w:r>
        <w:t xml:space="preserve">, 1999. A texture index for evaluating accounting narratives, an alternative to readability formulas. </w:t>
      </w:r>
      <w:r>
        <w:rPr>
          <w:i/>
        </w:rPr>
        <w:t xml:space="preserve">Accounting, Auditing &amp; Accountability Journal, </w:t>
      </w:r>
      <w:r>
        <w:t>12 (4), p. 459-488</w:t>
      </w:r>
    </w:p>
    <w:p w:rsidR="00996C4E" w:rsidRDefault="00996C4E" w:rsidP="00692891">
      <w:pPr>
        <w:jc w:val="both"/>
      </w:pPr>
    </w:p>
    <w:p w:rsidR="00996C4E" w:rsidRPr="00996C4E" w:rsidRDefault="00996C4E" w:rsidP="00692891">
      <w:pPr>
        <w:jc w:val="both"/>
        <w:rPr>
          <w:lang w:val="nl-NL"/>
        </w:rPr>
      </w:pPr>
      <w:proofErr w:type="spellStart"/>
      <w:r w:rsidRPr="000E5BB4">
        <w:rPr>
          <w:lang w:val="en-US"/>
        </w:rPr>
        <w:t>Vocht</w:t>
      </w:r>
      <w:proofErr w:type="spellEnd"/>
      <w:r w:rsidRPr="000E5BB4">
        <w:rPr>
          <w:lang w:val="en-US"/>
        </w:rPr>
        <w:t xml:space="preserve">, A. De. 2011. </w:t>
      </w:r>
      <w:proofErr w:type="spellStart"/>
      <w:r w:rsidRPr="000E5BB4">
        <w:rPr>
          <w:i/>
          <w:lang w:val="en-US"/>
        </w:rPr>
        <w:t>Basishandboek</w:t>
      </w:r>
      <w:proofErr w:type="spellEnd"/>
      <w:r w:rsidRPr="000E5BB4">
        <w:rPr>
          <w:i/>
          <w:lang w:val="en-US"/>
        </w:rPr>
        <w:t xml:space="preserve"> SPSS 19, IBM SPSS Statistics 19. </w:t>
      </w:r>
      <w:r>
        <w:rPr>
          <w:lang w:val="nl-NL"/>
        </w:rPr>
        <w:t xml:space="preserve">Utrecht: </w:t>
      </w:r>
      <w:proofErr w:type="spellStart"/>
      <w:r>
        <w:rPr>
          <w:lang w:val="nl-NL"/>
        </w:rPr>
        <w:t>Bijleveld</w:t>
      </w:r>
      <w:proofErr w:type="spellEnd"/>
      <w:r>
        <w:rPr>
          <w:lang w:val="nl-NL"/>
        </w:rPr>
        <w:t xml:space="preserve"> </w:t>
      </w:r>
      <w:proofErr w:type="spellStart"/>
      <w:r>
        <w:rPr>
          <w:lang w:val="nl-NL"/>
        </w:rPr>
        <w:t>Press</w:t>
      </w:r>
      <w:proofErr w:type="spellEnd"/>
    </w:p>
    <w:p w:rsidR="00DC07C1" w:rsidRPr="00996C4E" w:rsidRDefault="00DC07C1" w:rsidP="00692891">
      <w:pPr>
        <w:jc w:val="both"/>
        <w:rPr>
          <w:lang w:val="nl-NL"/>
        </w:rPr>
      </w:pPr>
    </w:p>
    <w:p w:rsidR="000643D5" w:rsidRPr="00DC07C1" w:rsidRDefault="00DC07C1" w:rsidP="00692891">
      <w:pPr>
        <w:jc w:val="both"/>
        <w:rPr>
          <w:i/>
          <w:lang w:val="nl-NL"/>
        </w:rPr>
      </w:pPr>
      <w:r w:rsidRPr="00DC07C1">
        <w:rPr>
          <w:lang w:val="nl-NL"/>
        </w:rPr>
        <w:t>Westen, M.</w:t>
      </w:r>
      <w:r>
        <w:rPr>
          <w:lang w:val="nl-NL"/>
        </w:rPr>
        <w:t xml:space="preserve"> van der, 2013. Sector in cijfers. </w:t>
      </w:r>
      <w:proofErr w:type="spellStart"/>
      <w:r>
        <w:rPr>
          <w:i/>
          <w:lang w:val="nl-NL"/>
        </w:rPr>
        <w:t>IPNederland</w:t>
      </w:r>
      <w:proofErr w:type="spellEnd"/>
      <w:r>
        <w:rPr>
          <w:i/>
          <w:lang w:val="nl-NL"/>
        </w:rPr>
        <w:t xml:space="preserve">, </w:t>
      </w:r>
      <w:proofErr w:type="spellStart"/>
      <w:r w:rsidR="00D55669">
        <w:rPr>
          <w:lang w:val="nl-NL"/>
        </w:rPr>
        <w:t>J</w:t>
      </w:r>
      <w:r>
        <w:rPr>
          <w:lang w:val="nl-NL"/>
        </w:rPr>
        <w:t>a</w:t>
      </w:r>
      <w:r w:rsidR="00D55669">
        <w:rPr>
          <w:lang w:val="nl-NL"/>
        </w:rPr>
        <w:t>nuary</w:t>
      </w:r>
      <w:proofErr w:type="spellEnd"/>
      <w:r>
        <w:rPr>
          <w:lang w:val="nl-NL"/>
        </w:rPr>
        <w:t xml:space="preserve"> 2013, p. 14-17</w:t>
      </w:r>
      <w:r w:rsidR="000643D5" w:rsidRPr="00DC07C1">
        <w:rPr>
          <w:i/>
          <w:lang w:val="nl-NL"/>
        </w:rPr>
        <w:t xml:space="preserve"> </w:t>
      </w:r>
    </w:p>
    <w:p w:rsidR="00EB73F1" w:rsidRPr="00DC07C1" w:rsidRDefault="00EB73F1" w:rsidP="00692891">
      <w:pPr>
        <w:jc w:val="both"/>
        <w:rPr>
          <w:lang w:val="nl-NL"/>
        </w:rPr>
      </w:pPr>
    </w:p>
    <w:p w:rsidR="00B8650B" w:rsidRDefault="00B8650B">
      <w:pPr>
        <w:rPr>
          <w:b/>
          <w:lang w:val="nl-NL"/>
        </w:rPr>
      </w:pPr>
      <w:r>
        <w:rPr>
          <w:b/>
          <w:lang w:val="nl-NL"/>
        </w:rPr>
        <w:br w:type="page"/>
      </w:r>
    </w:p>
    <w:p w:rsidR="00EB73F1" w:rsidRPr="00D55669" w:rsidRDefault="00EB73F1" w:rsidP="007C4703">
      <w:pPr>
        <w:rPr>
          <w:b/>
          <w:lang w:val="nl-NL"/>
        </w:rPr>
      </w:pPr>
      <w:r w:rsidRPr="00D55669">
        <w:rPr>
          <w:b/>
          <w:lang w:val="nl-NL"/>
        </w:rPr>
        <w:t>Websites:</w:t>
      </w:r>
    </w:p>
    <w:p w:rsidR="007C4703" w:rsidRPr="00D55669" w:rsidRDefault="007C4703" w:rsidP="007C4703">
      <w:pPr>
        <w:rPr>
          <w:b/>
          <w:lang w:val="nl-NL"/>
        </w:rPr>
      </w:pPr>
    </w:p>
    <w:p w:rsidR="009E5E7A" w:rsidRPr="009E5E7A" w:rsidRDefault="009E5E7A" w:rsidP="00692891">
      <w:pPr>
        <w:jc w:val="both"/>
        <w:rPr>
          <w:lang w:val="nl-NL"/>
        </w:rPr>
      </w:pPr>
      <w:r>
        <w:rPr>
          <w:lang w:val="nl-NL"/>
        </w:rPr>
        <w:t>Autoriteit Financiële Markten, Themaonderzoek 2012, Waardering van en transparantie over staatsobligaties en andere posities met landenrisico, 2012.</w:t>
      </w:r>
      <w:r w:rsidR="003923BC">
        <w:rPr>
          <w:lang w:val="nl-NL"/>
        </w:rPr>
        <w:t xml:space="preserve"> </w:t>
      </w:r>
    </w:p>
    <w:p w:rsidR="003923BC" w:rsidRPr="00615959" w:rsidRDefault="003E0D8B" w:rsidP="00692891">
      <w:pPr>
        <w:jc w:val="both"/>
        <w:rPr>
          <w:lang w:val="nl-NL"/>
        </w:rPr>
      </w:pPr>
      <w:hyperlink r:id="rId15" w:history="1">
        <w:r w:rsidR="003923BC" w:rsidRPr="002A07A4">
          <w:rPr>
            <w:rStyle w:val="Hyperlink"/>
            <w:lang w:val="nl-NL"/>
          </w:rPr>
          <w:t>http://www.afm.nl/~/media/files/rapport/2012/themaonderzoek-staatsobligatie-2012.ashx</w:t>
        </w:r>
      </w:hyperlink>
      <w:r w:rsidR="003923BC" w:rsidRPr="00615959">
        <w:rPr>
          <w:lang w:val="nl-NL"/>
        </w:rPr>
        <w:t xml:space="preserve"> </w:t>
      </w:r>
    </w:p>
    <w:p w:rsidR="009E5E7A" w:rsidRPr="00D70F35" w:rsidRDefault="003923BC" w:rsidP="00692891">
      <w:pPr>
        <w:jc w:val="both"/>
        <w:rPr>
          <w:b/>
          <w:lang w:val="en-US"/>
        </w:rPr>
      </w:pPr>
      <w:r w:rsidRPr="00D70F35">
        <w:rPr>
          <w:lang w:val="en-US"/>
        </w:rPr>
        <w:t>(6-2-2013)</w:t>
      </w:r>
    </w:p>
    <w:p w:rsidR="009E5E7A" w:rsidRPr="00D70F35" w:rsidRDefault="009E5E7A" w:rsidP="00692891">
      <w:pPr>
        <w:jc w:val="both"/>
        <w:rPr>
          <w:b/>
          <w:lang w:val="en-US"/>
        </w:rPr>
      </w:pPr>
    </w:p>
    <w:p w:rsidR="009A2ABD" w:rsidRPr="009440AE" w:rsidRDefault="00270975" w:rsidP="00692891">
      <w:pPr>
        <w:jc w:val="both"/>
        <w:rPr>
          <w:lang w:val="en-US"/>
        </w:rPr>
      </w:pPr>
      <w:r w:rsidRPr="009440AE">
        <w:rPr>
          <w:lang w:val="en-US"/>
        </w:rPr>
        <w:t>Deloitte, IFRS 7 amendments, 2012</w:t>
      </w:r>
      <w:r w:rsidR="003923BC">
        <w:rPr>
          <w:lang w:val="en-US"/>
        </w:rPr>
        <w:t xml:space="preserve"> </w:t>
      </w:r>
    </w:p>
    <w:p w:rsidR="009A2ABD" w:rsidRPr="003923BC" w:rsidRDefault="003E0D8B" w:rsidP="00692891">
      <w:pPr>
        <w:jc w:val="both"/>
        <w:rPr>
          <w:rStyle w:val="Hyperlink"/>
          <w:lang w:val="en-US"/>
        </w:rPr>
      </w:pPr>
      <w:hyperlink r:id="rId16" w:history="1">
        <w:r w:rsidR="003923BC" w:rsidRPr="002A07A4">
          <w:rPr>
            <w:rStyle w:val="Hyperlink"/>
            <w:lang w:val="en-US"/>
          </w:rPr>
          <w:t>http://www.iasplus.com/en/standards/standard47</w:t>
        </w:r>
      </w:hyperlink>
      <w:r w:rsidR="003923BC" w:rsidRPr="003923BC">
        <w:t xml:space="preserve"> </w:t>
      </w:r>
      <w:r w:rsidR="003923BC" w:rsidRPr="003923BC">
        <w:rPr>
          <w:lang w:val="en-US"/>
        </w:rPr>
        <w:t>(</w:t>
      </w:r>
      <w:r w:rsidR="003923BC">
        <w:rPr>
          <w:lang w:val="en-US"/>
        </w:rPr>
        <w:t>17-11</w:t>
      </w:r>
      <w:r w:rsidR="003923BC" w:rsidRPr="003923BC">
        <w:rPr>
          <w:lang w:val="en-US"/>
        </w:rPr>
        <w:t>-2013)</w:t>
      </w:r>
    </w:p>
    <w:p w:rsidR="009A2ABD" w:rsidRPr="009440AE" w:rsidRDefault="009A2ABD" w:rsidP="00692891">
      <w:pPr>
        <w:jc w:val="both"/>
        <w:rPr>
          <w:lang w:val="en-US"/>
        </w:rPr>
      </w:pPr>
    </w:p>
    <w:p w:rsidR="00EB73F1" w:rsidRPr="00BF0C95" w:rsidRDefault="00EB73F1" w:rsidP="00692891">
      <w:pPr>
        <w:jc w:val="both"/>
        <w:rPr>
          <w:lang w:val="nl-NL"/>
        </w:rPr>
      </w:pPr>
      <w:r w:rsidRPr="00BF0C95">
        <w:rPr>
          <w:lang w:val="nl-NL"/>
        </w:rPr>
        <w:t xml:space="preserve">DNB, Register onder toezicht staande pensioenfondsen, </w:t>
      </w:r>
    </w:p>
    <w:p w:rsidR="00EB73F1" w:rsidRPr="003923BC" w:rsidRDefault="003E0D8B" w:rsidP="00692891">
      <w:pPr>
        <w:jc w:val="both"/>
        <w:rPr>
          <w:lang w:val="nl-NL"/>
        </w:rPr>
      </w:pPr>
      <w:hyperlink r:id="rId17" w:history="1">
        <w:r w:rsidR="00EB73F1" w:rsidRPr="003923BC">
          <w:rPr>
            <w:rStyle w:val="Hyperlink"/>
            <w:lang w:val="nl-NL"/>
          </w:rPr>
          <w:t>http://www.statistics.dnb.nl/index.cgi?lang=nl&amp;todo=PenReg</w:t>
        </w:r>
      </w:hyperlink>
      <w:r w:rsidR="003923BC" w:rsidRPr="003923BC">
        <w:rPr>
          <w:lang w:val="nl-NL"/>
        </w:rPr>
        <w:t xml:space="preserve"> (29-4-2012)</w:t>
      </w:r>
    </w:p>
    <w:p w:rsidR="000C6E80" w:rsidRPr="003923BC" w:rsidRDefault="000C6E80" w:rsidP="00692891">
      <w:pPr>
        <w:jc w:val="both"/>
        <w:rPr>
          <w:lang w:val="nl-NL"/>
        </w:rPr>
      </w:pPr>
    </w:p>
    <w:p w:rsidR="00EB73F1" w:rsidRDefault="009A2ABD" w:rsidP="00692891">
      <w:pPr>
        <w:jc w:val="both"/>
        <w:rPr>
          <w:lang w:val="nl-NL"/>
        </w:rPr>
      </w:pPr>
      <w:r>
        <w:rPr>
          <w:lang w:val="nl-NL"/>
        </w:rPr>
        <w:t>DNB, Toezichtgegevens pensi</w:t>
      </w:r>
      <w:r w:rsidR="00EB73F1">
        <w:rPr>
          <w:lang w:val="nl-NL"/>
        </w:rPr>
        <w:t>o</w:t>
      </w:r>
      <w:r>
        <w:rPr>
          <w:lang w:val="nl-NL"/>
        </w:rPr>
        <w:t>e</w:t>
      </w:r>
      <w:r w:rsidR="00EB73F1">
        <w:rPr>
          <w:lang w:val="nl-NL"/>
        </w:rPr>
        <w:t>nfondsen, Belegd pensioenvermogen voor risi</w:t>
      </w:r>
      <w:r w:rsidR="003923BC">
        <w:rPr>
          <w:lang w:val="nl-NL"/>
        </w:rPr>
        <w:t xml:space="preserve">co pensioenfondsen </w:t>
      </w:r>
    </w:p>
    <w:p w:rsidR="00EB73F1" w:rsidRPr="004600EA" w:rsidRDefault="003E0D8B" w:rsidP="00692891">
      <w:pPr>
        <w:jc w:val="both"/>
        <w:rPr>
          <w:lang w:val="nl-NL"/>
        </w:rPr>
      </w:pPr>
      <w:hyperlink r:id="rId18" w:history="1">
        <w:r w:rsidR="00EB73F1" w:rsidRPr="00CE705F">
          <w:rPr>
            <w:rStyle w:val="Hyperlink"/>
            <w:lang w:val="nl-NL"/>
          </w:rPr>
          <w:t>http://www.statistics.dnb.nl/index.cgi?lang=nl&amp;todo=Pen2</w:t>
        </w:r>
      </w:hyperlink>
      <w:r w:rsidR="001E7834">
        <w:rPr>
          <w:lang w:val="nl-NL"/>
        </w:rPr>
        <w:t xml:space="preserve"> (10-2</w:t>
      </w:r>
      <w:r w:rsidR="003923BC" w:rsidRPr="00D70F35">
        <w:rPr>
          <w:lang w:val="nl-NL"/>
        </w:rPr>
        <w:t>-201</w:t>
      </w:r>
      <w:r w:rsidR="001E7834">
        <w:rPr>
          <w:lang w:val="nl-NL"/>
        </w:rPr>
        <w:t>3</w:t>
      </w:r>
      <w:r w:rsidR="003923BC" w:rsidRPr="00D70F35">
        <w:rPr>
          <w:lang w:val="nl-NL"/>
        </w:rPr>
        <w:t>)</w:t>
      </w:r>
    </w:p>
    <w:p w:rsidR="000748D8" w:rsidRPr="004600EA" w:rsidRDefault="000748D8" w:rsidP="00692891">
      <w:pPr>
        <w:jc w:val="both"/>
        <w:rPr>
          <w:lang w:val="nl-NL"/>
        </w:rPr>
      </w:pPr>
    </w:p>
    <w:p w:rsidR="000748D8" w:rsidRDefault="000748D8" w:rsidP="00692891">
      <w:pPr>
        <w:jc w:val="both"/>
      </w:pPr>
      <w:r>
        <w:t>Dutch Civil Code</w:t>
      </w:r>
    </w:p>
    <w:p w:rsidR="000748D8" w:rsidRPr="000748D8" w:rsidRDefault="003E0D8B" w:rsidP="00692891">
      <w:pPr>
        <w:jc w:val="both"/>
      </w:pPr>
      <w:hyperlink r:id="rId19" w:history="1">
        <w:r w:rsidR="009A547C" w:rsidRPr="002A07A4">
          <w:rPr>
            <w:rStyle w:val="Hyperlink"/>
            <w:rFonts w:cs="Angsana New"/>
          </w:rPr>
          <w:t>http://www.dutchcivillaw.com/legislation/dcctitle2299aa.htm</w:t>
        </w:r>
      </w:hyperlink>
      <w:r w:rsidR="009A547C">
        <w:t xml:space="preserve"> (5-9-2012)</w:t>
      </w:r>
    </w:p>
    <w:p w:rsidR="000C022C" w:rsidRPr="000748D8" w:rsidRDefault="000C022C" w:rsidP="00692891">
      <w:pPr>
        <w:jc w:val="both"/>
      </w:pPr>
    </w:p>
    <w:p w:rsidR="00593D27" w:rsidRDefault="00593D27" w:rsidP="00692891">
      <w:pPr>
        <w:jc w:val="both"/>
      </w:pPr>
      <w:proofErr w:type="spellStart"/>
      <w:r>
        <w:t>Pensioenwet</w:t>
      </w:r>
      <w:proofErr w:type="spellEnd"/>
    </w:p>
    <w:p w:rsidR="00593D27" w:rsidRDefault="003E0D8B" w:rsidP="00692891">
      <w:pPr>
        <w:jc w:val="both"/>
      </w:pPr>
      <w:hyperlink r:id="rId20" w:history="1">
        <w:r w:rsidR="00A47305" w:rsidRPr="002A07A4">
          <w:rPr>
            <w:rStyle w:val="Hyperlink"/>
            <w:rFonts w:cs="Angsana New"/>
          </w:rPr>
          <w:t>http://wetten.overheid.nl/BWBR0020809/</w:t>
        </w:r>
      </w:hyperlink>
      <w:r w:rsidR="00A47305" w:rsidRPr="00A47305">
        <w:t xml:space="preserve"> (4-7-2012)</w:t>
      </w:r>
    </w:p>
    <w:p w:rsidR="00783A71" w:rsidRDefault="00783A71" w:rsidP="00692891">
      <w:pPr>
        <w:jc w:val="both"/>
      </w:pPr>
    </w:p>
    <w:p w:rsidR="00783A71" w:rsidRPr="00783A71" w:rsidRDefault="00783A71" w:rsidP="00692891">
      <w:pPr>
        <w:jc w:val="both"/>
        <w:rPr>
          <w:lang w:val="nl-NL"/>
        </w:rPr>
      </w:pPr>
      <w:proofErr w:type="spellStart"/>
      <w:r w:rsidRPr="00783A71">
        <w:rPr>
          <w:lang w:val="nl-NL"/>
        </w:rPr>
        <w:t>Statistics</w:t>
      </w:r>
      <w:proofErr w:type="spellEnd"/>
      <w:r w:rsidRPr="00783A71">
        <w:rPr>
          <w:lang w:val="nl-NL"/>
        </w:rPr>
        <w:t xml:space="preserve"> </w:t>
      </w:r>
      <w:proofErr w:type="spellStart"/>
      <w:r w:rsidRPr="00783A71">
        <w:rPr>
          <w:lang w:val="nl-NL"/>
        </w:rPr>
        <w:t>Netherlands</w:t>
      </w:r>
      <w:proofErr w:type="spellEnd"/>
      <w:r w:rsidRPr="00783A71">
        <w:rPr>
          <w:lang w:val="nl-NL"/>
        </w:rPr>
        <w:t>, Pensioenfondsen; deelnemers en premies</w:t>
      </w:r>
    </w:p>
    <w:p w:rsidR="00783A71" w:rsidRDefault="003E0D8B" w:rsidP="00783A71">
      <w:pPr>
        <w:rPr>
          <w:lang w:val="nl-NL"/>
        </w:rPr>
      </w:pPr>
      <w:hyperlink r:id="rId21" w:history="1">
        <w:r w:rsidR="00783A71" w:rsidRPr="00783A71">
          <w:rPr>
            <w:rStyle w:val="Hyperlink"/>
            <w:rFonts w:cs="Angsana New"/>
            <w:lang w:val="nl-NL"/>
          </w:rPr>
          <w:t>http://statline.cbs.nl/StatWeb/publication/default.aspx?VW=T&amp;DM=SLNL&amp;PA=37179pfd&amp;D1=0%2c2-4%2c9&amp;D2=a&amp;D3=(l-6)-l&amp;HD=100411-0914&amp;HDR=G2%2cG1%2cT</w:t>
        </w:r>
      </w:hyperlink>
      <w:r w:rsidR="00783A71" w:rsidRPr="00783A71">
        <w:rPr>
          <w:lang w:val="nl-NL"/>
        </w:rPr>
        <w:t xml:space="preserve"> </w:t>
      </w:r>
    </w:p>
    <w:p w:rsidR="00783A71" w:rsidRPr="00783A71" w:rsidRDefault="00783A71" w:rsidP="00783A71">
      <w:pPr>
        <w:rPr>
          <w:lang w:val="nl-NL"/>
        </w:rPr>
      </w:pPr>
      <w:r w:rsidRPr="00783A71">
        <w:rPr>
          <w:lang w:val="nl-NL"/>
        </w:rPr>
        <w:t>(3-5-2013)</w:t>
      </w:r>
    </w:p>
    <w:p w:rsidR="00593D27" w:rsidRPr="00783A71" w:rsidRDefault="00593D27" w:rsidP="00692891">
      <w:pPr>
        <w:jc w:val="both"/>
        <w:rPr>
          <w:lang w:val="nl-NL"/>
        </w:rPr>
      </w:pPr>
    </w:p>
    <w:p w:rsidR="00E52F76" w:rsidRDefault="0031394E" w:rsidP="008477AA">
      <w:pPr>
        <w:rPr>
          <w:rStyle w:val="Hyperlink"/>
          <w:rFonts w:cs="Angsana New"/>
          <w:lang w:val="nl-NL"/>
        </w:rPr>
      </w:pPr>
      <w:r>
        <w:rPr>
          <w:lang w:val="nl-NL"/>
        </w:rPr>
        <w:t>Wet verplichte beroepspensioenregeling</w:t>
      </w:r>
      <w:r w:rsidR="008477AA">
        <w:rPr>
          <w:lang w:val="nl-NL"/>
        </w:rPr>
        <w:t xml:space="preserve"> </w:t>
      </w:r>
      <w:hyperlink r:id="rId22" w:history="1">
        <w:r w:rsidR="00270975" w:rsidRPr="0099257F">
          <w:rPr>
            <w:rStyle w:val="Hyperlink"/>
            <w:rFonts w:cs="Angsana New"/>
            <w:lang w:val="nl-NL"/>
          </w:rPr>
          <w:t>http://wetten.overheid.nl/BWBR0018831/volledig/geldigheidsdatum_16-02-2013</w:t>
        </w:r>
      </w:hyperlink>
      <w:r w:rsidR="008477AA" w:rsidRPr="00D70F35">
        <w:rPr>
          <w:lang w:val="nl-NL"/>
        </w:rPr>
        <w:t xml:space="preserve"> (1-3-2013)</w:t>
      </w:r>
      <w:r w:rsidR="00E52F76">
        <w:rPr>
          <w:rStyle w:val="Hyperlink"/>
          <w:rFonts w:cs="Angsana New"/>
          <w:lang w:val="nl-NL"/>
        </w:rPr>
        <w:br w:type="page"/>
      </w:r>
    </w:p>
    <w:p w:rsidR="00A7369C" w:rsidRDefault="00A7369C" w:rsidP="00A7369C">
      <w:pPr>
        <w:pStyle w:val="Kop1"/>
        <w:numPr>
          <w:ilvl w:val="0"/>
          <w:numId w:val="0"/>
        </w:numPr>
        <w:ind w:left="432" w:hanging="432"/>
        <w:rPr>
          <w:sz w:val="24"/>
          <w:szCs w:val="24"/>
        </w:rPr>
      </w:pPr>
      <w:bookmarkStart w:id="72" w:name="_Toc321050476"/>
      <w:bookmarkStart w:id="73" w:name="_Toc355387321"/>
      <w:r>
        <w:rPr>
          <w:sz w:val="24"/>
          <w:szCs w:val="24"/>
        </w:rPr>
        <w:t>Appendix 1</w:t>
      </w:r>
      <w:r w:rsidRPr="000C6E80">
        <w:rPr>
          <w:sz w:val="24"/>
          <w:szCs w:val="24"/>
        </w:rPr>
        <w:tab/>
      </w:r>
      <w:r>
        <w:rPr>
          <w:sz w:val="24"/>
          <w:szCs w:val="24"/>
        </w:rPr>
        <w:t>Financial accounting theory</w:t>
      </w:r>
      <w:bookmarkEnd w:id="73"/>
    </w:p>
    <w:p w:rsidR="00A7369C" w:rsidRDefault="00A7369C" w:rsidP="00A7369C">
      <w:pPr>
        <w:spacing w:line="360" w:lineRule="auto"/>
      </w:pPr>
    </w:p>
    <w:p w:rsidR="00A7369C" w:rsidRDefault="00A7369C" w:rsidP="00A7369C">
      <w:pPr>
        <w:pBdr>
          <w:top w:val="single" w:sz="4" w:space="1" w:color="auto"/>
          <w:left w:val="single" w:sz="4" w:space="4" w:color="auto"/>
          <w:bottom w:val="single" w:sz="4" w:space="1" w:color="auto"/>
          <w:right w:val="single" w:sz="4" w:space="4" w:color="auto"/>
        </w:pBdr>
        <w:spacing w:line="360" w:lineRule="auto"/>
        <w:rPr>
          <w:b/>
        </w:rPr>
      </w:pPr>
      <w:r>
        <w:rPr>
          <w:b/>
        </w:rPr>
        <w:t>Ideal</w:t>
      </w:r>
      <w:r>
        <w:rPr>
          <w:b/>
        </w:rPr>
        <w:tab/>
      </w:r>
      <w:r>
        <w:rPr>
          <w:b/>
        </w:rPr>
        <w:tab/>
        <w:t>Information</w:t>
      </w:r>
      <w:r>
        <w:rPr>
          <w:b/>
        </w:rPr>
        <w:tab/>
      </w:r>
      <w:r>
        <w:rPr>
          <w:b/>
        </w:rPr>
        <w:tab/>
        <w:t>User Decision</w:t>
      </w:r>
      <w:r>
        <w:rPr>
          <w:b/>
        </w:rPr>
        <w:tab/>
      </w:r>
      <w:r>
        <w:rPr>
          <w:b/>
        </w:rPr>
        <w:tab/>
        <w:t>Accounting</w:t>
      </w:r>
      <w:r>
        <w:rPr>
          <w:b/>
        </w:rPr>
        <w:tab/>
      </w:r>
      <w:r>
        <w:rPr>
          <w:b/>
        </w:rPr>
        <w:tab/>
        <w:t>Mediation</w:t>
      </w:r>
    </w:p>
    <w:p w:rsidR="00A7369C" w:rsidRPr="00354563" w:rsidRDefault="00A7369C" w:rsidP="00A7369C">
      <w:pPr>
        <w:pBdr>
          <w:top w:val="single" w:sz="4" w:space="1" w:color="auto"/>
          <w:left w:val="single" w:sz="4" w:space="4" w:color="auto"/>
          <w:bottom w:val="single" w:sz="4" w:space="1" w:color="auto"/>
          <w:right w:val="single" w:sz="4" w:space="4" w:color="auto"/>
        </w:pBdr>
        <w:spacing w:line="360" w:lineRule="auto"/>
        <w:rPr>
          <w:b/>
        </w:rPr>
      </w:pPr>
      <w:r>
        <w:rPr>
          <w:b/>
        </w:rPr>
        <w:t>Conditions</w:t>
      </w:r>
      <w:r>
        <w:rPr>
          <w:b/>
        </w:rPr>
        <w:tab/>
        <w:t>Asymmetry</w:t>
      </w:r>
      <w:r>
        <w:rPr>
          <w:b/>
        </w:rPr>
        <w:tab/>
      </w:r>
      <w:r>
        <w:rPr>
          <w:b/>
        </w:rPr>
        <w:tab/>
        <w:t>Problem</w:t>
      </w:r>
      <w:r>
        <w:rPr>
          <w:b/>
        </w:rPr>
        <w:tab/>
      </w:r>
      <w:r>
        <w:rPr>
          <w:b/>
        </w:rPr>
        <w:tab/>
        <w:t>Reaction</w:t>
      </w:r>
    </w:p>
    <w:p w:rsidR="00A7369C" w:rsidRPr="002A3A4F" w:rsidRDefault="003E0D8B" w:rsidP="00A7369C">
      <w:pPr>
        <w:pBdr>
          <w:top w:val="single" w:sz="4" w:space="1" w:color="auto"/>
          <w:left w:val="single" w:sz="4" w:space="4" w:color="auto"/>
          <w:bottom w:val="single" w:sz="4" w:space="1" w:color="auto"/>
          <w:right w:val="single" w:sz="4" w:space="4" w:color="auto"/>
        </w:pBdr>
        <w:spacing w:line="360" w:lineRule="auto"/>
      </w:pPr>
      <w:r>
        <w:rPr>
          <w:noProof/>
          <w:lang w:val="nl-NL" w:eastAsia="nl-NL" w:bidi="ar-SA"/>
        </w:rPr>
        <w:pict>
          <v:rect id="Rechthoek 78" o:spid="_x0000_s1103" style="position:absolute;margin-left:285.25pt;margin-top:.2pt;width:99.25pt;height:46.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">
            <v:textbox style="mso-next-textbox:#Rechthoek 78">
              <w:txbxContent>
                <w:p w:rsidR="005B4C8D" w:rsidRPr="00354563" w:rsidRDefault="005B4C8D" w:rsidP="00A7369C">
                  <w:pPr>
                    <w:jc w:val="center"/>
                    <w:rPr>
                      <w:sz w:val="20"/>
                      <w:szCs w:val="20"/>
                      <w:lang w:val="nl-NL"/>
                    </w:rPr>
                  </w:pPr>
                  <w:proofErr w:type="spellStart"/>
                  <w:r>
                    <w:rPr>
                      <w:sz w:val="20"/>
                      <w:szCs w:val="20"/>
                      <w:lang w:val="nl-NL"/>
                    </w:rPr>
                    <w:t>Decision</w:t>
                  </w:r>
                  <w:proofErr w:type="spellEnd"/>
                  <w:r>
                    <w:rPr>
                      <w:sz w:val="20"/>
                      <w:szCs w:val="20"/>
                      <w:lang w:val="nl-NL"/>
                    </w:rPr>
                    <w:t xml:space="preserve"> </w:t>
                  </w:r>
                  <w:proofErr w:type="spellStart"/>
                  <w:r>
                    <w:rPr>
                      <w:sz w:val="20"/>
                      <w:szCs w:val="20"/>
                      <w:lang w:val="nl-NL"/>
                    </w:rPr>
                    <w:t>usefulness</w:t>
                  </w:r>
                  <w:proofErr w:type="spellEnd"/>
                  <w:r>
                    <w:rPr>
                      <w:sz w:val="20"/>
                      <w:szCs w:val="20"/>
                      <w:lang w:val="nl-NL"/>
                    </w:rPr>
                    <w:t xml:space="preserve">, full </w:t>
                  </w:r>
                  <w:proofErr w:type="spellStart"/>
                  <w:r>
                    <w:rPr>
                      <w:sz w:val="20"/>
                      <w:szCs w:val="20"/>
                      <w:lang w:val="nl-NL"/>
                    </w:rPr>
                    <w:t>disclosure</w:t>
                  </w:r>
                  <w:proofErr w:type="spellEnd"/>
                </w:p>
              </w:txbxContent>
            </v:textbox>
          </v:rect>
        </w:pict>
      </w:r>
      <w:r>
        <w:rPr>
          <w:noProof/>
          <w:lang w:val="nl-NL" w:eastAsia="nl-NL" w:bidi="ar-SA"/>
        </w:rPr>
        <w:pict>
          <v:rect id="Rechthoek 77" o:spid="_x0000_s1104" style="position:absolute;margin-left:173.15pt;margin-top:.2pt;width:86.05pt;height:46.9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">
            <v:textbox style="mso-next-textbox:#Rechthoek 77">
              <w:txbxContent>
                <w:p w:rsidR="005B4C8D" w:rsidRPr="00354563" w:rsidRDefault="005B4C8D" w:rsidP="00A7369C">
                  <w:pPr>
                    <w:jc w:val="center"/>
                    <w:rPr>
                      <w:sz w:val="20"/>
                      <w:szCs w:val="20"/>
                      <w:lang w:val="nl-NL"/>
                    </w:rPr>
                  </w:pPr>
                  <w:proofErr w:type="spellStart"/>
                  <w:r>
                    <w:rPr>
                      <w:sz w:val="20"/>
                      <w:szCs w:val="20"/>
                      <w:lang w:val="nl-NL"/>
                    </w:rPr>
                    <w:t>Rational</w:t>
                  </w:r>
                  <w:proofErr w:type="spellEnd"/>
                  <w:r>
                    <w:rPr>
                      <w:sz w:val="20"/>
                      <w:szCs w:val="20"/>
                      <w:lang w:val="nl-NL"/>
                    </w:rPr>
                    <w:t xml:space="preserve"> </w:t>
                  </w:r>
                  <w:proofErr w:type="spellStart"/>
                  <w:r>
                    <w:rPr>
                      <w:sz w:val="20"/>
                      <w:szCs w:val="20"/>
                      <w:lang w:val="nl-NL"/>
                    </w:rPr>
                    <w:t>investment</w:t>
                  </w:r>
                  <w:proofErr w:type="spellEnd"/>
                  <w:r>
                    <w:rPr>
                      <w:sz w:val="20"/>
                      <w:szCs w:val="20"/>
                      <w:lang w:val="nl-NL"/>
                    </w:rPr>
                    <w:t xml:space="preserve"> </w:t>
                  </w:r>
                  <w:proofErr w:type="spellStart"/>
                  <w:r>
                    <w:rPr>
                      <w:sz w:val="20"/>
                      <w:szCs w:val="20"/>
                      <w:lang w:val="nl-NL"/>
                    </w:rPr>
                    <w:t>decision</w:t>
                  </w:r>
                  <w:proofErr w:type="spellEnd"/>
                </w:p>
              </w:txbxContent>
            </v:textbox>
          </v:rect>
        </w:pict>
      </w:r>
      <w:r>
        <w:rPr>
          <w:noProof/>
          <w:lang w:val="nl-NL" w:eastAsia="nl-NL" w:bidi="ar-SA"/>
        </w:rPr>
        <w:pict>
          <v:rect id="Rechthoek 76" o:spid="_x0000_s1105" style="position:absolute;margin-left:75.8pt;margin-top:.2pt;width:64.5pt;height:46.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">
            <v:textbox style="mso-next-textbox:#Rechthoek 76">
              <w:txbxContent>
                <w:p w:rsidR="005B4C8D" w:rsidRPr="00354563" w:rsidRDefault="005B4C8D" w:rsidP="00A7369C">
                  <w:pPr>
                    <w:jc w:val="center"/>
                    <w:rPr>
                      <w:sz w:val="20"/>
                      <w:szCs w:val="20"/>
                      <w:lang w:val="nl-NL"/>
                    </w:rPr>
                  </w:pPr>
                  <w:proofErr w:type="spellStart"/>
                  <w:r>
                    <w:rPr>
                      <w:sz w:val="20"/>
                      <w:szCs w:val="20"/>
                      <w:lang w:val="nl-NL"/>
                    </w:rPr>
                    <w:t>Adverse</w:t>
                  </w:r>
                  <w:proofErr w:type="spellEnd"/>
                  <w:r>
                    <w:rPr>
                      <w:sz w:val="20"/>
                      <w:szCs w:val="20"/>
                      <w:lang w:val="nl-NL"/>
                    </w:rPr>
                    <w:t xml:space="preserve"> </w:t>
                  </w:r>
                  <w:proofErr w:type="spellStart"/>
                  <w:r>
                    <w:rPr>
                      <w:sz w:val="20"/>
                      <w:szCs w:val="20"/>
                      <w:lang w:val="nl-NL"/>
                    </w:rPr>
                    <w:t>selection</w:t>
                  </w:r>
                  <w:proofErr w:type="spellEnd"/>
                  <w:r>
                    <w:rPr>
                      <w:sz w:val="20"/>
                      <w:szCs w:val="20"/>
                      <w:lang w:val="nl-NL"/>
                    </w:rPr>
                    <w:t xml:space="preserve"> </w:t>
                  </w:r>
                  <w:proofErr w:type="spellStart"/>
                  <w:r>
                    <w:rPr>
                      <w:sz w:val="20"/>
                      <w:szCs w:val="20"/>
                      <w:lang w:val="nl-NL"/>
                    </w:rPr>
                    <w:t>problem</w:t>
                  </w:r>
                  <w:proofErr w:type="spellEnd"/>
                </w:p>
              </w:txbxContent>
            </v:textbox>
          </v:rect>
        </w:pict>
      </w:r>
    </w:p>
    <w:p w:rsidR="00A7369C" w:rsidRDefault="003E0D8B" w:rsidP="00A7369C">
      <w:pPr>
        <w:pBdr>
          <w:top w:val="single" w:sz="4" w:space="1" w:color="auto"/>
          <w:left w:val="single" w:sz="4" w:space="4" w:color="auto"/>
          <w:bottom w:val="single" w:sz="4" w:space="1" w:color="auto"/>
          <w:right w:val="single" w:sz="4" w:space="4" w:color="auto"/>
        </w:pBdr>
        <w:rPr>
          <w:lang w:val="en-US"/>
        </w:rPr>
      </w:pPr>
      <w:r>
        <w:rPr>
          <w:noProof/>
          <w:lang w:val="nl-NL" w:eastAsia="nl-NL" w:bidi="ar-SA"/>
        </w:rPr>
        <w:pict>
          <v:shapetype id="_x0000_t32" coordsize="21600,21600" o:spt="32" o:oned="t" path="m,l21600,21600e" filled="f">
            <v:path arrowok="t" fillok="f" o:connecttype="none"/>
            <o:lock v:ext="edit" shapetype="t"/>
          </v:shapetype>
          <v:shape id="Rechte verbindingslijn met pijl 75" o:spid="_x0000_s1106" type="#_x0000_t32" style="position:absolute;margin-left:384.5pt;margin-top:4.2pt;width:43.9pt;height:28.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">
            <v:stroke endarrow="block"/>
          </v:shape>
        </w:pict>
      </w:r>
      <w:r>
        <w:rPr>
          <w:noProof/>
          <w:lang w:val="nl-NL" w:eastAsia="nl-NL" w:bidi="ar-SA"/>
        </w:rPr>
        <w:pict>
          <v:shape id="Rechte verbindingslijn met pijl 74" o:spid="_x0000_s1107" type="#_x0000_t32" style="position:absolute;margin-left:259.2pt;margin-top:4.2pt;width:26.05pt;height:0;z-index:25170329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">
            <v:stroke endarrow="block"/>
          </v:shape>
        </w:pict>
      </w:r>
      <w:r>
        <w:rPr>
          <w:noProof/>
          <w:lang w:val="nl-NL" w:eastAsia="nl-NL" w:bidi="ar-SA"/>
        </w:rPr>
        <w:pict>
          <v:shape id="Rechte verbindingslijn met pijl 73" o:spid="_x0000_s1108" type="#_x0000_t32" style="position:absolute;margin-left:140.3pt;margin-top:4.2pt;width:32.85pt;height:0;z-index:2517043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">
            <v:stroke endarrow="block"/>
          </v:shape>
        </w:pict>
      </w:r>
      <w:r>
        <w:rPr>
          <w:noProof/>
          <w:lang w:val="nl-NL" w:eastAsia="nl-NL" w:bidi="ar-SA"/>
        </w:rPr>
        <w:pict>
          <v:shape id="Rechte verbindingslijn met pijl 72" o:spid="_x0000_s1109" type="#_x0000_t32" style="position:absolute;margin-left:30.1pt;margin-top:4.2pt;width:45.7pt;height:28.6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">
            <v:stroke endarrow="block"/>
          </v:shape>
        </w:pict>
      </w:r>
    </w:p>
    <w:p w:rsidR="00A7369C" w:rsidRDefault="00A7369C" w:rsidP="00A7369C">
      <w:pPr>
        <w:pBdr>
          <w:top w:val="single" w:sz="4" w:space="1" w:color="auto"/>
          <w:left w:val="single" w:sz="4" w:space="4" w:color="auto"/>
          <w:bottom w:val="single" w:sz="4" w:space="1" w:color="auto"/>
          <w:right w:val="single" w:sz="4" w:space="4" w:color="auto"/>
        </w:pBdr>
        <w:rPr>
          <w:lang w:val="en-US"/>
        </w:rPr>
      </w:pPr>
    </w:p>
    <w:p w:rsidR="00A7369C" w:rsidRDefault="003E0D8B" w:rsidP="00A7369C">
      <w:pPr>
        <w:pBdr>
          <w:top w:val="single" w:sz="4" w:space="1" w:color="auto"/>
          <w:left w:val="single" w:sz="4" w:space="4" w:color="auto"/>
          <w:bottom w:val="single" w:sz="4" w:space="1" w:color="auto"/>
          <w:right w:val="single" w:sz="4" w:space="4" w:color="auto"/>
        </w:pBdr>
        <w:rPr>
          <w:lang w:val="en-US"/>
        </w:rPr>
      </w:pPr>
      <w:r>
        <w:rPr>
          <w:noProof/>
          <w:lang w:val="nl-NL" w:eastAsia="nl-NL" w:bidi="ar-SA"/>
        </w:rPr>
        <w:pict>
          <v:rect id="Rechthoek 71" o:spid="_x0000_s1110" style="position:absolute;margin-left:392.9pt;margin-top:5.2pt;width:64.5pt;height:46.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">
            <v:textbox style="mso-next-textbox:#Rechthoek 71">
              <w:txbxContent>
                <w:p w:rsidR="005B4C8D" w:rsidRPr="00354563" w:rsidRDefault="005B4C8D" w:rsidP="00A7369C">
                  <w:pPr>
                    <w:jc w:val="center"/>
                    <w:rPr>
                      <w:sz w:val="20"/>
                      <w:szCs w:val="20"/>
                      <w:lang w:val="nl-NL"/>
                    </w:rPr>
                  </w:pPr>
                  <w:r>
                    <w:rPr>
                      <w:sz w:val="20"/>
                      <w:szCs w:val="20"/>
                      <w:lang w:val="nl-NL"/>
                    </w:rPr>
                    <w:t>Standard setting</w:t>
                  </w:r>
                </w:p>
              </w:txbxContent>
            </v:textbox>
          </v:rect>
        </w:pict>
      </w:r>
      <w:r>
        <w:rPr>
          <w:noProof/>
          <w:lang w:val="nl-NL" w:eastAsia="nl-NL" w:bidi="ar-SA"/>
        </w:rPr>
        <w:pict>
          <v:rect id="Rechthoek 70" o:spid="_x0000_s1111" style="position:absolute;margin-left:4.85pt;margin-top:5.2pt;width:64.5pt;height:46.9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">
            <v:textbox style="mso-next-textbox:#Rechthoek 70">
              <w:txbxContent>
                <w:p w:rsidR="005B4C8D" w:rsidRPr="00354563" w:rsidRDefault="005B4C8D" w:rsidP="00A7369C">
                  <w:pPr>
                    <w:jc w:val="center"/>
                    <w:rPr>
                      <w:sz w:val="20"/>
                      <w:szCs w:val="20"/>
                      <w:lang w:val="nl-NL"/>
                    </w:rPr>
                  </w:pPr>
                  <w:r w:rsidRPr="00354563">
                    <w:rPr>
                      <w:sz w:val="20"/>
                      <w:szCs w:val="20"/>
                      <w:lang w:val="nl-NL"/>
                    </w:rPr>
                    <w:t xml:space="preserve">Fair </w:t>
                  </w:r>
                  <w:proofErr w:type="spellStart"/>
                  <w:r w:rsidRPr="00354563">
                    <w:rPr>
                      <w:sz w:val="20"/>
                      <w:szCs w:val="20"/>
                      <w:lang w:val="nl-NL"/>
                    </w:rPr>
                    <w:t>value-based</w:t>
                  </w:r>
                  <w:proofErr w:type="spellEnd"/>
                  <w:r w:rsidRPr="00354563">
                    <w:rPr>
                      <w:sz w:val="20"/>
                      <w:szCs w:val="20"/>
                      <w:lang w:val="nl-NL"/>
                    </w:rPr>
                    <w:t xml:space="preserve"> accounting</w:t>
                  </w:r>
                </w:p>
              </w:txbxContent>
            </v:textbox>
          </v:rect>
        </w:pict>
      </w:r>
    </w:p>
    <w:p w:rsidR="00A7369C" w:rsidRDefault="00A7369C" w:rsidP="00A7369C">
      <w:pPr>
        <w:pBdr>
          <w:top w:val="single" w:sz="4" w:space="1" w:color="auto"/>
          <w:left w:val="single" w:sz="4" w:space="4" w:color="auto"/>
          <w:bottom w:val="single" w:sz="4" w:space="1" w:color="auto"/>
          <w:right w:val="single" w:sz="4" w:space="4" w:color="auto"/>
        </w:pBdr>
        <w:rPr>
          <w:lang w:val="en-US"/>
        </w:rPr>
      </w:pPr>
    </w:p>
    <w:p w:rsidR="00A7369C" w:rsidRDefault="00A7369C" w:rsidP="00A7369C">
      <w:pPr>
        <w:pBdr>
          <w:top w:val="single" w:sz="4" w:space="1" w:color="auto"/>
          <w:left w:val="single" w:sz="4" w:space="4" w:color="auto"/>
          <w:bottom w:val="single" w:sz="4" w:space="1" w:color="auto"/>
          <w:right w:val="single" w:sz="4" w:space="4" w:color="auto"/>
        </w:pBdr>
        <w:rPr>
          <w:lang w:val="en-US"/>
        </w:rPr>
      </w:pPr>
    </w:p>
    <w:p w:rsidR="00A7369C" w:rsidRDefault="003E0D8B" w:rsidP="00A7369C">
      <w:pPr>
        <w:pBdr>
          <w:top w:val="single" w:sz="4" w:space="1" w:color="auto"/>
          <w:left w:val="single" w:sz="4" w:space="4" w:color="auto"/>
          <w:bottom w:val="single" w:sz="4" w:space="1" w:color="auto"/>
          <w:right w:val="single" w:sz="4" w:space="4" w:color="auto"/>
        </w:pBdr>
        <w:rPr>
          <w:lang w:val="en-US"/>
        </w:rPr>
      </w:pPr>
      <w:r>
        <w:rPr>
          <w:noProof/>
          <w:lang w:val="nl-NL" w:eastAsia="nl-NL" w:bidi="ar-SA"/>
        </w:rPr>
        <w:pict>
          <v:shape id="Rechte verbindingslijn met pijl 69" o:spid="_x0000_s1112" type="#_x0000_t32" style="position:absolute;margin-left:384.5pt;margin-top:10.75pt;width:43.9pt;height:33.85pt;flip: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">
            <v:stroke endarrow="block"/>
          </v:shape>
        </w:pict>
      </w:r>
      <w:r>
        <w:rPr>
          <w:noProof/>
          <w:lang w:val="nl-NL" w:eastAsia="nl-NL" w:bidi="ar-SA"/>
        </w:rPr>
        <w:pict>
          <v:shape id="Rechte verbindingslijn met pijl 68" o:spid="_x0000_s1113" type="#_x0000_t32" style="position:absolute;margin-left:30.1pt;margin-top:10.75pt;width:45.7pt;height:33.8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">
            <v:stroke endarrow="block"/>
          </v:shape>
        </w:pict>
      </w:r>
    </w:p>
    <w:p w:rsidR="00A7369C" w:rsidRDefault="003E0D8B" w:rsidP="00A7369C">
      <w:pPr>
        <w:pBdr>
          <w:top w:val="single" w:sz="4" w:space="1" w:color="auto"/>
          <w:left w:val="single" w:sz="4" w:space="4" w:color="auto"/>
          <w:bottom w:val="single" w:sz="4" w:space="1" w:color="auto"/>
          <w:right w:val="single" w:sz="4" w:space="4" w:color="auto"/>
        </w:pBdr>
        <w:rPr>
          <w:lang w:val="en-US"/>
        </w:rPr>
      </w:pPr>
      <w:r>
        <w:rPr>
          <w:noProof/>
          <w:lang w:val="nl-NL" w:eastAsia="nl-NL" w:bidi="ar-SA"/>
        </w:rPr>
        <w:pict>
          <v:rect id="Rechthoek 67" o:spid="_x0000_s1114" style="position:absolute;margin-left:285.25pt;margin-top:6.85pt;width:99.25pt;height:46.9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">
            <v:textbox style="mso-next-textbox:#Rechthoek 67">
              <w:txbxContent>
                <w:p w:rsidR="005B4C8D" w:rsidRPr="00354563" w:rsidRDefault="005B4C8D" w:rsidP="00A7369C">
                  <w:pPr>
                    <w:jc w:val="center"/>
                    <w:rPr>
                      <w:sz w:val="20"/>
                      <w:szCs w:val="20"/>
                      <w:lang w:val="nl-NL"/>
                    </w:rPr>
                  </w:pPr>
                  <w:proofErr w:type="spellStart"/>
                  <w:r>
                    <w:rPr>
                      <w:sz w:val="20"/>
                      <w:szCs w:val="20"/>
                      <w:lang w:val="nl-NL"/>
                    </w:rPr>
                    <w:t>Precise</w:t>
                  </w:r>
                  <w:proofErr w:type="spellEnd"/>
                  <w:r>
                    <w:rPr>
                      <w:sz w:val="20"/>
                      <w:szCs w:val="20"/>
                      <w:lang w:val="nl-NL"/>
                    </w:rPr>
                    <w:t xml:space="preserve"> and sensitive </w:t>
                  </w:r>
                  <w:proofErr w:type="spellStart"/>
                  <w:r>
                    <w:rPr>
                      <w:sz w:val="20"/>
                      <w:szCs w:val="20"/>
                      <w:lang w:val="nl-NL"/>
                    </w:rPr>
                    <w:t>information</w:t>
                  </w:r>
                  <w:proofErr w:type="spellEnd"/>
                  <w:r>
                    <w:rPr>
                      <w:sz w:val="20"/>
                      <w:szCs w:val="20"/>
                      <w:lang w:val="nl-NL"/>
                    </w:rPr>
                    <w:t xml:space="preserve"> </w:t>
                  </w:r>
                  <w:proofErr w:type="spellStart"/>
                  <w:r>
                    <w:rPr>
                      <w:sz w:val="20"/>
                      <w:szCs w:val="20"/>
                      <w:lang w:val="nl-NL"/>
                    </w:rPr>
                    <w:t>reperformance</w:t>
                  </w:r>
                  <w:proofErr w:type="spellEnd"/>
                </w:p>
              </w:txbxContent>
            </v:textbox>
          </v:rect>
        </w:pict>
      </w:r>
      <w:r>
        <w:rPr>
          <w:noProof/>
          <w:lang w:val="nl-NL" w:eastAsia="nl-NL" w:bidi="ar-SA"/>
        </w:rPr>
        <w:pict>
          <v:rect id="Rechthoek 66" o:spid="_x0000_s1115" style="position:absolute;margin-left:173.15pt;margin-top:6.85pt;width:86.05pt;height:46.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">
            <v:textbox style="mso-next-textbox:#Rechthoek 66">
              <w:txbxContent>
                <w:p w:rsidR="005B4C8D" w:rsidRPr="00354563" w:rsidRDefault="005B4C8D" w:rsidP="00A7369C">
                  <w:pPr>
                    <w:jc w:val="center"/>
                    <w:rPr>
                      <w:sz w:val="20"/>
                      <w:szCs w:val="20"/>
                      <w:lang w:val="nl-NL"/>
                    </w:rPr>
                  </w:pPr>
                  <w:proofErr w:type="spellStart"/>
                  <w:r>
                    <w:rPr>
                      <w:sz w:val="20"/>
                      <w:szCs w:val="20"/>
                      <w:lang w:val="nl-NL"/>
                    </w:rPr>
                    <w:t>Motivate</w:t>
                  </w:r>
                  <w:proofErr w:type="spellEnd"/>
                  <w:r>
                    <w:rPr>
                      <w:sz w:val="20"/>
                      <w:szCs w:val="20"/>
                      <w:lang w:val="nl-NL"/>
                    </w:rPr>
                    <w:t xml:space="preserve"> and </w:t>
                  </w:r>
                  <w:proofErr w:type="spellStart"/>
                  <w:r>
                    <w:rPr>
                      <w:sz w:val="20"/>
                      <w:szCs w:val="20"/>
                      <w:lang w:val="nl-NL"/>
                    </w:rPr>
                    <w:t>evaluate</w:t>
                  </w:r>
                  <w:proofErr w:type="spellEnd"/>
                  <w:r>
                    <w:rPr>
                      <w:sz w:val="20"/>
                      <w:szCs w:val="20"/>
                      <w:lang w:val="nl-NL"/>
                    </w:rPr>
                    <w:t xml:space="preserve"> manager performance</w:t>
                  </w:r>
                </w:p>
              </w:txbxContent>
            </v:textbox>
          </v:rect>
        </w:pict>
      </w:r>
      <w:r>
        <w:rPr>
          <w:noProof/>
          <w:lang w:val="nl-NL" w:eastAsia="nl-NL" w:bidi="ar-SA"/>
        </w:rPr>
        <w:pict>
          <v:rect id="Rechthoek 65" o:spid="_x0000_s1116" style="position:absolute;margin-left:75.8pt;margin-top:6.85pt;width:64.5pt;height:46.9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">
            <v:textbox style="mso-next-textbox:#Rechthoek 65">
              <w:txbxContent>
                <w:p w:rsidR="005B4C8D" w:rsidRPr="00354563" w:rsidRDefault="005B4C8D" w:rsidP="00A7369C">
                  <w:pPr>
                    <w:jc w:val="center"/>
                    <w:rPr>
                      <w:sz w:val="20"/>
                      <w:szCs w:val="20"/>
                      <w:lang w:val="nl-NL"/>
                    </w:rPr>
                  </w:pPr>
                  <w:proofErr w:type="spellStart"/>
                  <w:r>
                    <w:rPr>
                      <w:sz w:val="20"/>
                      <w:szCs w:val="20"/>
                      <w:lang w:val="nl-NL"/>
                    </w:rPr>
                    <w:t>Moral</w:t>
                  </w:r>
                  <w:proofErr w:type="spellEnd"/>
                  <w:r>
                    <w:rPr>
                      <w:sz w:val="20"/>
                      <w:szCs w:val="20"/>
                      <w:lang w:val="nl-NL"/>
                    </w:rPr>
                    <w:t xml:space="preserve"> hazard </w:t>
                  </w:r>
                  <w:proofErr w:type="spellStart"/>
                  <w:r>
                    <w:rPr>
                      <w:sz w:val="20"/>
                      <w:szCs w:val="20"/>
                      <w:lang w:val="nl-NL"/>
                    </w:rPr>
                    <w:t>problem</w:t>
                  </w:r>
                  <w:proofErr w:type="spellEnd"/>
                </w:p>
              </w:txbxContent>
            </v:textbox>
          </v:rect>
        </w:pict>
      </w:r>
    </w:p>
    <w:p w:rsidR="00A7369C" w:rsidRDefault="00A7369C" w:rsidP="00A7369C">
      <w:pPr>
        <w:pBdr>
          <w:top w:val="single" w:sz="4" w:space="1" w:color="auto"/>
          <w:left w:val="single" w:sz="4" w:space="4" w:color="auto"/>
          <w:bottom w:val="single" w:sz="4" w:space="1" w:color="auto"/>
          <w:right w:val="single" w:sz="4" w:space="4" w:color="auto"/>
        </w:pBdr>
        <w:rPr>
          <w:lang w:val="en-US"/>
        </w:rPr>
      </w:pPr>
    </w:p>
    <w:p w:rsidR="00A7369C" w:rsidRDefault="003E0D8B" w:rsidP="00A7369C">
      <w:pPr>
        <w:pBdr>
          <w:top w:val="single" w:sz="4" w:space="1" w:color="auto"/>
          <w:left w:val="single" w:sz="4" w:space="4" w:color="auto"/>
          <w:bottom w:val="single" w:sz="4" w:space="1" w:color="auto"/>
          <w:right w:val="single" w:sz="4" w:space="4" w:color="auto"/>
        </w:pBdr>
        <w:rPr>
          <w:lang w:val="en-US"/>
        </w:rPr>
      </w:pPr>
      <w:r>
        <w:rPr>
          <w:noProof/>
          <w:lang w:val="nl-NL" w:eastAsia="nl-NL" w:bidi="ar-SA"/>
        </w:rPr>
        <w:pict>
          <v:shape id="Rechte verbindingslijn met pijl 64" o:spid="_x0000_s1117" type="#_x0000_t32" style="position:absolute;margin-left:259.2pt;margin-top:3.2pt;width:26.05pt;height:0;z-index:25171353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">
            <v:stroke endarrow="block"/>
          </v:shape>
        </w:pict>
      </w:r>
      <w:r>
        <w:rPr>
          <w:noProof/>
          <w:lang w:val="nl-NL" w:eastAsia="nl-NL" w:bidi="ar-SA"/>
        </w:rPr>
        <w:pict>
          <v:shape id="Rechte verbindingslijn met pijl 63" o:spid="_x0000_s1118" type="#_x0000_t32" style="position:absolute;margin-left:140.3pt;margin-top:3.2pt;width:32.85pt;height:0;z-index:2517145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">
            <v:stroke endarrow="block"/>
          </v:shape>
        </w:pict>
      </w:r>
    </w:p>
    <w:p w:rsidR="00A7369C" w:rsidRDefault="00A7369C" w:rsidP="00A7369C">
      <w:pPr>
        <w:pBdr>
          <w:top w:val="single" w:sz="4" w:space="1" w:color="auto"/>
          <w:left w:val="single" w:sz="4" w:space="4" w:color="auto"/>
          <w:bottom w:val="single" w:sz="4" w:space="1" w:color="auto"/>
          <w:right w:val="single" w:sz="4" w:space="4" w:color="auto"/>
        </w:pBdr>
        <w:rPr>
          <w:lang w:val="en-US"/>
        </w:rPr>
      </w:pPr>
    </w:p>
    <w:p w:rsidR="00A7369C" w:rsidRPr="00354563" w:rsidRDefault="00A7369C" w:rsidP="00A7369C">
      <w:pPr>
        <w:pBdr>
          <w:top w:val="single" w:sz="4" w:space="1" w:color="auto"/>
          <w:left w:val="single" w:sz="4" w:space="4" w:color="auto"/>
          <w:bottom w:val="single" w:sz="4" w:space="1" w:color="auto"/>
          <w:right w:val="single" w:sz="4" w:space="4" w:color="auto"/>
        </w:pBdr>
        <w:rPr>
          <w:lang w:val="en-US"/>
        </w:rPr>
      </w:pPr>
    </w:p>
    <w:p w:rsidR="00A7369C" w:rsidRDefault="00A7369C" w:rsidP="00A7369C">
      <w:pPr>
        <w:spacing w:line="360" w:lineRule="auto"/>
      </w:pPr>
    </w:p>
    <w:p w:rsidR="00A7369C" w:rsidRPr="007313BF" w:rsidRDefault="00A7369C" w:rsidP="00A7369C">
      <w:pPr>
        <w:spacing w:line="360" w:lineRule="auto"/>
      </w:pPr>
      <w:r w:rsidRPr="007313BF">
        <w:t>Financial accounting theory (Scott, 2006)</w:t>
      </w:r>
    </w:p>
    <w:p w:rsidR="00EB73F1" w:rsidRDefault="00A7369C" w:rsidP="00961571">
      <w:pPr>
        <w:pStyle w:val="Kop1"/>
        <w:numPr>
          <w:ilvl w:val="0"/>
          <w:numId w:val="0"/>
        </w:numPr>
        <w:ind w:left="432" w:hanging="432"/>
        <w:rPr>
          <w:sz w:val="24"/>
          <w:szCs w:val="24"/>
        </w:rPr>
      </w:pPr>
      <w:bookmarkStart w:id="74" w:name="_Toc355387322"/>
      <w:r>
        <w:rPr>
          <w:sz w:val="24"/>
          <w:szCs w:val="24"/>
        </w:rPr>
        <w:t>Appendix 2</w:t>
      </w:r>
      <w:r w:rsidR="00EB73F1" w:rsidRPr="000C6E80">
        <w:rPr>
          <w:sz w:val="24"/>
          <w:szCs w:val="24"/>
        </w:rPr>
        <w:tab/>
        <w:t>Number of Dutch pension funds</w:t>
      </w:r>
      <w:bookmarkEnd w:id="72"/>
      <w:bookmarkEnd w:id="74"/>
    </w:p>
    <w:tbl>
      <w:tblPr>
        <w:tblW w:w="9669" w:type="dxa"/>
        <w:tblInd w:w="51" w:type="dxa"/>
        <w:tblCellMar>
          <w:left w:w="70" w:type="dxa"/>
          <w:right w:w="70" w:type="dxa"/>
        </w:tblCellMar>
        <w:tblLook w:val="04A0"/>
      </w:tblPr>
      <w:tblGrid>
        <w:gridCol w:w="3942"/>
        <w:gridCol w:w="549"/>
        <w:gridCol w:w="549"/>
        <w:gridCol w:w="549"/>
        <w:gridCol w:w="549"/>
        <w:gridCol w:w="549"/>
        <w:gridCol w:w="549"/>
        <w:gridCol w:w="549"/>
        <w:gridCol w:w="549"/>
        <w:gridCol w:w="549"/>
        <w:gridCol w:w="786"/>
      </w:tblGrid>
      <w:tr w:rsidR="00961571" w:rsidRPr="00A055F3" w:rsidTr="003314C4">
        <w:trPr>
          <w:trHeight w:val="281"/>
        </w:trPr>
        <w:tc>
          <w:tcPr>
            <w:tcW w:w="3942"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c>
          <w:tcPr>
            <w:tcW w:w="786"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eastAsia="nl-NL"/>
              </w:rPr>
            </w:pPr>
            <w:r w:rsidRPr="005A3A64">
              <w:rPr>
                <w:rFonts w:ascii="Arial" w:hAnsi="Arial" w:cs="Arial"/>
                <w:sz w:val="18"/>
                <w:szCs w:val="18"/>
                <w:lang w:eastAsia="nl-NL"/>
              </w:rPr>
              <w:t> </w:t>
            </w:r>
          </w:p>
        </w:tc>
      </w:tr>
      <w:tr w:rsidR="00961571" w:rsidRPr="004E35DE" w:rsidTr="003314C4">
        <w:trPr>
          <w:trHeight w:val="281"/>
        </w:trPr>
        <w:tc>
          <w:tcPr>
            <w:tcW w:w="3942"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b/>
                <w:bCs/>
                <w:sz w:val="18"/>
                <w:szCs w:val="18"/>
                <w:lang w:val="nl-NL" w:eastAsia="nl-NL"/>
              </w:rPr>
            </w:pPr>
            <w:proofErr w:type="spellStart"/>
            <w:r>
              <w:rPr>
                <w:rFonts w:ascii="Arial" w:hAnsi="Arial" w:cs="Arial"/>
                <w:b/>
                <w:bCs/>
                <w:sz w:val="18"/>
                <w:szCs w:val="18"/>
                <w:lang w:val="nl-NL" w:eastAsia="nl-NL"/>
              </w:rPr>
              <w:t>Supervised</w:t>
            </w:r>
            <w:proofErr w:type="spellEnd"/>
            <w:r>
              <w:rPr>
                <w:rFonts w:ascii="Arial" w:hAnsi="Arial" w:cs="Arial"/>
                <w:b/>
                <w:bCs/>
                <w:sz w:val="18"/>
                <w:szCs w:val="18"/>
                <w:lang w:val="nl-NL" w:eastAsia="nl-NL"/>
              </w:rPr>
              <w:t xml:space="preserve"> Dutch pension </w:t>
            </w:r>
            <w:proofErr w:type="spellStart"/>
            <w:r>
              <w:rPr>
                <w:rFonts w:ascii="Arial" w:hAnsi="Arial" w:cs="Arial"/>
                <w:b/>
                <w:bCs/>
                <w:sz w:val="18"/>
                <w:szCs w:val="18"/>
                <w:lang w:val="nl-NL" w:eastAsia="nl-NL"/>
              </w:rPr>
              <w:t>funds</w:t>
            </w:r>
            <w:proofErr w:type="spellEnd"/>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786"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r>
      <w:tr w:rsidR="00961571" w:rsidRPr="005A3A64" w:rsidTr="003314C4">
        <w:trPr>
          <w:trHeight w:val="281"/>
        </w:trPr>
        <w:tc>
          <w:tcPr>
            <w:tcW w:w="3942"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Number of institutions as per end of the year</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786" w:type="dxa"/>
            <w:tcBorders>
              <w:top w:val="nil"/>
              <w:left w:val="nil"/>
              <w:bottom w:val="single" w:sz="8" w:space="0" w:color="auto"/>
              <w:right w:val="nil"/>
            </w:tcBorders>
            <w:shd w:val="clear" w:color="000000" w:fill="FF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r>
      <w:tr w:rsidR="00961571" w:rsidRPr="005A3A64" w:rsidTr="003314C4">
        <w:trPr>
          <w:trHeight w:val="281"/>
        </w:trPr>
        <w:tc>
          <w:tcPr>
            <w:tcW w:w="3942" w:type="dxa"/>
            <w:tcBorders>
              <w:top w:val="nil"/>
              <w:left w:val="nil"/>
              <w:bottom w:val="nil"/>
              <w:right w:val="nil"/>
            </w:tcBorders>
            <w:shd w:val="clear" w:color="000000" w:fill="CCFFFF"/>
            <w:noWrap/>
            <w:vAlign w:val="bottom"/>
            <w:hideMark/>
          </w:tcPr>
          <w:p w:rsidR="00961571" w:rsidRPr="0002463B" w:rsidRDefault="00961571" w:rsidP="009C525B">
            <w:pPr>
              <w:rPr>
                <w:rFonts w:ascii="Arial" w:hAnsi="Arial" w:cs="Arial"/>
                <w:sz w:val="18"/>
                <w:szCs w:val="18"/>
                <w:lang w:eastAsia="nl-NL"/>
              </w:rPr>
            </w:pPr>
            <w:r w:rsidRPr="0002463B">
              <w:rPr>
                <w:rFonts w:ascii="Arial" w:hAnsi="Arial" w:cs="Arial"/>
                <w:sz w:val="18"/>
                <w:szCs w:val="18"/>
                <w:lang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2002</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2003</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2004</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2005</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2006</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2007</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2008</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2009</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2010</w:t>
            </w:r>
          </w:p>
        </w:tc>
        <w:tc>
          <w:tcPr>
            <w:tcW w:w="786"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2011</w:t>
            </w:r>
          </w:p>
        </w:tc>
      </w:tr>
      <w:tr w:rsidR="00961571" w:rsidRPr="005A3A64" w:rsidTr="003314C4">
        <w:trPr>
          <w:trHeight w:val="69"/>
        </w:trPr>
        <w:tc>
          <w:tcPr>
            <w:tcW w:w="3942"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786"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____</w:t>
            </w:r>
          </w:p>
        </w:tc>
      </w:tr>
      <w:tr w:rsidR="00961571" w:rsidRPr="005A3A64" w:rsidTr="003314C4">
        <w:trPr>
          <w:trHeight w:val="281"/>
        </w:trPr>
        <w:tc>
          <w:tcPr>
            <w:tcW w:w="3942"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c>
          <w:tcPr>
            <w:tcW w:w="786"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 </w:t>
            </w:r>
          </w:p>
        </w:tc>
      </w:tr>
      <w:tr w:rsidR="00961571" w:rsidRPr="005A3A64" w:rsidTr="003314C4">
        <w:trPr>
          <w:trHeight w:val="281"/>
        </w:trPr>
        <w:tc>
          <w:tcPr>
            <w:tcW w:w="3942"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Bedrijfspensioenfondsen verplicht</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71</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75</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78</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78</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78</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71</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69</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68</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65</w:t>
            </w:r>
          </w:p>
        </w:tc>
        <w:tc>
          <w:tcPr>
            <w:tcW w:w="786"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Pr>
                <w:rFonts w:ascii="Arial" w:hAnsi="Arial" w:cs="Arial"/>
                <w:sz w:val="18"/>
                <w:szCs w:val="18"/>
                <w:lang w:val="nl-NL" w:eastAsia="nl-NL"/>
              </w:rPr>
              <w:t xml:space="preserve">    </w:t>
            </w:r>
            <w:r w:rsidRPr="005A3A64">
              <w:rPr>
                <w:rFonts w:ascii="Arial" w:hAnsi="Arial" w:cs="Arial"/>
                <w:sz w:val="18"/>
                <w:szCs w:val="18"/>
                <w:lang w:val="nl-NL" w:eastAsia="nl-NL"/>
              </w:rPr>
              <w:t>63</w:t>
            </w:r>
          </w:p>
        </w:tc>
      </w:tr>
      <w:tr w:rsidR="00961571" w:rsidRPr="005A3A64" w:rsidTr="003314C4">
        <w:trPr>
          <w:trHeight w:val="281"/>
        </w:trPr>
        <w:tc>
          <w:tcPr>
            <w:tcW w:w="3942"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Bedrijfspensioenfondsen niet verplicht</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31</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28</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24</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25</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25</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25</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26</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19</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17</w:t>
            </w:r>
          </w:p>
        </w:tc>
        <w:tc>
          <w:tcPr>
            <w:tcW w:w="786" w:type="dxa"/>
            <w:tcBorders>
              <w:top w:val="nil"/>
              <w:left w:val="nil"/>
              <w:bottom w:val="nil"/>
              <w:right w:val="nil"/>
            </w:tcBorders>
            <w:shd w:val="clear" w:color="000000" w:fill="FFFFFF"/>
            <w:noWrap/>
            <w:vAlign w:val="bottom"/>
            <w:hideMark/>
          </w:tcPr>
          <w:p w:rsidR="00961571" w:rsidRPr="005A3A64" w:rsidRDefault="00961571" w:rsidP="009C525B">
            <w:pPr>
              <w:jc w:val="center"/>
              <w:rPr>
                <w:rFonts w:ascii="Arial" w:hAnsi="Arial" w:cs="Arial"/>
                <w:sz w:val="18"/>
                <w:szCs w:val="18"/>
                <w:lang w:val="nl-NL" w:eastAsia="nl-NL"/>
              </w:rPr>
            </w:pPr>
            <w:r w:rsidRPr="005A3A64">
              <w:rPr>
                <w:rFonts w:ascii="Arial" w:hAnsi="Arial" w:cs="Arial"/>
                <w:sz w:val="18"/>
                <w:szCs w:val="18"/>
                <w:lang w:val="nl-NL" w:eastAsia="nl-NL"/>
              </w:rPr>
              <w:t>14</w:t>
            </w:r>
          </w:p>
        </w:tc>
      </w:tr>
      <w:tr w:rsidR="00961571" w:rsidRPr="005A3A64" w:rsidTr="003314C4">
        <w:trPr>
          <w:trHeight w:val="281"/>
        </w:trPr>
        <w:tc>
          <w:tcPr>
            <w:tcW w:w="3942"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Ondernemingspensioenfondsen</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804</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753</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714</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676</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643</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597</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543</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474</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414</w:t>
            </w:r>
          </w:p>
        </w:tc>
        <w:tc>
          <w:tcPr>
            <w:tcW w:w="786"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Pr>
                <w:rFonts w:ascii="Arial" w:hAnsi="Arial" w:cs="Arial"/>
                <w:sz w:val="18"/>
                <w:szCs w:val="18"/>
                <w:lang w:val="nl-NL" w:eastAsia="nl-NL"/>
              </w:rPr>
              <w:t xml:space="preserve">  </w:t>
            </w:r>
            <w:r w:rsidRPr="005A3A64">
              <w:rPr>
                <w:rFonts w:ascii="Arial" w:hAnsi="Arial" w:cs="Arial"/>
                <w:sz w:val="18"/>
                <w:szCs w:val="18"/>
                <w:lang w:val="nl-NL" w:eastAsia="nl-NL"/>
              </w:rPr>
              <w:t>359</w:t>
            </w:r>
          </w:p>
        </w:tc>
      </w:tr>
      <w:tr w:rsidR="00961571" w:rsidRPr="005A3A64" w:rsidTr="003314C4">
        <w:trPr>
          <w:trHeight w:val="281"/>
        </w:trPr>
        <w:tc>
          <w:tcPr>
            <w:tcW w:w="3942"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Ondernemingsspaarfondsen</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6</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8</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7</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4</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5</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5</w:t>
            </w:r>
          </w:p>
        </w:tc>
        <w:tc>
          <w:tcPr>
            <w:tcW w:w="786" w:type="dxa"/>
            <w:tcBorders>
              <w:top w:val="nil"/>
              <w:left w:val="nil"/>
              <w:bottom w:val="nil"/>
              <w:right w:val="nil"/>
            </w:tcBorders>
            <w:shd w:val="clear" w:color="000000" w:fill="FFFFFF"/>
            <w:noWrap/>
            <w:vAlign w:val="bottom"/>
            <w:hideMark/>
          </w:tcPr>
          <w:p w:rsidR="00961571" w:rsidRPr="005A3A64" w:rsidRDefault="00961571" w:rsidP="009C525B">
            <w:pPr>
              <w:jc w:val="center"/>
              <w:rPr>
                <w:rFonts w:ascii="Arial" w:hAnsi="Arial" w:cs="Arial"/>
                <w:sz w:val="18"/>
                <w:szCs w:val="18"/>
                <w:lang w:val="nl-NL" w:eastAsia="nl-NL"/>
              </w:rPr>
            </w:pPr>
            <w:r>
              <w:rPr>
                <w:rFonts w:ascii="Arial" w:hAnsi="Arial" w:cs="Arial"/>
                <w:sz w:val="18"/>
                <w:szCs w:val="18"/>
                <w:lang w:val="nl-NL" w:eastAsia="nl-NL"/>
              </w:rPr>
              <w:t xml:space="preserve">  </w:t>
            </w:r>
            <w:r w:rsidRPr="005A3A64">
              <w:rPr>
                <w:rFonts w:ascii="Arial" w:hAnsi="Arial" w:cs="Arial"/>
                <w:sz w:val="18"/>
                <w:szCs w:val="18"/>
                <w:lang w:val="nl-NL" w:eastAsia="nl-NL"/>
              </w:rPr>
              <w:t>5</w:t>
            </w:r>
          </w:p>
        </w:tc>
      </w:tr>
      <w:tr w:rsidR="00961571" w:rsidRPr="005A3A64" w:rsidTr="003314C4">
        <w:trPr>
          <w:trHeight w:val="281"/>
        </w:trPr>
        <w:tc>
          <w:tcPr>
            <w:tcW w:w="3942"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Beroepspensioenfondsen</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11</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11</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13</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12</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12</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12</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13</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12</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12</w:t>
            </w:r>
          </w:p>
        </w:tc>
        <w:tc>
          <w:tcPr>
            <w:tcW w:w="786" w:type="dxa"/>
            <w:tcBorders>
              <w:top w:val="nil"/>
              <w:left w:val="nil"/>
              <w:bottom w:val="nil"/>
              <w:right w:val="nil"/>
            </w:tcBorders>
            <w:shd w:val="clear" w:color="000000" w:fill="CCFFFF"/>
            <w:noWrap/>
            <w:vAlign w:val="bottom"/>
            <w:hideMark/>
          </w:tcPr>
          <w:p w:rsidR="00961571" w:rsidRPr="005A3A64" w:rsidRDefault="00961571" w:rsidP="009C525B">
            <w:pPr>
              <w:jc w:val="center"/>
              <w:rPr>
                <w:rFonts w:ascii="Arial" w:hAnsi="Arial" w:cs="Arial"/>
                <w:sz w:val="18"/>
                <w:szCs w:val="18"/>
                <w:lang w:val="nl-NL" w:eastAsia="nl-NL"/>
              </w:rPr>
            </w:pPr>
            <w:r w:rsidRPr="005A3A64">
              <w:rPr>
                <w:rFonts w:ascii="Arial" w:hAnsi="Arial" w:cs="Arial"/>
                <w:sz w:val="18"/>
                <w:szCs w:val="18"/>
                <w:lang w:val="nl-NL" w:eastAsia="nl-NL"/>
              </w:rPr>
              <w:t>12</w:t>
            </w:r>
          </w:p>
        </w:tc>
      </w:tr>
      <w:tr w:rsidR="00961571" w:rsidRPr="005A3A64" w:rsidTr="003314C4">
        <w:trPr>
          <w:trHeight w:val="281"/>
        </w:trPr>
        <w:tc>
          <w:tcPr>
            <w:tcW w:w="3942" w:type="dxa"/>
            <w:tcBorders>
              <w:top w:val="nil"/>
              <w:left w:val="nil"/>
              <w:bottom w:val="nil"/>
              <w:right w:val="nil"/>
            </w:tcBorders>
            <w:shd w:val="clear" w:color="000000" w:fill="FF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Speciale wetgeving</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2</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w:t>
            </w:r>
          </w:p>
        </w:tc>
        <w:tc>
          <w:tcPr>
            <w:tcW w:w="549" w:type="dxa"/>
            <w:tcBorders>
              <w:top w:val="nil"/>
              <w:left w:val="nil"/>
              <w:bottom w:val="nil"/>
              <w:right w:val="nil"/>
            </w:tcBorders>
            <w:shd w:val="clear" w:color="000000" w:fill="FF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1</w:t>
            </w:r>
          </w:p>
        </w:tc>
        <w:tc>
          <w:tcPr>
            <w:tcW w:w="786" w:type="dxa"/>
            <w:tcBorders>
              <w:top w:val="nil"/>
              <w:left w:val="nil"/>
              <w:bottom w:val="nil"/>
              <w:right w:val="nil"/>
            </w:tcBorders>
            <w:shd w:val="clear" w:color="000000" w:fill="FFFFFF"/>
            <w:noWrap/>
            <w:vAlign w:val="bottom"/>
            <w:hideMark/>
          </w:tcPr>
          <w:p w:rsidR="00961571" w:rsidRPr="005A3A64" w:rsidRDefault="00961571" w:rsidP="009C525B">
            <w:pPr>
              <w:jc w:val="center"/>
              <w:rPr>
                <w:rFonts w:ascii="Arial" w:hAnsi="Arial" w:cs="Arial"/>
                <w:sz w:val="18"/>
                <w:szCs w:val="18"/>
                <w:lang w:val="nl-NL" w:eastAsia="nl-NL"/>
              </w:rPr>
            </w:pPr>
            <w:r>
              <w:rPr>
                <w:rFonts w:ascii="Arial" w:hAnsi="Arial" w:cs="Arial"/>
                <w:sz w:val="18"/>
                <w:szCs w:val="18"/>
                <w:lang w:val="nl-NL" w:eastAsia="nl-NL"/>
              </w:rPr>
              <w:t xml:space="preserve"> </w:t>
            </w:r>
            <w:r w:rsidRPr="005A3A64">
              <w:rPr>
                <w:rFonts w:ascii="Arial" w:hAnsi="Arial" w:cs="Arial"/>
                <w:sz w:val="18"/>
                <w:szCs w:val="18"/>
                <w:lang w:val="nl-NL" w:eastAsia="nl-NL"/>
              </w:rPr>
              <w:t>1</w:t>
            </w:r>
          </w:p>
        </w:tc>
      </w:tr>
      <w:tr w:rsidR="00961571" w:rsidRPr="005A3A64" w:rsidTr="003314C4">
        <w:trPr>
          <w:trHeight w:val="281"/>
        </w:trPr>
        <w:tc>
          <w:tcPr>
            <w:tcW w:w="3942"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 </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549" w:type="dxa"/>
            <w:tcBorders>
              <w:top w:val="nil"/>
              <w:left w:val="nil"/>
              <w:bottom w:val="nil"/>
              <w:right w:val="nil"/>
            </w:tcBorders>
            <w:shd w:val="clear" w:color="000000" w:fill="CCFFFF"/>
            <w:noWrap/>
            <w:vAlign w:val="bottom"/>
            <w:hideMark/>
          </w:tcPr>
          <w:p w:rsidR="00961571" w:rsidRPr="005A3A64" w:rsidRDefault="00961571" w:rsidP="009C525B">
            <w:pPr>
              <w:jc w:val="right"/>
              <w:rPr>
                <w:rFonts w:ascii="Arial" w:hAnsi="Arial" w:cs="Arial"/>
                <w:sz w:val="18"/>
                <w:szCs w:val="18"/>
                <w:lang w:val="nl-NL" w:eastAsia="nl-NL"/>
              </w:rPr>
            </w:pPr>
            <w:r w:rsidRPr="005A3A64">
              <w:rPr>
                <w:rFonts w:ascii="Arial" w:hAnsi="Arial" w:cs="Arial"/>
                <w:sz w:val="18"/>
                <w:szCs w:val="18"/>
                <w:lang w:val="nl-NL" w:eastAsia="nl-NL"/>
              </w:rPr>
              <w:t>____</w:t>
            </w:r>
          </w:p>
        </w:tc>
        <w:tc>
          <w:tcPr>
            <w:tcW w:w="786" w:type="dxa"/>
            <w:tcBorders>
              <w:top w:val="nil"/>
              <w:left w:val="nil"/>
              <w:bottom w:val="nil"/>
              <w:right w:val="nil"/>
            </w:tcBorders>
            <w:shd w:val="clear" w:color="000000" w:fill="CCFFFF"/>
            <w:noWrap/>
            <w:vAlign w:val="bottom"/>
            <w:hideMark/>
          </w:tcPr>
          <w:p w:rsidR="00961571" w:rsidRPr="005A3A64" w:rsidRDefault="00961571" w:rsidP="009C525B">
            <w:pPr>
              <w:rPr>
                <w:rFonts w:ascii="Arial" w:hAnsi="Arial" w:cs="Arial"/>
                <w:sz w:val="18"/>
                <w:szCs w:val="18"/>
                <w:lang w:val="nl-NL" w:eastAsia="nl-NL"/>
              </w:rPr>
            </w:pPr>
            <w:r w:rsidRPr="005A3A64">
              <w:rPr>
                <w:rFonts w:ascii="Arial" w:hAnsi="Arial" w:cs="Arial"/>
                <w:sz w:val="18"/>
                <w:szCs w:val="18"/>
                <w:lang w:val="nl-NL" w:eastAsia="nl-NL"/>
              </w:rPr>
              <w:t>____</w:t>
            </w:r>
          </w:p>
        </w:tc>
      </w:tr>
      <w:tr w:rsidR="00961571" w:rsidRPr="005A3A64" w:rsidTr="003314C4">
        <w:trPr>
          <w:trHeight w:val="281"/>
        </w:trPr>
        <w:tc>
          <w:tcPr>
            <w:tcW w:w="3942" w:type="dxa"/>
            <w:tcBorders>
              <w:top w:val="nil"/>
              <w:left w:val="nil"/>
              <w:bottom w:val="single" w:sz="8" w:space="0" w:color="auto"/>
              <w:right w:val="nil"/>
            </w:tcBorders>
            <w:shd w:val="clear" w:color="000000" w:fill="FFFFFF"/>
            <w:noWrap/>
            <w:vAlign w:val="bottom"/>
            <w:hideMark/>
          </w:tcPr>
          <w:p w:rsidR="00961571" w:rsidRPr="005A3A64" w:rsidRDefault="00961571" w:rsidP="009C525B">
            <w:pPr>
              <w:rPr>
                <w:rFonts w:ascii="Arial" w:hAnsi="Arial" w:cs="Arial"/>
                <w:b/>
                <w:bCs/>
                <w:sz w:val="18"/>
                <w:szCs w:val="18"/>
                <w:lang w:val="nl-NL" w:eastAsia="nl-NL"/>
              </w:rPr>
            </w:pPr>
            <w:r w:rsidRPr="005A3A64">
              <w:rPr>
                <w:rFonts w:ascii="Arial" w:hAnsi="Arial" w:cs="Arial"/>
                <w:b/>
                <w:bCs/>
                <w:sz w:val="18"/>
                <w:szCs w:val="18"/>
                <w:lang w:val="nl-NL" w:eastAsia="nl-NL"/>
              </w:rPr>
              <w:t>Total</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926</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875</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839</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800</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767</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713</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656</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579</w:t>
            </w:r>
          </w:p>
        </w:tc>
        <w:tc>
          <w:tcPr>
            <w:tcW w:w="549" w:type="dxa"/>
            <w:tcBorders>
              <w:top w:val="nil"/>
              <w:left w:val="nil"/>
              <w:bottom w:val="single" w:sz="8" w:space="0" w:color="auto"/>
              <w:right w:val="nil"/>
            </w:tcBorders>
            <w:shd w:val="clear" w:color="000000" w:fill="FFFFFF"/>
            <w:noWrap/>
            <w:vAlign w:val="bottom"/>
            <w:hideMark/>
          </w:tcPr>
          <w:p w:rsidR="00961571" w:rsidRPr="005A3A64" w:rsidRDefault="00961571" w:rsidP="009C525B">
            <w:pPr>
              <w:jc w:val="right"/>
              <w:rPr>
                <w:rFonts w:ascii="Arial" w:hAnsi="Arial" w:cs="Arial"/>
                <w:b/>
                <w:bCs/>
                <w:sz w:val="18"/>
                <w:szCs w:val="18"/>
                <w:lang w:val="nl-NL" w:eastAsia="nl-NL"/>
              </w:rPr>
            </w:pPr>
            <w:r w:rsidRPr="005A3A64">
              <w:rPr>
                <w:rFonts w:ascii="Arial" w:hAnsi="Arial" w:cs="Arial"/>
                <w:b/>
                <w:bCs/>
                <w:sz w:val="18"/>
                <w:szCs w:val="18"/>
                <w:lang w:val="nl-NL" w:eastAsia="nl-NL"/>
              </w:rPr>
              <w:t>514</w:t>
            </w:r>
          </w:p>
        </w:tc>
        <w:tc>
          <w:tcPr>
            <w:tcW w:w="786" w:type="dxa"/>
            <w:tcBorders>
              <w:top w:val="nil"/>
              <w:left w:val="nil"/>
              <w:bottom w:val="single" w:sz="8" w:space="0" w:color="auto"/>
              <w:right w:val="nil"/>
            </w:tcBorders>
            <w:shd w:val="clear" w:color="000000" w:fill="FFFFFF"/>
            <w:noWrap/>
            <w:vAlign w:val="bottom"/>
            <w:hideMark/>
          </w:tcPr>
          <w:p w:rsidR="00961571" w:rsidRPr="005A3A64" w:rsidRDefault="00961571" w:rsidP="009C525B">
            <w:pPr>
              <w:rPr>
                <w:rFonts w:ascii="Arial" w:hAnsi="Arial" w:cs="Arial"/>
                <w:b/>
                <w:bCs/>
                <w:sz w:val="18"/>
                <w:szCs w:val="18"/>
                <w:lang w:val="nl-NL" w:eastAsia="nl-NL"/>
              </w:rPr>
            </w:pPr>
            <w:r>
              <w:rPr>
                <w:rFonts w:ascii="Arial" w:hAnsi="Arial" w:cs="Arial"/>
                <w:b/>
                <w:bCs/>
                <w:sz w:val="18"/>
                <w:szCs w:val="18"/>
                <w:lang w:val="nl-NL" w:eastAsia="nl-NL"/>
              </w:rPr>
              <w:t xml:space="preserve">  </w:t>
            </w:r>
            <w:r w:rsidRPr="005A3A64">
              <w:rPr>
                <w:rFonts w:ascii="Arial" w:hAnsi="Arial" w:cs="Arial"/>
                <w:b/>
                <w:bCs/>
                <w:sz w:val="18"/>
                <w:szCs w:val="18"/>
                <w:lang w:val="nl-NL" w:eastAsia="nl-NL"/>
              </w:rPr>
              <w:t>454</w:t>
            </w:r>
          </w:p>
        </w:tc>
      </w:tr>
    </w:tbl>
    <w:p w:rsidR="00961571" w:rsidRPr="00961571" w:rsidRDefault="00961571" w:rsidP="00961571"/>
    <w:p w:rsidR="00EB73F1" w:rsidRDefault="00EB73F1" w:rsidP="00EB73F1">
      <w:pPr>
        <w:rPr>
          <w:rStyle w:val="Hyperlink"/>
          <w:lang w:val="fr-FR"/>
        </w:rPr>
      </w:pPr>
      <w:r w:rsidRPr="00E901D2">
        <w:rPr>
          <w:lang w:val="fr-FR"/>
        </w:rPr>
        <w:t xml:space="preserve">Source: DNB; </w:t>
      </w:r>
      <w:hyperlink r:id="rId23" w:history="1">
        <w:r w:rsidRPr="00E901D2">
          <w:rPr>
            <w:rStyle w:val="Hyperlink"/>
            <w:lang w:val="fr-FR"/>
          </w:rPr>
          <w:t>http://www.statistics.dnb.nl/index.cgi?lang=nl&amp;todo=PenReg</w:t>
        </w:r>
      </w:hyperlink>
      <w:r w:rsidR="003C30EB" w:rsidRPr="003C30EB">
        <w:t xml:space="preserve"> (29-4-2012)</w:t>
      </w:r>
    </w:p>
    <w:p w:rsidR="00A7369C" w:rsidRDefault="00A7369C">
      <w:pPr>
        <w:rPr>
          <w:rStyle w:val="Hyperlink"/>
          <w:lang w:val="fr-FR"/>
        </w:rPr>
      </w:pPr>
      <w:r>
        <w:rPr>
          <w:rStyle w:val="Hyperlink"/>
          <w:lang w:val="fr-FR"/>
        </w:rPr>
        <w:br w:type="page"/>
      </w:r>
    </w:p>
    <w:p w:rsidR="00A23649" w:rsidRDefault="00A7369C" w:rsidP="00A23649">
      <w:pPr>
        <w:pStyle w:val="Kop1"/>
        <w:numPr>
          <w:ilvl w:val="0"/>
          <w:numId w:val="0"/>
        </w:numPr>
        <w:ind w:left="432" w:hanging="432"/>
        <w:rPr>
          <w:sz w:val="24"/>
          <w:szCs w:val="24"/>
        </w:rPr>
      </w:pPr>
      <w:bookmarkStart w:id="75" w:name="_Toc355387323"/>
      <w:r>
        <w:rPr>
          <w:sz w:val="24"/>
          <w:szCs w:val="24"/>
        </w:rPr>
        <w:t>Appendix 3</w:t>
      </w:r>
      <w:r w:rsidR="00A23649" w:rsidRPr="000C6E80">
        <w:rPr>
          <w:sz w:val="24"/>
          <w:szCs w:val="24"/>
        </w:rPr>
        <w:tab/>
      </w:r>
      <w:r w:rsidR="00A23649">
        <w:rPr>
          <w:sz w:val="24"/>
          <w:szCs w:val="24"/>
        </w:rPr>
        <w:t>Investments of Dutch pension funds</w:t>
      </w:r>
      <w:bookmarkEnd w:id="75"/>
    </w:p>
    <w:p w:rsidR="00A7369C" w:rsidRPr="00A7369C" w:rsidRDefault="00A7369C" w:rsidP="00A7369C"/>
    <w:p w:rsidR="00A23649" w:rsidRDefault="00A36AA2" w:rsidP="00001CA9">
      <w:r>
        <w:rPr>
          <w:noProof/>
          <w:lang w:val="nl-NL" w:eastAsia="nl-NL" w:bidi="ar-SA"/>
        </w:rPr>
        <w:drawing>
          <wp:inline distT="0" distB="0" distL="0" distR="0">
            <wp:extent cx="5747385" cy="3040380"/>
            <wp:effectExtent l="19050" t="0" r="5715"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747385" cy="3040380"/>
                    </a:xfrm>
                    <a:prstGeom prst="rect">
                      <a:avLst/>
                    </a:prstGeom>
                    <a:noFill/>
                    <a:ln w="9525">
                      <a:noFill/>
                      <a:miter lim="800000"/>
                      <a:headEnd/>
                      <a:tailEnd/>
                    </a:ln>
                  </pic:spPr>
                </pic:pic>
              </a:graphicData>
            </a:graphic>
          </wp:inline>
        </w:drawing>
      </w:r>
    </w:p>
    <w:p w:rsidR="008078CA" w:rsidRDefault="00A23649" w:rsidP="009C525B">
      <w:pPr>
        <w:rPr>
          <w:lang w:val="fr-FR"/>
        </w:rPr>
      </w:pPr>
      <w:r w:rsidRPr="00A23649">
        <w:rPr>
          <w:lang w:val="fr-FR"/>
        </w:rPr>
        <w:t>Source:</w:t>
      </w:r>
      <w:r w:rsidR="008078CA">
        <w:rPr>
          <w:lang w:val="fr-FR"/>
        </w:rPr>
        <w:t xml:space="preserve"> CBS;</w:t>
      </w:r>
    </w:p>
    <w:p w:rsidR="00A23649" w:rsidRDefault="003E0D8B" w:rsidP="009C525B">
      <w:pPr>
        <w:rPr>
          <w:rStyle w:val="Hyperlink"/>
          <w:bCs/>
          <w:sz w:val="23"/>
          <w:szCs w:val="23"/>
          <w:lang w:val="fr-FR"/>
        </w:rPr>
      </w:pPr>
      <w:hyperlink r:id="rId25" w:history="1">
        <w:r w:rsidR="007A0FD4" w:rsidRPr="00371BE6">
          <w:rPr>
            <w:rStyle w:val="Hyperlink"/>
            <w:bCs/>
            <w:sz w:val="23"/>
            <w:szCs w:val="23"/>
            <w:lang w:val="fr-FR"/>
          </w:rPr>
          <w:t>http://statline.cbs.nl/StatWeb/publication/?VW=T&amp;DM=SLNL&amp;PA=70140ned&amp;LA=NL</w:t>
        </w:r>
      </w:hyperlink>
      <w:r w:rsidR="00003072" w:rsidRPr="00003072">
        <w:t xml:space="preserve"> (10-2-2013)</w:t>
      </w:r>
    </w:p>
    <w:p w:rsidR="007A0FD4" w:rsidRDefault="007A0FD4" w:rsidP="009C525B">
      <w:pPr>
        <w:rPr>
          <w:rStyle w:val="Hyperlink"/>
          <w:bCs/>
          <w:sz w:val="23"/>
          <w:szCs w:val="23"/>
          <w:lang w:val="fr-FR"/>
        </w:rPr>
      </w:pPr>
    </w:p>
    <w:p w:rsidR="00D60687" w:rsidRDefault="00D60687">
      <w:pPr>
        <w:rPr>
          <w:rStyle w:val="Hyperlink"/>
          <w:bCs/>
          <w:sz w:val="23"/>
          <w:szCs w:val="23"/>
          <w:lang w:val="fr-FR"/>
        </w:rPr>
      </w:pPr>
    </w:p>
    <w:p w:rsidR="007A0FD4" w:rsidRPr="000C6E80" w:rsidRDefault="007A0FD4" w:rsidP="007A0FD4">
      <w:pPr>
        <w:pStyle w:val="Kop1"/>
        <w:numPr>
          <w:ilvl w:val="0"/>
          <w:numId w:val="0"/>
        </w:numPr>
        <w:ind w:left="432" w:hanging="432"/>
        <w:rPr>
          <w:b w:val="0"/>
          <w:sz w:val="24"/>
          <w:szCs w:val="24"/>
        </w:rPr>
      </w:pPr>
      <w:bookmarkStart w:id="76" w:name="_Toc355387324"/>
      <w:r>
        <w:rPr>
          <w:sz w:val="24"/>
          <w:szCs w:val="24"/>
        </w:rPr>
        <w:t xml:space="preserve">Appendix </w:t>
      </w:r>
      <w:r w:rsidR="00A7369C">
        <w:rPr>
          <w:sz w:val="24"/>
          <w:szCs w:val="24"/>
        </w:rPr>
        <w:t>4</w:t>
      </w:r>
      <w:r w:rsidRPr="000C6E80">
        <w:rPr>
          <w:sz w:val="24"/>
          <w:szCs w:val="24"/>
        </w:rPr>
        <w:tab/>
      </w:r>
      <w:r>
        <w:rPr>
          <w:sz w:val="24"/>
          <w:szCs w:val="24"/>
        </w:rPr>
        <w:t>Overview research methods</w:t>
      </w:r>
      <w:bookmarkEnd w:id="76"/>
    </w:p>
    <w:p w:rsidR="007A0FD4" w:rsidRPr="007A0FD4" w:rsidRDefault="007A0FD4" w:rsidP="009C525B">
      <w:pPr>
        <w:rPr>
          <w:b/>
          <w:sz w:val="23"/>
          <w:szCs w:val="23"/>
          <w:lang w:val="en-US"/>
        </w:rPr>
      </w:pPr>
      <w:r w:rsidRPr="007A0FD4">
        <w:rPr>
          <w:noProof/>
          <w:lang w:val="en-US" w:eastAsia="nl-NL" w:bidi="ar-SA"/>
        </w:rPr>
        <w:t xml:space="preserve"> </w:t>
      </w:r>
      <w:r w:rsidR="003E0D8B">
        <w:rPr>
          <w:b/>
          <w:noProof/>
          <w:sz w:val="23"/>
          <w:szCs w:val="23"/>
          <w:lang w:val="nl-NL" w:eastAsia="nl-NL" w:bidi="ar-SA"/>
        </w:rPr>
        <w:pict>
          <v:rect id="Rectangle 23" o:spid="_x0000_s1034" style="position:absolute;margin-left:104.2pt;margin-top:10.3pt;width:157.25pt;height:23.6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0HQLAIAAFA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">
            <v:textbox style="mso-next-textbox:#Rectangle 23">
              <w:txbxContent>
                <w:p w:rsidR="005B4C8D" w:rsidRDefault="005B4C8D">
                  <w:r>
                    <w:t>Narratives in annual reports*</w:t>
                  </w:r>
                </w:p>
              </w:txbxContent>
            </v:textbox>
          </v:rect>
        </w:pict>
      </w:r>
    </w:p>
    <w:p w:rsidR="007A0FD4" w:rsidRPr="007A0FD4" w:rsidRDefault="007A0FD4" w:rsidP="009C525B">
      <w:pPr>
        <w:rPr>
          <w:b/>
          <w:sz w:val="23"/>
          <w:szCs w:val="23"/>
          <w:lang w:val="en-US"/>
        </w:rPr>
      </w:pPr>
    </w:p>
    <w:p w:rsidR="007A0FD4" w:rsidRPr="007A0FD4" w:rsidRDefault="003E0D8B" w:rsidP="009C525B">
      <w:pPr>
        <w:rPr>
          <w:b/>
          <w:sz w:val="23"/>
          <w:szCs w:val="23"/>
          <w:lang w:val="en-US"/>
        </w:rPr>
      </w:pPr>
      <w:r>
        <w:rPr>
          <w:b/>
          <w:noProof/>
          <w:sz w:val="23"/>
          <w:szCs w:val="23"/>
          <w:lang w:val="nl-NL" w:eastAsia="nl-NL" w:bidi="ar-SA"/>
        </w:rPr>
        <w:pict>
          <v:shape id="AutoShape 35" o:spid="_x0000_s1093" type="#_x0000_t32" style="position:absolute;margin-left:177.35pt;margin-top:7.45pt;width:0;height:14.9pt;z-index:251650048;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9OIAIAADw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"/>
        </w:pict>
      </w:r>
    </w:p>
    <w:p w:rsidR="007A0FD4" w:rsidRPr="007A0FD4" w:rsidRDefault="003E0D8B" w:rsidP="009C525B">
      <w:pPr>
        <w:rPr>
          <w:b/>
          <w:sz w:val="23"/>
          <w:szCs w:val="23"/>
          <w:lang w:val="en-US"/>
        </w:rPr>
      </w:pPr>
      <w:r>
        <w:rPr>
          <w:b/>
          <w:noProof/>
          <w:sz w:val="23"/>
          <w:szCs w:val="23"/>
          <w:lang w:val="nl-NL" w:eastAsia="nl-NL"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092" type="#_x0000_t34" style="position:absolute;margin-left:42.1pt;margin-top:8.75pt;width:287.9pt;height:.1pt;z-index:2516459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"/>
        </w:pict>
      </w:r>
      <w:r>
        <w:rPr>
          <w:b/>
          <w:noProof/>
          <w:sz w:val="23"/>
          <w:szCs w:val="23"/>
          <w:lang w:val="nl-NL" w:eastAsia="nl-NL" w:bidi="ar-SA"/>
        </w:rPr>
        <w:pict>
          <v:shape id="AutoShape 32" o:spid="_x0000_s1091" type="#_x0000_t32" style="position:absolute;margin-left:42.1pt;margin-top:8.75pt;width:0;height:14.9pt;z-index:25164800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UrIAIAADw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"/>
        </w:pict>
      </w:r>
      <w:r>
        <w:rPr>
          <w:b/>
          <w:noProof/>
          <w:sz w:val="23"/>
          <w:szCs w:val="23"/>
          <w:lang w:val="nl-NL" w:eastAsia="nl-NL" w:bidi="ar-SA"/>
        </w:rPr>
        <w:pict>
          <v:shape id="AutoShape 31" o:spid="_x0000_s1090" type="#_x0000_t32" style="position:absolute;margin-left:330pt;margin-top:8.8pt;width:0;height:14.9pt;z-index:251646976;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ufIQIAADw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"/>
        </w:pict>
      </w:r>
    </w:p>
    <w:p w:rsidR="007A0FD4" w:rsidRPr="007A0FD4" w:rsidRDefault="003E0D8B" w:rsidP="009C525B">
      <w:pPr>
        <w:rPr>
          <w:b/>
          <w:sz w:val="23"/>
          <w:szCs w:val="23"/>
          <w:lang w:val="en-US"/>
        </w:rPr>
      </w:pPr>
      <w:r>
        <w:rPr>
          <w:b/>
          <w:noProof/>
          <w:sz w:val="23"/>
          <w:szCs w:val="23"/>
          <w:lang w:val="nl-NL" w:eastAsia="nl-NL" w:bidi="ar-SA"/>
        </w:rPr>
        <w:pict>
          <v:rect id="Rectangle 24" o:spid="_x0000_s1035" style="position:absolute;margin-left:-33.25pt;margin-top:10.5pt;width:144.85pt;height:50.6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">
            <v:textbox style="mso-next-textbox:#Rectangle 24">
              <w:txbxContent>
                <w:p w:rsidR="005B4C8D" w:rsidRPr="00E32A44" w:rsidRDefault="005B4C8D" w:rsidP="00E32A44">
                  <w:pPr>
                    <w:ind w:left="360"/>
                    <w:jc w:val="center"/>
                  </w:pPr>
                  <w:r>
                    <w:t>Disc</w:t>
                  </w:r>
                  <w:r w:rsidRPr="00E32A44">
                    <w:t>losure survey questionnaires and interviews</w:t>
                  </w:r>
                  <w:r>
                    <w:t xml:space="preserve"> (2.6.1)</w:t>
                  </w:r>
                </w:p>
              </w:txbxContent>
            </v:textbox>
          </v:rect>
        </w:pict>
      </w:r>
      <w:r w:rsidRPr="003E0D8B">
        <w:rPr>
          <w:noProof/>
          <w:lang w:val="nl-NL" w:eastAsia="nl-NL" w:bidi="ar-SA"/>
        </w:rPr>
        <w:pict>
          <v:rect id="Rectangle 22" o:spid="_x0000_s1036" style="position:absolute;margin-left:295.4pt;margin-top:10.45pt;width:1in;height:35.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">
            <v:textbox style="mso-next-textbox:#Rectangle 22">
              <w:txbxContent>
                <w:p w:rsidR="005B4C8D" w:rsidRDefault="005B4C8D" w:rsidP="005C1C63">
                  <w:pPr>
                    <w:jc w:val="center"/>
                  </w:pPr>
                  <w:r>
                    <w:t>Semi-objective</w:t>
                  </w:r>
                </w:p>
              </w:txbxContent>
            </v:textbox>
          </v:rect>
        </w:pict>
      </w:r>
    </w:p>
    <w:p w:rsidR="007A0FD4" w:rsidRPr="007A0FD4" w:rsidRDefault="007A0FD4" w:rsidP="009C525B">
      <w:pPr>
        <w:rPr>
          <w:b/>
          <w:sz w:val="23"/>
          <w:szCs w:val="23"/>
          <w:lang w:val="en-US"/>
        </w:rPr>
      </w:pPr>
    </w:p>
    <w:p w:rsidR="007A0FD4" w:rsidRPr="007A0FD4" w:rsidRDefault="003E0D8B" w:rsidP="009C525B">
      <w:pPr>
        <w:rPr>
          <w:b/>
          <w:sz w:val="23"/>
          <w:szCs w:val="23"/>
          <w:lang w:val="en-US"/>
        </w:rPr>
      </w:pPr>
      <w:r>
        <w:rPr>
          <w:b/>
          <w:noProof/>
          <w:sz w:val="23"/>
          <w:szCs w:val="23"/>
          <w:lang w:val="nl-NL" w:eastAsia="nl-NL" w:bidi="ar-SA"/>
        </w:rPr>
        <w:pict>
          <v:shape id="AutoShape 39" o:spid="_x0000_s1089" type="#_x0000_t32" style="position:absolute;margin-left:145.1pt;margin-top:1.35pt;width:0;height:87.3pt;z-index:251652096;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RI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"/>
        </w:pict>
      </w:r>
      <w:r>
        <w:rPr>
          <w:b/>
          <w:noProof/>
          <w:sz w:val="23"/>
          <w:szCs w:val="23"/>
          <w:lang w:val="nl-NL" w:eastAsia="nl-NL" w:bidi="ar-SA"/>
        </w:rPr>
        <w:pict>
          <v:shape id="AutoShape 38" o:spid="_x0000_s1088" type="#_x0000_t32" style="position:absolute;margin-left:145.1pt;margin-top:1.35pt;width:150.3pt;height:0;flip:x;z-index:25165107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"/>
        </w:pict>
      </w:r>
    </w:p>
    <w:p w:rsidR="007A0FD4" w:rsidRPr="007A0FD4" w:rsidRDefault="003E0D8B" w:rsidP="009C525B">
      <w:pPr>
        <w:rPr>
          <w:b/>
          <w:sz w:val="23"/>
          <w:szCs w:val="23"/>
          <w:lang w:val="en-US"/>
        </w:rPr>
      </w:pPr>
      <w:r>
        <w:rPr>
          <w:b/>
          <w:noProof/>
          <w:sz w:val="23"/>
          <w:szCs w:val="23"/>
          <w:lang w:val="nl-NL" w:eastAsia="nl-NL" w:bidi="ar-SA"/>
        </w:rPr>
        <w:pict>
          <v:shape id="AutoShape 33" o:spid="_x0000_s1087" type="#_x0000_t32" style="position:absolute;margin-left:330pt;margin-top:6.55pt;width:0;height:14.9pt;z-index:251649024;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"/>
        </w:pict>
      </w:r>
    </w:p>
    <w:p w:rsidR="007A0FD4" w:rsidRPr="007A0FD4" w:rsidRDefault="003E0D8B" w:rsidP="009C525B">
      <w:pPr>
        <w:rPr>
          <w:b/>
          <w:sz w:val="23"/>
          <w:szCs w:val="23"/>
          <w:lang w:val="en-US"/>
        </w:rPr>
      </w:pPr>
      <w:r>
        <w:rPr>
          <w:b/>
          <w:noProof/>
          <w:sz w:val="23"/>
          <w:szCs w:val="23"/>
          <w:lang w:val="nl-NL" w:eastAsia="nl-NL" w:bidi="ar-SA"/>
        </w:rPr>
        <w:pict>
          <v:shape id="_x0000_s1086" type="#_x0000_t32" style="position:absolute;margin-left:42.1pt;margin-top:8.25pt;width:0;height:14.9pt;z-index:251696128;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MZHwIAADw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"/>
        </w:pict>
      </w:r>
      <w:r>
        <w:rPr>
          <w:b/>
          <w:noProof/>
          <w:sz w:val="23"/>
          <w:szCs w:val="23"/>
          <w:lang w:val="nl-NL" w:eastAsia="nl-NL" w:bidi="ar-SA"/>
        </w:rPr>
        <w:pict>
          <v:rect id="Rectangle 21" o:spid="_x0000_s1037" style="position:absolute;margin-left:272.2pt;margin-top:8.2pt;width:125.55pt;height:24.2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">
            <v:textbox style="mso-next-textbox:#Rectangle 21">
              <w:txbxContent>
                <w:p w:rsidR="005B4C8D" w:rsidRDefault="005B4C8D" w:rsidP="005C1C63">
                  <w:pPr>
                    <w:jc w:val="center"/>
                  </w:pPr>
                  <w:r>
                    <w:t>Textual analyses</w:t>
                  </w:r>
                </w:p>
              </w:txbxContent>
            </v:textbox>
          </v:rect>
        </w:pict>
      </w:r>
      <w:r w:rsidR="007A0FD4" w:rsidRPr="007A0FD4">
        <w:rPr>
          <w:noProof/>
          <w:lang w:val="en-US" w:eastAsia="nl-NL" w:bidi="ar-SA"/>
        </w:rPr>
        <w:t xml:space="preserve"> </w:t>
      </w:r>
    </w:p>
    <w:p w:rsidR="007A0FD4" w:rsidRPr="007A0FD4" w:rsidRDefault="003E0D8B" w:rsidP="009C525B">
      <w:pPr>
        <w:rPr>
          <w:b/>
          <w:sz w:val="23"/>
          <w:szCs w:val="23"/>
          <w:lang w:val="en-US"/>
        </w:rPr>
      </w:pPr>
      <w:r>
        <w:rPr>
          <w:b/>
          <w:noProof/>
          <w:sz w:val="23"/>
          <w:szCs w:val="23"/>
          <w:lang w:val="nl-NL" w:eastAsia="nl-NL" w:bidi="ar-SA"/>
        </w:rPr>
        <w:pict>
          <v:rect id="_x0000_s1038" style="position:absolute;margin-left:.25pt;margin-top:10.4pt;width:81.2pt;height:38.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">
            <v:textbox style="mso-next-textbox:#_x0000_s1038">
              <w:txbxContent>
                <w:p w:rsidR="005B4C8D" w:rsidRDefault="005B4C8D" w:rsidP="00F31930">
                  <w:pPr>
                    <w:jc w:val="center"/>
                  </w:pPr>
                  <w:r>
                    <w:t>Subjective ratings</w:t>
                  </w:r>
                </w:p>
              </w:txbxContent>
            </v:textbox>
          </v:rect>
        </w:pict>
      </w:r>
    </w:p>
    <w:p w:rsidR="007A0FD4" w:rsidRPr="007A0FD4" w:rsidRDefault="003E0D8B" w:rsidP="009C525B">
      <w:pPr>
        <w:rPr>
          <w:b/>
          <w:sz w:val="23"/>
          <w:szCs w:val="23"/>
          <w:lang w:val="en-US"/>
        </w:rPr>
      </w:pPr>
      <w:r>
        <w:rPr>
          <w:b/>
          <w:noProof/>
          <w:sz w:val="23"/>
          <w:szCs w:val="23"/>
          <w:lang w:val="nl-NL" w:eastAsia="nl-NL" w:bidi="ar-SA"/>
        </w:rPr>
        <w:pict>
          <v:shape id="AutoShape 40" o:spid="_x0000_s1085" type="#_x0000_t32" style="position:absolute;margin-left:330pt;margin-top:5.95pt;width:0;height:14.9pt;z-index:25165312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HwIAADw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"/>
        </w:pict>
      </w:r>
    </w:p>
    <w:p w:rsidR="007A0FD4" w:rsidRPr="007A0FD4" w:rsidRDefault="003E0D8B" w:rsidP="009C525B">
      <w:pPr>
        <w:rPr>
          <w:b/>
          <w:sz w:val="23"/>
          <w:szCs w:val="23"/>
          <w:lang w:val="en-US"/>
        </w:rPr>
      </w:pPr>
      <w:r>
        <w:rPr>
          <w:b/>
          <w:noProof/>
          <w:sz w:val="23"/>
          <w:szCs w:val="23"/>
          <w:lang w:val="nl-NL" w:eastAsia="nl-NL" w:bidi="ar-SA"/>
        </w:rPr>
        <w:pict>
          <v:shape id="AutoShape 45" o:spid="_x0000_s1084" type="#_x0000_t32" style="position:absolute;margin-left:238.4pt;margin-top:7.65pt;width:0;height:14.9pt;z-index:251657216;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98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"/>
        </w:pict>
      </w:r>
      <w:r>
        <w:rPr>
          <w:b/>
          <w:noProof/>
          <w:sz w:val="23"/>
          <w:szCs w:val="23"/>
          <w:lang w:val="nl-NL" w:eastAsia="nl-NL" w:bidi="ar-SA"/>
        </w:rPr>
        <w:pict>
          <v:shape id="AutoShape 43" o:spid="_x0000_s1083" type="#_x0000_t32" style="position:absolute;margin-left:330pt;margin-top:7.65pt;width:0;height:14.9pt;z-index:251656192;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YZ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"/>
        </w:pict>
      </w:r>
      <w:r>
        <w:rPr>
          <w:b/>
          <w:noProof/>
          <w:sz w:val="23"/>
          <w:szCs w:val="23"/>
          <w:lang w:val="nl-NL" w:eastAsia="nl-NL" w:bidi="ar-SA"/>
        </w:rPr>
        <w:pict>
          <v:shape id="AutoShape 42" o:spid="_x0000_s1082" type="#_x0000_t32" style="position:absolute;margin-left:425.6pt;margin-top:7.65pt;width:0;height:14.9pt;z-index:251655168;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5wHwIAADw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"/>
        </w:pict>
      </w:r>
      <w:r>
        <w:rPr>
          <w:b/>
          <w:noProof/>
          <w:sz w:val="23"/>
          <w:szCs w:val="23"/>
          <w:lang w:val="nl-NL" w:eastAsia="nl-NL" w:bidi="ar-SA"/>
        </w:rPr>
        <w:pict>
          <v:shape id="AutoShape 41" o:spid="_x0000_s1081" type="#_x0000_t32" style="position:absolute;margin-left:238.4pt;margin-top:7.65pt;width:187.2pt;height:0;z-index:2516541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Vo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"/>
        </w:pict>
      </w:r>
    </w:p>
    <w:p w:rsidR="007A0FD4" w:rsidRPr="007A0FD4" w:rsidRDefault="003E0D8B" w:rsidP="009C525B">
      <w:pPr>
        <w:rPr>
          <w:b/>
          <w:sz w:val="23"/>
          <w:szCs w:val="23"/>
          <w:lang w:val="en-US"/>
        </w:rPr>
      </w:pPr>
      <w:r>
        <w:rPr>
          <w:b/>
          <w:noProof/>
          <w:sz w:val="23"/>
          <w:szCs w:val="23"/>
          <w:lang w:val="nl-NL" w:eastAsia="nl-NL" w:bidi="ar-SA"/>
        </w:rPr>
        <w:pict>
          <v:rect id="Rectangle 28" o:spid="_x0000_s1039" style="position:absolute;margin-left:385.4pt;margin-top:9.7pt;width:73.65pt;height:52.7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">
            <v:textbox style="mso-next-textbox:#Rectangle 28">
              <w:txbxContent>
                <w:p w:rsidR="005B4C8D" w:rsidRDefault="005B4C8D" w:rsidP="009A5874">
                  <w:pPr>
                    <w:jc w:val="center"/>
                  </w:pPr>
                  <w:r>
                    <w:t xml:space="preserve"> Linguistic analysis</w:t>
                  </w:r>
                </w:p>
                <w:p w:rsidR="005B4C8D" w:rsidRDefault="005B4C8D" w:rsidP="009A5874">
                  <w:pPr>
                    <w:jc w:val="center"/>
                  </w:pPr>
                  <w:r>
                    <w:t>(2.6.5)</w:t>
                  </w:r>
                </w:p>
              </w:txbxContent>
            </v:textbox>
          </v:rect>
        </w:pict>
      </w:r>
      <w:r>
        <w:rPr>
          <w:b/>
          <w:noProof/>
          <w:sz w:val="23"/>
          <w:szCs w:val="23"/>
          <w:lang w:val="nl-NL" w:eastAsia="nl-NL" w:bidi="ar-SA"/>
        </w:rPr>
        <w:pict>
          <v:rect id="Rectangle 27" o:spid="_x0000_s1040" style="position:absolute;margin-left:295.8pt;margin-top:9.7pt;width:1in;height:52.7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">
            <v:textbox style="mso-next-textbox:#Rectangle 27">
              <w:txbxContent>
                <w:p w:rsidR="005B4C8D" w:rsidRDefault="005B4C8D" w:rsidP="009A5874">
                  <w:pPr>
                    <w:jc w:val="center"/>
                  </w:pPr>
                  <w:r>
                    <w:t>Readability</w:t>
                  </w:r>
                </w:p>
                <w:p w:rsidR="005B4C8D" w:rsidRDefault="005B4C8D" w:rsidP="009A5874">
                  <w:pPr>
                    <w:jc w:val="center"/>
                  </w:pPr>
                  <w:r>
                    <w:t>Studies (2.6.4)</w:t>
                  </w:r>
                </w:p>
              </w:txbxContent>
            </v:textbox>
          </v:rect>
        </w:pict>
      </w:r>
      <w:r>
        <w:rPr>
          <w:b/>
          <w:noProof/>
          <w:sz w:val="23"/>
          <w:szCs w:val="23"/>
          <w:lang w:val="nl-NL" w:eastAsia="nl-NL" w:bidi="ar-SA"/>
        </w:rPr>
        <w:pict>
          <v:rect id="Rectangle 26" o:spid="_x0000_s1041" style="position:absolute;margin-left:210.4pt;margin-top:9.7pt;width:1in;height:52.7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">
            <v:textbox style="mso-next-textbox:#Rectangle 26">
              <w:txbxContent>
                <w:p w:rsidR="005B4C8D" w:rsidRDefault="005B4C8D" w:rsidP="009A5874">
                  <w:pPr>
                    <w:jc w:val="center"/>
                  </w:pPr>
                  <w:r>
                    <w:t>Content analysis (2.6.3)</w:t>
                  </w:r>
                </w:p>
              </w:txbxContent>
            </v:textbox>
          </v:rect>
        </w:pict>
      </w:r>
      <w:r>
        <w:rPr>
          <w:b/>
          <w:noProof/>
          <w:sz w:val="23"/>
          <w:szCs w:val="23"/>
          <w:lang w:val="nl-NL" w:eastAsia="nl-NL" w:bidi="ar-SA"/>
        </w:rPr>
        <w:pict>
          <v:rect id="Rectangle 25" o:spid="_x0000_s1042" style="position:absolute;margin-left:107.4pt;margin-top:9.7pt;width:86.4pt;height:52.7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">
            <v:textbox style="mso-next-textbox:#Rectangle 25">
              <w:txbxContent>
                <w:p w:rsidR="005B4C8D" w:rsidRDefault="005B4C8D" w:rsidP="009A5874">
                  <w:pPr>
                    <w:jc w:val="center"/>
                  </w:pPr>
                  <w:r>
                    <w:t>Disclosure index studies (2.6.2)</w:t>
                  </w:r>
                </w:p>
              </w:txbxContent>
            </v:textbox>
          </v:rect>
        </w:pict>
      </w:r>
    </w:p>
    <w:p w:rsidR="007A0FD4" w:rsidRPr="007A0FD4" w:rsidRDefault="007A0FD4" w:rsidP="009C525B">
      <w:pPr>
        <w:rPr>
          <w:b/>
          <w:sz w:val="23"/>
          <w:szCs w:val="23"/>
          <w:lang w:val="en-US"/>
        </w:rPr>
      </w:pPr>
    </w:p>
    <w:p w:rsidR="007A0FD4" w:rsidRPr="007A0FD4" w:rsidRDefault="007A0FD4" w:rsidP="009C525B">
      <w:pPr>
        <w:rPr>
          <w:b/>
          <w:sz w:val="23"/>
          <w:szCs w:val="23"/>
          <w:lang w:val="en-US"/>
        </w:rPr>
      </w:pPr>
    </w:p>
    <w:p w:rsidR="007A0FD4" w:rsidRPr="007A0FD4" w:rsidRDefault="007A0FD4" w:rsidP="009C525B">
      <w:pPr>
        <w:rPr>
          <w:b/>
          <w:sz w:val="23"/>
          <w:szCs w:val="23"/>
          <w:lang w:val="en-US"/>
        </w:rPr>
      </w:pPr>
    </w:p>
    <w:p w:rsidR="007A0FD4" w:rsidRPr="007A0FD4" w:rsidRDefault="007A0FD4" w:rsidP="009C525B">
      <w:pPr>
        <w:rPr>
          <w:b/>
          <w:sz w:val="23"/>
          <w:szCs w:val="23"/>
          <w:lang w:val="en-US"/>
        </w:rPr>
      </w:pPr>
    </w:p>
    <w:p w:rsidR="007A0FD4" w:rsidRPr="007A0FD4" w:rsidRDefault="007A0FD4" w:rsidP="009C525B">
      <w:pPr>
        <w:rPr>
          <w:b/>
          <w:sz w:val="23"/>
          <w:szCs w:val="23"/>
          <w:lang w:val="en-US"/>
        </w:rPr>
      </w:pPr>
    </w:p>
    <w:p w:rsidR="007A0FD4" w:rsidRPr="007A0FD4" w:rsidRDefault="003E0D8B" w:rsidP="009C525B">
      <w:pPr>
        <w:rPr>
          <w:b/>
          <w:sz w:val="23"/>
          <w:szCs w:val="23"/>
          <w:lang w:val="en-US"/>
        </w:rPr>
      </w:pPr>
      <w:r>
        <w:rPr>
          <w:b/>
          <w:noProof/>
          <w:sz w:val="23"/>
          <w:szCs w:val="23"/>
          <w:lang w:val="nl-NL" w:eastAsia="nl-NL" w:bidi="ar-SA"/>
        </w:rPr>
        <w:pict>
          <v:shapetype id="_x0000_t202" coordsize="21600,21600" o:spt="202" path="m,l,21600r21600,l21600,xe">
            <v:stroke joinstyle="miter"/>
            <v:path gradientshapeok="t" o:connecttype="rect"/>
          </v:shapetype>
          <v:shape id="Tekstvak 46" o:spid="_x0000_s1043" type="#_x0000_t202" style="position:absolute;margin-left:-22.35pt;margin-top:-.15pt;width:466.6pt;height:45.2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" filled="f" stroked="f">
            <v:path arrowok="t"/>
            <v:textbox style="mso-next-textbox:#Tekstvak 46;mso-fit-shape-to-text:t">
              <w:txbxContent>
                <w:p w:rsidR="005B4C8D" w:rsidRDefault="005B4C8D" w:rsidP="007A0FD4">
                  <w:pPr>
                    <w:pStyle w:val="Lijstalinea"/>
                    <w:numPr>
                      <w:ilvl w:val="0"/>
                      <w:numId w:val="17"/>
                    </w:numPr>
                    <w:rPr>
                      <w:sz w:val="22"/>
                    </w:rPr>
                  </w:pPr>
                  <w:r w:rsidRPr="007A0FD4">
                    <w:rPr>
                      <w:color w:val="000000" w:themeColor="text1"/>
                      <w:kern w:val="24"/>
                      <w:sz w:val="22"/>
                      <w:szCs w:val="22"/>
                    </w:rPr>
                    <w:t>Underlying construct of these stu</w:t>
                  </w:r>
                  <w:r>
                    <w:rPr>
                      <w:color w:val="000000" w:themeColor="text1"/>
                      <w:kern w:val="24"/>
                      <w:sz w:val="22"/>
                      <w:szCs w:val="22"/>
                    </w:rPr>
                    <w:t>dies is</w:t>
                  </w:r>
                  <w:r w:rsidRPr="007A0FD4">
                    <w:rPr>
                      <w:color w:val="000000" w:themeColor="text1"/>
                      <w:kern w:val="24"/>
                      <w:sz w:val="22"/>
                      <w:szCs w:val="22"/>
                    </w:rPr>
                    <w:t xml:space="preserve"> often ‘disclosure quality’</w:t>
                  </w:r>
                </w:p>
                <w:p w:rsidR="005B4C8D" w:rsidRDefault="005B4C8D" w:rsidP="007A0FD4">
                  <w:pPr>
                    <w:pStyle w:val="Normaalweb"/>
                    <w:spacing w:before="0" w:beforeAutospacing="0" w:after="0" w:afterAutospacing="0"/>
                    <w:ind w:firstLine="360"/>
                    <w:rPr>
                      <w:color w:val="000000" w:themeColor="text1"/>
                      <w:kern w:val="24"/>
                      <w:sz w:val="22"/>
                      <w:szCs w:val="22"/>
                    </w:rPr>
                  </w:pPr>
                  <w:r w:rsidRPr="007A0FD4">
                    <w:rPr>
                      <w:color w:val="000000" w:themeColor="text1"/>
                      <w:kern w:val="24"/>
                      <w:sz w:val="22"/>
                      <w:szCs w:val="22"/>
                    </w:rPr>
                    <w:t>Source: Beattie et al. (2004)</w:t>
                  </w:r>
                </w:p>
                <w:p w:rsidR="005B4C8D" w:rsidRDefault="005B4C8D" w:rsidP="007A0FD4">
                  <w:pPr>
                    <w:pStyle w:val="Normaalweb"/>
                    <w:spacing w:before="0" w:beforeAutospacing="0" w:after="0" w:afterAutospacing="0"/>
                    <w:ind w:firstLine="360"/>
                    <w:rPr>
                      <w:rFonts w:eastAsiaTheme="minorEastAsia"/>
                    </w:rPr>
                  </w:pPr>
                  <w:r>
                    <w:rPr>
                      <w:color w:val="000000" w:themeColor="text1"/>
                      <w:kern w:val="24"/>
                      <w:sz w:val="22"/>
                      <w:szCs w:val="22"/>
                    </w:rPr>
                    <w:t>Between brackets the paragraph in which the research method is further explained</w:t>
                  </w:r>
                </w:p>
              </w:txbxContent>
            </v:textbox>
          </v:shape>
        </w:pict>
      </w:r>
    </w:p>
    <w:p w:rsidR="007A0FD4" w:rsidRPr="007A0FD4" w:rsidRDefault="007A0FD4" w:rsidP="009C525B">
      <w:pPr>
        <w:rPr>
          <w:b/>
          <w:sz w:val="23"/>
          <w:szCs w:val="23"/>
          <w:lang w:val="en-US"/>
        </w:rPr>
      </w:pPr>
    </w:p>
    <w:p w:rsidR="007A0FD4" w:rsidRPr="007A0FD4" w:rsidRDefault="007A0FD4" w:rsidP="009C525B">
      <w:pPr>
        <w:rPr>
          <w:b/>
          <w:sz w:val="23"/>
          <w:szCs w:val="23"/>
          <w:lang w:val="en-US"/>
        </w:rPr>
      </w:pPr>
    </w:p>
    <w:p w:rsidR="00A7369C" w:rsidRDefault="00A7369C">
      <w:pPr>
        <w:rPr>
          <w:b/>
          <w:sz w:val="23"/>
          <w:szCs w:val="23"/>
          <w:lang w:val="en-US"/>
        </w:rPr>
      </w:pPr>
      <w:r>
        <w:rPr>
          <w:b/>
          <w:sz w:val="23"/>
          <w:szCs w:val="23"/>
          <w:lang w:val="en-US"/>
        </w:rPr>
        <w:br w:type="page"/>
      </w:r>
    </w:p>
    <w:p w:rsidR="004B21F0" w:rsidRPr="000C6E80" w:rsidRDefault="00A23649" w:rsidP="004B21F0">
      <w:pPr>
        <w:pStyle w:val="Kop1"/>
        <w:numPr>
          <w:ilvl w:val="0"/>
          <w:numId w:val="0"/>
        </w:numPr>
        <w:ind w:left="432" w:hanging="432"/>
        <w:rPr>
          <w:b w:val="0"/>
          <w:sz w:val="24"/>
          <w:szCs w:val="24"/>
        </w:rPr>
      </w:pPr>
      <w:bookmarkStart w:id="77" w:name="_Toc355387325"/>
      <w:r>
        <w:rPr>
          <w:sz w:val="24"/>
          <w:szCs w:val="24"/>
        </w:rPr>
        <w:t xml:space="preserve">Appendix </w:t>
      </w:r>
      <w:r w:rsidR="00A7369C">
        <w:rPr>
          <w:sz w:val="24"/>
          <w:szCs w:val="24"/>
        </w:rPr>
        <w:t>5</w:t>
      </w:r>
      <w:r w:rsidR="004B21F0" w:rsidRPr="000C6E80">
        <w:rPr>
          <w:sz w:val="24"/>
          <w:szCs w:val="24"/>
        </w:rPr>
        <w:tab/>
      </w:r>
      <w:r w:rsidR="00C900F1">
        <w:rPr>
          <w:sz w:val="24"/>
          <w:szCs w:val="24"/>
        </w:rPr>
        <w:t>Dutch Guidelines of Annual Reporting – Risk paragraph</w:t>
      </w:r>
      <w:r w:rsidR="003A40E5">
        <w:rPr>
          <w:sz w:val="24"/>
          <w:szCs w:val="24"/>
        </w:rPr>
        <w:t xml:space="preserve"> (revised 2007)</w:t>
      </w:r>
      <w:bookmarkEnd w:id="77"/>
    </w:p>
    <w:p w:rsidR="004B21F0" w:rsidRDefault="004B21F0" w:rsidP="004B21F0">
      <w:pPr>
        <w:spacing w:line="360" w:lineRule="auto"/>
        <w:rPr>
          <w:lang w:val="en-US"/>
        </w:rPr>
      </w:pPr>
    </w:p>
    <w:p w:rsidR="007E7DD3" w:rsidRDefault="007E7DD3" w:rsidP="00692891">
      <w:pPr>
        <w:spacing w:line="360" w:lineRule="auto"/>
        <w:jc w:val="both"/>
        <w:rPr>
          <w:lang w:val="en-US"/>
        </w:rPr>
      </w:pPr>
      <w:r>
        <w:rPr>
          <w:lang w:val="en-US"/>
        </w:rPr>
        <w:t>RJ 610.401</w:t>
      </w:r>
    </w:p>
    <w:p w:rsidR="007E7DD3" w:rsidRDefault="00F776B2" w:rsidP="00692891">
      <w:pPr>
        <w:spacing w:line="360" w:lineRule="auto"/>
        <w:jc w:val="both"/>
        <w:rPr>
          <w:lang w:val="en-US"/>
        </w:rPr>
      </w:pPr>
      <w:r>
        <w:rPr>
          <w:lang w:val="en-US"/>
        </w:rPr>
        <w:t xml:space="preserve">In the annual accounts and annual report is paid attention to the policy of the pension fund and the risks that the pension fund runs when performing his duties. </w:t>
      </w:r>
      <w:r w:rsidR="004B21F0" w:rsidRPr="00067EF2">
        <w:rPr>
          <w:lang w:val="en-US"/>
        </w:rPr>
        <w:t>Regarding the risk paragraph, t</w:t>
      </w:r>
      <w:r w:rsidR="004B21F0">
        <w:rPr>
          <w:lang w:val="en-US"/>
        </w:rPr>
        <w:t>he RJ recommends to disclose measures in accordance with risk policy in the annual report. The RJ recommends to present qualitative and quantitative explanations on items on the balance sheet in the annual accounts</w:t>
      </w:r>
      <w:r w:rsidR="007E7DD3">
        <w:rPr>
          <w:lang w:val="en-US"/>
        </w:rPr>
        <w:t>.</w:t>
      </w:r>
    </w:p>
    <w:p w:rsidR="007E7DD3" w:rsidRDefault="007E7DD3" w:rsidP="00692891">
      <w:pPr>
        <w:spacing w:line="360" w:lineRule="auto"/>
        <w:jc w:val="both"/>
        <w:rPr>
          <w:lang w:val="en-US"/>
        </w:rPr>
      </w:pPr>
    </w:p>
    <w:p w:rsidR="004B21F0" w:rsidRDefault="007E7DD3" w:rsidP="00692891">
      <w:pPr>
        <w:spacing w:line="360" w:lineRule="auto"/>
        <w:jc w:val="both"/>
        <w:rPr>
          <w:lang w:val="en-US"/>
        </w:rPr>
      </w:pPr>
      <w:r>
        <w:rPr>
          <w:lang w:val="en-US"/>
        </w:rPr>
        <w:t>RJ 610.402</w:t>
      </w:r>
      <w:r w:rsidR="004B21F0">
        <w:rPr>
          <w:lang w:val="en-US"/>
        </w:rPr>
        <w:t xml:space="preserve"> </w:t>
      </w:r>
    </w:p>
    <w:p w:rsidR="004F5F23" w:rsidRDefault="001C51C3" w:rsidP="00692891">
      <w:pPr>
        <w:spacing w:line="360" w:lineRule="auto"/>
        <w:jc w:val="both"/>
        <w:rPr>
          <w:lang w:val="en-US"/>
        </w:rPr>
      </w:pPr>
      <w:r>
        <w:rPr>
          <w:lang w:val="en-US"/>
        </w:rPr>
        <w:t xml:space="preserve">Regarding the notes to the investment risks, Guideline 610 Pension Funds is connected to the disclosure requirements as presented in RJ Guideline 290 Financial Instruments. </w:t>
      </w:r>
    </w:p>
    <w:p w:rsidR="004B21F0" w:rsidRDefault="004B21F0" w:rsidP="00692891">
      <w:pPr>
        <w:spacing w:line="360" w:lineRule="auto"/>
        <w:jc w:val="both"/>
        <w:rPr>
          <w:lang w:val="en-US"/>
        </w:rPr>
      </w:pPr>
    </w:p>
    <w:p w:rsidR="007E7DD3" w:rsidRDefault="007E7DD3" w:rsidP="00692891">
      <w:pPr>
        <w:spacing w:line="360" w:lineRule="auto"/>
        <w:jc w:val="both"/>
        <w:rPr>
          <w:lang w:val="en-US"/>
        </w:rPr>
      </w:pPr>
      <w:r>
        <w:rPr>
          <w:lang w:val="en-US"/>
        </w:rPr>
        <w:t>RJ 610.403</w:t>
      </w:r>
    </w:p>
    <w:p w:rsidR="004B21F0" w:rsidRDefault="004B21F0" w:rsidP="00692891">
      <w:pPr>
        <w:spacing w:line="360" w:lineRule="auto"/>
        <w:jc w:val="both"/>
        <w:rPr>
          <w:lang w:val="en-US"/>
        </w:rPr>
      </w:pPr>
      <w:r>
        <w:rPr>
          <w:lang w:val="en-US"/>
        </w:rPr>
        <w:t>The RJ recommends Dutch pension funds to disclose explanations from a policy point of view on the risks at present and the accordingly adap</w:t>
      </w:r>
      <w:r w:rsidR="007E7DD3">
        <w:rPr>
          <w:lang w:val="en-US"/>
        </w:rPr>
        <w:t xml:space="preserve">ted policy in the annual report. </w:t>
      </w:r>
      <w:r>
        <w:rPr>
          <w:lang w:val="en-US"/>
        </w:rPr>
        <w:t>This includes explanations on:</w:t>
      </w:r>
    </w:p>
    <w:p w:rsidR="004B21F0" w:rsidRDefault="004B21F0" w:rsidP="00692891">
      <w:pPr>
        <w:numPr>
          <w:ilvl w:val="0"/>
          <w:numId w:val="2"/>
        </w:numPr>
        <w:spacing w:line="360" w:lineRule="auto"/>
        <w:jc w:val="both"/>
        <w:rPr>
          <w:lang w:val="en-US"/>
        </w:rPr>
      </w:pPr>
      <w:r>
        <w:rPr>
          <w:lang w:val="en-US"/>
        </w:rPr>
        <w:t>matching risk</w:t>
      </w:r>
    </w:p>
    <w:p w:rsidR="004B21F0" w:rsidRDefault="004B21F0" w:rsidP="00692891">
      <w:pPr>
        <w:numPr>
          <w:ilvl w:val="0"/>
          <w:numId w:val="2"/>
        </w:numPr>
        <w:spacing w:line="360" w:lineRule="auto"/>
        <w:jc w:val="both"/>
        <w:rPr>
          <w:lang w:val="en-US"/>
        </w:rPr>
      </w:pPr>
      <w:r>
        <w:rPr>
          <w:lang w:val="en-US"/>
        </w:rPr>
        <w:t>insurance risk</w:t>
      </w:r>
    </w:p>
    <w:p w:rsidR="004B21F0" w:rsidRDefault="004B21F0" w:rsidP="00692891">
      <w:pPr>
        <w:numPr>
          <w:ilvl w:val="0"/>
          <w:numId w:val="2"/>
        </w:numPr>
        <w:spacing w:line="360" w:lineRule="auto"/>
        <w:jc w:val="both"/>
        <w:rPr>
          <w:lang w:val="en-US"/>
        </w:rPr>
      </w:pPr>
      <w:r>
        <w:rPr>
          <w:lang w:val="en-US"/>
        </w:rPr>
        <w:t>concentration risk</w:t>
      </w:r>
    </w:p>
    <w:p w:rsidR="004B21F0" w:rsidRDefault="004B21F0" w:rsidP="00692891">
      <w:pPr>
        <w:numPr>
          <w:ilvl w:val="0"/>
          <w:numId w:val="2"/>
        </w:numPr>
        <w:spacing w:line="360" w:lineRule="auto"/>
        <w:jc w:val="both"/>
        <w:rPr>
          <w:lang w:val="en-US"/>
        </w:rPr>
      </w:pPr>
      <w:r>
        <w:rPr>
          <w:lang w:val="en-US"/>
        </w:rPr>
        <w:t>investment risks, such as interest rate risk, price risk, credit risk and liquidity risk</w:t>
      </w:r>
    </w:p>
    <w:p w:rsidR="004B21F0" w:rsidRDefault="004B21F0" w:rsidP="00692891">
      <w:pPr>
        <w:numPr>
          <w:ilvl w:val="0"/>
          <w:numId w:val="2"/>
        </w:numPr>
        <w:spacing w:line="360" w:lineRule="auto"/>
        <w:jc w:val="both"/>
        <w:rPr>
          <w:lang w:val="en-US"/>
        </w:rPr>
      </w:pPr>
      <w:r>
        <w:rPr>
          <w:lang w:val="en-US"/>
        </w:rPr>
        <w:t>investment risks alternative investments</w:t>
      </w:r>
    </w:p>
    <w:p w:rsidR="004B21F0" w:rsidRDefault="004B21F0" w:rsidP="00692891">
      <w:pPr>
        <w:numPr>
          <w:ilvl w:val="0"/>
          <w:numId w:val="2"/>
        </w:numPr>
        <w:spacing w:line="360" w:lineRule="auto"/>
        <w:jc w:val="both"/>
        <w:rPr>
          <w:lang w:val="en-US"/>
        </w:rPr>
      </w:pPr>
      <w:r>
        <w:rPr>
          <w:lang w:val="en-US"/>
        </w:rPr>
        <w:t>operational risks (including internal control, IT and integrity risk)</w:t>
      </w:r>
    </w:p>
    <w:p w:rsidR="004B21F0" w:rsidRDefault="004B21F0" w:rsidP="00692891">
      <w:pPr>
        <w:numPr>
          <w:ilvl w:val="0"/>
          <w:numId w:val="2"/>
        </w:numPr>
        <w:spacing w:line="360" w:lineRule="auto"/>
        <w:jc w:val="both"/>
        <w:rPr>
          <w:lang w:val="en-US"/>
        </w:rPr>
      </w:pPr>
      <w:r>
        <w:rPr>
          <w:lang w:val="en-US"/>
        </w:rPr>
        <w:t>outsourcing and associated risks</w:t>
      </w:r>
    </w:p>
    <w:p w:rsidR="004B21F0" w:rsidRDefault="004B21F0" w:rsidP="00692891">
      <w:pPr>
        <w:numPr>
          <w:ilvl w:val="0"/>
          <w:numId w:val="2"/>
        </w:numPr>
        <w:spacing w:line="360" w:lineRule="auto"/>
        <w:jc w:val="both"/>
        <w:rPr>
          <w:lang w:val="en-US"/>
        </w:rPr>
      </w:pPr>
      <w:r>
        <w:rPr>
          <w:lang w:val="en-US"/>
        </w:rPr>
        <w:t>legal risks</w:t>
      </w:r>
    </w:p>
    <w:p w:rsidR="004B21F0" w:rsidRDefault="004B21F0" w:rsidP="00692891">
      <w:pPr>
        <w:spacing w:line="360" w:lineRule="auto"/>
        <w:jc w:val="both"/>
        <w:rPr>
          <w:lang w:val="en-US"/>
        </w:rPr>
      </w:pPr>
    </w:p>
    <w:p w:rsidR="004B21F0" w:rsidRDefault="004B21F0" w:rsidP="00692891">
      <w:pPr>
        <w:spacing w:line="360" w:lineRule="auto"/>
        <w:jc w:val="both"/>
        <w:rPr>
          <w:lang w:val="en-US"/>
        </w:rPr>
      </w:pPr>
      <w:r>
        <w:rPr>
          <w:lang w:val="en-US"/>
        </w:rPr>
        <w:t>Notes to the policy of the fund regarding the management of risks:</w:t>
      </w:r>
    </w:p>
    <w:p w:rsidR="004B21F0" w:rsidRDefault="004B21F0" w:rsidP="00692891">
      <w:pPr>
        <w:numPr>
          <w:ilvl w:val="0"/>
          <w:numId w:val="2"/>
        </w:numPr>
        <w:spacing w:line="360" w:lineRule="auto"/>
        <w:jc w:val="both"/>
        <w:rPr>
          <w:lang w:val="en-US"/>
        </w:rPr>
      </w:pPr>
      <w:r>
        <w:rPr>
          <w:lang w:val="en-US"/>
        </w:rPr>
        <w:t>Asset and Liability Management policy and duration matching</w:t>
      </w:r>
    </w:p>
    <w:p w:rsidR="004B21F0" w:rsidRDefault="004B21F0" w:rsidP="00692891">
      <w:pPr>
        <w:numPr>
          <w:ilvl w:val="0"/>
          <w:numId w:val="2"/>
        </w:numPr>
        <w:spacing w:line="360" w:lineRule="auto"/>
        <w:jc w:val="both"/>
        <w:rPr>
          <w:lang w:val="en-US"/>
        </w:rPr>
      </w:pPr>
      <w:r w:rsidRPr="00EC0AAC">
        <w:rPr>
          <w:lang w:val="en-US"/>
        </w:rPr>
        <w:t>funded status (i.e. the ratio of market value of assets to liabilities)</w:t>
      </w:r>
    </w:p>
    <w:p w:rsidR="004B21F0" w:rsidRDefault="004B21F0" w:rsidP="00692891">
      <w:pPr>
        <w:numPr>
          <w:ilvl w:val="0"/>
          <w:numId w:val="2"/>
        </w:numPr>
        <w:spacing w:line="360" w:lineRule="auto"/>
        <w:jc w:val="both"/>
        <w:rPr>
          <w:lang w:val="en-US"/>
        </w:rPr>
      </w:pPr>
      <w:r>
        <w:rPr>
          <w:lang w:val="en-US"/>
        </w:rPr>
        <w:t>funding policy</w:t>
      </w:r>
    </w:p>
    <w:p w:rsidR="004B21F0" w:rsidRDefault="004B21F0" w:rsidP="00692891">
      <w:pPr>
        <w:numPr>
          <w:ilvl w:val="0"/>
          <w:numId w:val="2"/>
        </w:numPr>
        <w:spacing w:line="360" w:lineRule="auto"/>
        <w:jc w:val="both"/>
        <w:rPr>
          <w:lang w:val="en-US"/>
        </w:rPr>
      </w:pPr>
      <w:r>
        <w:rPr>
          <w:lang w:val="en-US"/>
        </w:rPr>
        <w:t>premium policy</w:t>
      </w:r>
    </w:p>
    <w:p w:rsidR="004B21F0" w:rsidRDefault="004B21F0" w:rsidP="00692891">
      <w:pPr>
        <w:numPr>
          <w:ilvl w:val="0"/>
          <w:numId w:val="2"/>
        </w:numPr>
        <w:spacing w:line="360" w:lineRule="auto"/>
        <w:jc w:val="both"/>
        <w:rPr>
          <w:lang w:val="en-US"/>
        </w:rPr>
      </w:pPr>
      <w:r>
        <w:rPr>
          <w:lang w:val="en-US"/>
        </w:rPr>
        <w:t>indexation policy</w:t>
      </w:r>
    </w:p>
    <w:p w:rsidR="004B21F0" w:rsidRDefault="004B21F0" w:rsidP="00692891">
      <w:pPr>
        <w:numPr>
          <w:ilvl w:val="0"/>
          <w:numId w:val="2"/>
        </w:numPr>
        <w:spacing w:line="360" w:lineRule="auto"/>
        <w:jc w:val="both"/>
        <w:rPr>
          <w:lang w:val="en-US"/>
        </w:rPr>
      </w:pPr>
      <w:r>
        <w:rPr>
          <w:lang w:val="en-US"/>
        </w:rPr>
        <w:t>reinsurance policy</w:t>
      </w:r>
    </w:p>
    <w:p w:rsidR="004B21F0" w:rsidRDefault="004B21F0" w:rsidP="00692891">
      <w:pPr>
        <w:numPr>
          <w:ilvl w:val="0"/>
          <w:numId w:val="2"/>
        </w:numPr>
        <w:spacing w:line="360" w:lineRule="auto"/>
        <w:jc w:val="both"/>
        <w:rPr>
          <w:lang w:val="en-US"/>
        </w:rPr>
      </w:pPr>
      <w:r>
        <w:rPr>
          <w:lang w:val="en-US"/>
        </w:rPr>
        <w:t>risk policy alternative investments</w:t>
      </w:r>
    </w:p>
    <w:p w:rsidR="004B21F0" w:rsidRDefault="004B21F0" w:rsidP="00692891">
      <w:pPr>
        <w:numPr>
          <w:ilvl w:val="0"/>
          <w:numId w:val="2"/>
        </w:numPr>
        <w:spacing w:line="360" w:lineRule="auto"/>
        <w:jc w:val="both"/>
        <w:rPr>
          <w:lang w:val="en-US"/>
        </w:rPr>
      </w:pPr>
      <w:r>
        <w:rPr>
          <w:lang w:val="en-US"/>
        </w:rPr>
        <w:t>policy regarding outsourcing</w:t>
      </w:r>
    </w:p>
    <w:p w:rsidR="004B21F0" w:rsidRDefault="004B21F0" w:rsidP="00692891">
      <w:pPr>
        <w:spacing w:line="360" w:lineRule="auto"/>
        <w:jc w:val="both"/>
        <w:rPr>
          <w:lang w:val="en-US"/>
        </w:rPr>
      </w:pPr>
    </w:p>
    <w:p w:rsidR="007E7DD3" w:rsidRDefault="007E7DD3" w:rsidP="00692891">
      <w:pPr>
        <w:spacing w:line="360" w:lineRule="auto"/>
        <w:jc w:val="both"/>
        <w:rPr>
          <w:lang w:val="en-US"/>
        </w:rPr>
      </w:pPr>
      <w:r>
        <w:rPr>
          <w:lang w:val="en-US"/>
        </w:rPr>
        <w:t>RJ 610.404</w:t>
      </w:r>
    </w:p>
    <w:p w:rsidR="004B21F0" w:rsidRDefault="004B21F0" w:rsidP="00692891">
      <w:pPr>
        <w:spacing w:line="360" w:lineRule="auto"/>
        <w:jc w:val="both"/>
        <w:rPr>
          <w:lang w:val="en-US"/>
        </w:rPr>
      </w:pPr>
      <w:r>
        <w:rPr>
          <w:lang w:val="en-US"/>
        </w:rPr>
        <w:t>In the notes to the annual accounts is recommended regarding the in paragraph 402 and 403 mentioned risks at least to present further notes to the major risks that are particularly important for the fund. These notes are quantitative as well as qualitative, whereas the method of the notes is also associated with the insight in the financial position (article 2:362 Dutch Civil Code).</w:t>
      </w:r>
    </w:p>
    <w:p w:rsidR="004B21F0" w:rsidRDefault="004B21F0" w:rsidP="00692891">
      <w:pPr>
        <w:spacing w:line="360" w:lineRule="auto"/>
        <w:jc w:val="both"/>
        <w:rPr>
          <w:lang w:val="en-US"/>
        </w:rPr>
      </w:pPr>
    </w:p>
    <w:p w:rsidR="004B21F0" w:rsidRDefault="004B21F0" w:rsidP="00692891">
      <w:pPr>
        <w:spacing w:line="360" w:lineRule="auto"/>
        <w:jc w:val="both"/>
        <w:rPr>
          <w:lang w:val="en-US"/>
        </w:rPr>
      </w:pPr>
      <w:r>
        <w:rPr>
          <w:lang w:val="en-US"/>
        </w:rPr>
        <w:t>Regarding the investments:</w:t>
      </w:r>
    </w:p>
    <w:p w:rsidR="004B21F0" w:rsidRDefault="004B21F0" w:rsidP="00692891">
      <w:pPr>
        <w:numPr>
          <w:ilvl w:val="0"/>
          <w:numId w:val="2"/>
        </w:numPr>
        <w:spacing w:line="360" w:lineRule="auto"/>
        <w:jc w:val="both"/>
        <w:rPr>
          <w:lang w:val="en-US"/>
        </w:rPr>
      </w:pPr>
      <w:r>
        <w:rPr>
          <w:lang w:val="en-US"/>
        </w:rPr>
        <w:t>Asset mix</w:t>
      </w:r>
    </w:p>
    <w:p w:rsidR="004B21F0" w:rsidRDefault="004B21F0" w:rsidP="00692891">
      <w:pPr>
        <w:numPr>
          <w:ilvl w:val="1"/>
          <w:numId w:val="2"/>
        </w:numPr>
        <w:spacing w:line="360" w:lineRule="auto"/>
        <w:jc w:val="both"/>
        <w:rPr>
          <w:lang w:val="en-US"/>
        </w:rPr>
      </w:pPr>
      <w:r>
        <w:rPr>
          <w:lang w:val="en-US"/>
        </w:rPr>
        <w:t>real estate portfolio to currency, category and region</w:t>
      </w:r>
    </w:p>
    <w:p w:rsidR="004B21F0" w:rsidRDefault="004B21F0" w:rsidP="00692891">
      <w:pPr>
        <w:numPr>
          <w:ilvl w:val="1"/>
          <w:numId w:val="2"/>
        </w:numPr>
        <w:spacing w:line="360" w:lineRule="auto"/>
        <w:jc w:val="both"/>
        <w:rPr>
          <w:lang w:val="en-US"/>
        </w:rPr>
      </w:pPr>
      <w:r>
        <w:rPr>
          <w:lang w:val="en-US"/>
        </w:rPr>
        <w:t>equity portfolio to currency, industry and region</w:t>
      </w:r>
    </w:p>
    <w:p w:rsidR="004B21F0" w:rsidRDefault="004B21F0" w:rsidP="00692891">
      <w:pPr>
        <w:numPr>
          <w:ilvl w:val="1"/>
          <w:numId w:val="2"/>
        </w:numPr>
        <w:spacing w:line="360" w:lineRule="auto"/>
        <w:jc w:val="both"/>
        <w:rPr>
          <w:lang w:val="en-US"/>
        </w:rPr>
      </w:pPr>
      <w:r>
        <w:rPr>
          <w:lang w:val="en-US"/>
        </w:rPr>
        <w:t>fixed income portfolio to maturity, currency and credit rating</w:t>
      </w:r>
    </w:p>
    <w:p w:rsidR="004B21F0" w:rsidRDefault="004B21F0" w:rsidP="00692891">
      <w:pPr>
        <w:numPr>
          <w:ilvl w:val="1"/>
          <w:numId w:val="2"/>
        </w:numPr>
        <w:spacing w:line="360" w:lineRule="auto"/>
        <w:jc w:val="both"/>
        <w:rPr>
          <w:lang w:val="en-US"/>
        </w:rPr>
      </w:pPr>
      <w:r>
        <w:rPr>
          <w:lang w:val="en-US"/>
        </w:rPr>
        <w:t>degree of investments in the sponsor</w:t>
      </w:r>
    </w:p>
    <w:p w:rsidR="004B21F0" w:rsidRDefault="004B21F0" w:rsidP="00692891">
      <w:pPr>
        <w:numPr>
          <w:ilvl w:val="1"/>
          <w:numId w:val="2"/>
        </w:numPr>
        <w:spacing w:line="360" w:lineRule="auto"/>
        <w:jc w:val="both"/>
        <w:rPr>
          <w:lang w:val="en-US"/>
        </w:rPr>
      </w:pPr>
      <w:r>
        <w:rPr>
          <w:lang w:val="en-US"/>
        </w:rPr>
        <w:t>data of each  investment bigger than 5 percent of the total investments or bigger than 5 percent of the asset category to which the investment is part</w:t>
      </w:r>
    </w:p>
    <w:p w:rsidR="004B21F0" w:rsidRDefault="004B21F0" w:rsidP="00692891">
      <w:pPr>
        <w:numPr>
          <w:ilvl w:val="0"/>
          <w:numId w:val="2"/>
        </w:numPr>
        <w:spacing w:line="360" w:lineRule="auto"/>
        <w:jc w:val="both"/>
        <w:rPr>
          <w:lang w:val="en-US"/>
        </w:rPr>
      </w:pPr>
      <w:r>
        <w:rPr>
          <w:lang w:val="en-US"/>
        </w:rPr>
        <w:t>sensitivity of the investments including derivatives to market developments</w:t>
      </w:r>
    </w:p>
    <w:p w:rsidR="004B21F0" w:rsidRDefault="004B21F0" w:rsidP="00692891">
      <w:pPr>
        <w:numPr>
          <w:ilvl w:val="0"/>
          <w:numId w:val="2"/>
        </w:numPr>
        <w:spacing w:line="360" w:lineRule="auto"/>
        <w:jc w:val="both"/>
        <w:rPr>
          <w:lang w:val="en-US"/>
        </w:rPr>
      </w:pPr>
      <w:r>
        <w:rPr>
          <w:lang w:val="en-US"/>
        </w:rPr>
        <w:t>the method of hedging the risks and the positions that have been taken as a result (in addition to the notes to derivatives)</w:t>
      </w:r>
    </w:p>
    <w:p w:rsidR="004B21F0" w:rsidRDefault="004B21F0" w:rsidP="00692891">
      <w:pPr>
        <w:numPr>
          <w:ilvl w:val="0"/>
          <w:numId w:val="2"/>
        </w:numPr>
        <w:spacing w:line="360" w:lineRule="auto"/>
        <w:jc w:val="both"/>
        <w:rPr>
          <w:lang w:val="en-US"/>
        </w:rPr>
      </w:pPr>
      <w:r>
        <w:rPr>
          <w:lang w:val="en-US"/>
        </w:rPr>
        <w:t>duration of fixed income</w:t>
      </w:r>
    </w:p>
    <w:p w:rsidR="004B21F0" w:rsidRDefault="004B21F0" w:rsidP="00692891">
      <w:pPr>
        <w:spacing w:line="360" w:lineRule="auto"/>
        <w:jc w:val="both"/>
        <w:rPr>
          <w:lang w:val="en-US"/>
        </w:rPr>
      </w:pPr>
    </w:p>
    <w:p w:rsidR="004B21F0" w:rsidRDefault="004B21F0" w:rsidP="00692891">
      <w:pPr>
        <w:spacing w:line="360" w:lineRule="auto"/>
        <w:jc w:val="both"/>
        <w:rPr>
          <w:lang w:val="en-US"/>
        </w:rPr>
      </w:pPr>
      <w:r>
        <w:rPr>
          <w:lang w:val="en-US"/>
        </w:rPr>
        <w:t>Regarding pension obligations:</w:t>
      </w:r>
    </w:p>
    <w:p w:rsidR="004B21F0" w:rsidRDefault="004B21F0" w:rsidP="00692891">
      <w:pPr>
        <w:numPr>
          <w:ilvl w:val="0"/>
          <w:numId w:val="2"/>
        </w:numPr>
        <w:spacing w:line="360" w:lineRule="auto"/>
        <w:jc w:val="both"/>
        <w:rPr>
          <w:lang w:val="en-US"/>
        </w:rPr>
      </w:pPr>
      <w:r>
        <w:rPr>
          <w:lang w:val="en-US"/>
        </w:rPr>
        <w:t>actuarial risks</w:t>
      </w:r>
    </w:p>
    <w:p w:rsidR="004B21F0" w:rsidRDefault="004B21F0" w:rsidP="00692891">
      <w:pPr>
        <w:numPr>
          <w:ilvl w:val="0"/>
          <w:numId w:val="2"/>
        </w:numPr>
        <w:spacing w:line="360" w:lineRule="auto"/>
        <w:jc w:val="both"/>
        <w:rPr>
          <w:lang w:val="en-US"/>
        </w:rPr>
      </w:pPr>
      <w:r>
        <w:rPr>
          <w:lang w:val="en-US"/>
        </w:rPr>
        <w:t>indexation risks</w:t>
      </w:r>
    </w:p>
    <w:p w:rsidR="004B21F0" w:rsidRDefault="004B21F0" w:rsidP="00692891">
      <w:pPr>
        <w:numPr>
          <w:ilvl w:val="0"/>
          <w:numId w:val="2"/>
        </w:numPr>
        <w:spacing w:line="360" w:lineRule="auto"/>
        <w:jc w:val="both"/>
        <w:rPr>
          <w:lang w:val="en-US"/>
        </w:rPr>
      </w:pPr>
      <w:r>
        <w:rPr>
          <w:lang w:val="en-US"/>
        </w:rPr>
        <w:t>premium rate and standards</w:t>
      </w:r>
    </w:p>
    <w:p w:rsidR="004B21F0" w:rsidRDefault="004B21F0" w:rsidP="00692891">
      <w:pPr>
        <w:numPr>
          <w:ilvl w:val="0"/>
          <w:numId w:val="2"/>
        </w:numPr>
        <w:spacing w:line="360" w:lineRule="auto"/>
        <w:jc w:val="both"/>
        <w:rPr>
          <w:lang w:val="en-US"/>
        </w:rPr>
      </w:pPr>
      <w:r>
        <w:rPr>
          <w:lang w:val="en-US"/>
        </w:rPr>
        <w:t>specification of the premium to yearly generation in accordance with the Pension Law</w:t>
      </w:r>
    </w:p>
    <w:p w:rsidR="004B21F0" w:rsidRDefault="004B21F0" w:rsidP="00692891">
      <w:pPr>
        <w:numPr>
          <w:ilvl w:val="0"/>
          <w:numId w:val="2"/>
        </w:numPr>
        <w:spacing w:line="360" w:lineRule="auto"/>
        <w:jc w:val="both"/>
        <w:rPr>
          <w:lang w:val="en-US"/>
        </w:rPr>
      </w:pPr>
      <w:r>
        <w:rPr>
          <w:lang w:val="en-US"/>
        </w:rPr>
        <w:t>ratios such as with regard to maturity, stating the for these results used definitions</w:t>
      </w:r>
    </w:p>
    <w:p w:rsidR="004B21F0" w:rsidRDefault="004B21F0" w:rsidP="00692891">
      <w:pPr>
        <w:numPr>
          <w:ilvl w:val="0"/>
          <w:numId w:val="2"/>
        </w:numPr>
        <w:spacing w:line="360" w:lineRule="auto"/>
        <w:jc w:val="both"/>
        <w:rPr>
          <w:lang w:val="en-US"/>
        </w:rPr>
      </w:pPr>
      <w:r>
        <w:rPr>
          <w:lang w:val="en-US"/>
        </w:rPr>
        <w:t>duration of the pension obligations</w:t>
      </w:r>
    </w:p>
    <w:p w:rsidR="004B21F0" w:rsidRDefault="004B21F0" w:rsidP="00692891">
      <w:pPr>
        <w:numPr>
          <w:ilvl w:val="0"/>
          <w:numId w:val="2"/>
        </w:numPr>
        <w:spacing w:line="360" w:lineRule="auto"/>
        <w:jc w:val="both"/>
        <w:rPr>
          <w:lang w:val="en-US"/>
        </w:rPr>
      </w:pPr>
      <w:r>
        <w:rPr>
          <w:lang w:val="en-US"/>
        </w:rPr>
        <w:t>sensitivity analysis</w:t>
      </w:r>
    </w:p>
    <w:p w:rsidR="004B21F0" w:rsidRDefault="004B21F0" w:rsidP="00692891">
      <w:pPr>
        <w:spacing w:line="360" w:lineRule="auto"/>
        <w:jc w:val="both"/>
        <w:rPr>
          <w:lang w:val="en-US"/>
        </w:rPr>
      </w:pPr>
    </w:p>
    <w:p w:rsidR="007E7DD3" w:rsidRDefault="007E7DD3" w:rsidP="00692891">
      <w:pPr>
        <w:spacing w:line="360" w:lineRule="auto"/>
        <w:jc w:val="both"/>
        <w:rPr>
          <w:lang w:val="en-US"/>
        </w:rPr>
      </w:pPr>
      <w:r>
        <w:rPr>
          <w:lang w:val="en-US"/>
        </w:rPr>
        <w:t>RJ 610.405</w:t>
      </w:r>
    </w:p>
    <w:p w:rsidR="004B21F0" w:rsidRPr="00EC0AAC" w:rsidRDefault="004B21F0" w:rsidP="00692891">
      <w:pPr>
        <w:spacing w:line="360" w:lineRule="auto"/>
        <w:jc w:val="both"/>
        <w:rPr>
          <w:lang w:val="en-US"/>
        </w:rPr>
      </w:pPr>
      <w:r>
        <w:rPr>
          <w:lang w:val="en-US"/>
        </w:rPr>
        <w:t>If the above requested explanations are already part of the notes to items in the annual accounts the notes do not need to be presented in the risk paragraph</w:t>
      </w:r>
      <w:r w:rsidR="00360F37">
        <w:rPr>
          <w:lang w:val="en-US"/>
        </w:rPr>
        <w:t>.</w:t>
      </w:r>
      <w:r>
        <w:rPr>
          <w:lang w:val="en-US"/>
        </w:rPr>
        <w:t xml:space="preserve"> </w:t>
      </w:r>
    </w:p>
    <w:p w:rsidR="00EB73F1" w:rsidRDefault="004B21F0" w:rsidP="000C6E80">
      <w:pPr>
        <w:pStyle w:val="Kop1"/>
        <w:numPr>
          <w:ilvl w:val="0"/>
          <w:numId w:val="0"/>
        </w:numPr>
        <w:ind w:left="432" w:hanging="432"/>
        <w:rPr>
          <w:sz w:val="24"/>
          <w:szCs w:val="24"/>
        </w:rPr>
      </w:pPr>
      <w:bookmarkStart w:id="78" w:name="_Toc321050477"/>
      <w:bookmarkStart w:id="79" w:name="_Toc355387326"/>
      <w:r>
        <w:rPr>
          <w:sz w:val="24"/>
          <w:szCs w:val="24"/>
        </w:rPr>
        <w:t xml:space="preserve">Appendix </w:t>
      </w:r>
      <w:r w:rsidR="00A7369C">
        <w:rPr>
          <w:sz w:val="24"/>
          <w:szCs w:val="24"/>
        </w:rPr>
        <w:t>6</w:t>
      </w:r>
      <w:r w:rsidR="00EB73F1" w:rsidRPr="000C6E80">
        <w:rPr>
          <w:sz w:val="24"/>
          <w:szCs w:val="24"/>
        </w:rPr>
        <w:tab/>
        <w:t>Research process</w:t>
      </w:r>
      <w:bookmarkEnd w:id="78"/>
      <w:bookmarkEnd w:id="79"/>
    </w:p>
    <w:p w:rsidR="00BD5108" w:rsidRDefault="00BD5108" w:rsidP="00BD5108"/>
    <w:p w:rsidR="00BD5108" w:rsidRPr="00BD5108" w:rsidRDefault="00BD5108" w:rsidP="00BD5108"/>
    <w:p w:rsidR="00AE700F" w:rsidRDefault="00AE700F" w:rsidP="00AE700F"/>
    <w:p w:rsidR="00792F00" w:rsidRDefault="003E0D8B" w:rsidP="00AE700F">
      <w:r>
        <w:rPr>
          <w:noProof/>
          <w:lang w:val="nl-NL" w:eastAsia="nl-NL" w:bidi="ar-SA"/>
        </w:rPr>
        <w:pict>
          <v:rect id="Rectangle 48" o:spid="_x0000_s1044" style="position:absolute;margin-left:297.4pt;margin-top:8.9pt;width:67.8pt;height:2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">
            <v:textbox style="mso-next-textbox:#Rectangle 48">
              <w:txbxContent>
                <w:p w:rsidR="005B4C8D" w:rsidRDefault="005B4C8D" w:rsidP="00792F00">
                  <w:pPr>
                    <w:jc w:val="center"/>
                  </w:pPr>
                  <w:r>
                    <w:t>Theory</w:t>
                  </w:r>
                </w:p>
              </w:txbxContent>
            </v:textbox>
          </v:rect>
        </w:pict>
      </w:r>
      <w:r>
        <w:rPr>
          <w:noProof/>
          <w:lang w:val="nl-NL" w:eastAsia="nl-NL" w:bidi="ar-SA"/>
        </w:rPr>
        <w:pict>
          <v:rect id="Rectangle 47" o:spid="_x0000_s1045" style="position:absolute;margin-left:191.95pt;margin-top:8.9pt;width:50.45pt;height:2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">
            <v:textbox style="mso-next-textbox:#Rectangle 47">
              <w:txbxContent>
                <w:p w:rsidR="005B4C8D" w:rsidRDefault="005B4C8D" w:rsidP="00792F00">
                  <w:pPr>
                    <w:jc w:val="center"/>
                  </w:pPr>
                  <w:r>
                    <w:t>Idea</w:t>
                  </w:r>
                </w:p>
              </w:txbxContent>
            </v:textbox>
          </v:rect>
        </w:pict>
      </w:r>
      <w:r>
        <w:rPr>
          <w:noProof/>
          <w:lang w:val="nl-NL" w:eastAsia="nl-NL" w:bidi="ar-SA"/>
        </w:rPr>
        <w:pict>
          <v:rect id="Rectangle 46" o:spid="_x0000_s1046" style="position:absolute;margin-left:64.95pt;margin-top:8.9pt;width:1in;height:2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">
            <v:textbox style="mso-next-textbox:#Rectangle 46">
              <w:txbxContent>
                <w:p w:rsidR="005B4C8D" w:rsidRDefault="005B4C8D" w:rsidP="00792F00">
                  <w:pPr>
                    <w:jc w:val="center"/>
                  </w:pPr>
                  <w:r>
                    <w:t>Interest</w:t>
                  </w:r>
                </w:p>
              </w:txbxContent>
            </v:textbox>
          </v:rect>
        </w:pict>
      </w:r>
      <w:r>
        <w:rPr>
          <w:noProof/>
          <w:lang w:val="nl-NL" w:eastAsia="nl-NL" w:bidi="ar-SA"/>
        </w:rPr>
        <w:pict>
          <v:shape id="AutoShape 57" o:spid="_x0000_s1080" type="#_x0000_t32" style="position:absolute;margin-left:380.1pt;margin-top:.45pt;width:.05pt;height:73.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KIgIAAD4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"/>
        </w:pict>
      </w:r>
      <w:r>
        <w:rPr>
          <w:noProof/>
          <w:lang w:val="nl-NL" w:eastAsia="nl-NL" w:bidi="ar-SA"/>
        </w:rPr>
        <w:pict>
          <v:shape id="AutoShape 58" o:spid="_x0000_s1079" type="#_x0000_t32" style="position:absolute;margin-left:52.05pt;margin-top:.45pt;width:.05pt;height:73.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E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"/>
        </w:pict>
      </w:r>
      <w:r>
        <w:rPr>
          <w:noProof/>
          <w:lang w:val="nl-NL" w:eastAsia="nl-NL" w:bidi="ar-SA"/>
        </w:rPr>
        <w:pict>
          <v:shape id="AutoShape 56" o:spid="_x0000_s1078" type="#_x0000_t32" style="position:absolute;margin-left:52.05pt;margin-top:.45pt;width:328.05pt;height:0;z-index:25166131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Lh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"/>
        </w:pict>
      </w:r>
    </w:p>
    <w:p w:rsidR="00792F00" w:rsidRDefault="003E0D8B" w:rsidP="00AE700F">
      <w:r>
        <w:rPr>
          <w:noProof/>
          <w:lang w:val="nl-NL" w:eastAsia="nl-NL" w:bidi="ar-SA"/>
        </w:rPr>
        <w:pict>
          <v:shape id="AutoShape 101" o:spid="_x0000_s1077" type="#_x0000_t32" style="position:absolute;margin-left:.15pt;margin-top:18.45pt;width:51.9pt;height:0;z-index:2516951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R+NQIAAF8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">
            <v:stroke endarrow="block"/>
          </v:shape>
        </w:pict>
      </w:r>
      <w:r>
        <w:rPr>
          <w:noProof/>
          <w:lang w:val="nl-NL" w:eastAsia="nl-NL" w:bidi="ar-SA"/>
        </w:rPr>
        <w:pict>
          <v:shape id="AutoShape 99" o:spid="_x0000_s1076" type="#_x0000_t32" style="position:absolute;margin-left:.15pt;margin-top:18.45pt;width:0;height:305.75pt;flip:y;z-index:25169408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"/>
        </w:pict>
      </w:r>
      <w:r>
        <w:rPr>
          <w:noProof/>
          <w:lang w:val="nl-NL" w:eastAsia="nl-NL" w:bidi="ar-SA"/>
        </w:rPr>
        <w:pict>
          <v:shape id="AutoShape 98" o:spid="_x0000_s1075" type="#_x0000_t32" style="position:absolute;margin-left:.15pt;margin-top:324.2pt;width:170pt;height:0;flip:x;z-index:25169305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"/>
        </w:pict>
      </w:r>
      <w:r>
        <w:rPr>
          <w:noProof/>
          <w:lang w:val="nl-NL" w:eastAsia="nl-NL" w:bidi="ar-SA"/>
        </w:rPr>
        <w:pict>
          <v:rect id="Rectangle 78" o:spid="_x0000_s1047" style="position:absolute;margin-left:170.15pt;margin-top:304.4pt;width:110.05pt;height:40.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IjLAIAAFE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">
            <v:textbox style="mso-next-textbox:#Rectangle 78">
              <w:txbxContent>
                <w:p w:rsidR="005B4C8D" w:rsidRPr="00E114F8" w:rsidRDefault="005B4C8D" w:rsidP="00C44D4C">
                  <w:pPr>
                    <w:jc w:val="center"/>
                    <w:rPr>
                      <w:i/>
                      <w:lang w:val="nl-NL"/>
                    </w:rPr>
                  </w:pPr>
                  <w:proofErr w:type="spellStart"/>
                  <w:r>
                    <w:rPr>
                      <w:lang w:val="nl-NL"/>
                    </w:rPr>
                    <w:t>Analysis</w:t>
                  </w:r>
                  <w:proofErr w:type="spellEnd"/>
                  <w:r>
                    <w:rPr>
                      <w:lang w:val="nl-NL"/>
                    </w:rPr>
                    <w:t xml:space="preserve"> and </w:t>
                  </w:r>
                  <w:proofErr w:type="spellStart"/>
                  <w:r>
                    <w:rPr>
                      <w:lang w:val="nl-NL"/>
                    </w:rPr>
                    <w:t>results</w:t>
                  </w:r>
                  <w:proofErr w:type="spellEnd"/>
                  <w:r>
                    <w:rPr>
                      <w:lang w:val="nl-NL"/>
                    </w:rPr>
                    <w:t xml:space="preserve"> </w:t>
                  </w:r>
                  <w:r w:rsidRPr="009702DB">
                    <w:rPr>
                      <w:i/>
                      <w:lang w:val="nl-NL"/>
                    </w:rPr>
                    <w:t>(</w:t>
                  </w:r>
                  <w:r>
                    <w:rPr>
                      <w:i/>
                      <w:lang w:val="nl-NL"/>
                    </w:rPr>
                    <w:t>4</w:t>
                  </w:r>
                  <w:r w:rsidRPr="009702DB">
                    <w:rPr>
                      <w:i/>
                      <w:lang w:val="nl-NL"/>
                    </w:rPr>
                    <w:t>)</w:t>
                  </w:r>
                </w:p>
              </w:txbxContent>
            </v:textbox>
          </v:rect>
        </w:pict>
      </w:r>
      <w:r>
        <w:rPr>
          <w:noProof/>
          <w:lang w:val="nl-NL" w:eastAsia="nl-NL" w:bidi="ar-SA"/>
        </w:rPr>
        <w:pict>
          <v:shape id="AutoShape 96" o:spid="_x0000_s1074" type="#_x0000_t32" style="position:absolute;margin-left:227.4pt;margin-top:288.1pt;width:0;height:16.3pt;z-index:251692032;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hHMgIAAF4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">
            <v:stroke endarrow="block"/>
          </v:shape>
        </w:pict>
      </w:r>
      <w:r>
        <w:rPr>
          <w:noProof/>
          <w:lang w:val="nl-NL" w:eastAsia="nl-NL" w:bidi="ar-SA"/>
        </w:rPr>
        <w:pict>
          <v:rect id="Rectangle 79" o:spid="_x0000_s1048" style="position:absolute;margin-left:170.15pt;margin-top:248.05pt;width:110.05pt;height:40.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">
            <v:textbox style="mso-next-textbox:#Rectangle 79">
              <w:txbxContent>
                <w:p w:rsidR="005B4C8D" w:rsidRPr="00E114F8" w:rsidRDefault="005B4C8D" w:rsidP="00C44D4C">
                  <w:pPr>
                    <w:jc w:val="center"/>
                    <w:rPr>
                      <w:i/>
                      <w:lang w:val="nl-NL"/>
                    </w:rPr>
                  </w:pPr>
                  <w:r>
                    <w:rPr>
                      <w:lang w:val="nl-NL"/>
                    </w:rPr>
                    <w:t xml:space="preserve">Data processing </w:t>
                  </w:r>
                  <w:r>
                    <w:rPr>
                      <w:i/>
                      <w:lang w:val="nl-NL"/>
                    </w:rPr>
                    <w:t>(3.6)</w:t>
                  </w:r>
                </w:p>
              </w:txbxContent>
            </v:textbox>
          </v:rect>
        </w:pict>
      </w:r>
      <w:r>
        <w:rPr>
          <w:noProof/>
          <w:lang w:val="nl-NL" w:eastAsia="nl-NL" w:bidi="ar-SA"/>
        </w:rPr>
        <w:pict>
          <v:shape id="AutoShape 90" o:spid="_x0000_s1073" type="#_x0000_t32" style="position:absolute;margin-left:227.4pt;margin-top:231.75pt;width:0;height:16.3pt;z-index:251686912;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">
            <v:stroke endarrow="block"/>
          </v:shape>
        </w:pict>
      </w:r>
      <w:r>
        <w:rPr>
          <w:noProof/>
          <w:lang w:val="nl-NL" w:eastAsia="nl-NL" w:bidi="ar-SA"/>
        </w:rPr>
        <w:pict>
          <v:shape id="AutoShape 95" o:spid="_x0000_s1072" type="#_x0000_t32" style="position:absolute;margin-left:83.3pt;margin-top:213.9pt;width:86.85pt;height:0;z-index:25169100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lyNAIAAF8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">
            <v:stroke endarrow="block"/>
          </v:shape>
        </w:pict>
      </w:r>
      <w:r>
        <w:rPr>
          <w:noProof/>
          <w:lang w:val="nl-NL" w:eastAsia="nl-NL" w:bidi="ar-SA"/>
        </w:rPr>
        <w:pict>
          <v:shape id="AutoShape 94" o:spid="_x0000_s1071" type="#_x0000_t32" style="position:absolute;margin-left:83.3pt;margin-top:175.4pt;width:0;height:38.5pt;z-index:251689984;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4N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"/>
        </w:pict>
      </w:r>
      <w:r>
        <w:rPr>
          <w:noProof/>
          <w:lang w:val="nl-NL" w:eastAsia="nl-NL" w:bidi="ar-SA"/>
        </w:rPr>
        <w:pict>
          <v:shape id="AutoShape 93" o:spid="_x0000_s1070" type="#_x0000_t32" style="position:absolute;margin-left:279.65pt;margin-top:213.9pt;width:86.35pt;height:0;flip:x;z-index:2516889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">
            <v:stroke endarrow="block"/>
          </v:shape>
        </w:pict>
      </w:r>
      <w:r>
        <w:rPr>
          <w:noProof/>
          <w:lang w:val="nl-NL" w:eastAsia="nl-NL" w:bidi="ar-SA"/>
        </w:rPr>
        <w:pict>
          <v:shape id="AutoShape 92" o:spid="_x0000_s1069" type="#_x0000_t32" style="position:absolute;margin-left:366pt;margin-top:116.9pt;width:0;height:97pt;z-index:251687936;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"/>
        </w:pict>
      </w:r>
      <w:r>
        <w:rPr>
          <w:noProof/>
          <w:lang w:val="nl-NL" w:eastAsia="nl-NL" w:bidi="ar-SA"/>
        </w:rPr>
        <w:pict>
          <v:rect id="Rectangle 63" o:spid="_x0000_s1049" style="position:absolute;margin-left:312.85pt;margin-top:76.85pt;width:110.05pt;height:40.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">
            <v:textbox style="mso-next-textbox:#Rectangle 63">
              <w:txbxContent>
                <w:p w:rsidR="005B4C8D" w:rsidRPr="00E114F8" w:rsidRDefault="005B4C8D" w:rsidP="00802714">
                  <w:pPr>
                    <w:jc w:val="center"/>
                    <w:rPr>
                      <w:i/>
                      <w:lang w:val="nl-NL"/>
                    </w:rPr>
                  </w:pPr>
                  <w:proofErr w:type="spellStart"/>
                  <w:r>
                    <w:rPr>
                      <w:lang w:val="nl-NL"/>
                    </w:rPr>
                    <w:t>Population</w:t>
                  </w:r>
                  <w:proofErr w:type="spellEnd"/>
                  <w:r>
                    <w:rPr>
                      <w:lang w:val="nl-NL"/>
                    </w:rPr>
                    <w:t xml:space="preserve"> and sampling </w:t>
                  </w:r>
                  <w:r>
                    <w:rPr>
                      <w:i/>
                      <w:lang w:val="nl-NL"/>
                    </w:rPr>
                    <w:t>(3.4)</w:t>
                  </w:r>
                </w:p>
              </w:txbxContent>
            </v:textbox>
          </v:rect>
        </w:pict>
      </w:r>
      <w:r>
        <w:rPr>
          <w:noProof/>
          <w:lang w:val="nl-NL" w:eastAsia="nl-NL" w:bidi="ar-SA"/>
        </w:rPr>
        <w:pict>
          <v:rect id="Rectangle 76" o:spid="_x0000_s1050" style="position:absolute;margin-left:170.15pt;margin-top:191.7pt;width:110.05pt;height:40.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">
            <v:textbox style="mso-next-textbox:#Rectangle 76">
              <w:txbxContent>
                <w:p w:rsidR="005B4C8D" w:rsidRPr="00E114F8" w:rsidRDefault="005B4C8D" w:rsidP="00F832B1">
                  <w:pPr>
                    <w:jc w:val="center"/>
                    <w:rPr>
                      <w:i/>
                      <w:lang w:val="nl-NL"/>
                    </w:rPr>
                  </w:pPr>
                  <w:r>
                    <w:rPr>
                      <w:lang w:val="nl-NL"/>
                    </w:rPr>
                    <w:t xml:space="preserve">Data </w:t>
                  </w:r>
                  <w:proofErr w:type="spellStart"/>
                  <w:r>
                    <w:rPr>
                      <w:lang w:val="nl-NL"/>
                    </w:rPr>
                    <w:t>collection</w:t>
                  </w:r>
                  <w:proofErr w:type="spellEnd"/>
                  <w:r>
                    <w:rPr>
                      <w:lang w:val="nl-NL"/>
                    </w:rPr>
                    <w:t xml:space="preserve"> </w:t>
                  </w:r>
                  <w:r>
                    <w:rPr>
                      <w:i/>
                      <w:lang w:val="nl-NL"/>
                    </w:rPr>
                    <w:t>(3.5)</w:t>
                  </w:r>
                </w:p>
              </w:txbxContent>
            </v:textbox>
          </v:rect>
        </w:pict>
      </w:r>
      <w:r>
        <w:rPr>
          <w:noProof/>
          <w:lang w:val="nl-NL" w:eastAsia="nl-NL" w:bidi="ar-SA"/>
        </w:rPr>
        <w:pict>
          <v:shape id="AutoShape 89" o:spid="_x0000_s1068" type="#_x0000_t32" style="position:absolute;margin-left:227.4pt;margin-top:175.4pt;width:0;height:16.3pt;z-index:251685888;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">
            <v:stroke endarrow="block"/>
          </v:shape>
        </w:pict>
      </w:r>
      <w:r>
        <w:rPr>
          <w:noProof/>
          <w:lang w:val="nl-NL" w:eastAsia="nl-NL" w:bidi="ar-SA"/>
        </w:rPr>
        <w:pict>
          <v:shape id="AutoShape 88" o:spid="_x0000_s1067" type="#_x0000_t32" style="position:absolute;margin-left:279.65pt;margin-top:108.2pt;width:33.2pt;height:0;flip:x;z-index:2516848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">
            <v:stroke endarrow="block"/>
          </v:shape>
        </w:pict>
      </w:r>
      <w:r>
        <w:rPr>
          <w:noProof/>
          <w:lang w:val="nl-NL" w:eastAsia="nl-NL" w:bidi="ar-SA"/>
        </w:rPr>
        <w:pict>
          <v:shape id="AutoShape 87" o:spid="_x0000_s1066" type="#_x0000_t32" style="position:absolute;margin-left:136.95pt;margin-top:152.15pt;width:33.2pt;height:0;flip:x;z-index:2516838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aBOwIAAGg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">
            <v:stroke endarrow="block"/>
          </v:shape>
        </w:pict>
      </w:r>
      <w:r>
        <w:rPr>
          <w:noProof/>
          <w:lang w:val="nl-NL" w:eastAsia="nl-NL" w:bidi="ar-SA"/>
        </w:rPr>
        <w:pict>
          <v:shape id="AutoShape 70" o:spid="_x0000_s1065" type="#_x0000_t32" style="position:absolute;margin-left:242.4pt;margin-top:12.85pt;width:55pt;height:0;flip:x;z-index:2516725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VCOwIAAGgEAAAOAAAAZHJzL2Uyb0RvYy54bWysVM2O2yAQvlfqOyDuie3UyS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">
            <v:stroke endarrow="block"/>
          </v:shape>
        </w:pict>
      </w:r>
      <w:r>
        <w:rPr>
          <w:noProof/>
          <w:lang w:val="nl-NL" w:eastAsia="nl-NL" w:bidi="ar-SA"/>
        </w:rPr>
        <w:pict>
          <v:shape id="AutoShape 68" o:spid="_x0000_s1064" type="#_x0000_t32" style="position:absolute;margin-left:242.4pt;margin-top:4.45pt;width:55pt;height:0;z-index:2516705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">
            <v:stroke endarrow="block"/>
          </v:shape>
        </w:pict>
      </w:r>
      <w:r>
        <w:rPr>
          <w:noProof/>
          <w:lang w:val="nl-NL" w:eastAsia="nl-NL" w:bidi="ar-SA"/>
        </w:rPr>
        <w:pict>
          <v:shape id="AutoShape 69" o:spid="_x0000_s1063" type="#_x0000_t32" style="position:absolute;margin-left:136.95pt;margin-top:12.85pt;width:55pt;height:0;flip:x;z-index:25167155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3WOwIAAGg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">
            <v:stroke endarrow="block"/>
          </v:shape>
        </w:pict>
      </w:r>
      <w:r>
        <w:rPr>
          <w:noProof/>
          <w:lang w:val="nl-NL" w:eastAsia="nl-NL" w:bidi="ar-SA"/>
        </w:rPr>
        <w:pict>
          <v:shape id="AutoShape 67" o:spid="_x0000_s1062" type="#_x0000_t32" style="position:absolute;margin-left:136.95pt;margin-top:4.45pt;width:55pt;height:0;z-index:2516695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rINAIAAF4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">
            <v:stroke endarrow="block"/>
          </v:shape>
        </w:pict>
      </w:r>
      <w:r>
        <w:rPr>
          <w:noProof/>
          <w:lang w:val="nl-NL" w:eastAsia="nl-NL" w:bidi="ar-SA"/>
        </w:rPr>
        <w:pict>
          <v:shape id="AutoShape 86" o:spid="_x0000_s1061" type="#_x0000_t32" style="position:absolute;margin-left:280.2pt;margin-top:87.65pt;width:33.2pt;height:0;z-index:25168281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">
            <v:stroke endarrow="block"/>
          </v:shape>
        </w:pict>
      </w:r>
      <w:r>
        <w:rPr>
          <w:noProof/>
          <w:lang w:val="nl-NL" w:eastAsia="nl-NL" w:bidi="ar-SA"/>
        </w:rPr>
        <w:pict>
          <v:shape id="AutoShape 84" o:spid="_x0000_s1060" type="#_x0000_t32" style="position:absolute;margin-left:136.95pt;margin-top:87.65pt;width:33.2pt;height:0;z-index:2516817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">
            <v:stroke endarrow="block"/>
          </v:shape>
        </w:pict>
      </w:r>
      <w:r>
        <w:rPr>
          <w:noProof/>
          <w:lang w:val="nl-NL" w:eastAsia="nl-NL" w:bidi="ar-SA"/>
        </w:rPr>
        <w:pict>
          <v:shape id="AutoShape 82" o:spid="_x0000_s1059" type="#_x0000_t32" style="position:absolute;margin-left:83.3pt;margin-top:119.05pt;width:0;height:16.3pt;z-index:251680768;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">
            <v:stroke endarrow="block"/>
          </v:shape>
        </w:pict>
      </w:r>
      <w:r>
        <w:rPr>
          <w:noProof/>
          <w:lang w:val="nl-NL" w:eastAsia="nl-NL" w:bidi="ar-SA"/>
        </w:rPr>
        <w:pict>
          <v:shape id="AutoShape 72" o:spid="_x0000_s1058" type="#_x0000_t32" style="position:absolute;margin-left:227.4pt;margin-top:60.55pt;width:0;height:16.3pt;z-index:251674624;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">
            <v:stroke endarrow="block"/>
          </v:shape>
        </w:pict>
      </w:r>
      <w:r>
        <w:rPr>
          <w:noProof/>
          <w:lang w:val="nl-NL" w:eastAsia="nl-NL" w:bidi="ar-SA"/>
        </w:rPr>
        <w:pict>
          <v:rect id="Rectangle 64" o:spid="_x0000_s1051" style="position:absolute;margin-left:170.15pt;margin-top:76.85pt;width:110.05pt;height:98.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">
            <v:textbox style="mso-next-textbox:#Rectangle 64">
              <w:txbxContent>
                <w:p w:rsidR="005B4C8D" w:rsidRPr="00E114F8" w:rsidRDefault="005B4C8D" w:rsidP="00802714">
                  <w:pPr>
                    <w:jc w:val="center"/>
                    <w:rPr>
                      <w:i/>
                    </w:rPr>
                  </w:pPr>
                  <w:r>
                    <w:t xml:space="preserve">Choice of research method </w:t>
                  </w:r>
                  <w:r>
                    <w:rPr>
                      <w:i/>
                    </w:rPr>
                    <w:t>(3.3)</w:t>
                  </w:r>
                </w:p>
              </w:txbxContent>
            </v:textbox>
          </v:rect>
        </w:pict>
      </w:r>
      <w:r>
        <w:rPr>
          <w:noProof/>
          <w:lang w:val="nl-NL" w:eastAsia="nl-NL" w:bidi="ar-SA"/>
        </w:rPr>
        <w:pict>
          <v:rect id="Rectangle 81" o:spid="_x0000_s1052" style="position:absolute;margin-left:26.9pt;margin-top:135.35pt;width:110.05pt;height:40.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">
            <v:textbox style="mso-next-textbox:#Rectangle 81">
              <w:txbxContent>
                <w:p w:rsidR="005B4C8D" w:rsidRDefault="005B4C8D" w:rsidP="009702DB">
                  <w:pPr>
                    <w:jc w:val="center"/>
                  </w:pPr>
                  <w:proofErr w:type="spellStart"/>
                  <w:r>
                    <w:t>Operationalization</w:t>
                  </w:r>
                  <w:proofErr w:type="spellEnd"/>
                </w:p>
                <w:p w:rsidR="005B4C8D" w:rsidRPr="00E114F8" w:rsidRDefault="005B4C8D" w:rsidP="009702DB">
                  <w:pPr>
                    <w:jc w:val="center"/>
                    <w:rPr>
                      <w:i/>
                    </w:rPr>
                  </w:pPr>
                  <w:r>
                    <w:rPr>
                      <w:i/>
                    </w:rPr>
                    <w:t>(3.2)</w:t>
                  </w:r>
                </w:p>
              </w:txbxContent>
            </v:textbox>
          </v:rect>
        </w:pict>
      </w:r>
      <w:r>
        <w:rPr>
          <w:noProof/>
          <w:lang w:val="nl-NL" w:eastAsia="nl-NL" w:bidi="ar-SA"/>
        </w:rPr>
        <w:pict>
          <v:rect id="Rectangle 60" o:spid="_x0000_s1053" style="position:absolute;margin-left:26.9pt;margin-top:76.85pt;width:110.05pt;height:40.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">
            <v:textbox style="mso-next-textbox:#Rectangle 60">
              <w:txbxContent>
                <w:p w:rsidR="005B4C8D" w:rsidRDefault="005B4C8D" w:rsidP="0029675F">
                  <w:pPr>
                    <w:jc w:val="center"/>
                  </w:pPr>
                  <w:r>
                    <w:t>Conceptualization</w:t>
                  </w:r>
                </w:p>
                <w:p w:rsidR="005B4C8D" w:rsidRPr="00E114F8" w:rsidRDefault="005B4C8D" w:rsidP="0029675F">
                  <w:pPr>
                    <w:jc w:val="center"/>
                    <w:rPr>
                      <w:i/>
                    </w:rPr>
                  </w:pPr>
                  <w:r>
                    <w:rPr>
                      <w:i/>
                    </w:rPr>
                    <w:t>(3.2)</w:t>
                  </w:r>
                </w:p>
              </w:txbxContent>
            </v:textbox>
          </v:rect>
        </w:pict>
      </w:r>
      <w:r>
        <w:rPr>
          <w:noProof/>
          <w:lang w:val="nl-NL" w:eastAsia="nl-NL" w:bidi="ar-SA"/>
        </w:rPr>
        <w:pict>
          <v:shape id="AutoShape 73" o:spid="_x0000_s1057" type="#_x0000_t32" style="position:absolute;margin-left:365.2pt;margin-top:60.55pt;width:0;height:16.3pt;z-index:251675648;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">
            <v:stroke endarrow="block"/>
          </v:shape>
        </w:pict>
      </w:r>
      <w:r>
        <w:rPr>
          <w:noProof/>
          <w:lang w:val="nl-NL" w:eastAsia="nl-NL" w:bidi="ar-SA"/>
        </w:rPr>
        <w:pict>
          <v:shape id="AutoShape 71" o:spid="_x0000_s1056" type="#_x0000_t32" style="position:absolute;margin-left:83.3pt;margin-top:60.55pt;width:0;height:16.3pt;z-index:25167360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">
            <v:stroke endarrow="block"/>
          </v:shape>
        </w:pict>
      </w:r>
      <w:r>
        <w:rPr>
          <w:noProof/>
          <w:lang w:val="nl-NL" w:eastAsia="nl-NL" w:bidi="ar-SA"/>
        </w:rPr>
        <w:pict>
          <v:shape id="AutoShape 59" o:spid="_x0000_s1055" type="#_x0000_t32" style="position:absolute;margin-left:52.05pt;margin-top:60.55pt;width:328.05pt;height:0;flip:x;z-index:25166438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q9JgIAAEY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"/>
        </w:pict>
      </w:r>
      <w:r w:rsidR="00792F00">
        <w:t xml:space="preserve">  </w:t>
      </w:r>
    </w:p>
    <w:p w:rsidR="00275106" w:rsidRPr="00616F04" w:rsidRDefault="00275106" w:rsidP="00AE700F">
      <w:pPr>
        <w:rPr>
          <w:noProof/>
          <w:lang w:val="en-US" w:eastAsia="nl-NL" w:bidi="ar-SA"/>
        </w:rPr>
      </w:pPr>
    </w:p>
    <w:p w:rsidR="00AE700F" w:rsidRPr="00AE700F" w:rsidRDefault="003E0D8B" w:rsidP="00AE700F">
      <w:r>
        <w:rPr>
          <w:noProof/>
          <w:lang w:val="nl-NL" w:eastAsia="nl-NL" w:bidi="ar-SA"/>
        </w:rPr>
        <w:pict>
          <v:shape id="Text Box 66" o:spid="_x0000_s1054" type="#_x0000_t202" style="position:absolute;margin-left:236.35pt;margin-top:3.95pt;width:128.85pt;height:21.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" stroked="f">
            <v:textbox style="mso-next-textbox:#Text Box 66">
              <w:txbxContent>
                <w:p w:rsidR="005B4C8D" w:rsidRPr="00A108E8" w:rsidRDefault="005B4C8D">
                  <w:pPr>
                    <w:rPr>
                      <w:i/>
                      <w:lang w:val="nl-NL"/>
                    </w:rPr>
                  </w:pPr>
                  <w:r>
                    <w:rPr>
                      <w:i/>
                      <w:lang w:val="nl-NL"/>
                    </w:rPr>
                    <w:t>(1 + 3.1 (Hypotheses))</w:t>
                  </w:r>
                </w:p>
              </w:txbxContent>
            </v:textbox>
          </v:shape>
        </w:pict>
      </w:r>
    </w:p>
    <w:p w:rsidR="00EB73F1" w:rsidRDefault="00EB73F1" w:rsidP="00EB73F1"/>
    <w:p w:rsidR="00EB73F1" w:rsidRPr="00465093" w:rsidRDefault="00EB73F1" w:rsidP="00EB73F1"/>
    <w:p w:rsidR="00BD5108" w:rsidRDefault="00BD5108" w:rsidP="000C6E80">
      <w:pPr>
        <w:pStyle w:val="Kop1"/>
        <w:numPr>
          <w:ilvl w:val="0"/>
          <w:numId w:val="0"/>
        </w:numPr>
        <w:ind w:left="432" w:hanging="432"/>
        <w:rPr>
          <w:sz w:val="24"/>
          <w:szCs w:val="24"/>
        </w:rPr>
      </w:pPr>
      <w:bookmarkStart w:id="80" w:name="_Toc321050478"/>
    </w:p>
    <w:p w:rsidR="00BD5108" w:rsidRDefault="00BD5108" w:rsidP="000C6E80">
      <w:pPr>
        <w:pStyle w:val="Kop1"/>
        <w:numPr>
          <w:ilvl w:val="0"/>
          <w:numId w:val="0"/>
        </w:numPr>
        <w:ind w:left="432" w:hanging="432"/>
        <w:rPr>
          <w:sz w:val="24"/>
          <w:szCs w:val="24"/>
        </w:rPr>
      </w:pPr>
    </w:p>
    <w:p w:rsidR="00BD5108" w:rsidRDefault="00BD5108" w:rsidP="000C6E80">
      <w:pPr>
        <w:pStyle w:val="Kop1"/>
        <w:numPr>
          <w:ilvl w:val="0"/>
          <w:numId w:val="0"/>
        </w:numPr>
        <w:ind w:left="432" w:hanging="432"/>
        <w:rPr>
          <w:sz w:val="24"/>
          <w:szCs w:val="24"/>
        </w:rPr>
      </w:pPr>
    </w:p>
    <w:p w:rsidR="00BD5108" w:rsidRDefault="00BD5108" w:rsidP="000C6E80">
      <w:pPr>
        <w:pStyle w:val="Kop1"/>
        <w:numPr>
          <w:ilvl w:val="0"/>
          <w:numId w:val="0"/>
        </w:numPr>
        <w:ind w:left="432" w:hanging="432"/>
        <w:rPr>
          <w:sz w:val="24"/>
          <w:szCs w:val="24"/>
        </w:rPr>
      </w:pPr>
    </w:p>
    <w:p w:rsidR="00BD5108" w:rsidRDefault="00BD5108" w:rsidP="000C6E80">
      <w:pPr>
        <w:pStyle w:val="Kop1"/>
        <w:numPr>
          <w:ilvl w:val="0"/>
          <w:numId w:val="0"/>
        </w:numPr>
        <w:ind w:left="432" w:hanging="432"/>
        <w:rPr>
          <w:sz w:val="24"/>
          <w:szCs w:val="24"/>
        </w:rPr>
      </w:pPr>
    </w:p>
    <w:p w:rsidR="00BD5108" w:rsidRDefault="00BD5108" w:rsidP="000C6E80">
      <w:pPr>
        <w:pStyle w:val="Kop1"/>
        <w:numPr>
          <w:ilvl w:val="0"/>
          <w:numId w:val="0"/>
        </w:numPr>
        <w:ind w:left="432" w:hanging="432"/>
        <w:rPr>
          <w:sz w:val="24"/>
          <w:szCs w:val="24"/>
        </w:rPr>
      </w:pPr>
    </w:p>
    <w:p w:rsidR="00BD5108" w:rsidRDefault="00BD5108" w:rsidP="000C6E80">
      <w:pPr>
        <w:pStyle w:val="Kop1"/>
        <w:numPr>
          <w:ilvl w:val="0"/>
          <w:numId w:val="0"/>
        </w:numPr>
        <w:ind w:left="432" w:hanging="432"/>
        <w:rPr>
          <w:sz w:val="24"/>
          <w:szCs w:val="24"/>
        </w:rPr>
      </w:pPr>
    </w:p>
    <w:p w:rsidR="00BD5108" w:rsidRDefault="00BD5108" w:rsidP="000C6E80">
      <w:pPr>
        <w:pStyle w:val="Kop1"/>
        <w:numPr>
          <w:ilvl w:val="0"/>
          <w:numId w:val="0"/>
        </w:numPr>
        <w:ind w:left="432" w:hanging="432"/>
        <w:rPr>
          <w:sz w:val="24"/>
          <w:szCs w:val="24"/>
        </w:rPr>
      </w:pPr>
    </w:p>
    <w:p w:rsidR="00BD5108" w:rsidRDefault="00BD5108" w:rsidP="000C6E80">
      <w:pPr>
        <w:pStyle w:val="Kop1"/>
        <w:numPr>
          <w:ilvl w:val="0"/>
          <w:numId w:val="0"/>
        </w:numPr>
        <w:ind w:left="432" w:hanging="432"/>
        <w:rPr>
          <w:sz w:val="24"/>
          <w:szCs w:val="24"/>
        </w:rPr>
      </w:pPr>
    </w:p>
    <w:p w:rsidR="00BD5108" w:rsidRDefault="00BD5108" w:rsidP="000C6E80">
      <w:pPr>
        <w:pStyle w:val="Kop1"/>
        <w:numPr>
          <w:ilvl w:val="0"/>
          <w:numId w:val="0"/>
        </w:numPr>
        <w:ind w:left="432" w:hanging="432"/>
        <w:rPr>
          <w:sz w:val="24"/>
          <w:szCs w:val="24"/>
        </w:rPr>
      </w:pPr>
    </w:p>
    <w:p w:rsidR="00BD5108" w:rsidRDefault="00BD5108" w:rsidP="00BD5108"/>
    <w:p w:rsidR="00BD5108" w:rsidRDefault="00BD5108" w:rsidP="00BD5108"/>
    <w:p w:rsidR="00BD5108" w:rsidRDefault="00BD5108" w:rsidP="00BD5108"/>
    <w:p w:rsidR="00BD5108" w:rsidRDefault="00BD5108" w:rsidP="00BD5108">
      <w:r w:rsidRPr="00465093">
        <w:t xml:space="preserve">Source: </w:t>
      </w:r>
      <w:proofErr w:type="spellStart"/>
      <w:r w:rsidRPr="00465093">
        <w:t>Babbie</w:t>
      </w:r>
      <w:proofErr w:type="spellEnd"/>
      <w:r w:rsidRPr="00465093">
        <w:t>, E. 2007. The practice of social research. Belmont, USA: Thomson Wadsworth, p. 10</w:t>
      </w:r>
      <w:r w:rsidRPr="00BD5108">
        <w:t xml:space="preserve"> </w:t>
      </w:r>
      <w:r w:rsidRPr="00465093">
        <w:t xml:space="preserve">Source: </w:t>
      </w:r>
      <w:proofErr w:type="spellStart"/>
      <w:r w:rsidRPr="00465093">
        <w:t>Babbie</w:t>
      </w:r>
      <w:proofErr w:type="spellEnd"/>
      <w:r w:rsidRPr="00465093">
        <w:t>, E. 2007. The practice of social research. Belmont, USA: Thomson Wadsworth,</w:t>
      </w:r>
      <w:r>
        <w:t xml:space="preserve"> </w:t>
      </w:r>
      <w:r w:rsidRPr="00465093">
        <w:t>p. 108</w:t>
      </w:r>
    </w:p>
    <w:p w:rsidR="00BD5108" w:rsidRDefault="00BD5108" w:rsidP="00BD5108"/>
    <w:p w:rsidR="0006653C" w:rsidRDefault="0006653C" w:rsidP="00BD5108"/>
    <w:p w:rsidR="0006653C" w:rsidRDefault="00A7369C" w:rsidP="0006653C">
      <w:pPr>
        <w:pStyle w:val="Kop1"/>
        <w:numPr>
          <w:ilvl w:val="0"/>
          <w:numId w:val="0"/>
        </w:numPr>
        <w:ind w:left="432" w:hanging="432"/>
        <w:rPr>
          <w:sz w:val="24"/>
          <w:szCs w:val="24"/>
        </w:rPr>
      </w:pPr>
      <w:bookmarkStart w:id="81" w:name="_Toc355387327"/>
      <w:r>
        <w:rPr>
          <w:sz w:val="24"/>
          <w:szCs w:val="24"/>
        </w:rPr>
        <w:t>Appendix 7</w:t>
      </w:r>
      <w:r w:rsidR="0006653C" w:rsidRPr="000C6E80">
        <w:rPr>
          <w:sz w:val="24"/>
          <w:szCs w:val="24"/>
        </w:rPr>
        <w:tab/>
      </w:r>
      <w:r w:rsidR="00941274">
        <w:rPr>
          <w:sz w:val="24"/>
          <w:szCs w:val="24"/>
        </w:rPr>
        <w:t>Definitions i</w:t>
      </w:r>
      <w:r w:rsidR="0006653C" w:rsidRPr="0006653C">
        <w:rPr>
          <w:sz w:val="24"/>
          <w:szCs w:val="24"/>
        </w:rPr>
        <w:t>nvestment risks</w:t>
      </w:r>
      <w:bookmarkEnd w:id="81"/>
    </w:p>
    <w:p w:rsidR="00941274" w:rsidRDefault="00941274" w:rsidP="00941274"/>
    <w:p w:rsidR="00941274" w:rsidRPr="00941274" w:rsidRDefault="00941274" w:rsidP="00941274">
      <w:pPr>
        <w:rPr>
          <w:b/>
          <w:i/>
        </w:rPr>
      </w:pPr>
      <w:r w:rsidRPr="00941274">
        <w:rPr>
          <w:b/>
          <w:i/>
        </w:rPr>
        <w:t>Definitions derived from Dutch Guidelines of Annual Reporting</w:t>
      </w:r>
    </w:p>
    <w:p w:rsidR="0006653C" w:rsidRDefault="0006653C" w:rsidP="0006653C"/>
    <w:p w:rsidR="0075266C" w:rsidRDefault="0075266C" w:rsidP="00692891">
      <w:pPr>
        <w:spacing w:line="360" w:lineRule="auto"/>
        <w:jc w:val="both"/>
        <w:rPr>
          <w:bCs/>
          <w:u w:val="single"/>
          <w:lang w:val="en-US"/>
        </w:rPr>
      </w:pPr>
      <w:r w:rsidRPr="0075266C">
        <w:rPr>
          <w:bCs/>
          <w:u w:val="single"/>
          <w:lang w:val="en-US"/>
        </w:rPr>
        <w:t>Credit risk</w:t>
      </w:r>
      <w:r>
        <w:rPr>
          <w:bCs/>
          <w:lang w:val="en-US"/>
        </w:rPr>
        <w:t>: the risk that a counterparty cannot fulfill its obligation, which causes financial loss to the legal entity (RJ 940).</w:t>
      </w:r>
    </w:p>
    <w:p w:rsidR="0075266C" w:rsidRPr="0075266C" w:rsidRDefault="0006653C" w:rsidP="00692891">
      <w:pPr>
        <w:spacing w:line="360" w:lineRule="auto"/>
        <w:jc w:val="both"/>
        <w:rPr>
          <w:bCs/>
          <w:lang w:val="en-US"/>
        </w:rPr>
      </w:pPr>
      <w:r w:rsidRPr="0075266C">
        <w:rPr>
          <w:bCs/>
          <w:u w:val="single"/>
          <w:lang w:val="en-US"/>
        </w:rPr>
        <w:t>Currency risk</w:t>
      </w:r>
      <w:r w:rsidR="0075266C" w:rsidRPr="0075266C">
        <w:rPr>
          <w:bCs/>
          <w:lang w:val="en-US"/>
        </w:rPr>
        <w:t>:</w:t>
      </w:r>
      <w:r w:rsidRPr="0075266C">
        <w:rPr>
          <w:bCs/>
          <w:lang w:val="en-US"/>
        </w:rPr>
        <w:t xml:space="preserve"> the risk that the value of a financial instrument will fluctuate as a result of changes in currency rates</w:t>
      </w:r>
      <w:r w:rsidR="0075266C" w:rsidRPr="0075266C">
        <w:rPr>
          <w:bCs/>
          <w:lang w:val="en-US"/>
        </w:rPr>
        <w:t xml:space="preserve"> (RJ 940).</w:t>
      </w:r>
      <w:r w:rsidRPr="0075266C">
        <w:rPr>
          <w:bCs/>
          <w:lang w:val="en-US"/>
        </w:rPr>
        <w:t xml:space="preserve"> </w:t>
      </w:r>
    </w:p>
    <w:p w:rsidR="0075266C" w:rsidRDefault="0075266C" w:rsidP="00692891">
      <w:pPr>
        <w:spacing w:line="360" w:lineRule="auto"/>
        <w:jc w:val="both"/>
        <w:rPr>
          <w:bCs/>
          <w:lang w:val="en-US"/>
        </w:rPr>
      </w:pPr>
      <w:r w:rsidRPr="0075266C">
        <w:rPr>
          <w:bCs/>
          <w:u w:val="single"/>
          <w:lang w:val="en-US"/>
        </w:rPr>
        <w:t>Interest rate risk</w:t>
      </w:r>
      <w:r w:rsidRPr="0006101F">
        <w:rPr>
          <w:bCs/>
          <w:lang w:val="en-US"/>
        </w:rPr>
        <w:t xml:space="preserve">: </w:t>
      </w:r>
      <w:r w:rsidRPr="0075266C">
        <w:rPr>
          <w:bCs/>
          <w:lang w:val="en-US"/>
        </w:rPr>
        <w:t>the risk that the value of a financial instrument will fluctuate as a result of changes in the market based interest rate (RJ 940).</w:t>
      </w:r>
    </w:p>
    <w:p w:rsidR="0075266C" w:rsidRPr="00213E55" w:rsidRDefault="0075266C" w:rsidP="00692891">
      <w:pPr>
        <w:spacing w:line="360" w:lineRule="auto"/>
        <w:jc w:val="both"/>
        <w:rPr>
          <w:bCs/>
        </w:rPr>
      </w:pPr>
      <w:r w:rsidRPr="0075266C">
        <w:rPr>
          <w:bCs/>
          <w:u w:val="single"/>
          <w:lang w:val="en-US"/>
        </w:rPr>
        <w:t>Liquidity risk</w:t>
      </w:r>
      <w:r>
        <w:rPr>
          <w:bCs/>
          <w:lang w:val="en-US"/>
        </w:rPr>
        <w:t xml:space="preserve">: the risk that the legal entity has no opportunity to obtain the financial resources that are necessary to meet its obligations based on the financial instruments, also called the ‘funding risk’. Liquidity risk can among other things arise because a financial asset cannot be sold in the short-term at almost fair value (RJ 940). </w:t>
      </w:r>
    </w:p>
    <w:p w:rsidR="0006653C" w:rsidRDefault="0006653C" w:rsidP="00692891">
      <w:pPr>
        <w:spacing w:line="360" w:lineRule="auto"/>
        <w:jc w:val="both"/>
        <w:rPr>
          <w:bCs/>
          <w:lang w:val="en-US"/>
        </w:rPr>
      </w:pPr>
      <w:r w:rsidRPr="0075266C">
        <w:rPr>
          <w:bCs/>
          <w:u w:val="single"/>
          <w:lang w:val="en-US"/>
        </w:rPr>
        <w:t>Market risk</w:t>
      </w:r>
      <w:r w:rsidR="0075266C" w:rsidRPr="0075266C">
        <w:rPr>
          <w:bCs/>
          <w:lang w:val="en-US"/>
        </w:rPr>
        <w:t xml:space="preserve">: </w:t>
      </w:r>
      <w:r w:rsidRPr="0075266C">
        <w:rPr>
          <w:bCs/>
          <w:lang w:val="en-US"/>
        </w:rPr>
        <w:t>the risk that the value of a financial instrument changes of market prices, caused by factors that apply exclusively to the individual instrument or its issuer, or by factors that influence all instruments that are traded in the market (RJ 940).</w:t>
      </w:r>
    </w:p>
    <w:p w:rsidR="003C5A67" w:rsidRDefault="003C5A67" w:rsidP="00692891">
      <w:pPr>
        <w:spacing w:line="360" w:lineRule="auto"/>
        <w:jc w:val="both"/>
        <w:rPr>
          <w:bCs/>
          <w:lang w:val="en-US"/>
        </w:rPr>
      </w:pPr>
      <w:r w:rsidRPr="003C5A67">
        <w:rPr>
          <w:bCs/>
          <w:u w:val="single"/>
          <w:lang w:val="en-US"/>
        </w:rPr>
        <w:t>Price risk</w:t>
      </w:r>
      <w:r>
        <w:rPr>
          <w:bCs/>
          <w:lang w:val="en-US"/>
        </w:rPr>
        <w:t>: risk that comprises currency risk, interest rate risk and market risk</w:t>
      </w:r>
      <w:r w:rsidR="00355C3B">
        <w:rPr>
          <w:bCs/>
          <w:lang w:val="en-US"/>
        </w:rPr>
        <w:t xml:space="preserve"> (RJ940)</w:t>
      </w:r>
      <w:r>
        <w:rPr>
          <w:bCs/>
          <w:lang w:val="en-US"/>
        </w:rPr>
        <w:t xml:space="preserve">. </w:t>
      </w:r>
    </w:p>
    <w:p w:rsidR="00941274" w:rsidRDefault="00941274" w:rsidP="00692891">
      <w:pPr>
        <w:spacing w:line="360" w:lineRule="auto"/>
        <w:jc w:val="both"/>
        <w:rPr>
          <w:bCs/>
          <w:lang w:val="en-US"/>
        </w:rPr>
      </w:pPr>
    </w:p>
    <w:p w:rsidR="00941274" w:rsidRDefault="00941274" w:rsidP="00692891">
      <w:pPr>
        <w:spacing w:line="360" w:lineRule="auto"/>
        <w:jc w:val="both"/>
        <w:rPr>
          <w:b/>
          <w:bCs/>
          <w:i/>
          <w:lang w:val="en-US"/>
        </w:rPr>
      </w:pPr>
      <w:r>
        <w:rPr>
          <w:b/>
          <w:bCs/>
          <w:i/>
          <w:lang w:val="en-US"/>
        </w:rPr>
        <w:t>Additional definitions derived from financial statements Dutch pension funds</w:t>
      </w:r>
      <w:r w:rsidR="00B4042F">
        <w:rPr>
          <w:b/>
          <w:bCs/>
          <w:i/>
          <w:lang w:val="en-US"/>
        </w:rPr>
        <w:t>*</w:t>
      </w:r>
    </w:p>
    <w:p w:rsidR="00941274" w:rsidRPr="00452F14" w:rsidRDefault="00941274" w:rsidP="00692891">
      <w:pPr>
        <w:spacing w:line="360" w:lineRule="auto"/>
        <w:jc w:val="both"/>
        <w:rPr>
          <w:lang w:val="en-US"/>
        </w:rPr>
      </w:pPr>
      <w:r>
        <w:rPr>
          <w:bCs/>
          <w:u w:val="single"/>
          <w:lang w:val="en-US"/>
        </w:rPr>
        <w:t>Bankruptcy risk</w:t>
      </w:r>
      <w:r>
        <w:rPr>
          <w:bCs/>
          <w:lang w:val="en-US"/>
        </w:rPr>
        <w:t>: the risk that a pension fund faces, when the counterparty due to a (fully or partly) bankruptcy cannot fulfill its (full or in part) fulfill the payment obligations (</w:t>
      </w:r>
      <w:proofErr w:type="spellStart"/>
      <w:r>
        <w:rPr>
          <w:bCs/>
          <w:lang w:val="en-US"/>
        </w:rPr>
        <w:t>Stichting</w:t>
      </w:r>
      <w:proofErr w:type="spellEnd"/>
      <w:r>
        <w:rPr>
          <w:bCs/>
          <w:lang w:val="en-US"/>
        </w:rPr>
        <w:t xml:space="preserve"> </w:t>
      </w:r>
      <w:proofErr w:type="spellStart"/>
      <w:r>
        <w:rPr>
          <w:bCs/>
          <w:lang w:val="en-US"/>
        </w:rPr>
        <w:t>Pensioenfonds</w:t>
      </w:r>
      <w:proofErr w:type="spellEnd"/>
      <w:r>
        <w:rPr>
          <w:bCs/>
          <w:lang w:val="en-US"/>
        </w:rPr>
        <w:t xml:space="preserve"> Ballast </w:t>
      </w:r>
      <w:proofErr w:type="spellStart"/>
      <w:r>
        <w:rPr>
          <w:bCs/>
          <w:lang w:val="en-US"/>
        </w:rPr>
        <w:t>Nedam</w:t>
      </w:r>
      <w:proofErr w:type="spellEnd"/>
      <w:r>
        <w:rPr>
          <w:bCs/>
          <w:lang w:val="en-US"/>
        </w:rPr>
        <w:t>, financial statements 2011).</w:t>
      </w:r>
    </w:p>
    <w:p w:rsidR="00941274" w:rsidRDefault="00941274" w:rsidP="00692891">
      <w:pPr>
        <w:spacing w:line="360" w:lineRule="auto"/>
        <w:jc w:val="both"/>
        <w:rPr>
          <w:bCs/>
          <w:lang w:val="en-US"/>
        </w:rPr>
      </w:pPr>
      <w:r>
        <w:rPr>
          <w:bCs/>
          <w:u w:val="single"/>
          <w:lang w:val="en-US"/>
        </w:rPr>
        <w:t>Collateral risk</w:t>
      </w:r>
      <w:r>
        <w:rPr>
          <w:bCs/>
          <w:lang w:val="en-US"/>
        </w:rPr>
        <w:t>: the risk that a pension fund faces, when the underlying asset of a loan, debtor or obligation changes in value (</w:t>
      </w:r>
      <w:proofErr w:type="spellStart"/>
      <w:r>
        <w:rPr>
          <w:bCs/>
          <w:lang w:val="en-US"/>
        </w:rPr>
        <w:t>Stichting</w:t>
      </w:r>
      <w:proofErr w:type="spellEnd"/>
      <w:r>
        <w:rPr>
          <w:bCs/>
          <w:lang w:val="en-US"/>
        </w:rPr>
        <w:t xml:space="preserve"> </w:t>
      </w:r>
      <w:proofErr w:type="spellStart"/>
      <w:r>
        <w:rPr>
          <w:bCs/>
          <w:lang w:val="en-US"/>
        </w:rPr>
        <w:t>Pensioenfonds</w:t>
      </w:r>
      <w:proofErr w:type="spellEnd"/>
      <w:r>
        <w:rPr>
          <w:bCs/>
          <w:lang w:val="en-US"/>
        </w:rPr>
        <w:t xml:space="preserve"> Ballast </w:t>
      </w:r>
      <w:proofErr w:type="spellStart"/>
      <w:r>
        <w:rPr>
          <w:bCs/>
          <w:lang w:val="en-US"/>
        </w:rPr>
        <w:t>Nedam</w:t>
      </w:r>
      <w:proofErr w:type="spellEnd"/>
      <w:r>
        <w:rPr>
          <w:bCs/>
          <w:lang w:val="en-US"/>
        </w:rPr>
        <w:t>, financial statements 2011).</w:t>
      </w:r>
    </w:p>
    <w:p w:rsidR="00F53D77" w:rsidRPr="0055242D" w:rsidRDefault="00F53D77" w:rsidP="00692891">
      <w:pPr>
        <w:spacing w:line="360" w:lineRule="auto"/>
        <w:jc w:val="both"/>
        <w:rPr>
          <w:bCs/>
          <w:lang w:val="en-US"/>
        </w:rPr>
      </w:pPr>
      <w:r w:rsidRPr="00F53D77">
        <w:rPr>
          <w:bCs/>
          <w:u w:val="single"/>
          <w:lang w:val="en-US"/>
        </w:rPr>
        <w:t>Concentration risk</w:t>
      </w:r>
      <w:r>
        <w:rPr>
          <w:bCs/>
          <w:lang w:val="en-US"/>
        </w:rPr>
        <w:t xml:space="preserve">: </w:t>
      </w:r>
      <w:r w:rsidR="009141A5">
        <w:rPr>
          <w:bCs/>
          <w:lang w:val="en-US"/>
        </w:rPr>
        <w:t>the risk that a too large part of the assets has been concentrated at one debtor (</w:t>
      </w:r>
      <w:proofErr w:type="spellStart"/>
      <w:r w:rsidR="009141A5">
        <w:rPr>
          <w:bCs/>
          <w:lang w:val="en-US"/>
        </w:rPr>
        <w:t>Stichting</w:t>
      </w:r>
      <w:proofErr w:type="spellEnd"/>
      <w:r w:rsidR="009141A5">
        <w:rPr>
          <w:bCs/>
          <w:lang w:val="en-US"/>
        </w:rPr>
        <w:t xml:space="preserve"> </w:t>
      </w:r>
      <w:proofErr w:type="spellStart"/>
      <w:r w:rsidR="009141A5">
        <w:rPr>
          <w:bCs/>
          <w:lang w:val="en-US"/>
        </w:rPr>
        <w:t>Pensioenfonds</w:t>
      </w:r>
      <w:proofErr w:type="spellEnd"/>
      <w:r w:rsidR="009141A5">
        <w:rPr>
          <w:bCs/>
          <w:lang w:val="en-US"/>
        </w:rPr>
        <w:t xml:space="preserve"> </w:t>
      </w:r>
      <w:proofErr w:type="spellStart"/>
      <w:r w:rsidR="009141A5">
        <w:rPr>
          <w:bCs/>
          <w:lang w:val="en-US"/>
        </w:rPr>
        <w:t>Metaal</w:t>
      </w:r>
      <w:proofErr w:type="spellEnd"/>
      <w:r w:rsidR="009141A5">
        <w:rPr>
          <w:bCs/>
          <w:lang w:val="en-US"/>
        </w:rPr>
        <w:t xml:space="preserve"> en </w:t>
      </w:r>
      <w:proofErr w:type="spellStart"/>
      <w:r w:rsidR="009141A5">
        <w:rPr>
          <w:bCs/>
          <w:lang w:val="en-US"/>
        </w:rPr>
        <w:t>Techniek</w:t>
      </w:r>
      <w:proofErr w:type="spellEnd"/>
      <w:r w:rsidR="009141A5">
        <w:rPr>
          <w:bCs/>
          <w:lang w:val="en-US"/>
        </w:rPr>
        <w:t>, financial statements 2011).</w:t>
      </w:r>
      <w:r w:rsidR="0055242D">
        <w:rPr>
          <w:bCs/>
          <w:lang w:val="en-US"/>
        </w:rPr>
        <w:t xml:space="preserve"> </w:t>
      </w:r>
      <w:r w:rsidR="0055242D" w:rsidRPr="0055242D">
        <w:rPr>
          <w:bCs/>
          <w:lang w:val="en-US"/>
        </w:rPr>
        <w:t>The risk that due to inadequate diversification in the portfolio a certain development or event will cause an above-average imp</w:t>
      </w:r>
      <w:r w:rsidR="0055242D">
        <w:rPr>
          <w:bCs/>
          <w:lang w:val="en-US"/>
        </w:rPr>
        <w:t>act on the value of a portfolio (</w:t>
      </w:r>
      <w:proofErr w:type="spellStart"/>
      <w:r w:rsidR="0055242D">
        <w:rPr>
          <w:bCs/>
          <w:lang w:val="en-US"/>
        </w:rPr>
        <w:t>Stichting</w:t>
      </w:r>
      <w:proofErr w:type="spellEnd"/>
      <w:r w:rsidR="0055242D">
        <w:rPr>
          <w:bCs/>
          <w:lang w:val="en-US"/>
        </w:rPr>
        <w:t xml:space="preserve"> </w:t>
      </w:r>
      <w:proofErr w:type="spellStart"/>
      <w:r w:rsidR="0055242D">
        <w:rPr>
          <w:bCs/>
          <w:lang w:val="en-US"/>
        </w:rPr>
        <w:t>Pensioenfonds</w:t>
      </w:r>
      <w:proofErr w:type="spellEnd"/>
      <w:r w:rsidR="0055242D">
        <w:rPr>
          <w:bCs/>
          <w:lang w:val="en-US"/>
        </w:rPr>
        <w:t xml:space="preserve"> ING, financial statements 2011).</w:t>
      </w:r>
      <w:r w:rsidR="0055242D" w:rsidRPr="0055242D">
        <w:rPr>
          <w:bCs/>
          <w:lang w:val="en-US"/>
        </w:rPr>
        <w:t xml:space="preserve"> </w:t>
      </w:r>
    </w:p>
    <w:p w:rsidR="00941274" w:rsidRPr="004C0D55" w:rsidRDefault="00941274" w:rsidP="00692891">
      <w:pPr>
        <w:spacing w:line="360" w:lineRule="auto"/>
        <w:jc w:val="both"/>
        <w:rPr>
          <w:bCs/>
          <w:lang w:val="en-US"/>
        </w:rPr>
      </w:pPr>
      <w:r>
        <w:rPr>
          <w:bCs/>
          <w:u w:val="single"/>
          <w:lang w:val="en-US"/>
        </w:rPr>
        <w:t>Investment risk</w:t>
      </w:r>
      <w:r>
        <w:rPr>
          <w:bCs/>
          <w:lang w:val="en-US"/>
        </w:rPr>
        <w:t>: risk regarding investments; the expected returns might actually be higher or lower (</w:t>
      </w:r>
      <w:proofErr w:type="spellStart"/>
      <w:r>
        <w:rPr>
          <w:bCs/>
          <w:lang w:val="en-US"/>
        </w:rPr>
        <w:t>Stichting</w:t>
      </w:r>
      <w:proofErr w:type="spellEnd"/>
      <w:r>
        <w:rPr>
          <w:bCs/>
          <w:lang w:val="en-US"/>
        </w:rPr>
        <w:t xml:space="preserve"> </w:t>
      </w:r>
      <w:proofErr w:type="spellStart"/>
      <w:r>
        <w:rPr>
          <w:bCs/>
          <w:lang w:val="en-US"/>
        </w:rPr>
        <w:t>Pensioenfonds</w:t>
      </w:r>
      <w:proofErr w:type="spellEnd"/>
      <w:r>
        <w:rPr>
          <w:bCs/>
          <w:lang w:val="en-US"/>
        </w:rPr>
        <w:t xml:space="preserve"> </w:t>
      </w:r>
      <w:proofErr w:type="spellStart"/>
      <w:r>
        <w:rPr>
          <w:bCs/>
          <w:lang w:val="en-US"/>
        </w:rPr>
        <w:t>Aviko</w:t>
      </w:r>
      <w:proofErr w:type="spellEnd"/>
      <w:r>
        <w:rPr>
          <w:bCs/>
          <w:lang w:val="en-US"/>
        </w:rPr>
        <w:t>, financial statements 2011).</w:t>
      </w:r>
    </w:p>
    <w:p w:rsidR="00941274" w:rsidRDefault="00941274" w:rsidP="00692891">
      <w:pPr>
        <w:spacing w:line="360" w:lineRule="auto"/>
        <w:jc w:val="both"/>
        <w:rPr>
          <w:bCs/>
          <w:lang w:val="en-US"/>
        </w:rPr>
      </w:pPr>
      <w:r w:rsidRPr="00B77239">
        <w:rPr>
          <w:bCs/>
          <w:u w:val="single"/>
          <w:lang w:val="en-US"/>
        </w:rPr>
        <w:t>Settlement risk</w:t>
      </w:r>
      <w:r>
        <w:rPr>
          <w:bCs/>
          <w:lang w:val="en-US"/>
        </w:rPr>
        <w:t>: the risk that a pension fund faces, when a counterparty (whether or not) consciously does not keep to what has been agreed regarding the settlement of transactions (</w:t>
      </w:r>
      <w:proofErr w:type="spellStart"/>
      <w:r>
        <w:rPr>
          <w:bCs/>
          <w:lang w:val="en-US"/>
        </w:rPr>
        <w:t>Stichting</w:t>
      </w:r>
      <w:proofErr w:type="spellEnd"/>
      <w:r>
        <w:rPr>
          <w:bCs/>
          <w:lang w:val="en-US"/>
        </w:rPr>
        <w:t xml:space="preserve"> </w:t>
      </w:r>
      <w:proofErr w:type="spellStart"/>
      <w:r>
        <w:rPr>
          <w:bCs/>
          <w:lang w:val="en-US"/>
        </w:rPr>
        <w:t>Pensioenfonds</w:t>
      </w:r>
      <w:proofErr w:type="spellEnd"/>
      <w:r>
        <w:rPr>
          <w:bCs/>
          <w:lang w:val="en-US"/>
        </w:rPr>
        <w:t xml:space="preserve"> Ballast </w:t>
      </w:r>
      <w:proofErr w:type="spellStart"/>
      <w:r>
        <w:rPr>
          <w:bCs/>
          <w:lang w:val="en-US"/>
        </w:rPr>
        <w:t>Nedam</w:t>
      </w:r>
      <w:proofErr w:type="spellEnd"/>
      <w:r>
        <w:rPr>
          <w:bCs/>
          <w:lang w:val="en-US"/>
        </w:rPr>
        <w:t>, financial statements 2011).</w:t>
      </w:r>
    </w:p>
    <w:p w:rsidR="00B4042F" w:rsidRDefault="00B4042F" w:rsidP="00692891">
      <w:pPr>
        <w:spacing w:line="360" w:lineRule="auto"/>
        <w:jc w:val="both"/>
        <w:rPr>
          <w:bCs/>
          <w:lang w:val="en-US"/>
        </w:rPr>
      </w:pPr>
    </w:p>
    <w:p w:rsidR="00706D24" w:rsidRDefault="00B4042F" w:rsidP="00692891">
      <w:pPr>
        <w:spacing w:line="360" w:lineRule="auto"/>
        <w:jc w:val="both"/>
        <w:rPr>
          <w:bCs/>
          <w:lang w:val="en-US"/>
        </w:rPr>
      </w:pPr>
      <w:r>
        <w:rPr>
          <w:bCs/>
          <w:lang w:val="en-US"/>
        </w:rPr>
        <w:t xml:space="preserve">*Within brackets the source of the presented definition.  </w:t>
      </w:r>
    </w:p>
    <w:p w:rsidR="00706D24" w:rsidRDefault="00706D24" w:rsidP="00692891">
      <w:pPr>
        <w:jc w:val="both"/>
        <w:rPr>
          <w:bCs/>
          <w:lang w:val="en-US"/>
        </w:rPr>
      </w:pPr>
      <w:r>
        <w:rPr>
          <w:bCs/>
          <w:lang w:val="en-US"/>
        </w:rPr>
        <w:br w:type="page"/>
      </w:r>
    </w:p>
    <w:p w:rsidR="00EB73F1" w:rsidRPr="000C6E80" w:rsidRDefault="00A23649" w:rsidP="000C6E80">
      <w:pPr>
        <w:pStyle w:val="Kop1"/>
        <w:numPr>
          <w:ilvl w:val="0"/>
          <w:numId w:val="0"/>
        </w:numPr>
        <w:ind w:left="432" w:hanging="432"/>
        <w:rPr>
          <w:sz w:val="24"/>
          <w:szCs w:val="24"/>
        </w:rPr>
      </w:pPr>
      <w:bookmarkStart w:id="82" w:name="_Toc355387328"/>
      <w:r>
        <w:rPr>
          <w:sz w:val="24"/>
          <w:szCs w:val="24"/>
        </w:rPr>
        <w:t xml:space="preserve">Appendix </w:t>
      </w:r>
      <w:r w:rsidR="00A7369C">
        <w:rPr>
          <w:sz w:val="24"/>
          <w:szCs w:val="24"/>
        </w:rPr>
        <w:t>8</w:t>
      </w:r>
      <w:r w:rsidR="00EB73F1" w:rsidRPr="000C6E80">
        <w:rPr>
          <w:sz w:val="24"/>
          <w:szCs w:val="24"/>
        </w:rPr>
        <w:tab/>
        <w:t>Analysis of Research Methods</w:t>
      </w:r>
      <w:bookmarkEnd w:id="80"/>
      <w:bookmarkEnd w:id="82"/>
    </w:p>
    <w:p w:rsidR="00EB73F1" w:rsidRDefault="00EB73F1" w:rsidP="00EB73F1"/>
    <w:tbl>
      <w:tblPr>
        <w:tblStyle w:val="Tabelraster"/>
        <w:tblW w:w="0" w:type="auto"/>
        <w:tblLayout w:type="fixed"/>
        <w:tblLook w:val="04A0"/>
      </w:tblPr>
      <w:tblGrid>
        <w:gridCol w:w="1384"/>
        <w:gridCol w:w="923"/>
        <w:gridCol w:w="924"/>
        <w:gridCol w:w="923"/>
        <w:gridCol w:w="924"/>
        <w:gridCol w:w="924"/>
        <w:gridCol w:w="1761"/>
        <w:gridCol w:w="992"/>
      </w:tblGrid>
      <w:tr w:rsidR="00EB0052" w:rsidTr="0026488C">
        <w:tc>
          <w:tcPr>
            <w:tcW w:w="1384" w:type="dxa"/>
          </w:tcPr>
          <w:p w:rsidR="00EB0052" w:rsidRPr="00EB0052" w:rsidRDefault="00EB0052" w:rsidP="009B4362">
            <w:pPr>
              <w:rPr>
                <w:b/>
                <w:highlight w:val="lightGray"/>
              </w:rPr>
            </w:pPr>
          </w:p>
        </w:tc>
        <w:tc>
          <w:tcPr>
            <w:tcW w:w="7371" w:type="dxa"/>
            <w:gridSpan w:val="7"/>
          </w:tcPr>
          <w:p w:rsidR="00EB0052" w:rsidRDefault="00EB0052" w:rsidP="00EB0052">
            <w:pPr>
              <w:jc w:val="center"/>
              <w:rPr>
                <w:b/>
              </w:rPr>
            </w:pPr>
            <w:r>
              <w:rPr>
                <w:b/>
              </w:rPr>
              <w:t>Criteria</w:t>
            </w:r>
          </w:p>
        </w:tc>
      </w:tr>
      <w:tr w:rsidR="0036232B" w:rsidTr="00727E56">
        <w:tc>
          <w:tcPr>
            <w:tcW w:w="1384" w:type="dxa"/>
          </w:tcPr>
          <w:p w:rsidR="0036232B" w:rsidRPr="002C6B60" w:rsidRDefault="0036232B" w:rsidP="009B4362">
            <w:pPr>
              <w:rPr>
                <w:b/>
              </w:rPr>
            </w:pPr>
            <w:r>
              <w:rPr>
                <w:b/>
              </w:rPr>
              <w:t>Research method</w:t>
            </w:r>
          </w:p>
        </w:tc>
        <w:tc>
          <w:tcPr>
            <w:tcW w:w="923" w:type="dxa"/>
          </w:tcPr>
          <w:p w:rsidR="0036232B" w:rsidRDefault="0036232B" w:rsidP="009B4362">
            <w:pPr>
              <w:rPr>
                <w:b/>
              </w:rPr>
            </w:pPr>
            <w:proofErr w:type="spellStart"/>
            <w:r>
              <w:rPr>
                <w:b/>
              </w:rPr>
              <w:t>Relia</w:t>
            </w:r>
            <w:proofErr w:type="spellEnd"/>
            <w:r>
              <w:rPr>
                <w:b/>
              </w:rPr>
              <w:t>-</w:t>
            </w:r>
          </w:p>
          <w:p w:rsidR="0036232B" w:rsidRPr="0036232B" w:rsidRDefault="0036232B" w:rsidP="009B4362">
            <w:pPr>
              <w:rPr>
                <w:b/>
              </w:rPr>
            </w:pPr>
            <w:proofErr w:type="spellStart"/>
            <w:r>
              <w:rPr>
                <w:b/>
              </w:rPr>
              <w:t>bility</w:t>
            </w:r>
            <w:proofErr w:type="spellEnd"/>
          </w:p>
        </w:tc>
        <w:tc>
          <w:tcPr>
            <w:tcW w:w="924" w:type="dxa"/>
          </w:tcPr>
          <w:p w:rsidR="0036232B" w:rsidRDefault="0036232B" w:rsidP="009B4362">
            <w:pPr>
              <w:rPr>
                <w:b/>
              </w:rPr>
            </w:pPr>
            <w:proofErr w:type="spellStart"/>
            <w:r w:rsidRPr="0036232B">
              <w:rPr>
                <w:b/>
              </w:rPr>
              <w:t>Vali</w:t>
            </w:r>
            <w:proofErr w:type="spellEnd"/>
            <w:r>
              <w:rPr>
                <w:b/>
              </w:rPr>
              <w:t>-</w:t>
            </w:r>
          </w:p>
          <w:p w:rsidR="0036232B" w:rsidRPr="0036232B" w:rsidRDefault="0036232B" w:rsidP="009B4362">
            <w:pPr>
              <w:rPr>
                <w:b/>
              </w:rPr>
            </w:pPr>
            <w:proofErr w:type="spellStart"/>
            <w:r w:rsidRPr="0036232B">
              <w:rPr>
                <w:b/>
              </w:rPr>
              <w:t>dity</w:t>
            </w:r>
            <w:proofErr w:type="spellEnd"/>
          </w:p>
        </w:tc>
        <w:tc>
          <w:tcPr>
            <w:tcW w:w="923" w:type="dxa"/>
          </w:tcPr>
          <w:p w:rsidR="0036232B" w:rsidRDefault="0036232B" w:rsidP="009B4362">
            <w:pPr>
              <w:rPr>
                <w:b/>
              </w:rPr>
            </w:pPr>
            <w:proofErr w:type="spellStart"/>
            <w:r>
              <w:rPr>
                <w:b/>
              </w:rPr>
              <w:t>Objec</w:t>
            </w:r>
            <w:proofErr w:type="spellEnd"/>
            <w:r>
              <w:rPr>
                <w:b/>
              </w:rPr>
              <w:t>-</w:t>
            </w:r>
          </w:p>
          <w:p w:rsidR="0036232B" w:rsidRPr="0036232B" w:rsidRDefault="0036232B" w:rsidP="009B4362">
            <w:pPr>
              <w:rPr>
                <w:b/>
              </w:rPr>
            </w:pPr>
            <w:proofErr w:type="spellStart"/>
            <w:r>
              <w:rPr>
                <w:b/>
              </w:rPr>
              <w:t>tivity</w:t>
            </w:r>
            <w:proofErr w:type="spellEnd"/>
          </w:p>
        </w:tc>
        <w:tc>
          <w:tcPr>
            <w:tcW w:w="924" w:type="dxa"/>
          </w:tcPr>
          <w:p w:rsidR="0036232B" w:rsidRDefault="0036232B" w:rsidP="009B4362">
            <w:pPr>
              <w:rPr>
                <w:b/>
              </w:rPr>
            </w:pPr>
            <w:r>
              <w:rPr>
                <w:b/>
              </w:rPr>
              <w:t>Bud-</w:t>
            </w:r>
          </w:p>
          <w:p w:rsidR="0036232B" w:rsidRPr="0036232B" w:rsidRDefault="0036232B" w:rsidP="009B4362">
            <w:pPr>
              <w:rPr>
                <w:b/>
              </w:rPr>
            </w:pPr>
            <w:r>
              <w:rPr>
                <w:b/>
              </w:rPr>
              <w:t>get</w:t>
            </w:r>
          </w:p>
        </w:tc>
        <w:tc>
          <w:tcPr>
            <w:tcW w:w="924" w:type="dxa"/>
          </w:tcPr>
          <w:p w:rsidR="0036232B" w:rsidRDefault="0036232B" w:rsidP="009B4362">
            <w:pPr>
              <w:rPr>
                <w:b/>
              </w:rPr>
            </w:pPr>
            <w:r>
              <w:rPr>
                <w:b/>
              </w:rPr>
              <w:t>Time</w:t>
            </w:r>
          </w:p>
        </w:tc>
        <w:tc>
          <w:tcPr>
            <w:tcW w:w="1761" w:type="dxa"/>
          </w:tcPr>
          <w:p w:rsidR="0036232B" w:rsidRDefault="0036232B" w:rsidP="009B4362">
            <w:pPr>
              <w:rPr>
                <w:b/>
              </w:rPr>
            </w:pPr>
            <w:r>
              <w:rPr>
                <w:b/>
              </w:rPr>
              <w:t>Additional</w:t>
            </w:r>
          </w:p>
          <w:p w:rsidR="0036232B" w:rsidRDefault="0036232B" w:rsidP="009B4362">
            <w:pPr>
              <w:rPr>
                <w:b/>
              </w:rPr>
            </w:pPr>
            <w:r>
              <w:rPr>
                <w:b/>
              </w:rPr>
              <w:t>Limitation(s)</w:t>
            </w:r>
          </w:p>
        </w:tc>
        <w:tc>
          <w:tcPr>
            <w:tcW w:w="992" w:type="dxa"/>
          </w:tcPr>
          <w:p w:rsidR="0036232B" w:rsidRDefault="0036232B" w:rsidP="009B4362">
            <w:pPr>
              <w:rPr>
                <w:b/>
              </w:rPr>
            </w:pPr>
            <w:r>
              <w:rPr>
                <w:b/>
              </w:rPr>
              <w:t>Appro-</w:t>
            </w:r>
            <w:proofErr w:type="spellStart"/>
            <w:r>
              <w:rPr>
                <w:b/>
              </w:rPr>
              <w:t>priate</w:t>
            </w:r>
            <w:proofErr w:type="spellEnd"/>
            <w:r>
              <w:rPr>
                <w:b/>
              </w:rPr>
              <w:t>?</w:t>
            </w:r>
          </w:p>
        </w:tc>
      </w:tr>
      <w:tr w:rsidR="005D5E9A" w:rsidTr="00727E56">
        <w:tc>
          <w:tcPr>
            <w:tcW w:w="1384" w:type="dxa"/>
          </w:tcPr>
          <w:p w:rsidR="005D5E9A" w:rsidRDefault="00727E56" w:rsidP="009B4362">
            <w:r>
              <w:t>D</w:t>
            </w:r>
            <w:r w:rsidR="005D5E9A">
              <w:t>isclosure</w:t>
            </w:r>
            <w:r>
              <w:t xml:space="preserve"> survey</w:t>
            </w:r>
          </w:p>
        </w:tc>
        <w:tc>
          <w:tcPr>
            <w:tcW w:w="923" w:type="dxa"/>
          </w:tcPr>
          <w:p w:rsidR="005D5E9A" w:rsidRDefault="00727E56" w:rsidP="009B4362">
            <w:r>
              <w:t>+</w:t>
            </w:r>
          </w:p>
        </w:tc>
        <w:tc>
          <w:tcPr>
            <w:tcW w:w="924" w:type="dxa"/>
          </w:tcPr>
          <w:p w:rsidR="005D5E9A" w:rsidRDefault="00727E56" w:rsidP="009B4362">
            <w:r>
              <w:t>-</w:t>
            </w:r>
          </w:p>
        </w:tc>
        <w:tc>
          <w:tcPr>
            <w:tcW w:w="923" w:type="dxa"/>
          </w:tcPr>
          <w:p w:rsidR="005D5E9A" w:rsidRDefault="007739E5" w:rsidP="009B4362">
            <w:r>
              <w:t>-</w:t>
            </w:r>
          </w:p>
        </w:tc>
        <w:tc>
          <w:tcPr>
            <w:tcW w:w="924" w:type="dxa"/>
          </w:tcPr>
          <w:p w:rsidR="005D5E9A" w:rsidRDefault="00727E56" w:rsidP="009B4362">
            <w:r>
              <w:t>+</w:t>
            </w:r>
          </w:p>
        </w:tc>
        <w:tc>
          <w:tcPr>
            <w:tcW w:w="924" w:type="dxa"/>
          </w:tcPr>
          <w:p w:rsidR="005D5E9A" w:rsidRDefault="00727E56" w:rsidP="009B4362">
            <w:r>
              <w:t>+/-</w:t>
            </w:r>
          </w:p>
        </w:tc>
        <w:tc>
          <w:tcPr>
            <w:tcW w:w="1761" w:type="dxa"/>
          </w:tcPr>
          <w:p w:rsidR="005D5E9A" w:rsidRDefault="00727E56" w:rsidP="00727E56">
            <w:r>
              <w:t xml:space="preserve">- Dependency on respondents       </w:t>
            </w:r>
          </w:p>
          <w:p w:rsidR="00727E56" w:rsidRDefault="00727E56" w:rsidP="00727E56">
            <w:r>
              <w:t>- Artificiality</w:t>
            </w:r>
          </w:p>
        </w:tc>
        <w:tc>
          <w:tcPr>
            <w:tcW w:w="992" w:type="dxa"/>
          </w:tcPr>
          <w:p w:rsidR="005D5E9A" w:rsidRDefault="00727E56" w:rsidP="009B4362">
            <w:r>
              <w:t>Yes</w:t>
            </w:r>
          </w:p>
        </w:tc>
      </w:tr>
      <w:tr w:rsidR="00EB2B6E" w:rsidTr="00727E56">
        <w:tc>
          <w:tcPr>
            <w:tcW w:w="1384" w:type="dxa"/>
          </w:tcPr>
          <w:p w:rsidR="00EB2B6E" w:rsidRDefault="00EB2B6E" w:rsidP="009B4362">
            <w:r>
              <w:t>Disclosure index studies</w:t>
            </w:r>
          </w:p>
        </w:tc>
        <w:tc>
          <w:tcPr>
            <w:tcW w:w="923" w:type="dxa"/>
          </w:tcPr>
          <w:p w:rsidR="00EB2B6E" w:rsidRDefault="00EB2B6E" w:rsidP="006635D1">
            <w:r>
              <w:t>+/-</w:t>
            </w:r>
          </w:p>
        </w:tc>
        <w:tc>
          <w:tcPr>
            <w:tcW w:w="924" w:type="dxa"/>
          </w:tcPr>
          <w:p w:rsidR="00EB2B6E" w:rsidRDefault="00EB2B6E" w:rsidP="006635D1">
            <w:r>
              <w:t>+/-</w:t>
            </w:r>
          </w:p>
        </w:tc>
        <w:tc>
          <w:tcPr>
            <w:tcW w:w="923" w:type="dxa"/>
          </w:tcPr>
          <w:p w:rsidR="00EB2B6E" w:rsidRDefault="00EB2B6E" w:rsidP="006635D1">
            <w:r>
              <w:t>-</w:t>
            </w:r>
          </w:p>
        </w:tc>
        <w:tc>
          <w:tcPr>
            <w:tcW w:w="924" w:type="dxa"/>
          </w:tcPr>
          <w:p w:rsidR="00EB2B6E" w:rsidRDefault="00EB2B6E" w:rsidP="006635D1">
            <w:r>
              <w:t>+/-</w:t>
            </w:r>
          </w:p>
        </w:tc>
        <w:tc>
          <w:tcPr>
            <w:tcW w:w="924" w:type="dxa"/>
          </w:tcPr>
          <w:p w:rsidR="00EB2B6E" w:rsidRDefault="00EB2B6E" w:rsidP="006635D1">
            <w:r>
              <w:t>-</w:t>
            </w:r>
            <w:r w:rsidR="009F5FE2">
              <w:t>/-</w:t>
            </w:r>
          </w:p>
        </w:tc>
        <w:tc>
          <w:tcPr>
            <w:tcW w:w="1761" w:type="dxa"/>
          </w:tcPr>
          <w:p w:rsidR="00EB2B6E" w:rsidRDefault="00EB2B6E" w:rsidP="00EB2B6E">
            <w:r>
              <w:t xml:space="preserve">- </w:t>
            </w:r>
            <w:r w:rsidR="005350A8">
              <w:t>resource-intensive</w:t>
            </w:r>
          </w:p>
        </w:tc>
        <w:tc>
          <w:tcPr>
            <w:tcW w:w="992" w:type="dxa"/>
          </w:tcPr>
          <w:p w:rsidR="00EB2B6E" w:rsidRDefault="004A4B0E" w:rsidP="006635D1">
            <w:r>
              <w:t>Yes</w:t>
            </w:r>
          </w:p>
        </w:tc>
      </w:tr>
      <w:tr w:rsidR="00EB2B6E" w:rsidTr="00727E56">
        <w:tc>
          <w:tcPr>
            <w:tcW w:w="1384" w:type="dxa"/>
          </w:tcPr>
          <w:p w:rsidR="00EB2B6E" w:rsidRDefault="00EB2B6E" w:rsidP="009B4362">
            <w:r>
              <w:t>Content analysis</w:t>
            </w:r>
          </w:p>
        </w:tc>
        <w:tc>
          <w:tcPr>
            <w:tcW w:w="923" w:type="dxa"/>
          </w:tcPr>
          <w:p w:rsidR="00EB2B6E" w:rsidRDefault="00EB2B6E" w:rsidP="009B4362">
            <w:r>
              <w:t>+</w:t>
            </w:r>
          </w:p>
        </w:tc>
        <w:tc>
          <w:tcPr>
            <w:tcW w:w="924" w:type="dxa"/>
          </w:tcPr>
          <w:p w:rsidR="00EB2B6E" w:rsidRDefault="00EB2B6E" w:rsidP="009B4362">
            <w:r>
              <w:t>-</w:t>
            </w:r>
          </w:p>
        </w:tc>
        <w:tc>
          <w:tcPr>
            <w:tcW w:w="923" w:type="dxa"/>
          </w:tcPr>
          <w:p w:rsidR="00EB2B6E" w:rsidRDefault="00EB2B6E" w:rsidP="009B4362">
            <w:r>
              <w:t>+/-</w:t>
            </w:r>
          </w:p>
        </w:tc>
        <w:tc>
          <w:tcPr>
            <w:tcW w:w="924" w:type="dxa"/>
          </w:tcPr>
          <w:p w:rsidR="00EB2B6E" w:rsidRDefault="00EB2B6E" w:rsidP="009B4362">
            <w:r>
              <w:t>+</w:t>
            </w:r>
          </w:p>
        </w:tc>
        <w:tc>
          <w:tcPr>
            <w:tcW w:w="924" w:type="dxa"/>
          </w:tcPr>
          <w:p w:rsidR="00EB2B6E" w:rsidRDefault="00EB2B6E" w:rsidP="009B4362">
            <w:r>
              <w:t>-</w:t>
            </w:r>
          </w:p>
        </w:tc>
        <w:tc>
          <w:tcPr>
            <w:tcW w:w="1761" w:type="dxa"/>
          </w:tcPr>
          <w:p w:rsidR="00EB2B6E" w:rsidRDefault="00EB2B6E" w:rsidP="009B4362">
            <w:r>
              <w:t>- Coding procedures may lead to interpretation biases</w:t>
            </w:r>
          </w:p>
        </w:tc>
        <w:tc>
          <w:tcPr>
            <w:tcW w:w="992" w:type="dxa"/>
          </w:tcPr>
          <w:p w:rsidR="00EB2B6E" w:rsidRDefault="00EB2B6E" w:rsidP="009B4362">
            <w:r>
              <w:t>Yes</w:t>
            </w:r>
          </w:p>
        </w:tc>
      </w:tr>
      <w:tr w:rsidR="00EB2B6E" w:rsidTr="00727E56">
        <w:tc>
          <w:tcPr>
            <w:tcW w:w="1384" w:type="dxa"/>
          </w:tcPr>
          <w:p w:rsidR="00EB2B6E" w:rsidRDefault="00EB2B6E" w:rsidP="009B4362">
            <w:r>
              <w:t>Readability studies</w:t>
            </w:r>
          </w:p>
        </w:tc>
        <w:tc>
          <w:tcPr>
            <w:tcW w:w="923" w:type="dxa"/>
          </w:tcPr>
          <w:p w:rsidR="00EB2B6E" w:rsidRDefault="00EB2B6E" w:rsidP="009B4362">
            <w:r>
              <w:t>+</w:t>
            </w:r>
          </w:p>
        </w:tc>
        <w:tc>
          <w:tcPr>
            <w:tcW w:w="924" w:type="dxa"/>
          </w:tcPr>
          <w:p w:rsidR="00EB2B6E" w:rsidRDefault="00EB2B6E" w:rsidP="009B4362">
            <w:r>
              <w:t>-</w:t>
            </w:r>
          </w:p>
        </w:tc>
        <w:tc>
          <w:tcPr>
            <w:tcW w:w="923" w:type="dxa"/>
          </w:tcPr>
          <w:p w:rsidR="00EB2B6E" w:rsidRDefault="00EB2B6E" w:rsidP="009B4362">
            <w:r>
              <w:t>+</w:t>
            </w:r>
          </w:p>
        </w:tc>
        <w:tc>
          <w:tcPr>
            <w:tcW w:w="924" w:type="dxa"/>
          </w:tcPr>
          <w:p w:rsidR="00EB2B6E" w:rsidRDefault="00EB2B6E" w:rsidP="009B4362">
            <w:r>
              <w:t>+</w:t>
            </w:r>
          </w:p>
        </w:tc>
        <w:tc>
          <w:tcPr>
            <w:tcW w:w="924" w:type="dxa"/>
          </w:tcPr>
          <w:p w:rsidR="00EB2B6E" w:rsidRDefault="00EB2B6E" w:rsidP="009B4362">
            <w:r>
              <w:t>+/-</w:t>
            </w:r>
          </w:p>
        </w:tc>
        <w:tc>
          <w:tcPr>
            <w:tcW w:w="1761" w:type="dxa"/>
          </w:tcPr>
          <w:p w:rsidR="00EB2B6E" w:rsidRDefault="00EB2B6E" w:rsidP="007739E5">
            <w:r>
              <w:t>- Less appropriate to annual reports</w:t>
            </w:r>
          </w:p>
        </w:tc>
        <w:tc>
          <w:tcPr>
            <w:tcW w:w="992" w:type="dxa"/>
          </w:tcPr>
          <w:p w:rsidR="00EB2B6E" w:rsidRDefault="00EB2B6E" w:rsidP="009B4362">
            <w:r>
              <w:t>No</w:t>
            </w:r>
          </w:p>
        </w:tc>
      </w:tr>
      <w:tr w:rsidR="00EB2B6E" w:rsidTr="00727E56">
        <w:tc>
          <w:tcPr>
            <w:tcW w:w="1384" w:type="dxa"/>
          </w:tcPr>
          <w:p w:rsidR="00EB2B6E" w:rsidRDefault="00EB2B6E" w:rsidP="009B4362">
            <w:r>
              <w:t>Linguistic analysis</w:t>
            </w:r>
          </w:p>
        </w:tc>
        <w:tc>
          <w:tcPr>
            <w:tcW w:w="923" w:type="dxa"/>
          </w:tcPr>
          <w:p w:rsidR="00EB2B6E" w:rsidRDefault="00EB2B6E" w:rsidP="009B4362">
            <w:r>
              <w:t>+</w:t>
            </w:r>
          </w:p>
        </w:tc>
        <w:tc>
          <w:tcPr>
            <w:tcW w:w="924" w:type="dxa"/>
          </w:tcPr>
          <w:p w:rsidR="00EB2B6E" w:rsidRDefault="00EB2B6E" w:rsidP="009B4362">
            <w:r>
              <w:t>+</w:t>
            </w:r>
          </w:p>
        </w:tc>
        <w:tc>
          <w:tcPr>
            <w:tcW w:w="923" w:type="dxa"/>
          </w:tcPr>
          <w:p w:rsidR="00EB2B6E" w:rsidRDefault="00EB2B6E" w:rsidP="009B4362">
            <w:r>
              <w:t>+</w:t>
            </w:r>
          </w:p>
        </w:tc>
        <w:tc>
          <w:tcPr>
            <w:tcW w:w="924" w:type="dxa"/>
          </w:tcPr>
          <w:p w:rsidR="00EB2B6E" w:rsidRDefault="00EB2B6E" w:rsidP="009B4362">
            <w:r>
              <w:t>+</w:t>
            </w:r>
          </w:p>
        </w:tc>
        <w:tc>
          <w:tcPr>
            <w:tcW w:w="924" w:type="dxa"/>
          </w:tcPr>
          <w:p w:rsidR="00EB2B6E" w:rsidRDefault="00EB2B6E" w:rsidP="009B4362">
            <w:r>
              <w:t>-</w:t>
            </w:r>
          </w:p>
        </w:tc>
        <w:tc>
          <w:tcPr>
            <w:tcW w:w="1761" w:type="dxa"/>
          </w:tcPr>
          <w:p w:rsidR="00EB2B6E" w:rsidRDefault="00EB2B6E" w:rsidP="009B4362">
            <w:r>
              <w:t>- No appropriate benchmarks available</w:t>
            </w:r>
          </w:p>
          <w:p w:rsidR="00EB2B6E" w:rsidRDefault="00EB2B6E" w:rsidP="009B4362">
            <w:r>
              <w:t>- Time consuming</w:t>
            </w:r>
          </w:p>
        </w:tc>
        <w:tc>
          <w:tcPr>
            <w:tcW w:w="992" w:type="dxa"/>
          </w:tcPr>
          <w:p w:rsidR="00EB2B6E" w:rsidRDefault="00EB2B6E" w:rsidP="009B4362">
            <w:r>
              <w:t>No</w:t>
            </w:r>
          </w:p>
        </w:tc>
      </w:tr>
    </w:tbl>
    <w:p w:rsidR="00EB73F1" w:rsidRPr="002C6B60" w:rsidRDefault="00EB73F1" w:rsidP="00EB73F1"/>
    <w:p w:rsidR="00EB73F1" w:rsidRDefault="00DB68E1" w:rsidP="00EB73F1">
      <w:r>
        <w:t>Strength of a</w:t>
      </w:r>
      <w:r w:rsidR="00580A17">
        <w:t>s</w:t>
      </w:r>
      <w:r>
        <w:t>pect:</w:t>
      </w:r>
    </w:p>
    <w:p w:rsidR="00DB68E1" w:rsidRDefault="00DB68E1" w:rsidP="00DB68E1">
      <w:pPr>
        <w:ind w:left="720"/>
      </w:pPr>
      <w:r>
        <w:t>+</w:t>
      </w:r>
      <w:r>
        <w:tab/>
        <w:t>High</w:t>
      </w:r>
    </w:p>
    <w:p w:rsidR="00DB68E1" w:rsidRDefault="00DB68E1" w:rsidP="00DB68E1">
      <w:pPr>
        <w:ind w:left="720"/>
      </w:pPr>
      <w:r>
        <w:t>+/-</w:t>
      </w:r>
      <w:r>
        <w:tab/>
        <w:t>Medium</w:t>
      </w:r>
    </w:p>
    <w:p w:rsidR="00D62E52" w:rsidRDefault="00D62E52" w:rsidP="00D62E52">
      <w:pPr>
        <w:ind w:left="720"/>
      </w:pPr>
      <w:r>
        <w:t>-</w:t>
      </w:r>
      <w:r>
        <w:tab/>
        <w:t>Low</w:t>
      </w:r>
    </w:p>
    <w:p w:rsidR="00B654C4" w:rsidRDefault="00B654C4" w:rsidP="00D62E52">
      <w:pPr>
        <w:ind w:left="720"/>
      </w:pPr>
    </w:p>
    <w:p w:rsidR="00B654C4" w:rsidRDefault="00A7369C" w:rsidP="00B654C4">
      <w:pPr>
        <w:pStyle w:val="Kop1"/>
        <w:numPr>
          <w:ilvl w:val="0"/>
          <w:numId w:val="0"/>
        </w:numPr>
        <w:ind w:left="432" w:hanging="432"/>
        <w:rPr>
          <w:sz w:val="24"/>
          <w:szCs w:val="24"/>
        </w:rPr>
      </w:pPr>
      <w:bookmarkStart w:id="83" w:name="_Toc355387329"/>
      <w:r>
        <w:rPr>
          <w:sz w:val="24"/>
          <w:szCs w:val="24"/>
        </w:rPr>
        <w:t>Appendix 9</w:t>
      </w:r>
      <w:r w:rsidR="004F40F2">
        <w:rPr>
          <w:sz w:val="24"/>
          <w:szCs w:val="24"/>
        </w:rPr>
        <w:tab/>
      </w:r>
      <w:r w:rsidR="00B654C4">
        <w:rPr>
          <w:sz w:val="24"/>
          <w:szCs w:val="24"/>
        </w:rPr>
        <w:t>Pension funds included in sample</w:t>
      </w:r>
      <w:r w:rsidR="00994B0A">
        <w:rPr>
          <w:sz w:val="24"/>
          <w:szCs w:val="24"/>
        </w:rPr>
        <w:t xml:space="preserve"> and average A</w:t>
      </w:r>
      <w:r w:rsidR="002C558C">
        <w:rPr>
          <w:sz w:val="24"/>
          <w:szCs w:val="24"/>
        </w:rPr>
        <w:t>UM</w:t>
      </w:r>
      <w:bookmarkEnd w:id="83"/>
    </w:p>
    <w:p w:rsidR="00994B0A" w:rsidRDefault="00994B0A"/>
    <w:tbl>
      <w:tblPr>
        <w:tblStyle w:val="Tabelraster"/>
        <w:tblW w:w="0" w:type="auto"/>
        <w:tblLayout w:type="fixed"/>
        <w:tblLook w:val="04A0"/>
      </w:tblPr>
      <w:tblGrid>
        <w:gridCol w:w="817"/>
        <w:gridCol w:w="2693"/>
        <w:gridCol w:w="1222"/>
        <w:gridCol w:w="1518"/>
        <w:gridCol w:w="1518"/>
        <w:gridCol w:w="1518"/>
      </w:tblGrid>
      <w:tr w:rsidR="005B6556" w:rsidTr="00FA51AE">
        <w:tc>
          <w:tcPr>
            <w:tcW w:w="817" w:type="dxa"/>
            <w:shd w:val="clear" w:color="auto" w:fill="BFBFBF" w:themeFill="background1" w:themeFillShade="BF"/>
          </w:tcPr>
          <w:p w:rsidR="00FF0943" w:rsidRDefault="004126B1">
            <w:r w:rsidRPr="004126B1">
              <w:t>Num-</w:t>
            </w:r>
            <w:proofErr w:type="spellStart"/>
            <w:r w:rsidRPr="004126B1">
              <w:t>ber</w:t>
            </w:r>
            <w:proofErr w:type="spellEnd"/>
          </w:p>
        </w:tc>
        <w:tc>
          <w:tcPr>
            <w:tcW w:w="2693" w:type="dxa"/>
            <w:shd w:val="clear" w:color="auto" w:fill="BFBFBF" w:themeFill="background1" w:themeFillShade="BF"/>
          </w:tcPr>
          <w:p w:rsidR="005B6556" w:rsidRPr="00FA51AE" w:rsidRDefault="004126B1" w:rsidP="002C558C">
            <w:r w:rsidRPr="004126B1">
              <w:t>Pension fund</w:t>
            </w:r>
          </w:p>
        </w:tc>
        <w:tc>
          <w:tcPr>
            <w:tcW w:w="1222" w:type="dxa"/>
            <w:shd w:val="clear" w:color="auto" w:fill="BFBFBF" w:themeFill="background1" w:themeFillShade="BF"/>
          </w:tcPr>
          <w:p w:rsidR="005B6556" w:rsidRPr="00FA51AE" w:rsidRDefault="004126B1" w:rsidP="002C558C">
            <w:r w:rsidRPr="004126B1">
              <w:t>Size</w:t>
            </w:r>
          </w:p>
        </w:tc>
        <w:tc>
          <w:tcPr>
            <w:tcW w:w="1518" w:type="dxa"/>
            <w:shd w:val="clear" w:color="auto" w:fill="BFBFBF" w:themeFill="background1" w:themeFillShade="BF"/>
          </w:tcPr>
          <w:p w:rsidR="005B6556" w:rsidRPr="00FA51AE" w:rsidRDefault="004126B1" w:rsidP="002C558C">
            <w:r w:rsidRPr="004126B1">
              <w:t>Assets Under Management 2011</w:t>
            </w:r>
            <w:r w:rsidR="00FA51AE">
              <w:t>*</w:t>
            </w:r>
          </w:p>
        </w:tc>
        <w:tc>
          <w:tcPr>
            <w:tcW w:w="1518" w:type="dxa"/>
            <w:shd w:val="clear" w:color="auto" w:fill="BFBFBF" w:themeFill="background1" w:themeFillShade="BF"/>
          </w:tcPr>
          <w:p w:rsidR="005B6556" w:rsidRPr="00FA51AE" w:rsidRDefault="004126B1" w:rsidP="002C558C">
            <w:r w:rsidRPr="004126B1">
              <w:t>Assets Under Management 2006</w:t>
            </w:r>
            <w:r w:rsidR="00FA51AE">
              <w:t>*</w:t>
            </w:r>
          </w:p>
        </w:tc>
        <w:tc>
          <w:tcPr>
            <w:tcW w:w="1518" w:type="dxa"/>
            <w:shd w:val="clear" w:color="auto" w:fill="BFBFBF" w:themeFill="background1" w:themeFillShade="BF"/>
          </w:tcPr>
          <w:p w:rsidR="005B6556" w:rsidRPr="00FA51AE" w:rsidRDefault="004126B1" w:rsidP="002C558C">
            <w:r w:rsidRPr="004126B1">
              <w:t>Average Assets Under Management</w:t>
            </w:r>
            <w:r w:rsidR="0004123F">
              <w:t>*</w:t>
            </w:r>
          </w:p>
        </w:tc>
      </w:tr>
      <w:tr w:rsidR="003977DD" w:rsidTr="00994B0A">
        <w:tc>
          <w:tcPr>
            <w:tcW w:w="817" w:type="dxa"/>
          </w:tcPr>
          <w:p w:rsidR="003977DD" w:rsidRDefault="003977DD" w:rsidP="002C558C">
            <w:r>
              <w:t>1</w:t>
            </w:r>
          </w:p>
        </w:tc>
        <w:tc>
          <w:tcPr>
            <w:tcW w:w="2693" w:type="dxa"/>
          </w:tcPr>
          <w:p w:rsidR="003977DD" w:rsidRDefault="003977DD" w:rsidP="002C558C">
            <w:proofErr w:type="spellStart"/>
            <w:r>
              <w:t>Pensioenfonds</w:t>
            </w:r>
            <w:proofErr w:type="spellEnd"/>
            <w:r>
              <w:t xml:space="preserve"> ABP</w:t>
            </w:r>
          </w:p>
        </w:tc>
        <w:tc>
          <w:tcPr>
            <w:tcW w:w="1222" w:type="dxa"/>
          </w:tcPr>
          <w:p w:rsidR="003977DD" w:rsidRDefault="003977DD" w:rsidP="002C558C">
            <w:r>
              <w:t>X Large</w:t>
            </w:r>
          </w:p>
        </w:tc>
        <w:tc>
          <w:tcPr>
            <w:tcW w:w="1518" w:type="dxa"/>
          </w:tcPr>
          <w:p w:rsidR="003977DD" w:rsidRDefault="003977DD" w:rsidP="00A912F1">
            <w:pPr>
              <w:jc w:val="right"/>
              <w:rPr>
                <w:color w:val="FFFFFF"/>
              </w:rPr>
            </w:pPr>
            <w:r>
              <w:t>265,683,000</w:t>
            </w:r>
          </w:p>
        </w:tc>
        <w:tc>
          <w:tcPr>
            <w:tcW w:w="1518" w:type="dxa"/>
          </w:tcPr>
          <w:p w:rsidR="003977DD" w:rsidRDefault="003977DD" w:rsidP="00A912F1">
            <w:pPr>
              <w:jc w:val="right"/>
              <w:rPr>
                <w:color w:val="FFFFFF"/>
              </w:rPr>
            </w:pPr>
            <w:r>
              <w:t>205,323,000</w:t>
            </w:r>
          </w:p>
        </w:tc>
        <w:tc>
          <w:tcPr>
            <w:tcW w:w="1518" w:type="dxa"/>
          </w:tcPr>
          <w:p w:rsidR="003977DD" w:rsidRDefault="003977DD" w:rsidP="00A912F1">
            <w:pPr>
              <w:jc w:val="right"/>
              <w:rPr>
                <w:color w:val="FFFFFF"/>
              </w:rPr>
            </w:pPr>
            <w:r>
              <w:t>235,503,000</w:t>
            </w:r>
          </w:p>
        </w:tc>
      </w:tr>
      <w:tr w:rsidR="003977DD" w:rsidTr="00994B0A">
        <w:tc>
          <w:tcPr>
            <w:tcW w:w="817" w:type="dxa"/>
          </w:tcPr>
          <w:p w:rsidR="003977DD" w:rsidRDefault="003977DD" w:rsidP="002C558C">
            <w:r>
              <w:t>2</w:t>
            </w:r>
          </w:p>
        </w:tc>
        <w:tc>
          <w:tcPr>
            <w:tcW w:w="2693" w:type="dxa"/>
          </w:tcPr>
          <w:p w:rsidR="003977DD" w:rsidRDefault="003977DD" w:rsidP="002C558C">
            <w:proofErr w:type="spellStart"/>
            <w:r>
              <w:t>Pensioenfonds</w:t>
            </w:r>
            <w:proofErr w:type="spellEnd"/>
            <w:r>
              <w:t xml:space="preserve"> </w:t>
            </w:r>
            <w:proofErr w:type="spellStart"/>
            <w:r>
              <w:t>Zorg</w:t>
            </w:r>
            <w:proofErr w:type="spellEnd"/>
            <w:r>
              <w:t xml:space="preserve"> en </w:t>
            </w:r>
            <w:proofErr w:type="spellStart"/>
            <w:r>
              <w:t>Welzijn</w:t>
            </w:r>
            <w:proofErr w:type="spellEnd"/>
          </w:p>
        </w:tc>
        <w:tc>
          <w:tcPr>
            <w:tcW w:w="1222" w:type="dxa"/>
          </w:tcPr>
          <w:p w:rsidR="003977DD" w:rsidRDefault="003977DD" w:rsidP="002C558C">
            <w:r>
              <w:t>X Large</w:t>
            </w:r>
          </w:p>
        </w:tc>
        <w:tc>
          <w:tcPr>
            <w:tcW w:w="1518" w:type="dxa"/>
          </w:tcPr>
          <w:p w:rsidR="003977DD" w:rsidRDefault="003977DD" w:rsidP="00A912F1">
            <w:pPr>
              <w:jc w:val="right"/>
              <w:rPr>
                <w:color w:val="FFFFFF"/>
              </w:rPr>
            </w:pPr>
            <w:r>
              <w:t>130,002,000</w:t>
            </w:r>
          </w:p>
        </w:tc>
        <w:tc>
          <w:tcPr>
            <w:tcW w:w="1518" w:type="dxa"/>
          </w:tcPr>
          <w:p w:rsidR="003977DD" w:rsidRDefault="003977DD" w:rsidP="00A912F1">
            <w:pPr>
              <w:jc w:val="right"/>
              <w:rPr>
                <w:color w:val="FFFFFF"/>
              </w:rPr>
            </w:pPr>
            <w:r>
              <w:t>80,769,000</w:t>
            </w:r>
          </w:p>
        </w:tc>
        <w:tc>
          <w:tcPr>
            <w:tcW w:w="1518" w:type="dxa"/>
          </w:tcPr>
          <w:p w:rsidR="003977DD" w:rsidRDefault="003977DD" w:rsidP="00A912F1">
            <w:pPr>
              <w:jc w:val="right"/>
              <w:rPr>
                <w:color w:val="FFFFFF"/>
              </w:rPr>
            </w:pPr>
            <w:r>
              <w:t>105,385,500</w:t>
            </w:r>
          </w:p>
        </w:tc>
      </w:tr>
      <w:tr w:rsidR="003977DD" w:rsidTr="00994B0A">
        <w:tc>
          <w:tcPr>
            <w:tcW w:w="817" w:type="dxa"/>
          </w:tcPr>
          <w:p w:rsidR="003977DD" w:rsidRDefault="003977DD" w:rsidP="002C558C">
            <w:r>
              <w:t>3</w:t>
            </w:r>
          </w:p>
        </w:tc>
        <w:tc>
          <w:tcPr>
            <w:tcW w:w="2693" w:type="dxa"/>
          </w:tcPr>
          <w:p w:rsidR="003977DD" w:rsidRDefault="003977DD" w:rsidP="002C558C">
            <w:proofErr w:type="spellStart"/>
            <w:r>
              <w:t>Pensioenfonds</w:t>
            </w:r>
            <w:proofErr w:type="spellEnd"/>
            <w:r>
              <w:t xml:space="preserve"> </w:t>
            </w:r>
            <w:proofErr w:type="spellStart"/>
            <w:r>
              <w:t>Metaal</w:t>
            </w:r>
            <w:proofErr w:type="spellEnd"/>
            <w:r>
              <w:t xml:space="preserve"> en </w:t>
            </w:r>
            <w:proofErr w:type="spellStart"/>
            <w:r>
              <w:t>Techniek</w:t>
            </w:r>
            <w:proofErr w:type="spellEnd"/>
          </w:p>
        </w:tc>
        <w:tc>
          <w:tcPr>
            <w:tcW w:w="1222" w:type="dxa"/>
          </w:tcPr>
          <w:p w:rsidR="003977DD" w:rsidRDefault="003977DD" w:rsidP="002C558C">
            <w:r>
              <w:t>X Large</w:t>
            </w:r>
          </w:p>
        </w:tc>
        <w:tc>
          <w:tcPr>
            <w:tcW w:w="1518" w:type="dxa"/>
          </w:tcPr>
          <w:p w:rsidR="003977DD" w:rsidRDefault="003977DD" w:rsidP="00A912F1">
            <w:pPr>
              <w:jc w:val="right"/>
              <w:rPr>
                <w:color w:val="FFFFFF"/>
              </w:rPr>
            </w:pPr>
            <w:r>
              <w:t>40,883,000</w:t>
            </w:r>
          </w:p>
        </w:tc>
        <w:tc>
          <w:tcPr>
            <w:tcW w:w="1518" w:type="dxa"/>
          </w:tcPr>
          <w:p w:rsidR="003977DD" w:rsidRDefault="003977DD" w:rsidP="00A912F1">
            <w:pPr>
              <w:jc w:val="right"/>
              <w:rPr>
                <w:color w:val="FFFFFF"/>
              </w:rPr>
            </w:pPr>
            <w:r>
              <w:t>32,159,000</w:t>
            </w:r>
          </w:p>
        </w:tc>
        <w:tc>
          <w:tcPr>
            <w:tcW w:w="1518" w:type="dxa"/>
          </w:tcPr>
          <w:p w:rsidR="003977DD" w:rsidRDefault="003977DD" w:rsidP="00A912F1">
            <w:pPr>
              <w:jc w:val="right"/>
              <w:rPr>
                <w:color w:val="FFFFFF"/>
              </w:rPr>
            </w:pPr>
            <w:r>
              <w:t>36,521,000</w:t>
            </w:r>
          </w:p>
        </w:tc>
      </w:tr>
      <w:tr w:rsidR="003977DD" w:rsidTr="00994B0A">
        <w:tc>
          <w:tcPr>
            <w:tcW w:w="817" w:type="dxa"/>
          </w:tcPr>
          <w:p w:rsidR="003977DD" w:rsidRDefault="003977DD" w:rsidP="002C558C">
            <w:r>
              <w:t>4</w:t>
            </w:r>
          </w:p>
        </w:tc>
        <w:tc>
          <w:tcPr>
            <w:tcW w:w="2693" w:type="dxa"/>
          </w:tcPr>
          <w:p w:rsidR="003977DD" w:rsidRDefault="003977DD" w:rsidP="002C558C">
            <w:proofErr w:type="spellStart"/>
            <w:r>
              <w:t>Bedrijfstakpensioenfonds</w:t>
            </w:r>
            <w:proofErr w:type="spellEnd"/>
            <w:r>
              <w:t xml:space="preserve"> </w:t>
            </w:r>
            <w:proofErr w:type="spellStart"/>
            <w:r>
              <w:t>voor</w:t>
            </w:r>
            <w:proofErr w:type="spellEnd"/>
            <w:r>
              <w:t xml:space="preserve"> de </w:t>
            </w:r>
            <w:proofErr w:type="spellStart"/>
            <w:r>
              <w:t>Bouwnijverheid</w:t>
            </w:r>
            <w:proofErr w:type="spellEnd"/>
          </w:p>
        </w:tc>
        <w:tc>
          <w:tcPr>
            <w:tcW w:w="1222" w:type="dxa"/>
          </w:tcPr>
          <w:p w:rsidR="003977DD" w:rsidRDefault="003977DD" w:rsidP="002C558C">
            <w:r>
              <w:t>X Large</w:t>
            </w:r>
          </w:p>
        </w:tc>
        <w:tc>
          <w:tcPr>
            <w:tcW w:w="1518" w:type="dxa"/>
          </w:tcPr>
          <w:p w:rsidR="003977DD" w:rsidRDefault="003977DD" w:rsidP="00A912F1">
            <w:pPr>
              <w:jc w:val="right"/>
              <w:rPr>
                <w:color w:val="FFFFFF"/>
              </w:rPr>
            </w:pPr>
            <w:r>
              <w:t>32,787,000</w:t>
            </w:r>
          </w:p>
        </w:tc>
        <w:tc>
          <w:tcPr>
            <w:tcW w:w="1518" w:type="dxa"/>
          </w:tcPr>
          <w:p w:rsidR="003977DD" w:rsidRDefault="003977DD" w:rsidP="00A912F1">
            <w:pPr>
              <w:jc w:val="right"/>
              <w:rPr>
                <w:color w:val="FFFFFF"/>
              </w:rPr>
            </w:pPr>
            <w:r>
              <w:t>24,937,000</w:t>
            </w:r>
          </w:p>
        </w:tc>
        <w:tc>
          <w:tcPr>
            <w:tcW w:w="1518" w:type="dxa"/>
          </w:tcPr>
          <w:p w:rsidR="003977DD" w:rsidRDefault="003977DD" w:rsidP="00A912F1">
            <w:pPr>
              <w:jc w:val="right"/>
              <w:rPr>
                <w:color w:val="FFFFFF"/>
              </w:rPr>
            </w:pPr>
            <w:r>
              <w:t>28,862,000</w:t>
            </w:r>
          </w:p>
        </w:tc>
      </w:tr>
      <w:tr w:rsidR="003977DD" w:rsidTr="00994B0A">
        <w:tc>
          <w:tcPr>
            <w:tcW w:w="817" w:type="dxa"/>
          </w:tcPr>
          <w:p w:rsidR="003977DD" w:rsidRDefault="003977DD" w:rsidP="002C558C">
            <w:r>
              <w:t>5</w:t>
            </w:r>
          </w:p>
        </w:tc>
        <w:tc>
          <w:tcPr>
            <w:tcW w:w="2693" w:type="dxa"/>
          </w:tcPr>
          <w:p w:rsidR="003977DD" w:rsidRDefault="003977DD">
            <w:pPr>
              <w:rPr>
                <w:lang w:val="nl-NL"/>
              </w:rPr>
            </w:pPr>
            <w:r w:rsidRPr="004126B1">
              <w:rPr>
                <w:lang w:val="nl-NL"/>
              </w:rPr>
              <w:t xml:space="preserve">Pensioenfonds van de </w:t>
            </w:r>
            <w:proofErr w:type="spellStart"/>
            <w:r w:rsidRPr="004126B1">
              <w:rPr>
                <w:lang w:val="nl-NL"/>
              </w:rPr>
              <w:t>Metalektro</w:t>
            </w:r>
            <w:proofErr w:type="spellEnd"/>
            <w:r w:rsidRPr="004126B1">
              <w:rPr>
                <w:lang w:val="nl-NL"/>
              </w:rPr>
              <w:t xml:space="preserve"> (PMT)</w:t>
            </w:r>
          </w:p>
        </w:tc>
        <w:tc>
          <w:tcPr>
            <w:tcW w:w="1222" w:type="dxa"/>
          </w:tcPr>
          <w:p w:rsidR="003977DD" w:rsidRDefault="003977DD" w:rsidP="008F084E">
            <w:r>
              <w:t>X Large</w:t>
            </w:r>
          </w:p>
        </w:tc>
        <w:tc>
          <w:tcPr>
            <w:tcW w:w="1518" w:type="dxa"/>
          </w:tcPr>
          <w:p w:rsidR="003977DD" w:rsidRDefault="003977DD" w:rsidP="00A912F1">
            <w:pPr>
              <w:jc w:val="right"/>
              <w:rPr>
                <w:color w:val="FFFFFF"/>
              </w:rPr>
            </w:pPr>
            <w:r>
              <w:t>25,799,000</w:t>
            </w:r>
          </w:p>
        </w:tc>
        <w:tc>
          <w:tcPr>
            <w:tcW w:w="1518" w:type="dxa"/>
          </w:tcPr>
          <w:p w:rsidR="003977DD" w:rsidRDefault="003977DD" w:rsidP="00A912F1">
            <w:pPr>
              <w:jc w:val="right"/>
              <w:rPr>
                <w:color w:val="FFFFFF"/>
              </w:rPr>
            </w:pPr>
            <w:r>
              <w:t>20,714,000</w:t>
            </w:r>
          </w:p>
        </w:tc>
        <w:tc>
          <w:tcPr>
            <w:tcW w:w="1518" w:type="dxa"/>
          </w:tcPr>
          <w:p w:rsidR="003977DD" w:rsidRDefault="003977DD" w:rsidP="00A912F1">
            <w:pPr>
              <w:jc w:val="right"/>
              <w:rPr>
                <w:color w:val="FFFFFF"/>
              </w:rPr>
            </w:pPr>
            <w:r>
              <w:t>23,256,500</w:t>
            </w:r>
          </w:p>
        </w:tc>
      </w:tr>
      <w:tr w:rsidR="003977DD" w:rsidTr="00FA51AE">
        <w:tc>
          <w:tcPr>
            <w:tcW w:w="817" w:type="dxa"/>
            <w:tcBorders>
              <w:bottom w:val="single" w:sz="4" w:space="0" w:color="auto"/>
            </w:tcBorders>
          </w:tcPr>
          <w:p w:rsidR="003977DD" w:rsidRDefault="003977DD" w:rsidP="002C558C"/>
        </w:tc>
        <w:tc>
          <w:tcPr>
            <w:tcW w:w="2693" w:type="dxa"/>
            <w:tcBorders>
              <w:bottom w:val="single" w:sz="4" w:space="0" w:color="auto"/>
            </w:tcBorders>
          </w:tcPr>
          <w:p w:rsidR="003977DD" w:rsidRDefault="003977DD" w:rsidP="002C558C">
            <w:r>
              <w:t>Total sample X Large</w:t>
            </w:r>
          </w:p>
        </w:tc>
        <w:tc>
          <w:tcPr>
            <w:tcW w:w="1222" w:type="dxa"/>
            <w:tcBorders>
              <w:bottom w:val="single" w:sz="4" w:space="0" w:color="auto"/>
            </w:tcBorders>
          </w:tcPr>
          <w:p w:rsidR="003977DD" w:rsidRDefault="003977DD" w:rsidP="002C558C"/>
        </w:tc>
        <w:tc>
          <w:tcPr>
            <w:tcW w:w="1518" w:type="dxa"/>
            <w:tcBorders>
              <w:bottom w:val="single" w:sz="4" w:space="0" w:color="auto"/>
            </w:tcBorders>
          </w:tcPr>
          <w:p w:rsidR="003977DD" w:rsidRDefault="003977DD" w:rsidP="00A912F1">
            <w:pPr>
              <w:jc w:val="right"/>
            </w:pPr>
            <w:r>
              <w:t>495,154,000</w:t>
            </w:r>
          </w:p>
        </w:tc>
        <w:tc>
          <w:tcPr>
            <w:tcW w:w="1518" w:type="dxa"/>
            <w:tcBorders>
              <w:bottom w:val="single" w:sz="4" w:space="0" w:color="auto"/>
            </w:tcBorders>
          </w:tcPr>
          <w:p w:rsidR="003977DD" w:rsidRDefault="003977DD" w:rsidP="00A912F1">
            <w:pPr>
              <w:jc w:val="right"/>
            </w:pPr>
            <w:r>
              <w:t>363,902,000</w:t>
            </w:r>
          </w:p>
        </w:tc>
        <w:tc>
          <w:tcPr>
            <w:tcW w:w="1518" w:type="dxa"/>
            <w:tcBorders>
              <w:bottom w:val="single" w:sz="4" w:space="0" w:color="auto"/>
            </w:tcBorders>
          </w:tcPr>
          <w:p w:rsidR="003977DD" w:rsidRDefault="003977DD" w:rsidP="00A912F1">
            <w:pPr>
              <w:jc w:val="right"/>
              <w:rPr>
                <w:color w:val="FFFFFF"/>
              </w:rPr>
            </w:pPr>
            <w:r>
              <w:t>429,528,000</w:t>
            </w:r>
          </w:p>
        </w:tc>
      </w:tr>
      <w:tr w:rsidR="00FA51AE" w:rsidTr="00FA51AE">
        <w:tc>
          <w:tcPr>
            <w:tcW w:w="817" w:type="dxa"/>
            <w:tcBorders>
              <w:left w:val="nil"/>
              <w:right w:val="nil"/>
            </w:tcBorders>
          </w:tcPr>
          <w:p w:rsidR="00FA51AE" w:rsidRDefault="00FA51AE" w:rsidP="002C558C"/>
        </w:tc>
        <w:tc>
          <w:tcPr>
            <w:tcW w:w="2693" w:type="dxa"/>
            <w:tcBorders>
              <w:left w:val="nil"/>
              <w:right w:val="nil"/>
            </w:tcBorders>
          </w:tcPr>
          <w:p w:rsidR="00FA51AE" w:rsidRDefault="00FA51AE" w:rsidP="002C558C"/>
        </w:tc>
        <w:tc>
          <w:tcPr>
            <w:tcW w:w="1222" w:type="dxa"/>
            <w:tcBorders>
              <w:left w:val="nil"/>
              <w:right w:val="nil"/>
            </w:tcBorders>
          </w:tcPr>
          <w:p w:rsidR="00FA51AE" w:rsidRDefault="00FA51AE" w:rsidP="002C558C"/>
        </w:tc>
        <w:tc>
          <w:tcPr>
            <w:tcW w:w="1518" w:type="dxa"/>
            <w:tcBorders>
              <w:left w:val="nil"/>
              <w:right w:val="nil"/>
            </w:tcBorders>
          </w:tcPr>
          <w:p w:rsidR="00FA51AE" w:rsidRDefault="00FA51AE" w:rsidP="00994B0A">
            <w:pPr>
              <w:jc w:val="right"/>
            </w:pPr>
          </w:p>
        </w:tc>
        <w:tc>
          <w:tcPr>
            <w:tcW w:w="1518" w:type="dxa"/>
            <w:tcBorders>
              <w:left w:val="nil"/>
              <w:right w:val="nil"/>
            </w:tcBorders>
          </w:tcPr>
          <w:p w:rsidR="00FA51AE" w:rsidRDefault="00FA51AE" w:rsidP="00994B0A">
            <w:pPr>
              <w:jc w:val="right"/>
            </w:pPr>
          </w:p>
        </w:tc>
        <w:tc>
          <w:tcPr>
            <w:tcW w:w="1518" w:type="dxa"/>
            <w:tcBorders>
              <w:left w:val="nil"/>
              <w:right w:val="nil"/>
            </w:tcBorders>
          </w:tcPr>
          <w:p w:rsidR="00FA51AE" w:rsidRDefault="00FA51AE" w:rsidP="00994B0A">
            <w:pPr>
              <w:jc w:val="right"/>
            </w:pPr>
          </w:p>
        </w:tc>
      </w:tr>
      <w:tr w:rsidR="003977DD" w:rsidTr="00994B0A">
        <w:tc>
          <w:tcPr>
            <w:tcW w:w="817" w:type="dxa"/>
          </w:tcPr>
          <w:p w:rsidR="003977DD" w:rsidRDefault="003977DD" w:rsidP="002C558C">
            <w:r>
              <w:t>6</w:t>
            </w:r>
          </w:p>
        </w:tc>
        <w:tc>
          <w:tcPr>
            <w:tcW w:w="2693" w:type="dxa"/>
          </w:tcPr>
          <w:p w:rsidR="003977DD" w:rsidRDefault="003977DD" w:rsidP="002C558C">
            <w:r>
              <w:t xml:space="preserve">Philips </w:t>
            </w:r>
            <w:proofErr w:type="spellStart"/>
            <w:r>
              <w:t>Pensioenfonds</w:t>
            </w:r>
            <w:proofErr w:type="spellEnd"/>
          </w:p>
        </w:tc>
        <w:tc>
          <w:tcPr>
            <w:tcW w:w="1222" w:type="dxa"/>
          </w:tcPr>
          <w:p w:rsidR="003977DD" w:rsidRDefault="003977DD" w:rsidP="002C558C">
            <w:r>
              <w:t>Large</w:t>
            </w:r>
          </w:p>
        </w:tc>
        <w:tc>
          <w:tcPr>
            <w:tcW w:w="1518" w:type="dxa"/>
          </w:tcPr>
          <w:p w:rsidR="003977DD" w:rsidRDefault="003977DD" w:rsidP="00A912F1">
            <w:pPr>
              <w:jc w:val="right"/>
              <w:rPr>
                <w:color w:val="FFFFFF"/>
              </w:rPr>
            </w:pPr>
            <w:r w:rsidRPr="00042BB6">
              <w:t>14</w:t>
            </w:r>
            <w:r>
              <w:t>,</w:t>
            </w:r>
            <w:r w:rsidRPr="00042BB6">
              <w:t>738</w:t>
            </w:r>
            <w:r>
              <w:t>,</w:t>
            </w:r>
            <w:r w:rsidRPr="00042BB6">
              <w:t>000</w:t>
            </w:r>
          </w:p>
        </w:tc>
        <w:tc>
          <w:tcPr>
            <w:tcW w:w="1518" w:type="dxa"/>
          </w:tcPr>
          <w:p w:rsidR="003977DD" w:rsidRDefault="003977DD" w:rsidP="00A912F1">
            <w:pPr>
              <w:jc w:val="right"/>
              <w:rPr>
                <w:color w:val="FFFFFF"/>
              </w:rPr>
            </w:pPr>
            <w:r w:rsidRPr="00042BB6">
              <w:t>14</w:t>
            </w:r>
            <w:r>
              <w:t>,</w:t>
            </w:r>
            <w:r w:rsidRPr="00042BB6">
              <w:t>725</w:t>
            </w:r>
            <w:r>
              <w:t>,</w:t>
            </w:r>
            <w:r w:rsidRPr="00042BB6">
              <w:t>400</w:t>
            </w:r>
          </w:p>
        </w:tc>
        <w:tc>
          <w:tcPr>
            <w:tcW w:w="1518" w:type="dxa"/>
          </w:tcPr>
          <w:p w:rsidR="003977DD" w:rsidRDefault="003977DD" w:rsidP="00A912F1">
            <w:pPr>
              <w:jc w:val="right"/>
              <w:rPr>
                <w:color w:val="FFFFFF"/>
              </w:rPr>
            </w:pPr>
            <w:r w:rsidRPr="00042BB6">
              <w:t>14</w:t>
            </w:r>
            <w:r>
              <w:t>,</w:t>
            </w:r>
            <w:r w:rsidRPr="00042BB6">
              <w:t>731</w:t>
            </w:r>
            <w:r>
              <w:t>,</w:t>
            </w:r>
            <w:r w:rsidRPr="00042BB6">
              <w:t>700</w:t>
            </w:r>
          </w:p>
        </w:tc>
      </w:tr>
      <w:tr w:rsidR="003977DD" w:rsidTr="00994B0A">
        <w:tc>
          <w:tcPr>
            <w:tcW w:w="817" w:type="dxa"/>
          </w:tcPr>
          <w:p w:rsidR="003977DD" w:rsidRDefault="003977DD" w:rsidP="002C558C">
            <w:r>
              <w:t>7</w:t>
            </w:r>
          </w:p>
        </w:tc>
        <w:tc>
          <w:tcPr>
            <w:tcW w:w="2693" w:type="dxa"/>
          </w:tcPr>
          <w:p w:rsidR="003977DD" w:rsidRDefault="003977DD" w:rsidP="002C558C">
            <w:proofErr w:type="spellStart"/>
            <w:r>
              <w:t>Pensioenfonds</w:t>
            </w:r>
            <w:proofErr w:type="spellEnd"/>
            <w:r>
              <w:t xml:space="preserve"> ING</w:t>
            </w:r>
          </w:p>
        </w:tc>
        <w:tc>
          <w:tcPr>
            <w:tcW w:w="1222" w:type="dxa"/>
          </w:tcPr>
          <w:p w:rsidR="003977DD" w:rsidRDefault="003977DD" w:rsidP="002C558C">
            <w:r>
              <w:t>Large</w:t>
            </w:r>
          </w:p>
        </w:tc>
        <w:tc>
          <w:tcPr>
            <w:tcW w:w="1518" w:type="dxa"/>
          </w:tcPr>
          <w:p w:rsidR="003977DD" w:rsidRDefault="003977DD" w:rsidP="00A912F1">
            <w:pPr>
              <w:jc w:val="right"/>
              <w:rPr>
                <w:color w:val="FFFFFF"/>
              </w:rPr>
            </w:pPr>
            <w:r w:rsidRPr="00042BB6">
              <w:t>15</w:t>
            </w:r>
            <w:r>
              <w:t>,</w:t>
            </w:r>
            <w:r w:rsidRPr="00042BB6">
              <w:t>931</w:t>
            </w:r>
            <w:r>
              <w:t>,</w:t>
            </w:r>
            <w:r w:rsidRPr="00042BB6">
              <w:t>141</w:t>
            </w:r>
          </w:p>
        </w:tc>
        <w:tc>
          <w:tcPr>
            <w:tcW w:w="1518" w:type="dxa"/>
          </w:tcPr>
          <w:p w:rsidR="003977DD" w:rsidRDefault="003977DD" w:rsidP="00A912F1">
            <w:pPr>
              <w:jc w:val="right"/>
              <w:rPr>
                <w:color w:val="FFFFFF"/>
              </w:rPr>
            </w:pPr>
            <w:r w:rsidRPr="00042BB6">
              <w:t>10</w:t>
            </w:r>
            <w:r>
              <w:t>,</w:t>
            </w:r>
            <w:r w:rsidRPr="00042BB6">
              <w:t>413</w:t>
            </w:r>
            <w:r>
              <w:t>,</w:t>
            </w:r>
            <w:r w:rsidRPr="00042BB6">
              <w:t>498</w:t>
            </w:r>
          </w:p>
        </w:tc>
        <w:tc>
          <w:tcPr>
            <w:tcW w:w="1518" w:type="dxa"/>
          </w:tcPr>
          <w:p w:rsidR="003977DD" w:rsidRDefault="003977DD" w:rsidP="00A912F1">
            <w:pPr>
              <w:jc w:val="right"/>
              <w:rPr>
                <w:color w:val="FFFFFF"/>
              </w:rPr>
            </w:pPr>
            <w:r w:rsidRPr="00042BB6">
              <w:t>13</w:t>
            </w:r>
            <w:r>
              <w:t>,</w:t>
            </w:r>
            <w:r w:rsidRPr="00042BB6">
              <w:t>172</w:t>
            </w:r>
            <w:r>
              <w:t>,</w:t>
            </w:r>
            <w:r w:rsidRPr="00042BB6">
              <w:t>3</w:t>
            </w:r>
            <w:r>
              <w:t>20</w:t>
            </w:r>
          </w:p>
        </w:tc>
      </w:tr>
      <w:tr w:rsidR="003977DD" w:rsidTr="00994B0A">
        <w:tc>
          <w:tcPr>
            <w:tcW w:w="817" w:type="dxa"/>
          </w:tcPr>
          <w:p w:rsidR="003977DD" w:rsidRDefault="003977DD" w:rsidP="002C558C">
            <w:r>
              <w:t>8</w:t>
            </w:r>
          </w:p>
        </w:tc>
        <w:tc>
          <w:tcPr>
            <w:tcW w:w="2693" w:type="dxa"/>
          </w:tcPr>
          <w:p w:rsidR="003977DD" w:rsidRDefault="003977DD" w:rsidP="002C558C">
            <w:proofErr w:type="spellStart"/>
            <w:r>
              <w:t>Rabobank</w:t>
            </w:r>
            <w:proofErr w:type="spellEnd"/>
            <w:r>
              <w:t xml:space="preserve"> </w:t>
            </w:r>
            <w:proofErr w:type="spellStart"/>
            <w:r>
              <w:t>Pensioenfonds</w:t>
            </w:r>
            <w:proofErr w:type="spellEnd"/>
          </w:p>
        </w:tc>
        <w:tc>
          <w:tcPr>
            <w:tcW w:w="1222" w:type="dxa"/>
          </w:tcPr>
          <w:p w:rsidR="003977DD" w:rsidRDefault="003977DD" w:rsidP="002C558C">
            <w:r>
              <w:t>Large</w:t>
            </w:r>
          </w:p>
        </w:tc>
        <w:tc>
          <w:tcPr>
            <w:tcW w:w="1518" w:type="dxa"/>
          </w:tcPr>
          <w:p w:rsidR="003977DD" w:rsidRPr="00042BB6" w:rsidRDefault="003977DD" w:rsidP="00A912F1">
            <w:pPr>
              <w:jc w:val="right"/>
            </w:pPr>
            <w:r>
              <w:t>15,946,000</w:t>
            </w:r>
          </w:p>
        </w:tc>
        <w:tc>
          <w:tcPr>
            <w:tcW w:w="1518" w:type="dxa"/>
          </w:tcPr>
          <w:p w:rsidR="003977DD" w:rsidRPr="00042BB6" w:rsidRDefault="003977DD" w:rsidP="00A912F1">
            <w:pPr>
              <w:jc w:val="right"/>
            </w:pPr>
            <w:r>
              <w:t>9,850,800</w:t>
            </w:r>
          </w:p>
        </w:tc>
        <w:tc>
          <w:tcPr>
            <w:tcW w:w="1518" w:type="dxa"/>
          </w:tcPr>
          <w:p w:rsidR="003977DD" w:rsidRPr="00042BB6" w:rsidRDefault="003977DD" w:rsidP="00A912F1">
            <w:pPr>
              <w:jc w:val="right"/>
            </w:pPr>
            <w:r>
              <w:t>12,898,400</w:t>
            </w:r>
          </w:p>
        </w:tc>
      </w:tr>
      <w:tr w:rsidR="003977DD" w:rsidTr="00994B0A">
        <w:tc>
          <w:tcPr>
            <w:tcW w:w="817" w:type="dxa"/>
          </w:tcPr>
          <w:p w:rsidR="003977DD" w:rsidRDefault="003977DD" w:rsidP="002C558C">
            <w:r>
              <w:t>9</w:t>
            </w:r>
          </w:p>
        </w:tc>
        <w:tc>
          <w:tcPr>
            <w:tcW w:w="2693" w:type="dxa"/>
          </w:tcPr>
          <w:p w:rsidR="003977DD" w:rsidRDefault="003977DD" w:rsidP="002C558C">
            <w:proofErr w:type="spellStart"/>
            <w:r>
              <w:t>Spoorwegpensioenfonds</w:t>
            </w:r>
            <w:proofErr w:type="spellEnd"/>
          </w:p>
        </w:tc>
        <w:tc>
          <w:tcPr>
            <w:tcW w:w="1222" w:type="dxa"/>
          </w:tcPr>
          <w:p w:rsidR="003977DD" w:rsidRDefault="003977DD" w:rsidP="002C558C">
            <w:r>
              <w:t>Large</w:t>
            </w:r>
          </w:p>
        </w:tc>
        <w:tc>
          <w:tcPr>
            <w:tcW w:w="1518" w:type="dxa"/>
          </w:tcPr>
          <w:p w:rsidR="003977DD" w:rsidRDefault="003977DD" w:rsidP="00A912F1">
            <w:pPr>
              <w:jc w:val="right"/>
              <w:rPr>
                <w:color w:val="FFFFFF"/>
              </w:rPr>
            </w:pPr>
            <w:r w:rsidRPr="00042BB6">
              <w:t>11</w:t>
            </w:r>
            <w:r>
              <w:t>,</w:t>
            </w:r>
            <w:r w:rsidRPr="00042BB6">
              <w:t>685</w:t>
            </w:r>
            <w:r>
              <w:t>,</w:t>
            </w:r>
            <w:r w:rsidRPr="00042BB6">
              <w:t>000</w:t>
            </w:r>
          </w:p>
        </w:tc>
        <w:tc>
          <w:tcPr>
            <w:tcW w:w="1518" w:type="dxa"/>
          </w:tcPr>
          <w:p w:rsidR="003977DD" w:rsidRDefault="003977DD" w:rsidP="00A912F1">
            <w:pPr>
              <w:jc w:val="right"/>
              <w:rPr>
                <w:color w:val="FFFFFF"/>
              </w:rPr>
            </w:pPr>
            <w:r w:rsidRPr="00042BB6">
              <w:t>11</w:t>
            </w:r>
            <w:r>
              <w:t>,</w:t>
            </w:r>
            <w:r w:rsidRPr="00042BB6">
              <w:t>798</w:t>
            </w:r>
            <w:r>
              <w:t>,</w:t>
            </w:r>
            <w:r w:rsidRPr="00042BB6">
              <w:t>000</w:t>
            </w:r>
          </w:p>
        </w:tc>
        <w:tc>
          <w:tcPr>
            <w:tcW w:w="1518" w:type="dxa"/>
          </w:tcPr>
          <w:p w:rsidR="003977DD" w:rsidRDefault="003977DD" w:rsidP="00A912F1">
            <w:pPr>
              <w:jc w:val="right"/>
              <w:rPr>
                <w:color w:val="FFFFFF"/>
              </w:rPr>
            </w:pPr>
            <w:r w:rsidRPr="00042BB6">
              <w:t>11</w:t>
            </w:r>
            <w:r>
              <w:t>,</w:t>
            </w:r>
            <w:r w:rsidRPr="00042BB6">
              <w:t>741</w:t>
            </w:r>
            <w:r>
              <w:t>,</w:t>
            </w:r>
            <w:r w:rsidRPr="00042BB6">
              <w:t>500</w:t>
            </w:r>
          </w:p>
        </w:tc>
      </w:tr>
      <w:tr w:rsidR="003977DD" w:rsidTr="00994B0A">
        <w:tc>
          <w:tcPr>
            <w:tcW w:w="817" w:type="dxa"/>
          </w:tcPr>
          <w:p w:rsidR="003977DD" w:rsidRDefault="003977DD" w:rsidP="002C558C">
            <w:r>
              <w:t>10</w:t>
            </w:r>
          </w:p>
        </w:tc>
        <w:tc>
          <w:tcPr>
            <w:tcW w:w="2693" w:type="dxa"/>
          </w:tcPr>
          <w:p w:rsidR="003977DD" w:rsidRDefault="003977DD">
            <w:pPr>
              <w:rPr>
                <w:lang w:val="nl-NL"/>
              </w:rPr>
            </w:pPr>
            <w:r w:rsidRPr="004126B1">
              <w:rPr>
                <w:lang w:val="nl-NL"/>
              </w:rPr>
              <w:t>Pensioenfonds voor de Grafische Bedrijven</w:t>
            </w:r>
          </w:p>
        </w:tc>
        <w:tc>
          <w:tcPr>
            <w:tcW w:w="1222" w:type="dxa"/>
          </w:tcPr>
          <w:p w:rsidR="003977DD" w:rsidRPr="008F084E" w:rsidRDefault="003977DD" w:rsidP="002C558C">
            <w:r w:rsidRPr="008F084E">
              <w:t>Large</w:t>
            </w:r>
          </w:p>
        </w:tc>
        <w:tc>
          <w:tcPr>
            <w:tcW w:w="1518" w:type="dxa"/>
          </w:tcPr>
          <w:p w:rsidR="003977DD" w:rsidRDefault="003977DD" w:rsidP="00A912F1">
            <w:pPr>
              <w:jc w:val="right"/>
              <w:rPr>
                <w:color w:val="FFFFFF"/>
              </w:rPr>
            </w:pPr>
            <w:r w:rsidRPr="005E2883">
              <w:t>11</w:t>
            </w:r>
            <w:r>
              <w:t>,</w:t>
            </w:r>
            <w:r w:rsidRPr="005E2883">
              <w:t>740</w:t>
            </w:r>
            <w:r>
              <w:t>,</w:t>
            </w:r>
            <w:r w:rsidRPr="005E2883">
              <w:t>000</w:t>
            </w:r>
          </w:p>
        </w:tc>
        <w:tc>
          <w:tcPr>
            <w:tcW w:w="1518" w:type="dxa"/>
          </w:tcPr>
          <w:p w:rsidR="003977DD" w:rsidRDefault="003977DD" w:rsidP="00A912F1">
            <w:pPr>
              <w:jc w:val="right"/>
              <w:rPr>
                <w:color w:val="FFFFFF"/>
              </w:rPr>
            </w:pPr>
            <w:r w:rsidRPr="005E2883">
              <w:t>9</w:t>
            </w:r>
            <w:r>
              <w:t>,</w:t>
            </w:r>
            <w:r w:rsidRPr="005E2883">
              <w:t>503</w:t>
            </w:r>
            <w:r>
              <w:t>,</w:t>
            </w:r>
            <w:r w:rsidRPr="005E2883">
              <w:t>000</w:t>
            </w:r>
          </w:p>
        </w:tc>
        <w:tc>
          <w:tcPr>
            <w:tcW w:w="1518" w:type="dxa"/>
          </w:tcPr>
          <w:p w:rsidR="003977DD" w:rsidRDefault="003977DD" w:rsidP="00A912F1">
            <w:pPr>
              <w:jc w:val="right"/>
              <w:rPr>
                <w:color w:val="FFFFFF"/>
              </w:rPr>
            </w:pPr>
            <w:r w:rsidRPr="005E2883">
              <w:t>10</w:t>
            </w:r>
            <w:r>
              <w:t>,</w:t>
            </w:r>
            <w:r w:rsidRPr="005E2883">
              <w:t>621</w:t>
            </w:r>
            <w:r>
              <w:t>,</w:t>
            </w:r>
            <w:r w:rsidRPr="005E2883">
              <w:t>500</w:t>
            </w:r>
          </w:p>
        </w:tc>
      </w:tr>
      <w:tr w:rsidR="003977DD" w:rsidTr="00FA51AE">
        <w:tc>
          <w:tcPr>
            <w:tcW w:w="817" w:type="dxa"/>
            <w:tcBorders>
              <w:bottom w:val="single" w:sz="4" w:space="0" w:color="auto"/>
            </w:tcBorders>
          </w:tcPr>
          <w:p w:rsidR="003977DD" w:rsidRDefault="003977DD" w:rsidP="002C558C"/>
        </w:tc>
        <w:tc>
          <w:tcPr>
            <w:tcW w:w="2693" w:type="dxa"/>
            <w:tcBorders>
              <w:bottom w:val="single" w:sz="4" w:space="0" w:color="auto"/>
            </w:tcBorders>
          </w:tcPr>
          <w:p w:rsidR="003977DD" w:rsidRPr="008F084E" w:rsidRDefault="003977DD">
            <w:r w:rsidRPr="008F084E">
              <w:t>Total sample Large</w:t>
            </w:r>
          </w:p>
        </w:tc>
        <w:tc>
          <w:tcPr>
            <w:tcW w:w="1222" w:type="dxa"/>
            <w:tcBorders>
              <w:bottom w:val="single" w:sz="4" w:space="0" w:color="auto"/>
            </w:tcBorders>
          </w:tcPr>
          <w:p w:rsidR="003977DD" w:rsidRPr="008F084E" w:rsidRDefault="003977DD" w:rsidP="002C558C"/>
        </w:tc>
        <w:tc>
          <w:tcPr>
            <w:tcW w:w="1518" w:type="dxa"/>
            <w:tcBorders>
              <w:bottom w:val="single" w:sz="4" w:space="0" w:color="auto"/>
            </w:tcBorders>
          </w:tcPr>
          <w:p w:rsidR="003977DD" w:rsidRDefault="003977DD" w:rsidP="00A912F1">
            <w:pPr>
              <w:jc w:val="right"/>
            </w:pPr>
            <w:r>
              <w:t>70,040,141</w:t>
            </w:r>
          </w:p>
        </w:tc>
        <w:tc>
          <w:tcPr>
            <w:tcW w:w="1518" w:type="dxa"/>
            <w:tcBorders>
              <w:bottom w:val="single" w:sz="4" w:space="0" w:color="auto"/>
            </w:tcBorders>
          </w:tcPr>
          <w:p w:rsidR="003977DD" w:rsidRDefault="003977DD" w:rsidP="00A912F1">
            <w:pPr>
              <w:jc w:val="right"/>
            </w:pPr>
            <w:r>
              <w:t>56,290,698</w:t>
            </w:r>
          </w:p>
        </w:tc>
        <w:tc>
          <w:tcPr>
            <w:tcW w:w="1518" w:type="dxa"/>
            <w:tcBorders>
              <w:bottom w:val="single" w:sz="4" w:space="0" w:color="auto"/>
            </w:tcBorders>
          </w:tcPr>
          <w:p w:rsidR="003977DD" w:rsidRDefault="003977DD" w:rsidP="00A912F1">
            <w:pPr>
              <w:jc w:val="right"/>
            </w:pPr>
            <w:r>
              <w:t>63,165,420</w:t>
            </w:r>
          </w:p>
        </w:tc>
      </w:tr>
      <w:tr w:rsidR="00042BB6" w:rsidTr="00FA51AE">
        <w:tc>
          <w:tcPr>
            <w:tcW w:w="817" w:type="dxa"/>
            <w:tcBorders>
              <w:left w:val="nil"/>
              <w:right w:val="nil"/>
            </w:tcBorders>
          </w:tcPr>
          <w:p w:rsidR="00042BB6" w:rsidRDefault="00042BB6" w:rsidP="002C558C"/>
        </w:tc>
        <w:tc>
          <w:tcPr>
            <w:tcW w:w="2693" w:type="dxa"/>
            <w:tcBorders>
              <w:left w:val="nil"/>
              <w:right w:val="nil"/>
            </w:tcBorders>
          </w:tcPr>
          <w:p w:rsidR="00042BB6" w:rsidRDefault="00042BB6" w:rsidP="002C558C"/>
        </w:tc>
        <w:tc>
          <w:tcPr>
            <w:tcW w:w="1222" w:type="dxa"/>
            <w:tcBorders>
              <w:left w:val="nil"/>
              <w:right w:val="nil"/>
            </w:tcBorders>
          </w:tcPr>
          <w:p w:rsidR="00042BB6" w:rsidRDefault="00042BB6" w:rsidP="002C558C"/>
        </w:tc>
        <w:tc>
          <w:tcPr>
            <w:tcW w:w="1518" w:type="dxa"/>
            <w:tcBorders>
              <w:left w:val="nil"/>
              <w:right w:val="nil"/>
            </w:tcBorders>
          </w:tcPr>
          <w:p w:rsidR="00042BB6" w:rsidRDefault="00042BB6" w:rsidP="00994B0A">
            <w:pPr>
              <w:jc w:val="right"/>
            </w:pPr>
          </w:p>
        </w:tc>
        <w:tc>
          <w:tcPr>
            <w:tcW w:w="1518" w:type="dxa"/>
            <w:tcBorders>
              <w:left w:val="nil"/>
              <w:right w:val="nil"/>
            </w:tcBorders>
          </w:tcPr>
          <w:p w:rsidR="00042BB6" w:rsidRDefault="00042BB6" w:rsidP="00994B0A">
            <w:pPr>
              <w:jc w:val="right"/>
            </w:pPr>
          </w:p>
        </w:tc>
        <w:tc>
          <w:tcPr>
            <w:tcW w:w="1518" w:type="dxa"/>
            <w:tcBorders>
              <w:left w:val="nil"/>
              <w:right w:val="nil"/>
            </w:tcBorders>
          </w:tcPr>
          <w:p w:rsidR="00042BB6" w:rsidRDefault="00042BB6" w:rsidP="00994B0A">
            <w:pPr>
              <w:jc w:val="right"/>
            </w:pPr>
          </w:p>
        </w:tc>
      </w:tr>
      <w:tr w:rsidR="003977DD" w:rsidTr="00994B0A">
        <w:tc>
          <w:tcPr>
            <w:tcW w:w="817" w:type="dxa"/>
          </w:tcPr>
          <w:p w:rsidR="003977DD" w:rsidRDefault="003977DD" w:rsidP="002C558C">
            <w:r>
              <w:t>11</w:t>
            </w:r>
          </w:p>
        </w:tc>
        <w:tc>
          <w:tcPr>
            <w:tcW w:w="2693" w:type="dxa"/>
          </w:tcPr>
          <w:p w:rsidR="003977DD" w:rsidRDefault="003977DD" w:rsidP="002C558C">
            <w:proofErr w:type="spellStart"/>
            <w:r>
              <w:t>Bedrijfspensioenfonds</w:t>
            </w:r>
            <w:proofErr w:type="spellEnd"/>
            <w:r>
              <w:t xml:space="preserve"> </w:t>
            </w:r>
            <w:proofErr w:type="spellStart"/>
            <w:r>
              <w:t>voor</w:t>
            </w:r>
            <w:proofErr w:type="spellEnd"/>
            <w:r>
              <w:t xml:space="preserve"> de </w:t>
            </w:r>
            <w:proofErr w:type="spellStart"/>
            <w:r>
              <w:t>Landbouw</w:t>
            </w:r>
            <w:proofErr w:type="spellEnd"/>
          </w:p>
        </w:tc>
        <w:tc>
          <w:tcPr>
            <w:tcW w:w="1222" w:type="dxa"/>
          </w:tcPr>
          <w:p w:rsidR="003977DD" w:rsidRDefault="003977DD" w:rsidP="002C558C">
            <w:r>
              <w:t>Medium</w:t>
            </w:r>
          </w:p>
        </w:tc>
        <w:tc>
          <w:tcPr>
            <w:tcW w:w="1518" w:type="dxa"/>
          </w:tcPr>
          <w:p w:rsidR="003977DD" w:rsidRDefault="003977DD" w:rsidP="00A912F1">
            <w:pPr>
              <w:jc w:val="right"/>
              <w:rPr>
                <w:color w:val="FFFFFF"/>
              </w:rPr>
            </w:pPr>
            <w:r>
              <w:t>9,395,166</w:t>
            </w:r>
          </w:p>
        </w:tc>
        <w:tc>
          <w:tcPr>
            <w:tcW w:w="1518" w:type="dxa"/>
          </w:tcPr>
          <w:p w:rsidR="003977DD" w:rsidRDefault="003977DD" w:rsidP="00A912F1">
            <w:pPr>
              <w:jc w:val="right"/>
              <w:rPr>
                <w:color w:val="FFFFFF"/>
              </w:rPr>
            </w:pPr>
            <w:r>
              <w:t>6,502,653</w:t>
            </w:r>
          </w:p>
        </w:tc>
        <w:tc>
          <w:tcPr>
            <w:tcW w:w="1518" w:type="dxa"/>
          </w:tcPr>
          <w:p w:rsidR="003977DD" w:rsidRDefault="003977DD" w:rsidP="00A912F1">
            <w:pPr>
              <w:jc w:val="right"/>
              <w:rPr>
                <w:color w:val="FFFFFF"/>
              </w:rPr>
            </w:pPr>
            <w:r>
              <w:t>7,948,910</w:t>
            </w:r>
          </w:p>
        </w:tc>
      </w:tr>
      <w:tr w:rsidR="003977DD" w:rsidTr="00994B0A">
        <w:tc>
          <w:tcPr>
            <w:tcW w:w="817" w:type="dxa"/>
          </w:tcPr>
          <w:p w:rsidR="003977DD" w:rsidRDefault="003977DD" w:rsidP="002C558C">
            <w:r>
              <w:t>12</w:t>
            </w:r>
          </w:p>
        </w:tc>
        <w:tc>
          <w:tcPr>
            <w:tcW w:w="2693" w:type="dxa"/>
          </w:tcPr>
          <w:p w:rsidR="003977DD" w:rsidRDefault="003977DD" w:rsidP="002C558C">
            <w:proofErr w:type="spellStart"/>
            <w:r>
              <w:t>Pensioenfonds</w:t>
            </w:r>
            <w:proofErr w:type="spellEnd"/>
            <w:r>
              <w:t xml:space="preserve"> </w:t>
            </w:r>
            <w:proofErr w:type="spellStart"/>
            <w:r>
              <w:t>voor</w:t>
            </w:r>
            <w:proofErr w:type="spellEnd"/>
            <w:r>
              <w:t xml:space="preserve"> </w:t>
            </w:r>
            <w:proofErr w:type="spellStart"/>
            <w:r>
              <w:t>Huisartsen</w:t>
            </w:r>
            <w:proofErr w:type="spellEnd"/>
          </w:p>
        </w:tc>
        <w:tc>
          <w:tcPr>
            <w:tcW w:w="1222" w:type="dxa"/>
          </w:tcPr>
          <w:p w:rsidR="003977DD" w:rsidRDefault="003977DD" w:rsidP="002C558C">
            <w:r w:rsidRPr="00F9165F">
              <w:t>Medium</w:t>
            </w:r>
          </w:p>
        </w:tc>
        <w:tc>
          <w:tcPr>
            <w:tcW w:w="1518" w:type="dxa"/>
          </w:tcPr>
          <w:p w:rsidR="003977DD" w:rsidRDefault="003977DD" w:rsidP="00A912F1">
            <w:pPr>
              <w:jc w:val="right"/>
              <w:rPr>
                <w:color w:val="FFFFFF"/>
              </w:rPr>
            </w:pPr>
            <w:r>
              <w:t>7,594,147</w:t>
            </w:r>
          </w:p>
        </w:tc>
        <w:tc>
          <w:tcPr>
            <w:tcW w:w="1518" w:type="dxa"/>
          </w:tcPr>
          <w:p w:rsidR="003977DD" w:rsidRDefault="003977DD" w:rsidP="00A912F1">
            <w:pPr>
              <w:jc w:val="right"/>
              <w:rPr>
                <w:color w:val="FFFFFF"/>
              </w:rPr>
            </w:pPr>
            <w:r>
              <w:t>7,612,565</w:t>
            </w:r>
          </w:p>
        </w:tc>
        <w:tc>
          <w:tcPr>
            <w:tcW w:w="1518" w:type="dxa"/>
          </w:tcPr>
          <w:p w:rsidR="003977DD" w:rsidRDefault="003977DD" w:rsidP="00A912F1">
            <w:pPr>
              <w:jc w:val="right"/>
              <w:rPr>
                <w:color w:val="FFFFFF"/>
              </w:rPr>
            </w:pPr>
            <w:r>
              <w:t>7,603,356</w:t>
            </w:r>
          </w:p>
        </w:tc>
      </w:tr>
      <w:tr w:rsidR="003977DD" w:rsidTr="00994B0A">
        <w:tc>
          <w:tcPr>
            <w:tcW w:w="817" w:type="dxa"/>
          </w:tcPr>
          <w:p w:rsidR="003977DD" w:rsidRDefault="003977DD" w:rsidP="002C558C">
            <w:r>
              <w:t>13</w:t>
            </w:r>
          </w:p>
        </w:tc>
        <w:tc>
          <w:tcPr>
            <w:tcW w:w="2693" w:type="dxa"/>
          </w:tcPr>
          <w:p w:rsidR="003977DD" w:rsidRDefault="003977DD" w:rsidP="002C558C">
            <w:proofErr w:type="spellStart"/>
            <w:r>
              <w:t>Pensioenfonds</w:t>
            </w:r>
            <w:proofErr w:type="spellEnd"/>
            <w:r>
              <w:t xml:space="preserve"> </w:t>
            </w:r>
            <w:proofErr w:type="spellStart"/>
            <w:r>
              <w:t>voor</w:t>
            </w:r>
            <w:proofErr w:type="spellEnd"/>
            <w:r>
              <w:t xml:space="preserve"> de </w:t>
            </w:r>
            <w:proofErr w:type="spellStart"/>
            <w:r>
              <w:t>Woningcorporaties</w:t>
            </w:r>
            <w:proofErr w:type="spellEnd"/>
          </w:p>
        </w:tc>
        <w:tc>
          <w:tcPr>
            <w:tcW w:w="1222" w:type="dxa"/>
          </w:tcPr>
          <w:p w:rsidR="003977DD" w:rsidRDefault="003977DD" w:rsidP="002C558C">
            <w:r w:rsidRPr="00F9165F">
              <w:t>Medium</w:t>
            </w:r>
          </w:p>
        </w:tc>
        <w:tc>
          <w:tcPr>
            <w:tcW w:w="1518" w:type="dxa"/>
          </w:tcPr>
          <w:p w:rsidR="003977DD" w:rsidRDefault="003977DD" w:rsidP="00A912F1">
            <w:pPr>
              <w:jc w:val="right"/>
              <w:rPr>
                <w:color w:val="FFFFFF"/>
              </w:rPr>
            </w:pPr>
            <w:r>
              <w:t>6,838,631</w:t>
            </w:r>
          </w:p>
        </w:tc>
        <w:tc>
          <w:tcPr>
            <w:tcW w:w="1518" w:type="dxa"/>
          </w:tcPr>
          <w:p w:rsidR="003977DD" w:rsidRDefault="003977DD" w:rsidP="00A912F1">
            <w:pPr>
              <w:jc w:val="right"/>
              <w:rPr>
                <w:color w:val="FFFFFF"/>
              </w:rPr>
            </w:pPr>
            <w:r>
              <w:t>4,458,580</w:t>
            </w:r>
          </w:p>
        </w:tc>
        <w:tc>
          <w:tcPr>
            <w:tcW w:w="1518" w:type="dxa"/>
          </w:tcPr>
          <w:p w:rsidR="003977DD" w:rsidRDefault="003977DD" w:rsidP="00A912F1">
            <w:pPr>
              <w:jc w:val="right"/>
              <w:rPr>
                <w:color w:val="FFFFFF"/>
              </w:rPr>
            </w:pPr>
            <w:r>
              <w:t>5,648,605</w:t>
            </w:r>
          </w:p>
        </w:tc>
      </w:tr>
      <w:tr w:rsidR="003977DD" w:rsidTr="00994B0A">
        <w:tc>
          <w:tcPr>
            <w:tcW w:w="817" w:type="dxa"/>
          </w:tcPr>
          <w:p w:rsidR="003977DD" w:rsidRDefault="003977DD" w:rsidP="002C558C">
            <w:r>
              <w:t>14</w:t>
            </w:r>
          </w:p>
        </w:tc>
        <w:tc>
          <w:tcPr>
            <w:tcW w:w="2693" w:type="dxa"/>
          </w:tcPr>
          <w:p w:rsidR="003977DD" w:rsidRDefault="003977DD" w:rsidP="002C558C">
            <w:proofErr w:type="spellStart"/>
            <w:r>
              <w:t>Algemeen</w:t>
            </w:r>
            <w:proofErr w:type="spellEnd"/>
            <w:r>
              <w:t xml:space="preserve"> </w:t>
            </w:r>
            <w:proofErr w:type="spellStart"/>
            <w:r>
              <w:t>Pensioenfonds</w:t>
            </w:r>
            <w:proofErr w:type="spellEnd"/>
            <w:r>
              <w:t xml:space="preserve"> KLM</w:t>
            </w:r>
          </w:p>
        </w:tc>
        <w:tc>
          <w:tcPr>
            <w:tcW w:w="1222" w:type="dxa"/>
          </w:tcPr>
          <w:p w:rsidR="003977DD" w:rsidRDefault="003977DD" w:rsidP="002C558C">
            <w:r w:rsidRPr="00F9165F">
              <w:t>Medium</w:t>
            </w:r>
          </w:p>
        </w:tc>
        <w:tc>
          <w:tcPr>
            <w:tcW w:w="1518" w:type="dxa"/>
          </w:tcPr>
          <w:p w:rsidR="003977DD" w:rsidRDefault="003977DD" w:rsidP="00A912F1">
            <w:pPr>
              <w:jc w:val="right"/>
              <w:rPr>
                <w:color w:val="FFFFFF"/>
              </w:rPr>
            </w:pPr>
            <w:r>
              <w:t>5,678,700</w:t>
            </w:r>
          </w:p>
        </w:tc>
        <w:tc>
          <w:tcPr>
            <w:tcW w:w="1518" w:type="dxa"/>
          </w:tcPr>
          <w:p w:rsidR="003977DD" w:rsidRDefault="003977DD" w:rsidP="00A912F1">
            <w:pPr>
              <w:jc w:val="right"/>
              <w:rPr>
                <w:color w:val="FFFFFF"/>
              </w:rPr>
            </w:pPr>
            <w:r>
              <w:t>4,930,800</w:t>
            </w:r>
          </w:p>
        </w:tc>
        <w:tc>
          <w:tcPr>
            <w:tcW w:w="1518" w:type="dxa"/>
          </w:tcPr>
          <w:p w:rsidR="003977DD" w:rsidRDefault="003977DD" w:rsidP="00A912F1">
            <w:pPr>
              <w:jc w:val="right"/>
              <w:rPr>
                <w:color w:val="FFFFFF"/>
              </w:rPr>
            </w:pPr>
            <w:r>
              <w:t>5,304,750</w:t>
            </w:r>
          </w:p>
        </w:tc>
      </w:tr>
      <w:tr w:rsidR="003977DD" w:rsidTr="00994B0A">
        <w:tc>
          <w:tcPr>
            <w:tcW w:w="817" w:type="dxa"/>
          </w:tcPr>
          <w:p w:rsidR="003977DD" w:rsidRDefault="003977DD" w:rsidP="002C558C">
            <w:r>
              <w:t>15</w:t>
            </w:r>
          </w:p>
        </w:tc>
        <w:tc>
          <w:tcPr>
            <w:tcW w:w="2693" w:type="dxa"/>
          </w:tcPr>
          <w:p w:rsidR="003977DD" w:rsidRDefault="003977DD" w:rsidP="002C558C">
            <w:proofErr w:type="spellStart"/>
            <w:r>
              <w:t>Pensioenfonds</w:t>
            </w:r>
            <w:proofErr w:type="spellEnd"/>
            <w:r>
              <w:t xml:space="preserve"> DSM Nederland</w:t>
            </w:r>
          </w:p>
        </w:tc>
        <w:tc>
          <w:tcPr>
            <w:tcW w:w="1222" w:type="dxa"/>
          </w:tcPr>
          <w:p w:rsidR="003977DD" w:rsidRDefault="003977DD" w:rsidP="002C558C">
            <w:r w:rsidRPr="00F9165F">
              <w:t>Medium</w:t>
            </w:r>
          </w:p>
        </w:tc>
        <w:tc>
          <w:tcPr>
            <w:tcW w:w="1518" w:type="dxa"/>
          </w:tcPr>
          <w:p w:rsidR="003977DD" w:rsidRDefault="003977DD" w:rsidP="00A912F1">
            <w:pPr>
              <w:jc w:val="right"/>
              <w:rPr>
                <w:color w:val="FFFFFF"/>
              </w:rPr>
            </w:pPr>
            <w:r>
              <w:t>4,976,000</w:t>
            </w:r>
          </w:p>
        </w:tc>
        <w:tc>
          <w:tcPr>
            <w:tcW w:w="1518" w:type="dxa"/>
          </w:tcPr>
          <w:p w:rsidR="003977DD" w:rsidRDefault="003977DD" w:rsidP="00A912F1">
            <w:pPr>
              <w:jc w:val="right"/>
              <w:rPr>
                <w:color w:val="FFFFFF"/>
              </w:rPr>
            </w:pPr>
            <w:r>
              <w:t>5,269,000</w:t>
            </w:r>
          </w:p>
        </w:tc>
        <w:tc>
          <w:tcPr>
            <w:tcW w:w="1518" w:type="dxa"/>
          </w:tcPr>
          <w:p w:rsidR="003977DD" w:rsidRDefault="003977DD" w:rsidP="00A912F1">
            <w:pPr>
              <w:jc w:val="right"/>
              <w:rPr>
                <w:color w:val="FFFFFF"/>
              </w:rPr>
            </w:pPr>
            <w:r>
              <w:t>5,122,500</w:t>
            </w:r>
          </w:p>
        </w:tc>
      </w:tr>
      <w:tr w:rsidR="003977DD" w:rsidTr="00994B0A">
        <w:tc>
          <w:tcPr>
            <w:tcW w:w="817" w:type="dxa"/>
          </w:tcPr>
          <w:p w:rsidR="003977DD" w:rsidRDefault="003977DD" w:rsidP="002C558C"/>
        </w:tc>
        <w:tc>
          <w:tcPr>
            <w:tcW w:w="2693" w:type="dxa"/>
          </w:tcPr>
          <w:p w:rsidR="003977DD" w:rsidRDefault="003977DD" w:rsidP="002C558C">
            <w:r>
              <w:t>Total sample Medium</w:t>
            </w:r>
          </w:p>
        </w:tc>
        <w:tc>
          <w:tcPr>
            <w:tcW w:w="1222" w:type="dxa"/>
          </w:tcPr>
          <w:p w:rsidR="003977DD" w:rsidRDefault="003977DD" w:rsidP="002C558C"/>
        </w:tc>
        <w:tc>
          <w:tcPr>
            <w:tcW w:w="1518" w:type="dxa"/>
          </w:tcPr>
          <w:p w:rsidR="003977DD" w:rsidRDefault="003977DD" w:rsidP="00A912F1">
            <w:pPr>
              <w:jc w:val="right"/>
            </w:pPr>
            <w:r>
              <w:t>34,482,644</w:t>
            </w:r>
          </w:p>
        </w:tc>
        <w:tc>
          <w:tcPr>
            <w:tcW w:w="1518" w:type="dxa"/>
          </w:tcPr>
          <w:p w:rsidR="003977DD" w:rsidRDefault="003977DD" w:rsidP="00A912F1">
            <w:pPr>
              <w:jc w:val="right"/>
            </w:pPr>
            <w:r>
              <w:t>28,773,598</w:t>
            </w:r>
          </w:p>
        </w:tc>
        <w:tc>
          <w:tcPr>
            <w:tcW w:w="1518" w:type="dxa"/>
          </w:tcPr>
          <w:p w:rsidR="003977DD" w:rsidRDefault="003977DD" w:rsidP="00A912F1">
            <w:pPr>
              <w:jc w:val="right"/>
            </w:pPr>
            <w:r>
              <w:t>31,628,121</w:t>
            </w:r>
          </w:p>
        </w:tc>
      </w:tr>
    </w:tbl>
    <w:p w:rsidR="00A36AA2" w:rsidRDefault="00A36AA2"/>
    <w:tbl>
      <w:tblPr>
        <w:tblStyle w:val="Tabelraster"/>
        <w:tblW w:w="0" w:type="auto"/>
        <w:tblLayout w:type="fixed"/>
        <w:tblLook w:val="04A0"/>
      </w:tblPr>
      <w:tblGrid>
        <w:gridCol w:w="817"/>
        <w:gridCol w:w="2693"/>
        <w:gridCol w:w="1222"/>
        <w:gridCol w:w="1518"/>
        <w:gridCol w:w="1518"/>
        <w:gridCol w:w="1518"/>
      </w:tblGrid>
      <w:tr w:rsidR="003977DD" w:rsidRPr="00117CC4" w:rsidTr="00FF0943">
        <w:tc>
          <w:tcPr>
            <w:tcW w:w="817" w:type="dxa"/>
          </w:tcPr>
          <w:p w:rsidR="003977DD" w:rsidRDefault="003977DD" w:rsidP="00FF0943">
            <w:r>
              <w:t>16</w:t>
            </w:r>
          </w:p>
        </w:tc>
        <w:tc>
          <w:tcPr>
            <w:tcW w:w="2693" w:type="dxa"/>
          </w:tcPr>
          <w:p w:rsidR="003977DD" w:rsidRPr="00E32177" w:rsidRDefault="003977DD" w:rsidP="00FF0943">
            <w:pPr>
              <w:rPr>
                <w:lang w:val="nl-NL"/>
              </w:rPr>
            </w:pPr>
            <w:r w:rsidRPr="004126B1">
              <w:rPr>
                <w:lang w:val="nl-NL"/>
              </w:rPr>
              <w:t>Bedrijfstakpensioenfonds voor de Media PNO</w:t>
            </w:r>
          </w:p>
        </w:tc>
        <w:tc>
          <w:tcPr>
            <w:tcW w:w="1222" w:type="dxa"/>
          </w:tcPr>
          <w:p w:rsidR="003977DD" w:rsidRPr="00E32177" w:rsidRDefault="003977DD" w:rsidP="00FF0943">
            <w:pPr>
              <w:rPr>
                <w:lang w:val="nl-NL"/>
              </w:rPr>
            </w:pPr>
            <w:proofErr w:type="spellStart"/>
            <w:r>
              <w:rPr>
                <w:lang w:val="nl-NL"/>
              </w:rPr>
              <w:t>Small</w:t>
            </w:r>
            <w:proofErr w:type="spellEnd"/>
          </w:p>
        </w:tc>
        <w:tc>
          <w:tcPr>
            <w:tcW w:w="1518" w:type="dxa"/>
          </w:tcPr>
          <w:p w:rsidR="003977DD" w:rsidRPr="00E32177" w:rsidRDefault="003977DD" w:rsidP="00A912F1">
            <w:pPr>
              <w:jc w:val="right"/>
              <w:rPr>
                <w:lang w:val="nl-NL"/>
              </w:rPr>
            </w:pPr>
            <w:r>
              <w:rPr>
                <w:lang w:val="nl-NL"/>
              </w:rPr>
              <w:t>3,440,621</w:t>
            </w:r>
          </w:p>
        </w:tc>
        <w:tc>
          <w:tcPr>
            <w:tcW w:w="1518" w:type="dxa"/>
          </w:tcPr>
          <w:p w:rsidR="003977DD" w:rsidRPr="00E32177" w:rsidRDefault="003977DD" w:rsidP="00A912F1">
            <w:pPr>
              <w:jc w:val="right"/>
              <w:rPr>
                <w:lang w:val="nl-NL"/>
              </w:rPr>
            </w:pPr>
            <w:r>
              <w:rPr>
                <w:lang w:val="nl-NL"/>
              </w:rPr>
              <w:t>2,269,038</w:t>
            </w:r>
          </w:p>
        </w:tc>
        <w:tc>
          <w:tcPr>
            <w:tcW w:w="1518" w:type="dxa"/>
          </w:tcPr>
          <w:p w:rsidR="003977DD" w:rsidRPr="00E32177" w:rsidRDefault="003977DD" w:rsidP="00A912F1">
            <w:pPr>
              <w:jc w:val="right"/>
              <w:rPr>
                <w:lang w:val="nl-NL"/>
              </w:rPr>
            </w:pPr>
            <w:r>
              <w:rPr>
                <w:lang w:val="nl-NL"/>
              </w:rPr>
              <w:t>2,854,829</w:t>
            </w:r>
          </w:p>
        </w:tc>
      </w:tr>
      <w:tr w:rsidR="003977DD" w:rsidTr="00FF0943">
        <w:tc>
          <w:tcPr>
            <w:tcW w:w="817" w:type="dxa"/>
          </w:tcPr>
          <w:p w:rsidR="003977DD" w:rsidRDefault="003977DD" w:rsidP="00FF0943">
            <w:r>
              <w:t>17</w:t>
            </w:r>
          </w:p>
        </w:tc>
        <w:tc>
          <w:tcPr>
            <w:tcW w:w="2693" w:type="dxa"/>
          </w:tcPr>
          <w:p w:rsidR="003977DD" w:rsidRDefault="003977DD" w:rsidP="00FF0943">
            <w:proofErr w:type="spellStart"/>
            <w:r>
              <w:t>Pensioenfonds</w:t>
            </w:r>
            <w:proofErr w:type="spellEnd"/>
            <w:r>
              <w:t xml:space="preserve"> </w:t>
            </w:r>
            <w:proofErr w:type="spellStart"/>
            <w:r>
              <w:t>Openbaar</w:t>
            </w:r>
            <w:proofErr w:type="spellEnd"/>
            <w:r>
              <w:t xml:space="preserve"> </w:t>
            </w:r>
            <w:proofErr w:type="spellStart"/>
            <w:r>
              <w:t>Vervoer</w:t>
            </w:r>
            <w:proofErr w:type="spellEnd"/>
          </w:p>
        </w:tc>
        <w:tc>
          <w:tcPr>
            <w:tcW w:w="1222" w:type="dxa"/>
          </w:tcPr>
          <w:p w:rsidR="003977DD" w:rsidRDefault="003977DD" w:rsidP="00FF0943">
            <w:r>
              <w:t>Small</w:t>
            </w:r>
          </w:p>
        </w:tc>
        <w:tc>
          <w:tcPr>
            <w:tcW w:w="1518" w:type="dxa"/>
          </w:tcPr>
          <w:p w:rsidR="003977DD" w:rsidRDefault="003977DD" w:rsidP="00A912F1">
            <w:pPr>
              <w:jc w:val="right"/>
              <w:rPr>
                <w:color w:val="FFFFFF"/>
              </w:rPr>
            </w:pPr>
            <w:r>
              <w:t>2,613,126</w:t>
            </w:r>
          </w:p>
        </w:tc>
        <w:tc>
          <w:tcPr>
            <w:tcW w:w="1518" w:type="dxa"/>
          </w:tcPr>
          <w:p w:rsidR="003977DD" w:rsidRDefault="003977DD" w:rsidP="00A912F1">
            <w:pPr>
              <w:jc w:val="right"/>
            </w:pPr>
            <w:r>
              <w:t>2,294,737</w:t>
            </w:r>
          </w:p>
        </w:tc>
        <w:tc>
          <w:tcPr>
            <w:tcW w:w="1518" w:type="dxa"/>
          </w:tcPr>
          <w:p w:rsidR="003977DD" w:rsidRDefault="003977DD" w:rsidP="00A912F1">
            <w:pPr>
              <w:jc w:val="right"/>
            </w:pPr>
            <w:r>
              <w:t>2,453,932</w:t>
            </w:r>
          </w:p>
        </w:tc>
      </w:tr>
      <w:tr w:rsidR="003977DD" w:rsidTr="00FF0943">
        <w:tc>
          <w:tcPr>
            <w:tcW w:w="817" w:type="dxa"/>
          </w:tcPr>
          <w:p w:rsidR="003977DD" w:rsidRDefault="003977DD" w:rsidP="00FF0943">
            <w:r>
              <w:t>18</w:t>
            </w:r>
          </w:p>
        </w:tc>
        <w:tc>
          <w:tcPr>
            <w:tcW w:w="2693" w:type="dxa"/>
          </w:tcPr>
          <w:p w:rsidR="003977DD" w:rsidRDefault="003977DD" w:rsidP="00FF0943">
            <w:proofErr w:type="spellStart"/>
            <w:r>
              <w:t>Pensioenfonds</w:t>
            </w:r>
            <w:proofErr w:type="spellEnd"/>
            <w:r>
              <w:t xml:space="preserve"> </w:t>
            </w:r>
            <w:proofErr w:type="spellStart"/>
            <w:r>
              <w:t>voor</w:t>
            </w:r>
            <w:proofErr w:type="spellEnd"/>
            <w:r>
              <w:t xml:space="preserve"> het </w:t>
            </w:r>
            <w:proofErr w:type="spellStart"/>
            <w:r>
              <w:t>Slagersbedrijf</w:t>
            </w:r>
            <w:proofErr w:type="spellEnd"/>
          </w:p>
        </w:tc>
        <w:tc>
          <w:tcPr>
            <w:tcW w:w="1222" w:type="dxa"/>
          </w:tcPr>
          <w:p w:rsidR="003977DD" w:rsidRDefault="003977DD" w:rsidP="00FF0943">
            <w:r>
              <w:t>Small</w:t>
            </w:r>
          </w:p>
        </w:tc>
        <w:tc>
          <w:tcPr>
            <w:tcW w:w="1518" w:type="dxa"/>
          </w:tcPr>
          <w:p w:rsidR="003977DD" w:rsidRDefault="003977DD" w:rsidP="00A912F1">
            <w:pPr>
              <w:jc w:val="right"/>
            </w:pPr>
            <w:r>
              <w:t>1,562,888</w:t>
            </w:r>
          </w:p>
        </w:tc>
        <w:tc>
          <w:tcPr>
            <w:tcW w:w="1518" w:type="dxa"/>
          </w:tcPr>
          <w:p w:rsidR="003977DD" w:rsidRDefault="003977DD" w:rsidP="00A912F1">
            <w:pPr>
              <w:jc w:val="right"/>
            </w:pPr>
            <w:r>
              <w:t>1,191,185</w:t>
            </w:r>
          </w:p>
        </w:tc>
        <w:tc>
          <w:tcPr>
            <w:tcW w:w="1518" w:type="dxa"/>
          </w:tcPr>
          <w:p w:rsidR="003977DD" w:rsidRDefault="003977DD" w:rsidP="00A912F1">
            <w:pPr>
              <w:jc w:val="right"/>
            </w:pPr>
            <w:r>
              <w:t>1,377,037</w:t>
            </w:r>
          </w:p>
        </w:tc>
      </w:tr>
      <w:tr w:rsidR="003977DD" w:rsidTr="00FF0943">
        <w:tc>
          <w:tcPr>
            <w:tcW w:w="817" w:type="dxa"/>
          </w:tcPr>
          <w:p w:rsidR="003977DD" w:rsidRDefault="003977DD" w:rsidP="00FF0943">
            <w:r>
              <w:t>19</w:t>
            </w:r>
          </w:p>
        </w:tc>
        <w:tc>
          <w:tcPr>
            <w:tcW w:w="2693" w:type="dxa"/>
          </w:tcPr>
          <w:p w:rsidR="003977DD" w:rsidRDefault="003977DD">
            <w:proofErr w:type="spellStart"/>
            <w:r>
              <w:t>Pensioenfonds</w:t>
            </w:r>
            <w:proofErr w:type="spellEnd"/>
            <w:r>
              <w:t xml:space="preserve"> Campina</w:t>
            </w:r>
          </w:p>
        </w:tc>
        <w:tc>
          <w:tcPr>
            <w:tcW w:w="1222" w:type="dxa"/>
          </w:tcPr>
          <w:p w:rsidR="003977DD" w:rsidRDefault="003977DD" w:rsidP="00FF0943">
            <w:r>
              <w:t>Small</w:t>
            </w:r>
          </w:p>
        </w:tc>
        <w:tc>
          <w:tcPr>
            <w:tcW w:w="1518" w:type="dxa"/>
          </w:tcPr>
          <w:p w:rsidR="003977DD" w:rsidRDefault="003977DD" w:rsidP="00A912F1">
            <w:pPr>
              <w:jc w:val="right"/>
            </w:pPr>
            <w:r>
              <w:t>1,081,448</w:t>
            </w:r>
          </w:p>
        </w:tc>
        <w:tc>
          <w:tcPr>
            <w:tcW w:w="1518" w:type="dxa"/>
          </w:tcPr>
          <w:p w:rsidR="003977DD" w:rsidRDefault="003977DD" w:rsidP="00A912F1">
            <w:pPr>
              <w:jc w:val="right"/>
            </w:pPr>
            <w:r>
              <w:t>1,093,687</w:t>
            </w:r>
          </w:p>
        </w:tc>
        <w:tc>
          <w:tcPr>
            <w:tcW w:w="1518" w:type="dxa"/>
          </w:tcPr>
          <w:p w:rsidR="003977DD" w:rsidRDefault="003977DD" w:rsidP="00A912F1">
            <w:pPr>
              <w:jc w:val="right"/>
            </w:pPr>
            <w:r>
              <w:t>1,087,568</w:t>
            </w:r>
          </w:p>
        </w:tc>
      </w:tr>
      <w:tr w:rsidR="003977DD" w:rsidTr="00FF0943">
        <w:tc>
          <w:tcPr>
            <w:tcW w:w="817" w:type="dxa"/>
          </w:tcPr>
          <w:p w:rsidR="003977DD" w:rsidRDefault="003977DD" w:rsidP="00FF0943">
            <w:r>
              <w:t>20</w:t>
            </w:r>
          </w:p>
        </w:tc>
        <w:tc>
          <w:tcPr>
            <w:tcW w:w="2693" w:type="dxa"/>
          </w:tcPr>
          <w:p w:rsidR="003977DD" w:rsidRDefault="003977DD">
            <w:proofErr w:type="spellStart"/>
            <w:r>
              <w:t>Notarieel</w:t>
            </w:r>
            <w:proofErr w:type="spellEnd"/>
            <w:r>
              <w:t xml:space="preserve"> </w:t>
            </w:r>
            <w:proofErr w:type="spellStart"/>
            <w:r>
              <w:t>Pensioenfonds</w:t>
            </w:r>
            <w:proofErr w:type="spellEnd"/>
          </w:p>
        </w:tc>
        <w:tc>
          <w:tcPr>
            <w:tcW w:w="1222" w:type="dxa"/>
          </w:tcPr>
          <w:p w:rsidR="003977DD" w:rsidRDefault="003977DD" w:rsidP="00FF0943">
            <w:r>
              <w:t>Small</w:t>
            </w:r>
          </w:p>
        </w:tc>
        <w:tc>
          <w:tcPr>
            <w:tcW w:w="1518" w:type="dxa"/>
          </w:tcPr>
          <w:p w:rsidR="003977DD" w:rsidRDefault="003977DD" w:rsidP="00A912F1">
            <w:pPr>
              <w:jc w:val="right"/>
            </w:pPr>
            <w:r w:rsidRPr="00661DEC">
              <w:t>1</w:t>
            </w:r>
            <w:r>
              <w:t>,</w:t>
            </w:r>
            <w:r w:rsidRPr="00661DEC">
              <w:t>101</w:t>
            </w:r>
            <w:r>
              <w:t>,</w:t>
            </w:r>
            <w:r w:rsidRPr="00661DEC">
              <w:t>840</w:t>
            </w:r>
          </w:p>
        </w:tc>
        <w:tc>
          <w:tcPr>
            <w:tcW w:w="1518" w:type="dxa"/>
          </w:tcPr>
          <w:p w:rsidR="003977DD" w:rsidRDefault="003977DD" w:rsidP="00A912F1">
            <w:pPr>
              <w:jc w:val="right"/>
            </w:pPr>
            <w:r w:rsidRPr="00661DEC">
              <w:t>938</w:t>
            </w:r>
            <w:r>
              <w:t>,</w:t>
            </w:r>
            <w:r w:rsidRPr="00661DEC">
              <w:t>93</w:t>
            </w:r>
            <w:r>
              <w:t>4</w:t>
            </w:r>
          </w:p>
        </w:tc>
        <w:tc>
          <w:tcPr>
            <w:tcW w:w="1518" w:type="dxa"/>
          </w:tcPr>
          <w:p w:rsidR="003977DD" w:rsidRDefault="003977DD" w:rsidP="00A912F1">
            <w:pPr>
              <w:jc w:val="right"/>
            </w:pPr>
            <w:r>
              <w:t>1,020,387</w:t>
            </w:r>
          </w:p>
        </w:tc>
      </w:tr>
      <w:tr w:rsidR="003977DD" w:rsidTr="00FF0943">
        <w:tc>
          <w:tcPr>
            <w:tcW w:w="817" w:type="dxa"/>
          </w:tcPr>
          <w:p w:rsidR="003977DD" w:rsidRDefault="003977DD" w:rsidP="00FF0943"/>
        </w:tc>
        <w:tc>
          <w:tcPr>
            <w:tcW w:w="2693" w:type="dxa"/>
          </w:tcPr>
          <w:p w:rsidR="003977DD" w:rsidRDefault="003977DD" w:rsidP="00FF0943">
            <w:r>
              <w:t>Total sample Small</w:t>
            </w:r>
          </w:p>
        </w:tc>
        <w:tc>
          <w:tcPr>
            <w:tcW w:w="1222" w:type="dxa"/>
          </w:tcPr>
          <w:p w:rsidR="003977DD" w:rsidRDefault="003977DD" w:rsidP="00FF0943"/>
        </w:tc>
        <w:tc>
          <w:tcPr>
            <w:tcW w:w="1518" w:type="dxa"/>
          </w:tcPr>
          <w:p w:rsidR="003977DD" w:rsidRDefault="003977DD" w:rsidP="00A912F1">
            <w:pPr>
              <w:jc w:val="right"/>
            </w:pPr>
            <w:r>
              <w:t>9,799,923</w:t>
            </w:r>
          </w:p>
        </w:tc>
        <w:tc>
          <w:tcPr>
            <w:tcW w:w="1518" w:type="dxa"/>
          </w:tcPr>
          <w:p w:rsidR="003977DD" w:rsidRDefault="003977DD" w:rsidP="00A912F1">
            <w:pPr>
              <w:jc w:val="right"/>
            </w:pPr>
            <w:r>
              <w:t>7,787,581</w:t>
            </w:r>
          </w:p>
        </w:tc>
        <w:tc>
          <w:tcPr>
            <w:tcW w:w="1518" w:type="dxa"/>
          </w:tcPr>
          <w:p w:rsidR="003977DD" w:rsidRDefault="003977DD" w:rsidP="00A912F1">
            <w:pPr>
              <w:jc w:val="right"/>
            </w:pPr>
            <w:r>
              <w:t>8,793,753</w:t>
            </w:r>
          </w:p>
        </w:tc>
      </w:tr>
    </w:tbl>
    <w:p w:rsidR="005D388C" w:rsidRDefault="005D388C" w:rsidP="00D62E52">
      <w:pPr>
        <w:ind w:left="720"/>
      </w:pPr>
    </w:p>
    <w:tbl>
      <w:tblPr>
        <w:tblStyle w:val="Tabelraster"/>
        <w:tblW w:w="0" w:type="auto"/>
        <w:tblLayout w:type="fixed"/>
        <w:tblLook w:val="04A0"/>
      </w:tblPr>
      <w:tblGrid>
        <w:gridCol w:w="817"/>
        <w:gridCol w:w="2693"/>
        <w:gridCol w:w="1222"/>
        <w:gridCol w:w="1518"/>
        <w:gridCol w:w="1518"/>
        <w:gridCol w:w="1518"/>
      </w:tblGrid>
      <w:tr w:rsidR="003977DD" w:rsidTr="0017261B">
        <w:tc>
          <w:tcPr>
            <w:tcW w:w="817" w:type="dxa"/>
          </w:tcPr>
          <w:p w:rsidR="003977DD" w:rsidRDefault="003977DD" w:rsidP="0017261B">
            <w:r>
              <w:t>21</w:t>
            </w:r>
          </w:p>
        </w:tc>
        <w:tc>
          <w:tcPr>
            <w:tcW w:w="2693" w:type="dxa"/>
          </w:tcPr>
          <w:p w:rsidR="003977DD" w:rsidRDefault="003977DD" w:rsidP="0017261B">
            <w:proofErr w:type="spellStart"/>
            <w:r>
              <w:t>Stichting</w:t>
            </w:r>
            <w:proofErr w:type="spellEnd"/>
            <w:r>
              <w:t xml:space="preserve"> </w:t>
            </w:r>
            <w:proofErr w:type="spellStart"/>
            <w:r>
              <w:t>Pensioenfonds</w:t>
            </w:r>
            <w:proofErr w:type="spellEnd"/>
            <w:r>
              <w:t xml:space="preserve"> Ballast </w:t>
            </w:r>
            <w:proofErr w:type="spellStart"/>
            <w:r>
              <w:t>Nedam</w:t>
            </w:r>
            <w:proofErr w:type="spellEnd"/>
          </w:p>
        </w:tc>
        <w:tc>
          <w:tcPr>
            <w:tcW w:w="1222" w:type="dxa"/>
          </w:tcPr>
          <w:p w:rsidR="003977DD" w:rsidRDefault="003977DD" w:rsidP="0017261B">
            <w:r>
              <w:t>X Small</w:t>
            </w:r>
          </w:p>
        </w:tc>
        <w:tc>
          <w:tcPr>
            <w:tcW w:w="1518" w:type="dxa"/>
          </w:tcPr>
          <w:p w:rsidR="003977DD" w:rsidRDefault="003977DD" w:rsidP="00A912F1">
            <w:pPr>
              <w:jc w:val="right"/>
            </w:pPr>
            <w:r>
              <w:t>718,601</w:t>
            </w:r>
          </w:p>
        </w:tc>
        <w:tc>
          <w:tcPr>
            <w:tcW w:w="1518" w:type="dxa"/>
          </w:tcPr>
          <w:p w:rsidR="003977DD" w:rsidRDefault="003977DD" w:rsidP="00A912F1">
            <w:pPr>
              <w:jc w:val="right"/>
            </w:pPr>
            <w:r>
              <w:t>612,234</w:t>
            </w:r>
          </w:p>
        </w:tc>
        <w:tc>
          <w:tcPr>
            <w:tcW w:w="1518" w:type="dxa"/>
          </w:tcPr>
          <w:p w:rsidR="003977DD" w:rsidRDefault="003977DD" w:rsidP="00A912F1">
            <w:pPr>
              <w:jc w:val="right"/>
            </w:pPr>
            <w:r>
              <w:t>665,418</w:t>
            </w:r>
          </w:p>
        </w:tc>
      </w:tr>
      <w:tr w:rsidR="003977DD" w:rsidTr="0017261B">
        <w:tc>
          <w:tcPr>
            <w:tcW w:w="817" w:type="dxa"/>
          </w:tcPr>
          <w:p w:rsidR="003977DD" w:rsidRDefault="003977DD" w:rsidP="0017261B">
            <w:r>
              <w:t>22</w:t>
            </w:r>
          </w:p>
        </w:tc>
        <w:tc>
          <w:tcPr>
            <w:tcW w:w="2693" w:type="dxa"/>
          </w:tcPr>
          <w:p w:rsidR="003977DD" w:rsidRDefault="003977DD" w:rsidP="0017261B">
            <w:proofErr w:type="spellStart"/>
            <w:r>
              <w:t>Stichting</w:t>
            </w:r>
            <w:proofErr w:type="spellEnd"/>
            <w:r>
              <w:t xml:space="preserve"> </w:t>
            </w:r>
            <w:proofErr w:type="spellStart"/>
            <w:r>
              <w:t>Pensioenfonds</w:t>
            </w:r>
            <w:proofErr w:type="spellEnd"/>
            <w:r>
              <w:t xml:space="preserve"> Sappi Netherlands</w:t>
            </w:r>
          </w:p>
        </w:tc>
        <w:tc>
          <w:tcPr>
            <w:tcW w:w="1222" w:type="dxa"/>
          </w:tcPr>
          <w:p w:rsidR="003977DD" w:rsidRDefault="003977DD" w:rsidP="0017261B">
            <w:r>
              <w:t>X Small</w:t>
            </w:r>
          </w:p>
        </w:tc>
        <w:tc>
          <w:tcPr>
            <w:tcW w:w="1518" w:type="dxa"/>
          </w:tcPr>
          <w:p w:rsidR="003977DD" w:rsidRDefault="003977DD" w:rsidP="00A912F1">
            <w:pPr>
              <w:jc w:val="right"/>
            </w:pPr>
            <w:r>
              <w:t>384,054</w:t>
            </w:r>
          </w:p>
        </w:tc>
        <w:tc>
          <w:tcPr>
            <w:tcW w:w="1518" w:type="dxa"/>
          </w:tcPr>
          <w:p w:rsidR="003977DD" w:rsidRDefault="003977DD" w:rsidP="00A912F1">
            <w:pPr>
              <w:jc w:val="right"/>
            </w:pPr>
            <w:r>
              <w:t>355,220</w:t>
            </w:r>
          </w:p>
        </w:tc>
        <w:tc>
          <w:tcPr>
            <w:tcW w:w="1518" w:type="dxa"/>
          </w:tcPr>
          <w:p w:rsidR="003977DD" w:rsidRDefault="003977DD" w:rsidP="00A912F1">
            <w:pPr>
              <w:jc w:val="right"/>
            </w:pPr>
            <w:r>
              <w:t>369,637</w:t>
            </w:r>
          </w:p>
        </w:tc>
      </w:tr>
      <w:tr w:rsidR="003977DD" w:rsidTr="0017261B">
        <w:tc>
          <w:tcPr>
            <w:tcW w:w="817" w:type="dxa"/>
          </w:tcPr>
          <w:p w:rsidR="003977DD" w:rsidRDefault="003977DD" w:rsidP="0017261B">
            <w:r>
              <w:t>23</w:t>
            </w:r>
          </w:p>
        </w:tc>
        <w:tc>
          <w:tcPr>
            <w:tcW w:w="2693" w:type="dxa"/>
          </w:tcPr>
          <w:p w:rsidR="003977DD" w:rsidRPr="00296A57" w:rsidRDefault="003977DD" w:rsidP="0017261B">
            <w:pPr>
              <w:rPr>
                <w:lang w:val="nl-NL"/>
              </w:rPr>
            </w:pPr>
            <w:r>
              <w:rPr>
                <w:lang w:val="nl-NL"/>
              </w:rPr>
              <w:t xml:space="preserve">Stichting Pensioenfonds </w:t>
            </w:r>
            <w:proofErr w:type="spellStart"/>
            <w:r>
              <w:rPr>
                <w:lang w:val="nl-NL"/>
              </w:rPr>
              <w:t>Unisys</w:t>
            </w:r>
            <w:proofErr w:type="spellEnd"/>
            <w:r>
              <w:rPr>
                <w:lang w:val="nl-NL"/>
              </w:rPr>
              <w:t xml:space="preserve"> Nederland</w:t>
            </w:r>
          </w:p>
        </w:tc>
        <w:tc>
          <w:tcPr>
            <w:tcW w:w="1222" w:type="dxa"/>
          </w:tcPr>
          <w:p w:rsidR="003977DD" w:rsidRDefault="003977DD" w:rsidP="0017261B">
            <w:r>
              <w:t>X Small</w:t>
            </w:r>
          </w:p>
        </w:tc>
        <w:tc>
          <w:tcPr>
            <w:tcW w:w="1518" w:type="dxa"/>
          </w:tcPr>
          <w:p w:rsidR="003977DD" w:rsidRDefault="003977DD" w:rsidP="00A912F1">
            <w:pPr>
              <w:jc w:val="right"/>
            </w:pPr>
            <w:r>
              <w:t>361,510</w:t>
            </w:r>
          </w:p>
        </w:tc>
        <w:tc>
          <w:tcPr>
            <w:tcW w:w="1518" w:type="dxa"/>
          </w:tcPr>
          <w:p w:rsidR="003977DD" w:rsidRDefault="003977DD" w:rsidP="00A912F1">
            <w:pPr>
              <w:jc w:val="right"/>
            </w:pPr>
            <w:r>
              <w:t>287,098</w:t>
            </w:r>
          </w:p>
        </w:tc>
        <w:tc>
          <w:tcPr>
            <w:tcW w:w="1518" w:type="dxa"/>
          </w:tcPr>
          <w:p w:rsidR="003977DD" w:rsidRDefault="003977DD" w:rsidP="00A912F1">
            <w:pPr>
              <w:jc w:val="right"/>
            </w:pPr>
            <w:r>
              <w:t>324,304</w:t>
            </w:r>
          </w:p>
        </w:tc>
      </w:tr>
      <w:tr w:rsidR="003977DD" w:rsidTr="0017261B">
        <w:tc>
          <w:tcPr>
            <w:tcW w:w="817" w:type="dxa"/>
          </w:tcPr>
          <w:p w:rsidR="003977DD" w:rsidRDefault="003977DD" w:rsidP="0017261B">
            <w:r>
              <w:t>24</w:t>
            </w:r>
          </w:p>
        </w:tc>
        <w:tc>
          <w:tcPr>
            <w:tcW w:w="2693" w:type="dxa"/>
          </w:tcPr>
          <w:p w:rsidR="003977DD" w:rsidRDefault="003977DD" w:rsidP="0017261B">
            <w:proofErr w:type="spellStart"/>
            <w:r>
              <w:t>Stichting</w:t>
            </w:r>
            <w:proofErr w:type="spellEnd"/>
            <w:r>
              <w:t xml:space="preserve"> Co-op </w:t>
            </w:r>
            <w:proofErr w:type="spellStart"/>
            <w:r>
              <w:t>Pensioenfonds</w:t>
            </w:r>
            <w:proofErr w:type="spellEnd"/>
          </w:p>
        </w:tc>
        <w:tc>
          <w:tcPr>
            <w:tcW w:w="1222" w:type="dxa"/>
          </w:tcPr>
          <w:p w:rsidR="003977DD" w:rsidRDefault="003977DD" w:rsidP="0017261B">
            <w:r>
              <w:t>X Small</w:t>
            </w:r>
          </w:p>
        </w:tc>
        <w:tc>
          <w:tcPr>
            <w:tcW w:w="1518" w:type="dxa"/>
          </w:tcPr>
          <w:p w:rsidR="003977DD" w:rsidRDefault="003977DD" w:rsidP="00A912F1">
            <w:pPr>
              <w:jc w:val="right"/>
            </w:pPr>
            <w:r>
              <w:t>174,322</w:t>
            </w:r>
          </w:p>
        </w:tc>
        <w:tc>
          <w:tcPr>
            <w:tcW w:w="1518" w:type="dxa"/>
          </w:tcPr>
          <w:p w:rsidR="003977DD" w:rsidRDefault="003977DD" w:rsidP="00A912F1">
            <w:pPr>
              <w:jc w:val="right"/>
            </w:pPr>
            <w:r>
              <w:t>144,241</w:t>
            </w:r>
          </w:p>
        </w:tc>
        <w:tc>
          <w:tcPr>
            <w:tcW w:w="1518" w:type="dxa"/>
          </w:tcPr>
          <w:p w:rsidR="003977DD" w:rsidRDefault="003977DD" w:rsidP="00A912F1">
            <w:pPr>
              <w:jc w:val="right"/>
            </w:pPr>
            <w:r>
              <w:t>159,282</w:t>
            </w:r>
          </w:p>
        </w:tc>
      </w:tr>
      <w:tr w:rsidR="003977DD" w:rsidTr="0017261B">
        <w:tc>
          <w:tcPr>
            <w:tcW w:w="817" w:type="dxa"/>
          </w:tcPr>
          <w:p w:rsidR="003977DD" w:rsidRDefault="003977DD" w:rsidP="0017261B">
            <w:r>
              <w:t>25</w:t>
            </w:r>
          </w:p>
        </w:tc>
        <w:tc>
          <w:tcPr>
            <w:tcW w:w="2693" w:type="dxa"/>
          </w:tcPr>
          <w:p w:rsidR="003977DD" w:rsidRPr="004C6D30" w:rsidRDefault="003977DD" w:rsidP="0017261B">
            <w:pPr>
              <w:rPr>
                <w:lang w:val="en-US"/>
              </w:rPr>
            </w:pPr>
            <w:proofErr w:type="spellStart"/>
            <w:r>
              <w:t>Stichting</w:t>
            </w:r>
            <w:proofErr w:type="spellEnd"/>
            <w:r>
              <w:t xml:space="preserve"> </w:t>
            </w:r>
            <w:proofErr w:type="spellStart"/>
            <w:r>
              <w:t>Pensioenfonds</w:t>
            </w:r>
            <w:proofErr w:type="spellEnd"/>
            <w:r>
              <w:t xml:space="preserve"> AVIKO</w:t>
            </w:r>
          </w:p>
        </w:tc>
        <w:tc>
          <w:tcPr>
            <w:tcW w:w="1222" w:type="dxa"/>
          </w:tcPr>
          <w:p w:rsidR="003977DD" w:rsidRDefault="003977DD" w:rsidP="0017261B">
            <w:r>
              <w:t>X Small</w:t>
            </w:r>
          </w:p>
        </w:tc>
        <w:tc>
          <w:tcPr>
            <w:tcW w:w="1518" w:type="dxa"/>
          </w:tcPr>
          <w:p w:rsidR="003977DD" w:rsidRDefault="003977DD" w:rsidP="00A912F1">
            <w:pPr>
              <w:jc w:val="right"/>
            </w:pPr>
            <w:r>
              <w:t>170,487</w:t>
            </w:r>
          </w:p>
        </w:tc>
        <w:tc>
          <w:tcPr>
            <w:tcW w:w="1518" w:type="dxa"/>
          </w:tcPr>
          <w:p w:rsidR="003977DD" w:rsidRDefault="003977DD" w:rsidP="00A912F1">
            <w:pPr>
              <w:jc w:val="right"/>
            </w:pPr>
            <w:r>
              <w:t>98,128</w:t>
            </w:r>
          </w:p>
        </w:tc>
        <w:tc>
          <w:tcPr>
            <w:tcW w:w="1518" w:type="dxa"/>
          </w:tcPr>
          <w:p w:rsidR="003977DD" w:rsidRDefault="003977DD" w:rsidP="00A912F1">
            <w:pPr>
              <w:jc w:val="right"/>
            </w:pPr>
            <w:r>
              <w:t>134,308</w:t>
            </w:r>
          </w:p>
        </w:tc>
      </w:tr>
      <w:tr w:rsidR="003977DD" w:rsidTr="0017261B">
        <w:tc>
          <w:tcPr>
            <w:tcW w:w="817" w:type="dxa"/>
          </w:tcPr>
          <w:p w:rsidR="003977DD" w:rsidRDefault="003977DD" w:rsidP="0017261B"/>
        </w:tc>
        <w:tc>
          <w:tcPr>
            <w:tcW w:w="2693" w:type="dxa"/>
          </w:tcPr>
          <w:p w:rsidR="003977DD" w:rsidRDefault="003977DD" w:rsidP="0017261B">
            <w:r>
              <w:t>Total sample X Small</w:t>
            </w:r>
          </w:p>
        </w:tc>
        <w:tc>
          <w:tcPr>
            <w:tcW w:w="1222" w:type="dxa"/>
          </w:tcPr>
          <w:p w:rsidR="003977DD" w:rsidRDefault="003977DD" w:rsidP="0017261B"/>
        </w:tc>
        <w:tc>
          <w:tcPr>
            <w:tcW w:w="1518" w:type="dxa"/>
          </w:tcPr>
          <w:p w:rsidR="003977DD" w:rsidRDefault="003977DD" w:rsidP="00A912F1">
            <w:pPr>
              <w:jc w:val="right"/>
            </w:pPr>
            <w:r>
              <w:t>1,808,974</w:t>
            </w:r>
          </w:p>
        </w:tc>
        <w:tc>
          <w:tcPr>
            <w:tcW w:w="1518" w:type="dxa"/>
          </w:tcPr>
          <w:p w:rsidR="003977DD" w:rsidRDefault="003977DD" w:rsidP="00A912F1">
            <w:pPr>
              <w:jc w:val="right"/>
            </w:pPr>
            <w:r>
              <w:t>1,496,921</w:t>
            </w:r>
          </w:p>
        </w:tc>
        <w:tc>
          <w:tcPr>
            <w:tcW w:w="1518" w:type="dxa"/>
          </w:tcPr>
          <w:p w:rsidR="003977DD" w:rsidRDefault="003977DD" w:rsidP="00A912F1">
            <w:pPr>
              <w:jc w:val="right"/>
            </w:pPr>
            <w:r>
              <w:t>1,652,949</w:t>
            </w:r>
          </w:p>
        </w:tc>
      </w:tr>
    </w:tbl>
    <w:p w:rsidR="005D388C" w:rsidRDefault="005D388C" w:rsidP="00D62E52">
      <w:pPr>
        <w:ind w:left="720"/>
      </w:pPr>
    </w:p>
    <w:p w:rsidR="005D388C" w:rsidRDefault="005D388C" w:rsidP="00D62E52">
      <w:pPr>
        <w:ind w:left="720"/>
      </w:pPr>
    </w:p>
    <w:tbl>
      <w:tblPr>
        <w:tblStyle w:val="Tabelraster"/>
        <w:tblW w:w="0" w:type="auto"/>
        <w:tblLayout w:type="fixed"/>
        <w:tblLook w:val="04A0"/>
      </w:tblPr>
      <w:tblGrid>
        <w:gridCol w:w="817"/>
        <w:gridCol w:w="2693"/>
        <w:gridCol w:w="1222"/>
        <w:gridCol w:w="1518"/>
        <w:gridCol w:w="1518"/>
        <w:gridCol w:w="1518"/>
      </w:tblGrid>
      <w:tr w:rsidR="003977DD" w:rsidTr="00A912F1">
        <w:tc>
          <w:tcPr>
            <w:tcW w:w="817" w:type="dxa"/>
          </w:tcPr>
          <w:p w:rsidR="003977DD" w:rsidRDefault="003977DD" w:rsidP="00A912F1"/>
        </w:tc>
        <w:tc>
          <w:tcPr>
            <w:tcW w:w="2693" w:type="dxa"/>
          </w:tcPr>
          <w:p w:rsidR="003977DD" w:rsidRDefault="003977DD" w:rsidP="003977DD">
            <w:r>
              <w:t>Total sample</w:t>
            </w:r>
          </w:p>
        </w:tc>
        <w:tc>
          <w:tcPr>
            <w:tcW w:w="1222" w:type="dxa"/>
          </w:tcPr>
          <w:p w:rsidR="003977DD" w:rsidRDefault="003977DD" w:rsidP="00A912F1"/>
        </w:tc>
        <w:tc>
          <w:tcPr>
            <w:tcW w:w="1518" w:type="dxa"/>
          </w:tcPr>
          <w:p w:rsidR="003977DD" w:rsidRDefault="003977DD" w:rsidP="00A912F1">
            <w:pPr>
              <w:jc w:val="right"/>
            </w:pPr>
            <w:r>
              <w:t>611,285,682</w:t>
            </w:r>
          </w:p>
        </w:tc>
        <w:tc>
          <w:tcPr>
            <w:tcW w:w="1518" w:type="dxa"/>
          </w:tcPr>
          <w:p w:rsidR="003977DD" w:rsidRDefault="003977DD" w:rsidP="00A912F1">
            <w:pPr>
              <w:jc w:val="right"/>
            </w:pPr>
            <w:r>
              <w:t>458,250,798</w:t>
            </w:r>
          </w:p>
        </w:tc>
        <w:tc>
          <w:tcPr>
            <w:tcW w:w="1518" w:type="dxa"/>
          </w:tcPr>
          <w:p w:rsidR="003977DD" w:rsidRDefault="003977DD" w:rsidP="00A912F1">
            <w:pPr>
              <w:jc w:val="right"/>
            </w:pPr>
            <w:r>
              <w:t>534,768,243</w:t>
            </w:r>
          </w:p>
        </w:tc>
      </w:tr>
    </w:tbl>
    <w:p w:rsidR="00844B6F" w:rsidRDefault="00844B6F" w:rsidP="00D62E52">
      <w:pPr>
        <w:ind w:left="720"/>
      </w:pPr>
    </w:p>
    <w:p w:rsidR="00844B6F" w:rsidRDefault="00844B6F" w:rsidP="00D62E52">
      <w:pPr>
        <w:ind w:left="720"/>
      </w:pPr>
    </w:p>
    <w:p w:rsidR="00A36AA2" w:rsidRDefault="00FA51AE">
      <w:r>
        <w:t xml:space="preserve">Source: Annual accounts of the presented pension funds (found at </w:t>
      </w:r>
      <w:proofErr w:type="spellStart"/>
      <w:r>
        <w:t>Company</w:t>
      </w:r>
      <w:r w:rsidR="0004123F">
        <w:t>.Info</w:t>
      </w:r>
      <w:proofErr w:type="spellEnd"/>
      <w:r w:rsidR="0004123F">
        <w:t>)</w:t>
      </w:r>
    </w:p>
    <w:p w:rsidR="00706D24" w:rsidRDefault="0004123F" w:rsidP="0004123F">
      <w:pPr>
        <w:ind w:left="360"/>
      </w:pPr>
      <w:r>
        <w:t>* Amounts x1000 euro.</w:t>
      </w:r>
    </w:p>
    <w:p w:rsidR="00706D24" w:rsidRDefault="00706D24">
      <w:r>
        <w:br w:type="page"/>
      </w:r>
    </w:p>
    <w:p w:rsidR="00221888" w:rsidRDefault="005E407D" w:rsidP="00221888">
      <w:pPr>
        <w:pStyle w:val="Kop1"/>
        <w:numPr>
          <w:ilvl w:val="0"/>
          <w:numId w:val="0"/>
        </w:numPr>
        <w:ind w:left="432" w:hanging="432"/>
        <w:rPr>
          <w:sz w:val="24"/>
          <w:szCs w:val="24"/>
        </w:rPr>
      </w:pPr>
      <w:bookmarkStart w:id="84" w:name="_Toc355387330"/>
      <w:r>
        <w:rPr>
          <w:sz w:val="24"/>
          <w:szCs w:val="24"/>
        </w:rPr>
        <w:t xml:space="preserve">Appendix </w:t>
      </w:r>
      <w:r w:rsidR="00A7369C">
        <w:rPr>
          <w:sz w:val="24"/>
          <w:szCs w:val="24"/>
        </w:rPr>
        <w:t>10</w:t>
      </w:r>
      <w:r w:rsidR="00F95DCA">
        <w:rPr>
          <w:sz w:val="24"/>
          <w:szCs w:val="24"/>
        </w:rPr>
        <w:tab/>
        <w:t xml:space="preserve">Checklist </w:t>
      </w:r>
      <w:r w:rsidR="00AB57AE">
        <w:rPr>
          <w:sz w:val="24"/>
          <w:szCs w:val="24"/>
        </w:rPr>
        <w:t>to collect data</w:t>
      </w:r>
      <w:bookmarkEnd w:id="84"/>
    </w:p>
    <w:p w:rsidR="001116D8" w:rsidRDefault="001116D8" w:rsidP="001116D8"/>
    <w:p w:rsidR="001116D8" w:rsidRDefault="001116D8" w:rsidP="00D6118A">
      <w:pPr>
        <w:jc w:val="both"/>
        <w:rPr>
          <w:i/>
        </w:rPr>
      </w:pPr>
      <w:r w:rsidRPr="001116D8">
        <w:rPr>
          <w:i/>
        </w:rPr>
        <w:t>General characteristic</w:t>
      </w:r>
      <w:r w:rsidR="0016538D">
        <w:rPr>
          <w:i/>
        </w:rPr>
        <w:t>s (</w:t>
      </w:r>
      <w:r w:rsidR="005228E8">
        <w:rPr>
          <w:i/>
        </w:rPr>
        <w:t>paragraph</w:t>
      </w:r>
      <w:r w:rsidR="0016538D">
        <w:rPr>
          <w:i/>
        </w:rPr>
        <w:t xml:space="preserve"> 4.1)</w:t>
      </w:r>
    </w:p>
    <w:p w:rsidR="001116D8" w:rsidRPr="001116D8" w:rsidRDefault="001116D8" w:rsidP="00D6118A">
      <w:pPr>
        <w:jc w:val="both"/>
        <w:rPr>
          <w:i/>
        </w:rPr>
      </w:pPr>
      <w:r w:rsidRPr="001116D8">
        <w:rPr>
          <w:i/>
        </w:rPr>
        <w:t xml:space="preserve"> </w:t>
      </w:r>
    </w:p>
    <w:p w:rsidR="001116D8" w:rsidRDefault="001116D8" w:rsidP="00D6118A">
      <w:pPr>
        <w:pStyle w:val="Lijstalinea"/>
        <w:numPr>
          <w:ilvl w:val="0"/>
          <w:numId w:val="4"/>
        </w:numPr>
        <w:jc w:val="both"/>
      </w:pPr>
      <w:r>
        <w:t>What is the size of the pension fund, measured in Assets Under Management, as per:</w:t>
      </w:r>
    </w:p>
    <w:p w:rsidR="001116D8" w:rsidRDefault="001116D8" w:rsidP="00D6118A">
      <w:pPr>
        <w:pStyle w:val="Lijstalinea"/>
        <w:numPr>
          <w:ilvl w:val="1"/>
          <w:numId w:val="4"/>
        </w:numPr>
        <w:jc w:val="both"/>
      </w:pPr>
      <w:r>
        <w:t>31 December 200</w:t>
      </w:r>
      <w:r w:rsidR="0016538D">
        <w:t>6</w:t>
      </w:r>
    </w:p>
    <w:p w:rsidR="000C3F40" w:rsidRDefault="000C3F40" w:rsidP="00D6118A">
      <w:pPr>
        <w:pStyle w:val="Lijstalinea"/>
        <w:numPr>
          <w:ilvl w:val="1"/>
          <w:numId w:val="4"/>
        </w:numPr>
        <w:jc w:val="both"/>
      </w:pPr>
      <w:r>
        <w:t>31 December 2007</w:t>
      </w:r>
    </w:p>
    <w:p w:rsidR="001116D8" w:rsidRDefault="001116D8" w:rsidP="00D6118A">
      <w:pPr>
        <w:pStyle w:val="Lijstalinea"/>
        <w:numPr>
          <w:ilvl w:val="1"/>
          <w:numId w:val="4"/>
        </w:numPr>
        <w:jc w:val="both"/>
      </w:pPr>
      <w:r>
        <w:t>31 December 2011</w:t>
      </w:r>
    </w:p>
    <w:p w:rsidR="001116D8" w:rsidRDefault="001116D8" w:rsidP="00D6118A">
      <w:pPr>
        <w:ind w:left="720"/>
        <w:jc w:val="both"/>
      </w:pPr>
    </w:p>
    <w:p w:rsidR="001116D8" w:rsidRDefault="001116D8" w:rsidP="00D6118A">
      <w:pPr>
        <w:pStyle w:val="Lijstalinea"/>
        <w:numPr>
          <w:ilvl w:val="0"/>
          <w:numId w:val="4"/>
        </w:numPr>
        <w:jc w:val="both"/>
      </w:pPr>
      <w:r>
        <w:t xml:space="preserve">Does the </w:t>
      </w:r>
      <w:r w:rsidR="00370E83">
        <w:t xml:space="preserve">audit report mention that the financial statements have been presented in conformity with the </w:t>
      </w:r>
      <w:r w:rsidR="00BC7AF3">
        <w:t>International Financial Reporting Standards (</w:t>
      </w:r>
      <w:r>
        <w:t>IFRS</w:t>
      </w:r>
      <w:r w:rsidR="00BC7AF3">
        <w:t>)</w:t>
      </w:r>
      <w:r>
        <w:t>, as per:</w:t>
      </w:r>
    </w:p>
    <w:p w:rsidR="001116D8" w:rsidRDefault="001116D8" w:rsidP="00D6118A">
      <w:pPr>
        <w:pStyle w:val="Lijstalinea"/>
        <w:numPr>
          <w:ilvl w:val="1"/>
          <w:numId w:val="4"/>
        </w:numPr>
        <w:jc w:val="both"/>
      </w:pPr>
      <w:r>
        <w:t>31 December 2006</w:t>
      </w:r>
    </w:p>
    <w:p w:rsidR="000C3F40" w:rsidRDefault="000C3F40" w:rsidP="00D6118A">
      <w:pPr>
        <w:pStyle w:val="Lijstalinea"/>
        <w:numPr>
          <w:ilvl w:val="1"/>
          <w:numId w:val="4"/>
        </w:numPr>
        <w:jc w:val="both"/>
      </w:pPr>
      <w:r>
        <w:t>31 December 2007</w:t>
      </w:r>
    </w:p>
    <w:p w:rsidR="00370E83" w:rsidRDefault="001116D8" w:rsidP="00D6118A">
      <w:pPr>
        <w:pStyle w:val="Lijstalinea"/>
        <w:numPr>
          <w:ilvl w:val="1"/>
          <w:numId w:val="4"/>
        </w:numPr>
        <w:jc w:val="both"/>
      </w:pPr>
      <w:r>
        <w:t>31 December 2011</w:t>
      </w:r>
    </w:p>
    <w:p w:rsidR="00370E83" w:rsidRDefault="00370E83" w:rsidP="00D6118A">
      <w:pPr>
        <w:pStyle w:val="Lijstalinea"/>
        <w:ind w:left="1080"/>
        <w:jc w:val="both"/>
      </w:pPr>
    </w:p>
    <w:p w:rsidR="00D849D7" w:rsidRDefault="00370E83" w:rsidP="00D6118A">
      <w:pPr>
        <w:pStyle w:val="Lijstalinea"/>
        <w:numPr>
          <w:ilvl w:val="0"/>
          <w:numId w:val="4"/>
        </w:numPr>
        <w:jc w:val="both"/>
      </w:pPr>
      <w:r>
        <w:t xml:space="preserve">Do the financial statements </w:t>
      </w:r>
      <w:r w:rsidR="00D849D7">
        <w:t xml:space="preserve">specifically </w:t>
      </w:r>
      <w:r>
        <w:t xml:space="preserve">mention that other parts of the financial statements have been presented in  </w:t>
      </w:r>
      <w:r w:rsidR="00D207C7">
        <w:t xml:space="preserve">accordance with the </w:t>
      </w:r>
      <w:r w:rsidR="00D849D7">
        <w:t>International Financial Reporting Standards (IFRS), as per:</w:t>
      </w:r>
    </w:p>
    <w:p w:rsidR="00D849D7" w:rsidRDefault="00D849D7" w:rsidP="00D6118A">
      <w:pPr>
        <w:pStyle w:val="Lijstalinea"/>
        <w:numPr>
          <w:ilvl w:val="1"/>
          <w:numId w:val="4"/>
        </w:numPr>
        <w:jc w:val="both"/>
      </w:pPr>
      <w:r>
        <w:t>31 December 2006</w:t>
      </w:r>
    </w:p>
    <w:p w:rsidR="000C3F40" w:rsidRDefault="000C3F40" w:rsidP="00D6118A">
      <w:pPr>
        <w:pStyle w:val="Lijstalinea"/>
        <w:numPr>
          <w:ilvl w:val="1"/>
          <w:numId w:val="4"/>
        </w:numPr>
        <w:jc w:val="both"/>
      </w:pPr>
      <w:r>
        <w:t>31 December 2007</w:t>
      </w:r>
    </w:p>
    <w:p w:rsidR="00D849D7" w:rsidRDefault="00D849D7" w:rsidP="00D6118A">
      <w:pPr>
        <w:pStyle w:val="Lijstalinea"/>
        <w:numPr>
          <w:ilvl w:val="1"/>
          <w:numId w:val="4"/>
        </w:numPr>
        <w:jc w:val="both"/>
      </w:pPr>
      <w:r>
        <w:t>31 December 2011</w:t>
      </w:r>
    </w:p>
    <w:p w:rsidR="001116D8" w:rsidRDefault="001116D8" w:rsidP="00D6118A">
      <w:pPr>
        <w:jc w:val="both"/>
      </w:pPr>
    </w:p>
    <w:p w:rsidR="007913AE" w:rsidRDefault="007913AE" w:rsidP="00D6118A">
      <w:pPr>
        <w:pStyle w:val="Lijstalinea"/>
        <w:numPr>
          <w:ilvl w:val="0"/>
          <w:numId w:val="4"/>
        </w:numPr>
        <w:jc w:val="both"/>
      </w:pPr>
      <w:r>
        <w:t>What is the type (sector pension fund, company pension fund</w:t>
      </w:r>
      <w:r w:rsidR="003305BA">
        <w:t xml:space="preserve">, </w:t>
      </w:r>
      <w:r>
        <w:t>compulsory sector pension fund</w:t>
      </w:r>
      <w:r w:rsidR="003305BA">
        <w:t xml:space="preserve"> or occupational pension fund</w:t>
      </w:r>
      <w:r>
        <w:t xml:space="preserve">) of the pension fund, as distinguished </w:t>
      </w:r>
      <w:r w:rsidR="000D0FEA">
        <w:t>paragraph 2.2</w:t>
      </w:r>
      <w:r w:rsidR="003305BA">
        <w:t>?</w:t>
      </w:r>
      <w:r w:rsidR="00BA485B">
        <w:t xml:space="preserve"> </w:t>
      </w:r>
    </w:p>
    <w:p w:rsidR="000D0FEA" w:rsidRDefault="000D0FEA" w:rsidP="00D6118A">
      <w:pPr>
        <w:pStyle w:val="Lijstalinea"/>
        <w:numPr>
          <w:ilvl w:val="1"/>
          <w:numId w:val="4"/>
        </w:numPr>
        <w:jc w:val="both"/>
      </w:pPr>
      <w:r>
        <w:t>Sector pension fund (not mandatory)</w:t>
      </w:r>
    </w:p>
    <w:p w:rsidR="000D0FEA" w:rsidRDefault="000D0FEA" w:rsidP="00D6118A">
      <w:pPr>
        <w:pStyle w:val="Lijstalinea"/>
        <w:numPr>
          <w:ilvl w:val="1"/>
          <w:numId w:val="4"/>
        </w:numPr>
        <w:jc w:val="both"/>
      </w:pPr>
      <w:r>
        <w:t>Compulsory sector pension fund</w:t>
      </w:r>
    </w:p>
    <w:p w:rsidR="000D0FEA" w:rsidRDefault="000D0FEA" w:rsidP="00D6118A">
      <w:pPr>
        <w:pStyle w:val="Lijstalinea"/>
        <w:numPr>
          <w:ilvl w:val="1"/>
          <w:numId w:val="4"/>
        </w:numPr>
        <w:jc w:val="both"/>
      </w:pPr>
      <w:r>
        <w:t>Company pension fund</w:t>
      </w:r>
    </w:p>
    <w:p w:rsidR="00BF5AFC" w:rsidRDefault="000D0FEA" w:rsidP="00D6118A">
      <w:pPr>
        <w:pStyle w:val="Lijstalinea"/>
        <w:jc w:val="both"/>
      </w:pPr>
      <w:r>
        <w:t>d.   Occupational pension fund</w:t>
      </w:r>
    </w:p>
    <w:p w:rsidR="0087579A" w:rsidRDefault="0087579A" w:rsidP="00D6118A">
      <w:pPr>
        <w:pStyle w:val="Lijstalinea"/>
        <w:jc w:val="both"/>
      </w:pPr>
    </w:p>
    <w:p w:rsidR="0087579A" w:rsidRDefault="0087579A" w:rsidP="00D6118A">
      <w:pPr>
        <w:pStyle w:val="Lijstalinea"/>
        <w:numPr>
          <w:ilvl w:val="0"/>
          <w:numId w:val="4"/>
        </w:numPr>
        <w:jc w:val="both"/>
      </w:pPr>
      <w:r>
        <w:t xml:space="preserve">Did the pension fund outsource the administration to an administration organization (in Dutch: </w:t>
      </w:r>
      <w:proofErr w:type="spellStart"/>
      <w:r>
        <w:t>uitvoeringsorganisatie</w:t>
      </w:r>
      <w:proofErr w:type="spellEnd"/>
      <w:r>
        <w:t>)?</w:t>
      </w:r>
    </w:p>
    <w:p w:rsidR="0087579A" w:rsidRDefault="0087579A" w:rsidP="00D6118A">
      <w:pPr>
        <w:pStyle w:val="Lijstalinea"/>
        <w:numPr>
          <w:ilvl w:val="2"/>
          <w:numId w:val="6"/>
        </w:numPr>
        <w:jc w:val="both"/>
      </w:pPr>
      <w:r>
        <w:t>If yes, continue with question 6</w:t>
      </w:r>
    </w:p>
    <w:p w:rsidR="0087579A" w:rsidRDefault="0087579A" w:rsidP="00D6118A">
      <w:pPr>
        <w:pStyle w:val="Lijstalinea"/>
        <w:numPr>
          <w:ilvl w:val="2"/>
          <w:numId w:val="6"/>
        </w:numPr>
        <w:jc w:val="both"/>
      </w:pPr>
      <w:r>
        <w:t>If no, continue with question 7</w:t>
      </w:r>
    </w:p>
    <w:p w:rsidR="0087579A" w:rsidRDefault="0087579A" w:rsidP="00D6118A">
      <w:pPr>
        <w:jc w:val="both"/>
      </w:pPr>
    </w:p>
    <w:p w:rsidR="0087579A" w:rsidRDefault="0087579A" w:rsidP="00D6118A">
      <w:pPr>
        <w:pStyle w:val="Lijstalinea"/>
        <w:numPr>
          <w:ilvl w:val="0"/>
          <w:numId w:val="4"/>
        </w:numPr>
        <w:jc w:val="both"/>
      </w:pPr>
      <w:r>
        <w:t>To which administration organization has the pension fund outsourced the administration as per:</w:t>
      </w:r>
    </w:p>
    <w:p w:rsidR="0087579A" w:rsidRDefault="0087579A" w:rsidP="00D6118A">
      <w:pPr>
        <w:pStyle w:val="Lijstalinea"/>
        <w:numPr>
          <w:ilvl w:val="1"/>
          <w:numId w:val="4"/>
        </w:numPr>
        <w:jc w:val="both"/>
      </w:pPr>
      <w:r>
        <w:t>31 December 2006</w:t>
      </w:r>
    </w:p>
    <w:p w:rsidR="0087579A" w:rsidRDefault="0087579A" w:rsidP="00D6118A">
      <w:pPr>
        <w:pStyle w:val="Lijstalinea"/>
        <w:numPr>
          <w:ilvl w:val="1"/>
          <w:numId w:val="4"/>
        </w:numPr>
        <w:jc w:val="both"/>
      </w:pPr>
      <w:r>
        <w:t>31 December 2007</w:t>
      </w:r>
    </w:p>
    <w:p w:rsidR="00BF5AFC" w:rsidRDefault="0087579A" w:rsidP="00D6118A">
      <w:pPr>
        <w:pStyle w:val="Lijstalinea"/>
        <w:numPr>
          <w:ilvl w:val="1"/>
          <w:numId w:val="4"/>
        </w:numPr>
        <w:jc w:val="both"/>
      </w:pPr>
      <w:r>
        <w:t>31 December 2011</w:t>
      </w:r>
    </w:p>
    <w:p w:rsidR="0016538D" w:rsidRDefault="0016538D" w:rsidP="00D6118A">
      <w:pPr>
        <w:pStyle w:val="Lijstalinea"/>
        <w:jc w:val="both"/>
      </w:pPr>
    </w:p>
    <w:p w:rsidR="0016538D" w:rsidRPr="0016538D" w:rsidRDefault="0016538D" w:rsidP="00D6118A">
      <w:pPr>
        <w:pStyle w:val="Lijstalinea"/>
        <w:ind w:left="0"/>
        <w:jc w:val="both"/>
        <w:rPr>
          <w:i/>
        </w:rPr>
      </w:pPr>
      <w:r>
        <w:rPr>
          <w:i/>
        </w:rPr>
        <w:t xml:space="preserve">Financial crisis in </w:t>
      </w:r>
      <w:r w:rsidR="00701479">
        <w:rPr>
          <w:i/>
        </w:rPr>
        <w:t>financial statements</w:t>
      </w:r>
      <w:r>
        <w:rPr>
          <w:i/>
        </w:rPr>
        <w:t xml:space="preserve"> </w:t>
      </w:r>
      <w:r w:rsidR="005228E8">
        <w:rPr>
          <w:i/>
        </w:rPr>
        <w:t>(</w:t>
      </w:r>
      <w:r>
        <w:rPr>
          <w:i/>
        </w:rPr>
        <w:t xml:space="preserve"> 4.2)</w:t>
      </w:r>
    </w:p>
    <w:p w:rsidR="00270975" w:rsidRDefault="00270975" w:rsidP="00D6118A">
      <w:pPr>
        <w:pStyle w:val="Lijstalinea"/>
        <w:jc w:val="both"/>
      </w:pPr>
    </w:p>
    <w:p w:rsidR="00A806C5" w:rsidRDefault="00A806C5" w:rsidP="00D6118A">
      <w:pPr>
        <w:pStyle w:val="Lijstalinea"/>
        <w:numPr>
          <w:ilvl w:val="0"/>
          <w:numId w:val="4"/>
        </w:numPr>
        <w:jc w:val="both"/>
      </w:pPr>
      <w:r>
        <w:t xml:space="preserve">How many times </w:t>
      </w:r>
      <w:r w:rsidR="0016538D">
        <w:t xml:space="preserve">is the word “crisis” mentioned and as part of which complete word is “crisis” mentioned in the annual </w:t>
      </w:r>
      <w:r w:rsidR="004A0A1F">
        <w:t>accounts and annual reports*</w:t>
      </w:r>
      <w:r w:rsidR="0016538D">
        <w:t xml:space="preserve"> as per:</w:t>
      </w:r>
    </w:p>
    <w:p w:rsidR="004A0A1F" w:rsidRDefault="004A0A1F" w:rsidP="00D6118A">
      <w:pPr>
        <w:pStyle w:val="Lijstalinea"/>
        <w:numPr>
          <w:ilvl w:val="1"/>
          <w:numId w:val="4"/>
        </w:numPr>
        <w:jc w:val="both"/>
      </w:pPr>
      <w:r>
        <w:t>31 December 2007</w:t>
      </w:r>
    </w:p>
    <w:p w:rsidR="004A0A1F" w:rsidRDefault="004A0A1F" w:rsidP="00D6118A">
      <w:pPr>
        <w:pStyle w:val="Lijstalinea"/>
        <w:numPr>
          <w:ilvl w:val="1"/>
          <w:numId w:val="4"/>
        </w:numPr>
        <w:jc w:val="both"/>
      </w:pPr>
      <w:r>
        <w:t>31 December 2011</w:t>
      </w:r>
    </w:p>
    <w:p w:rsidR="005228E8" w:rsidRDefault="005228E8" w:rsidP="00D6118A">
      <w:pPr>
        <w:pStyle w:val="Lijstalinea"/>
        <w:ind w:left="1080"/>
        <w:jc w:val="both"/>
      </w:pPr>
    </w:p>
    <w:p w:rsidR="004A0A1F" w:rsidRDefault="005228E8" w:rsidP="00D6118A">
      <w:pPr>
        <w:jc w:val="both"/>
      </w:pPr>
      <w:r>
        <w:t>*</w:t>
      </w:r>
      <w:r w:rsidR="004A0A1F">
        <w:t>including</w:t>
      </w:r>
      <w:r>
        <w:t xml:space="preserve"> the preface of the Executive Board but excluding the table of contents and the summary when applicable</w:t>
      </w:r>
    </w:p>
    <w:p w:rsidR="005228E8" w:rsidRDefault="005228E8" w:rsidP="00D6118A">
      <w:pPr>
        <w:jc w:val="both"/>
      </w:pPr>
    </w:p>
    <w:p w:rsidR="005228E8" w:rsidRPr="005228E8" w:rsidRDefault="005228E8" w:rsidP="00D6118A">
      <w:pPr>
        <w:jc w:val="both"/>
        <w:rPr>
          <w:i/>
        </w:rPr>
      </w:pPr>
      <w:r>
        <w:rPr>
          <w:i/>
        </w:rPr>
        <w:t>Quantity of investment risk disclosures (4.3)</w:t>
      </w:r>
    </w:p>
    <w:p w:rsidR="00BA485B" w:rsidRDefault="00BA485B" w:rsidP="00D6118A">
      <w:pPr>
        <w:jc w:val="both"/>
      </w:pPr>
    </w:p>
    <w:p w:rsidR="00221888" w:rsidRDefault="00537414" w:rsidP="00D6118A">
      <w:pPr>
        <w:pStyle w:val="Lijstalinea"/>
        <w:numPr>
          <w:ilvl w:val="0"/>
          <w:numId w:val="4"/>
        </w:numPr>
        <w:jc w:val="both"/>
      </w:pPr>
      <w:r>
        <w:t>Which types of investment risks have been presented</w:t>
      </w:r>
      <w:r w:rsidR="007913AE">
        <w:t>, as per</w:t>
      </w:r>
      <w:r w:rsidR="008F05A5">
        <w:t xml:space="preserve"> </w:t>
      </w:r>
      <w:r w:rsidR="009D44A2">
        <w:t xml:space="preserve">31 December 2006, </w:t>
      </w:r>
      <w:r w:rsidR="008F05A5">
        <w:t>31 December 2007 and 31 December 2011</w:t>
      </w:r>
      <w:r w:rsidR="009D44A2">
        <w:t xml:space="preserve"> and how many times are these investment risks </w:t>
      </w:r>
      <w:r w:rsidR="0088445B">
        <w:t>disclosed</w:t>
      </w:r>
      <w:r w:rsidR="008F05A5">
        <w:t>?</w:t>
      </w:r>
    </w:p>
    <w:p w:rsidR="009D44A2" w:rsidRDefault="009D44A2" w:rsidP="00D6118A">
      <w:pPr>
        <w:pStyle w:val="Lijstalinea"/>
        <w:ind w:left="360"/>
        <w:jc w:val="both"/>
      </w:pPr>
      <w:r>
        <w:t>-</w:t>
      </w:r>
      <w:r>
        <w:tab/>
      </w:r>
      <w:proofErr w:type="spellStart"/>
      <w:r w:rsidR="00880996">
        <w:t>prijsrisico</w:t>
      </w:r>
      <w:proofErr w:type="spellEnd"/>
      <w:r w:rsidR="00880996">
        <w:t xml:space="preserve"> (</w:t>
      </w:r>
      <w:r w:rsidR="005971EB">
        <w:t xml:space="preserve">in English </w:t>
      </w:r>
      <w:r>
        <w:t>price risk</w:t>
      </w:r>
      <w:r w:rsidR="00880996">
        <w:t>)</w:t>
      </w:r>
    </w:p>
    <w:p w:rsidR="009D44A2" w:rsidRDefault="009D44A2" w:rsidP="00D6118A">
      <w:pPr>
        <w:pStyle w:val="Lijstalinea"/>
        <w:ind w:left="360"/>
        <w:jc w:val="both"/>
      </w:pPr>
      <w:r>
        <w:tab/>
        <w:t>-</w:t>
      </w:r>
      <w:r>
        <w:tab/>
      </w:r>
      <w:proofErr w:type="spellStart"/>
      <w:r w:rsidR="00880996">
        <w:t>valutarisico</w:t>
      </w:r>
      <w:proofErr w:type="spellEnd"/>
      <w:r w:rsidR="00880996">
        <w:t xml:space="preserve"> (</w:t>
      </w:r>
      <w:r>
        <w:t>currency risk</w:t>
      </w:r>
      <w:r w:rsidR="00880996">
        <w:t>)</w:t>
      </w:r>
    </w:p>
    <w:p w:rsidR="009D44A2" w:rsidRDefault="009D44A2" w:rsidP="00D6118A">
      <w:pPr>
        <w:pStyle w:val="Lijstalinea"/>
        <w:ind w:left="360"/>
        <w:jc w:val="both"/>
      </w:pPr>
      <w:r>
        <w:tab/>
        <w:t>-</w:t>
      </w:r>
      <w:r>
        <w:tab/>
      </w:r>
      <w:proofErr w:type="spellStart"/>
      <w:r w:rsidR="005971EB">
        <w:t>renterisico</w:t>
      </w:r>
      <w:proofErr w:type="spellEnd"/>
      <w:r w:rsidR="005971EB">
        <w:t xml:space="preserve"> (</w:t>
      </w:r>
      <w:r>
        <w:t>interest rate risk</w:t>
      </w:r>
      <w:r w:rsidR="005971EB">
        <w:t>)</w:t>
      </w:r>
    </w:p>
    <w:p w:rsidR="009D44A2" w:rsidRDefault="009D44A2" w:rsidP="00D6118A">
      <w:pPr>
        <w:pStyle w:val="Lijstalinea"/>
        <w:ind w:left="360"/>
        <w:jc w:val="both"/>
      </w:pPr>
      <w:r>
        <w:tab/>
        <w:t>-</w:t>
      </w:r>
      <w:r>
        <w:tab/>
      </w:r>
      <w:proofErr w:type="spellStart"/>
      <w:r w:rsidR="005971EB">
        <w:t>marktrisico</w:t>
      </w:r>
      <w:proofErr w:type="spellEnd"/>
      <w:r w:rsidR="005971EB">
        <w:t xml:space="preserve"> (</w:t>
      </w:r>
      <w:r>
        <w:t>market risk</w:t>
      </w:r>
      <w:r w:rsidR="005971EB">
        <w:t xml:space="preserve">) </w:t>
      </w:r>
    </w:p>
    <w:p w:rsidR="009D44A2" w:rsidRDefault="009D44A2" w:rsidP="00D6118A">
      <w:pPr>
        <w:pStyle w:val="Lijstalinea"/>
        <w:ind w:left="360"/>
        <w:jc w:val="both"/>
      </w:pPr>
      <w:r>
        <w:t>-</w:t>
      </w:r>
      <w:r>
        <w:tab/>
      </w:r>
      <w:proofErr w:type="spellStart"/>
      <w:r w:rsidR="005971EB">
        <w:t>kredietrisico</w:t>
      </w:r>
      <w:proofErr w:type="spellEnd"/>
      <w:r w:rsidR="005971EB">
        <w:t xml:space="preserve"> (</w:t>
      </w:r>
      <w:r>
        <w:t>credit risk</w:t>
      </w:r>
      <w:r w:rsidR="005971EB">
        <w:t>)</w:t>
      </w:r>
    </w:p>
    <w:p w:rsidR="009D44A2" w:rsidRDefault="009D44A2" w:rsidP="00D6118A">
      <w:pPr>
        <w:pStyle w:val="Lijstalinea"/>
        <w:ind w:left="360"/>
        <w:jc w:val="both"/>
      </w:pPr>
      <w:r>
        <w:t xml:space="preserve">- </w:t>
      </w:r>
      <w:r>
        <w:tab/>
      </w:r>
      <w:proofErr w:type="spellStart"/>
      <w:r w:rsidR="005971EB">
        <w:t>liquiditeitsrisico</w:t>
      </w:r>
      <w:proofErr w:type="spellEnd"/>
      <w:r w:rsidR="005971EB">
        <w:t xml:space="preserve"> (</w:t>
      </w:r>
      <w:r>
        <w:t>liquidity risk</w:t>
      </w:r>
      <w:r w:rsidR="005971EB">
        <w:t>)</w:t>
      </w:r>
    </w:p>
    <w:p w:rsidR="00C96889" w:rsidRDefault="0091223F" w:rsidP="00D6118A">
      <w:pPr>
        <w:pStyle w:val="Lijstalinea"/>
        <w:ind w:left="360"/>
        <w:jc w:val="both"/>
      </w:pPr>
      <w:r>
        <w:t>-</w:t>
      </w:r>
      <w:r>
        <w:tab/>
      </w:r>
      <w:proofErr w:type="spellStart"/>
      <w:r w:rsidR="005971EB">
        <w:t>inflatierisico</w:t>
      </w:r>
      <w:proofErr w:type="spellEnd"/>
      <w:r w:rsidR="005971EB">
        <w:t xml:space="preserve"> (</w:t>
      </w:r>
      <w:r w:rsidR="00C96889">
        <w:t>inflation risk</w:t>
      </w:r>
      <w:r w:rsidR="005971EB">
        <w:t>)</w:t>
      </w:r>
    </w:p>
    <w:p w:rsidR="00C96889" w:rsidRDefault="00C96889" w:rsidP="00D6118A">
      <w:pPr>
        <w:pStyle w:val="Lijstalinea"/>
        <w:ind w:left="360"/>
        <w:jc w:val="both"/>
      </w:pPr>
      <w:r>
        <w:t>-</w:t>
      </w:r>
      <w:r>
        <w:tab/>
      </w:r>
      <w:proofErr w:type="spellStart"/>
      <w:r w:rsidR="005971EB">
        <w:t>concentratieriscio</w:t>
      </w:r>
      <w:proofErr w:type="spellEnd"/>
      <w:r w:rsidR="005971EB">
        <w:t xml:space="preserve"> (</w:t>
      </w:r>
      <w:r>
        <w:t>concentration risk</w:t>
      </w:r>
      <w:r w:rsidR="005971EB">
        <w:t>)</w:t>
      </w:r>
      <w:r w:rsidR="001E2B41">
        <w:t xml:space="preserve"> </w:t>
      </w:r>
    </w:p>
    <w:p w:rsidR="00C96889" w:rsidRDefault="00C96889" w:rsidP="00D6118A">
      <w:pPr>
        <w:pStyle w:val="Lijstalinea"/>
        <w:ind w:left="360"/>
        <w:jc w:val="both"/>
      </w:pPr>
      <w:r>
        <w:t>-</w:t>
      </w:r>
      <w:r>
        <w:tab/>
      </w:r>
      <w:proofErr w:type="spellStart"/>
      <w:r w:rsidR="005971EB">
        <w:t>aandelenrisico</w:t>
      </w:r>
      <w:proofErr w:type="spellEnd"/>
      <w:r w:rsidR="005971EB">
        <w:t xml:space="preserve"> (</w:t>
      </w:r>
      <w:r>
        <w:t>stock risk</w:t>
      </w:r>
      <w:r w:rsidR="005971EB">
        <w:t>)</w:t>
      </w:r>
    </w:p>
    <w:p w:rsidR="00C96889" w:rsidRDefault="00C96889" w:rsidP="00D6118A">
      <w:pPr>
        <w:pStyle w:val="Lijstalinea"/>
        <w:ind w:left="360"/>
        <w:jc w:val="both"/>
      </w:pPr>
      <w:r>
        <w:t>-</w:t>
      </w:r>
      <w:r>
        <w:tab/>
      </w:r>
      <w:proofErr w:type="spellStart"/>
      <w:r w:rsidR="005971EB">
        <w:t>vastgoedrisico</w:t>
      </w:r>
      <w:proofErr w:type="spellEnd"/>
      <w:r w:rsidR="005971EB">
        <w:t xml:space="preserve"> (</w:t>
      </w:r>
      <w:r>
        <w:t>real estate risk</w:t>
      </w:r>
      <w:r w:rsidR="005971EB">
        <w:t>)</w:t>
      </w:r>
    </w:p>
    <w:p w:rsidR="00C96889" w:rsidRPr="00A714AA" w:rsidRDefault="00C96889" w:rsidP="00D6118A">
      <w:pPr>
        <w:pStyle w:val="Lijstalinea"/>
        <w:ind w:left="360"/>
        <w:jc w:val="both"/>
        <w:rPr>
          <w:lang w:val="en-US"/>
        </w:rPr>
      </w:pPr>
      <w:r w:rsidRPr="00A714AA">
        <w:rPr>
          <w:lang w:val="en-US"/>
        </w:rPr>
        <w:t>-</w:t>
      </w:r>
      <w:r w:rsidRPr="00A714AA">
        <w:rPr>
          <w:lang w:val="en-US"/>
        </w:rPr>
        <w:tab/>
      </w:r>
      <w:proofErr w:type="spellStart"/>
      <w:r w:rsidR="005971EB" w:rsidRPr="00A714AA">
        <w:rPr>
          <w:lang w:val="en-US"/>
        </w:rPr>
        <w:t>grondstoffenrisico</w:t>
      </w:r>
      <w:proofErr w:type="spellEnd"/>
      <w:r w:rsidR="005971EB" w:rsidRPr="00A714AA">
        <w:rPr>
          <w:lang w:val="en-US"/>
        </w:rPr>
        <w:t xml:space="preserve"> (</w:t>
      </w:r>
      <w:r w:rsidRPr="00A714AA">
        <w:rPr>
          <w:lang w:val="en-US"/>
        </w:rPr>
        <w:t>commodity risk</w:t>
      </w:r>
      <w:r w:rsidR="005971EB" w:rsidRPr="00A714AA">
        <w:rPr>
          <w:lang w:val="en-US"/>
        </w:rPr>
        <w:t>)</w:t>
      </w:r>
    </w:p>
    <w:p w:rsidR="005936EE" w:rsidRPr="00A714AA" w:rsidRDefault="005971EB" w:rsidP="00D6118A">
      <w:pPr>
        <w:pStyle w:val="Lijstalinea"/>
        <w:ind w:left="360"/>
        <w:jc w:val="both"/>
        <w:rPr>
          <w:lang w:val="en-US"/>
        </w:rPr>
      </w:pPr>
      <w:r w:rsidRPr="00A714AA">
        <w:rPr>
          <w:lang w:val="en-US"/>
        </w:rPr>
        <w:t>-</w:t>
      </w:r>
      <w:r w:rsidRPr="00A714AA">
        <w:rPr>
          <w:lang w:val="en-US"/>
        </w:rPr>
        <w:tab/>
      </w:r>
      <w:proofErr w:type="spellStart"/>
      <w:r w:rsidR="005936EE" w:rsidRPr="00A714AA">
        <w:rPr>
          <w:lang w:val="en-US"/>
        </w:rPr>
        <w:t>zakelijke</w:t>
      </w:r>
      <w:proofErr w:type="spellEnd"/>
      <w:r w:rsidR="005936EE" w:rsidRPr="00A714AA">
        <w:rPr>
          <w:lang w:val="en-US"/>
        </w:rPr>
        <w:t xml:space="preserve"> </w:t>
      </w:r>
      <w:proofErr w:type="spellStart"/>
      <w:r w:rsidR="005936EE" w:rsidRPr="00A714AA">
        <w:rPr>
          <w:lang w:val="en-US"/>
        </w:rPr>
        <w:t>waardenrisico</w:t>
      </w:r>
      <w:proofErr w:type="spellEnd"/>
      <w:r w:rsidR="00FA78ED" w:rsidRPr="00A714AA">
        <w:rPr>
          <w:lang w:val="en-US"/>
        </w:rPr>
        <w:t xml:space="preserve"> (fixed income risk)</w:t>
      </w:r>
      <w:r w:rsidR="005936EE" w:rsidRPr="00A714AA">
        <w:rPr>
          <w:lang w:val="en-US"/>
        </w:rPr>
        <w:t xml:space="preserve"> </w:t>
      </w:r>
    </w:p>
    <w:p w:rsidR="005971EB" w:rsidRPr="00A714AA" w:rsidRDefault="005936EE" w:rsidP="00D6118A">
      <w:pPr>
        <w:pStyle w:val="Lijstalinea"/>
        <w:ind w:left="360"/>
        <w:jc w:val="both"/>
        <w:rPr>
          <w:lang w:val="en-US"/>
        </w:rPr>
      </w:pPr>
      <w:r w:rsidRPr="00A714AA">
        <w:rPr>
          <w:lang w:val="en-US"/>
        </w:rPr>
        <w:t>-</w:t>
      </w:r>
      <w:r w:rsidRPr="00A714AA">
        <w:rPr>
          <w:lang w:val="en-US"/>
        </w:rPr>
        <w:tab/>
      </w:r>
      <w:proofErr w:type="spellStart"/>
      <w:r w:rsidR="005971EB" w:rsidRPr="00A714AA">
        <w:rPr>
          <w:lang w:val="en-US"/>
        </w:rPr>
        <w:t>beleggingsrisico</w:t>
      </w:r>
      <w:proofErr w:type="spellEnd"/>
      <w:r w:rsidR="005971EB" w:rsidRPr="00A714AA">
        <w:rPr>
          <w:lang w:val="en-US"/>
        </w:rPr>
        <w:t xml:space="preserve"> (investment risk)</w:t>
      </w:r>
    </w:p>
    <w:p w:rsidR="00E16BB4" w:rsidRDefault="00C96889" w:rsidP="00D6118A">
      <w:pPr>
        <w:pStyle w:val="Lijstalinea"/>
        <w:ind w:left="360"/>
        <w:jc w:val="both"/>
      </w:pPr>
      <w:r>
        <w:t>-</w:t>
      </w:r>
      <w:r>
        <w:tab/>
      </w:r>
      <w:r w:rsidR="00E16BB4">
        <w:t xml:space="preserve">other specific </w:t>
      </w:r>
      <w:r w:rsidR="009D44A2">
        <w:t xml:space="preserve">investment </w:t>
      </w:r>
      <w:r w:rsidR="00E16BB4">
        <w:t>risk disclosures</w:t>
      </w:r>
    </w:p>
    <w:p w:rsidR="005936EE" w:rsidRDefault="005936EE" w:rsidP="00D6118A">
      <w:pPr>
        <w:pStyle w:val="Lijstalinea"/>
        <w:jc w:val="both"/>
      </w:pPr>
    </w:p>
    <w:p w:rsidR="003E6E4B" w:rsidRPr="003E6E4B" w:rsidRDefault="003E6E4B" w:rsidP="00D6118A">
      <w:pPr>
        <w:pStyle w:val="Lijstalinea"/>
        <w:ind w:left="360" w:hanging="360"/>
        <w:jc w:val="both"/>
        <w:rPr>
          <w:i/>
        </w:rPr>
      </w:pPr>
      <w:r>
        <w:rPr>
          <w:i/>
        </w:rPr>
        <w:t>Quality of investment risk disclosure (4.4)</w:t>
      </w:r>
    </w:p>
    <w:p w:rsidR="003E1DC6" w:rsidRDefault="003E1DC6" w:rsidP="00D6118A">
      <w:pPr>
        <w:pStyle w:val="Lijstalinea"/>
        <w:ind w:hanging="360"/>
        <w:jc w:val="both"/>
      </w:pPr>
    </w:p>
    <w:p w:rsidR="00E16BB4" w:rsidRDefault="00E16BB4" w:rsidP="00D6118A">
      <w:pPr>
        <w:pStyle w:val="Lijstalinea"/>
        <w:numPr>
          <w:ilvl w:val="0"/>
          <w:numId w:val="4"/>
        </w:numPr>
        <w:jc w:val="both"/>
      </w:pPr>
      <w:r>
        <w:t xml:space="preserve">Are there specific </w:t>
      </w:r>
      <w:r w:rsidR="00B474B1">
        <w:t xml:space="preserve">investment </w:t>
      </w:r>
      <w:r>
        <w:t xml:space="preserve">risks </w:t>
      </w:r>
      <w:r w:rsidR="00E15432">
        <w:t xml:space="preserve">regarding </w:t>
      </w:r>
      <w:r w:rsidR="00170548">
        <w:t>investments</w:t>
      </w:r>
      <w:r w:rsidR="00E15432">
        <w:t xml:space="preserve"> </w:t>
      </w:r>
      <w:r>
        <w:t>related to the financial crisis which are disclosed</w:t>
      </w:r>
      <w:r w:rsidR="00893FD6">
        <w:t xml:space="preserve"> as per </w:t>
      </w:r>
      <w:r w:rsidR="00E15432">
        <w:t>31 December 2011</w:t>
      </w:r>
      <w:r w:rsidR="00687339">
        <w:t>, for example</w:t>
      </w:r>
      <w:r>
        <w:t>?</w:t>
      </w:r>
    </w:p>
    <w:p w:rsidR="00B474B1" w:rsidRDefault="00B474B1" w:rsidP="00D6118A">
      <w:pPr>
        <w:pStyle w:val="Lijstalinea"/>
        <w:numPr>
          <w:ilvl w:val="0"/>
          <w:numId w:val="2"/>
        </w:numPr>
        <w:jc w:val="both"/>
      </w:pPr>
      <w:r>
        <w:t>b</w:t>
      </w:r>
      <w:r w:rsidR="00E16BB4">
        <w:t>reakdown of</w:t>
      </w:r>
      <w:r>
        <w:t xml:space="preserve"> investments in GIIPS countries (Greece, Ireland, Italy, Portugal and Spain)</w:t>
      </w:r>
    </w:p>
    <w:p w:rsidR="00F979AB" w:rsidRDefault="00B474B1" w:rsidP="00D6118A">
      <w:pPr>
        <w:pStyle w:val="Lijstalinea"/>
        <w:numPr>
          <w:ilvl w:val="0"/>
          <w:numId w:val="2"/>
        </w:numPr>
        <w:jc w:val="both"/>
      </w:pPr>
      <w:r>
        <w:t>additional notes to collateral (cash, bonds, in case of bonds which credit rating?) for example for securities lending</w:t>
      </w:r>
    </w:p>
    <w:p w:rsidR="00F979AB" w:rsidRDefault="00F979AB" w:rsidP="00D6118A">
      <w:pPr>
        <w:pStyle w:val="Lijstalinea"/>
        <w:numPr>
          <w:ilvl w:val="0"/>
          <w:numId w:val="2"/>
        </w:numPr>
        <w:jc w:val="both"/>
      </w:pPr>
      <w:r>
        <w:t xml:space="preserve">additional notes to </w:t>
      </w:r>
      <w:r w:rsidR="002C77CA">
        <w:t>other investment risks</w:t>
      </w:r>
      <w:r w:rsidR="008D2725">
        <w:t xml:space="preserve"> such as loans</w:t>
      </w:r>
      <w:r w:rsidR="002C77CA">
        <w:t>?</w:t>
      </w:r>
    </w:p>
    <w:p w:rsidR="00923882" w:rsidRDefault="00923882" w:rsidP="00D6118A">
      <w:pPr>
        <w:jc w:val="both"/>
      </w:pPr>
    </w:p>
    <w:p w:rsidR="00923882" w:rsidRPr="00923882" w:rsidRDefault="00923882" w:rsidP="00D6118A">
      <w:pPr>
        <w:jc w:val="both"/>
        <w:rPr>
          <w:i/>
        </w:rPr>
      </w:pPr>
      <w:r>
        <w:rPr>
          <w:i/>
        </w:rPr>
        <w:t>Quality of investment risk disclosure regarding real estate (4.4.1)</w:t>
      </w:r>
    </w:p>
    <w:p w:rsidR="00170548" w:rsidRDefault="00170548" w:rsidP="00D6118A">
      <w:pPr>
        <w:jc w:val="both"/>
      </w:pPr>
    </w:p>
    <w:p w:rsidR="00170548" w:rsidRDefault="00170548" w:rsidP="00D6118A">
      <w:pPr>
        <w:pStyle w:val="Lijstalinea"/>
        <w:numPr>
          <w:ilvl w:val="0"/>
          <w:numId w:val="4"/>
        </w:numPr>
        <w:jc w:val="both"/>
      </w:pPr>
      <w:r>
        <w:t xml:space="preserve">What is the position of the pension fund in </w:t>
      </w:r>
      <w:r w:rsidR="007C77EE">
        <w:t>real estate</w:t>
      </w:r>
      <w:r>
        <w:t>, as per:</w:t>
      </w:r>
      <w:r w:rsidRPr="00081F88">
        <w:t xml:space="preserve"> </w:t>
      </w:r>
    </w:p>
    <w:p w:rsidR="00170548" w:rsidRDefault="00170548" w:rsidP="00D6118A">
      <w:pPr>
        <w:pStyle w:val="Lijstalinea"/>
        <w:numPr>
          <w:ilvl w:val="1"/>
          <w:numId w:val="4"/>
        </w:numPr>
        <w:jc w:val="both"/>
      </w:pPr>
      <w:r>
        <w:t>31 December 2006</w:t>
      </w:r>
    </w:p>
    <w:p w:rsidR="00170548" w:rsidRDefault="00170548" w:rsidP="00D6118A">
      <w:pPr>
        <w:pStyle w:val="Lijstalinea"/>
        <w:numPr>
          <w:ilvl w:val="1"/>
          <w:numId w:val="4"/>
        </w:numPr>
        <w:jc w:val="both"/>
      </w:pPr>
      <w:r>
        <w:t>31 December 2011</w:t>
      </w:r>
    </w:p>
    <w:p w:rsidR="008D3EE4" w:rsidRDefault="008D3EE4" w:rsidP="00D6118A">
      <w:pPr>
        <w:jc w:val="both"/>
      </w:pPr>
    </w:p>
    <w:p w:rsidR="008D3EE4" w:rsidRPr="00821E21" w:rsidRDefault="008D3EE4" w:rsidP="00D6118A">
      <w:pPr>
        <w:pStyle w:val="Lijstalinea"/>
        <w:numPr>
          <w:ilvl w:val="0"/>
          <w:numId w:val="4"/>
        </w:numPr>
        <w:jc w:val="both"/>
      </w:pPr>
      <w:r>
        <w:t xml:space="preserve">Are the following investment risks regarding </w:t>
      </w:r>
      <w:r w:rsidR="007C77EE">
        <w:t xml:space="preserve">real estate </w:t>
      </w:r>
      <w:r>
        <w:t xml:space="preserve">disclosed, </w:t>
      </w:r>
      <w:r w:rsidR="00C81BE7">
        <w:rPr>
          <w:bCs/>
          <w:lang w:val="en-US"/>
        </w:rPr>
        <w:t>in separate tables, textual or</w:t>
      </w:r>
      <w:r w:rsidR="00821E21">
        <w:rPr>
          <w:bCs/>
          <w:lang w:val="en-US"/>
        </w:rPr>
        <w:t xml:space="preserve"> in another way, as per 31 December 2006?</w:t>
      </w:r>
    </w:p>
    <w:p w:rsidR="001F3088" w:rsidRDefault="00687339" w:rsidP="00D6118A">
      <w:pPr>
        <w:pStyle w:val="Lijstalinea"/>
        <w:numPr>
          <w:ilvl w:val="0"/>
          <w:numId w:val="39"/>
        </w:numPr>
        <w:jc w:val="both"/>
      </w:pPr>
      <w:r>
        <w:t xml:space="preserve">region allocation including </w:t>
      </w:r>
      <w:r w:rsidR="001F3088">
        <w:t>regions Europe and United States/North America</w:t>
      </w:r>
    </w:p>
    <w:p w:rsidR="009130DB" w:rsidRDefault="001F3088" w:rsidP="00D6118A">
      <w:pPr>
        <w:pStyle w:val="Lijstalinea"/>
        <w:numPr>
          <w:ilvl w:val="0"/>
          <w:numId w:val="39"/>
        </w:numPr>
        <w:jc w:val="both"/>
      </w:pPr>
      <w:r>
        <w:t>sector allocation including sector such as</w:t>
      </w:r>
      <w:r w:rsidR="009130DB">
        <w:t xml:space="preserve"> residential buildings, offices, etcetera</w:t>
      </w:r>
    </w:p>
    <w:p w:rsidR="00DE63E8" w:rsidRDefault="00C11E40" w:rsidP="00D6118A">
      <w:pPr>
        <w:pStyle w:val="Lijstalinea"/>
        <w:numPr>
          <w:ilvl w:val="0"/>
          <w:numId w:val="39"/>
        </w:numPr>
        <w:jc w:val="both"/>
      </w:pPr>
      <w:r>
        <w:t xml:space="preserve">position allocation in which relative large positions </w:t>
      </w:r>
      <w:r w:rsidR="000B200C">
        <w:t xml:space="preserve">in real estate </w:t>
      </w:r>
      <w:r>
        <w:t>have been disclosed</w:t>
      </w:r>
    </w:p>
    <w:p w:rsidR="00DE63E8" w:rsidRDefault="00DE63E8" w:rsidP="00D6118A">
      <w:pPr>
        <w:jc w:val="both"/>
      </w:pPr>
    </w:p>
    <w:p w:rsidR="00DE63E8" w:rsidRPr="00821E21" w:rsidRDefault="001F3088" w:rsidP="00D6118A">
      <w:pPr>
        <w:pStyle w:val="Lijstalinea"/>
        <w:numPr>
          <w:ilvl w:val="0"/>
          <w:numId w:val="4"/>
        </w:numPr>
        <w:jc w:val="both"/>
      </w:pPr>
      <w:r>
        <w:t xml:space="preserve"> </w:t>
      </w:r>
      <w:r w:rsidR="00687339">
        <w:t xml:space="preserve"> </w:t>
      </w:r>
      <w:r w:rsidR="00DE63E8">
        <w:t xml:space="preserve">Are the following investment risks regarding </w:t>
      </w:r>
      <w:r w:rsidR="007C77EE">
        <w:t xml:space="preserve">real estate </w:t>
      </w:r>
      <w:r w:rsidR="00DE63E8">
        <w:t xml:space="preserve">disclosed, </w:t>
      </w:r>
      <w:r w:rsidR="00DE63E8">
        <w:rPr>
          <w:bCs/>
          <w:lang w:val="en-US"/>
        </w:rPr>
        <w:t>in separate tables, textual or in anot</w:t>
      </w:r>
      <w:r w:rsidR="00D70F35">
        <w:rPr>
          <w:bCs/>
          <w:lang w:val="en-US"/>
        </w:rPr>
        <w:t>her way, as per 31 December 2011</w:t>
      </w:r>
      <w:r w:rsidR="00DE63E8">
        <w:rPr>
          <w:bCs/>
          <w:lang w:val="en-US"/>
        </w:rPr>
        <w:t>?</w:t>
      </w:r>
    </w:p>
    <w:p w:rsidR="00DE63E8" w:rsidRDefault="00DE63E8" w:rsidP="00D6118A">
      <w:pPr>
        <w:pStyle w:val="Lijstalinea"/>
        <w:numPr>
          <w:ilvl w:val="0"/>
          <w:numId w:val="43"/>
        </w:numPr>
        <w:jc w:val="both"/>
      </w:pPr>
      <w:r>
        <w:t>region allocation including regions Europe and United States/North America</w:t>
      </w:r>
    </w:p>
    <w:p w:rsidR="00DE63E8" w:rsidRDefault="00DE63E8" w:rsidP="00D6118A">
      <w:pPr>
        <w:pStyle w:val="Lijstalinea"/>
        <w:numPr>
          <w:ilvl w:val="0"/>
          <w:numId w:val="43"/>
        </w:numPr>
        <w:jc w:val="both"/>
      </w:pPr>
      <w:r>
        <w:t>sector allocation including sector such as residential buildings, offices, etcetera</w:t>
      </w:r>
    </w:p>
    <w:p w:rsidR="000B200C" w:rsidRDefault="00DE63E8" w:rsidP="00D6118A">
      <w:pPr>
        <w:pStyle w:val="Lijstalinea"/>
        <w:numPr>
          <w:ilvl w:val="0"/>
          <w:numId w:val="43"/>
        </w:numPr>
        <w:jc w:val="both"/>
      </w:pPr>
      <w:r>
        <w:t>position</w:t>
      </w:r>
      <w:r w:rsidR="000B200C">
        <w:t xml:space="preserve"> allocation</w:t>
      </w:r>
      <w:r>
        <w:t xml:space="preserve"> </w:t>
      </w:r>
      <w:r w:rsidR="000B200C">
        <w:t>in which relative large positions in real estate have been disclosed</w:t>
      </w:r>
    </w:p>
    <w:p w:rsidR="005F217B" w:rsidRDefault="005F217B" w:rsidP="00D6118A">
      <w:pPr>
        <w:jc w:val="both"/>
      </w:pPr>
    </w:p>
    <w:p w:rsidR="005F217B" w:rsidRPr="00923882" w:rsidRDefault="005F217B" w:rsidP="00D6118A">
      <w:pPr>
        <w:jc w:val="both"/>
        <w:rPr>
          <w:i/>
        </w:rPr>
      </w:pPr>
      <w:r>
        <w:rPr>
          <w:i/>
        </w:rPr>
        <w:t>Quality of investment risk disclosure regarding bonds (4.4.2)</w:t>
      </w:r>
    </w:p>
    <w:p w:rsidR="001E2B41" w:rsidRPr="00FA78ED" w:rsidRDefault="00E16BB4" w:rsidP="00D6118A">
      <w:pPr>
        <w:jc w:val="both"/>
      </w:pPr>
      <w:r w:rsidRPr="00FA78ED">
        <w:t xml:space="preserve"> </w:t>
      </w:r>
    </w:p>
    <w:p w:rsidR="00081F88" w:rsidRDefault="00081F88" w:rsidP="00D6118A">
      <w:pPr>
        <w:pStyle w:val="Lijstalinea"/>
        <w:numPr>
          <w:ilvl w:val="0"/>
          <w:numId w:val="4"/>
        </w:numPr>
        <w:jc w:val="both"/>
      </w:pPr>
      <w:r>
        <w:t xml:space="preserve">What is the position of the pension fund </w:t>
      </w:r>
      <w:r w:rsidR="00170548">
        <w:t xml:space="preserve">in </w:t>
      </w:r>
      <w:r w:rsidR="007C77EE">
        <w:t>bonds</w:t>
      </w:r>
      <w:r>
        <w:t>, as per:</w:t>
      </w:r>
      <w:r w:rsidRPr="00081F88">
        <w:t xml:space="preserve"> </w:t>
      </w:r>
    </w:p>
    <w:p w:rsidR="00081F88" w:rsidRDefault="00081F88" w:rsidP="00D6118A">
      <w:pPr>
        <w:pStyle w:val="Lijstalinea"/>
        <w:numPr>
          <w:ilvl w:val="1"/>
          <w:numId w:val="4"/>
        </w:numPr>
        <w:jc w:val="both"/>
      </w:pPr>
      <w:r>
        <w:t>31 December 2006</w:t>
      </w:r>
    </w:p>
    <w:p w:rsidR="00081F88" w:rsidRDefault="00081F88" w:rsidP="00D6118A">
      <w:pPr>
        <w:pStyle w:val="Lijstalinea"/>
        <w:numPr>
          <w:ilvl w:val="1"/>
          <w:numId w:val="4"/>
        </w:numPr>
        <w:jc w:val="both"/>
      </w:pPr>
      <w:r>
        <w:t>31 December 2011</w:t>
      </w:r>
    </w:p>
    <w:p w:rsidR="00081F88" w:rsidRDefault="00081F88" w:rsidP="00D6118A">
      <w:pPr>
        <w:jc w:val="both"/>
      </w:pPr>
    </w:p>
    <w:p w:rsidR="00DE63E8" w:rsidRPr="00821E21" w:rsidRDefault="00DE63E8" w:rsidP="00D6118A">
      <w:pPr>
        <w:pStyle w:val="Lijstalinea"/>
        <w:numPr>
          <w:ilvl w:val="0"/>
          <w:numId w:val="4"/>
        </w:numPr>
        <w:jc w:val="both"/>
      </w:pPr>
      <w:r>
        <w:t xml:space="preserve">Are the following investment </w:t>
      </w:r>
      <w:r w:rsidR="007C77EE">
        <w:t>risks regarding bonds</w:t>
      </w:r>
      <w:r>
        <w:t xml:space="preserve"> disclosed, </w:t>
      </w:r>
      <w:r>
        <w:rPr>
          <w:bCs/>
          <w:lang w:val="en-US"/>
        </w:rPr>
        <w:t>in separate tables, textual or in another way, as per 31 December 2006?</w:t>
      </w:r>
    </w:p>
    <w:p w:rsidR="00FA78ED" w:rsidRDefault="007C77EE" w:rsidP="00D6118A">
      <w:pPr>
        <w:pStyle w:val="Lijstalinea"/>
        <w:numPr>
          <w:ilvl w:val="0"/>
          <w:numId w:val="44"/>
        </w:numPr>
        <w:jc w:val="both"/>
      </w:pPr>
      <w:r>
        <w:t>rating allocations provided by rating agencies such as Moody’s, Fitch and Standard and Poor’s</w:t>
      </w:r>
    </w:p>
    <w:p w:rsidR="00AB679E" w:rsidRDefault="007C77EE" w:rsidP="00D6118A">
      <w:pPr>
        <w:pStyle w:val="Lijstalinea"/>
        <w:numPr>
          <w:ilvl w:val="0"/>
          <w:numId w:val="44"/>
        </w:numPr>
        <w:jc w:val="both"/>
      </w:pPr>
      <w:r>
        <w:t xml:space="preserve">position allocation </w:t>
      </w:r>
      <w:r w:rsidR="00AB679E">
        <w:t>position allocation in which relative large bond positions have been disclosed</w:t>
      </w:r>
    </w:p>
    <w:p w:rsidR="007C77EE" w:rsidRDefault="00AB679E" w:rsidP="00D6118A">
      <w:pPr>
        <w:pStyle w:val="Lijstalinea"/>
        <w:numPr>
          <w:ilvl w:val="0"/>
          <w:numId w:val="44"/>
        </w:numPr>
        <w:jc w:val="both"/>
      </w:pPr>
      <w:r>
        <w:t>GIIPS allocation, disclosing at least the position in Greece, Ireland, Italy, Portugal and Spain</w:t>
      </w:r>
    </w:p>
    <w:p w:rsidR="006D161C" w:rsidRDefault="006D161C" w:rsidP="00D6118A">
      <w:pPr>
        <w:jc w:val="both"/>
      </w:pPr>
    </w:p>
    <w:p w:rsidR="006D161C" w:rsidRPr="00821E21" w:rsidRDefault="006D161C" w:rsidP="00D6118A">
      <w:pPr>
        <w:pStyle w:val="Lijstalinea"/>
        <w:numPr>
          <w:ilvl w:val="0"/>
          <w:numId w:val="4"/>
        </w:numPr>
        <w:jc w:val="both"/>
      </w:pPr>
      <w:r>
        <w:t xml:space="preserve">Are the following investment risks regarding bonds disclosed, </w:t>
      </w:r>
      <w:r>
        <w:rPr>
          <w:bCs/>
          <w:lang w:val="en-US"/>
        </w:rPr>
        <w:t>in separate tables, textual or in another way, as per 31 December 2011?</w:t>
      </w:r>
    </w:p>
    <w:p w:rsidR="006D161C" w:rsidRDefault="006D161C" w:rsidP="00D6118A">
      <w:pPr>
        <w:pStyle w:val="Lijstalinea"/>
        <w:numPr>
          <w:ilvl w:val="0"/>
          <w:numId w:val="45"/>
        </w:numPr>
        <w:jc w:val="both"/>
      </w:pPr>
      <w:r>
        <w:t>rating allocations provided by rating agencies such as Moody’s, Fitch and Standard and Poor’s</w:t>
      </w:r>
    </w:p>
    <w:p w:rsidR="006D161C" w:rsidRDefault="006D161C" w:rsidP="00D6118A">
      <w:pPr>
        <w:pStyle w:val="Lijstalinea"/>
        <w:numPr>
          <w:ilvl w:val="0"/>
          <w:numId w:val="45"/>
        </w:numPr>
        <w:jc w:val="both"/>
      </w:pPr>
      <w:r>
        <w:t>position allocation position allocation in which relative large bond positions have been disclosed</w:t>
      </w:r>
    </w:p>
    <w:p w:rsidR="006D161C" w:rsidRDefault="006D161C" w:rsidP="00D6118A">
      <w:pPr>
        <w:pStyle w:val="Lijstalinea"/>
        <w:numPr>
          <w:ilvl w:val="0"/>
          <w:numId w:val="45"/>
        </w:numPr>
        <w:jc w:val="both"/>
      </w:pPr>
      <w:r>
        <w:t>GIIPS allocation, disclosing at least the position in Greece, Ireland, Italy, Portugal and Spain</w:t>
      </w:r>
    </w:p>
    <w:p w:rsidR="005E66E7" w:rsidRDefault="005E66E7">
      <w:pPr>
        <w:rPr>
          <w:szCs w:val="30"/>
        </w:rPr>
      </w:pPr>
      <w:r>
        <w:rPr>
          <w:szCs w:val="30"/>
        </w:rPr>
        <w:br w:type="page"/>
      </w:r>
    </w:p>
    <w:p w:rsidR="0090304F" w:rsidRDefault="0090304F" w:rsidP="0090304F">
      <w:pPr>
        <w:pStyle w:val="Kop1"/>
        <w:numPr>
          <w:ilvl w:val="0"/>
          <w:numId w:val="0"/>
        </w:numPr>
        <w:ind w:left="432" w:hanging="432"/>
        <w:rPr>
          <w:sz w:val="24"/>
          <w:szCs w:val="24"/>
        </w:rPr>
      </w:pPr>
      <w:bookmarkStart w:id="85" w:name="_Toc355387331"/>
      <w:r>
        <w:rPr>
          <w:sz w:val="24"/>
          <w:szCs w:val="24"/>
        </w:rPr>
        <w:t>Appendix 1</w:t>
      </w:r>
      <w:r w:rsidR="005E66E7">
        <w:rPr>
          <w:sz w:val="24"/>
          <w:szCs w:val="24"/>
        </w:rPr>
        <w:t>1</w:t>
      </w:r>
      <w:r>
        <w:rPr>
          <w:sz w:val="24"/>
          <w:szCs w:val="24"/>
        </w:rPr>
        <w:tab/>
        <w:t>Decision schedule statistical methods</w:t>
      </w:r>
      <w:bookmarkEnd w:id="85"/>
    </w:p>
    <w:p w:rsidR="005E66E7" w:rsidRPr="005E66E7" w:rsidRDefault="005E66E7" w:rsidP="005E66E7"/>
    <w:p w:rsidR="0090304F" w:rsidRDefault="0018238D" w:rsidP="0090304F">
      <w:r>
        <w:rPr>
          <w:noProof/>
          <w:lang w:val="nl-NL" w:eastAsia="nl-NL" w:bidi="ar-SA"/>
        </w:rPr>
        <w:drawing>
          <wp:inline distT="0" distB="0" distL="0" distR="0">
            <wp:extent cx="5754370" cy="428815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54370" cy="4288155"/>
                    </a:xfrm>
                    <a:prstGeom prst="rect">
                      <a:avLst/>
                    </a:prstGeom>
                    <a:noFill/>
                    <a:ln w="9525">
                      <a:noFill/>
                      <a:miter lim="800000"/>
                      <a:headEnd/>
                      <a:tailEnd/>
                    </a:ln>
                  </pic:spPr>
                </pic:pic>
              </a:graphicData>
            </a:graphic>
          </wp:inline>
        </w:drawing>
      </w:r>
    </w:p>
    <w:p w:rsidR="0090304F" w:rsidRDefault="0090304F" w:rsidP="0090304F"/>
    <w:p w:rsidR="0090304F" w:rsidRDefault="0090304F" w:rsidP="0090304F">
      <w:r>
        <w:t>Source: Field (2005), p. 781</w:t>
      </w:r>
    </w:p>
    <w:sectPr w:rsidR="0090304F" w:rsidSect="00FB7C69">
      <w:headerReference w:type="default" r:id="rId27"/>
      <w:footerReference w:type="even" r:id="rId28"/>
      <w:footerReference w:type="default" r:id="rId29"/>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C8D" w:rsidRDefault="005B4C8D">
      <w:r>
        <w:separator/>
      </w:r>
    </w:p>
  </w:endnote>
  <w:endnote w:type="continuationSeparator" w:id="0">
    <w:p w:rsidR="005B4C8D" w:rsidRDefault="005B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Light">
    <w:altName w:val="Arial Narro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sig w:usb0="00000000" w:usb1="00000000" w:usb2="00000000" w:usb3="00000000" w:csb0="0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C8D" w:rsidRDefault="005B4C8D" w:rsidP="00A11D53">
    <w:pPr>
      <w:pStyle w:val="Voettekst"/>
      <w:framePr w:wrap="around" w:vAnchor="text" w:hAnchor="margin" w:xAlign="right" w:y="1"/>
      <w:rPr>
        <w:rStyle w:val="Paginanummer"/>
        <w:rFonts w:cs="Angsana New"/>
      </w:rPr>
    </w:pPr>
    <w:r>
      <w:rPr>
        <w:rStyle w:val="Paginanummer"/>
        <w:rFonts w:cs="Angsana New"/>
      </w:rPr>
      <w:fldChar w:fldCharType="begin"/>
    </w:r>
    <w:r>
      <w:rPr>
        <w:rStyle w:val="Paginanummer"/>
        <w:rFonts w:cs="Angsana New"/>
      </w:rPr>
      <w:instrText xml:space="preserve">PAGE  </w:instrText>
    </w:r>
    <w:r>
      <w:rPr>
        <w:rStyle w:val="Paginanummer"/>
        <w:rFonts w:cs="Angsana New"/>
      </w:rPr>
      <w:fldChar w:fldCharType="separate"/>
    </w:r>
    <w:r>
      <w:rPr>
        <w:rStyle w:val="Paginanummer"/>
        <w:rFonts w:cs="Angsana New"/>
        <w:noProof/>
      </w:rPr>
      <w:t>66</w:t>
    </w:r>
    <w:r>
      <w:rPr>
        <w:rStyle w:val="Paginanummer"/>
        <w:rFonts w:cs="Angsana New"/>
      </w:rPr>
      <w:fldChar w:fldCharType="end"/>
    </w:r>
  </w:p>
  <w:p w:rsidR="005B4C8D" w:rsidRDefault="005B4C8D" w:rsidP="00A11D53">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898213"/>
      <w:docPartObj>
        <w:docPartGallery w:val="Page Numbers (Bottom of Page)"/>
        <w:docPartUnique/>
      </w:docPartObj>
    </w:sdtPr>
    <w:sdtContent>
      <w:p w:rsidR="005B4C8D" w:rsidRDefault="005B4C8D">
        <w:pPr>
          <w:pStyle w:val="Voettekst"/>
          <w:jc w:val="center"/>
        </w:pPr>
        <w:r w:rsidRPr="003E0D8B">
          <w:fldChar w:fldCharType="begin"/>
        </w:r>
        <w:r>
          <w:instrText>PAGE   \* MERGEFORMAT</w:instrText>
        </w:r>
        <w:r w:rsidRPr="003E0D8B">
          <w:fldChar w:fldCharType="separate"/>
        </w:r>
        <w:r w:rsidR="00C21BA5" w:rsidRPr="00C21BA5">
          <w:rPr>
            <w:noProof/>
            <w:lang w:val="nl-NL"/>
          </w:rPr>
          <w:t>1</w:t>
        </w:r>
        <w:r>
          <w:rPr>
            <w:noProof/>
            <w:lang w:val="nl-NL"/>
          </w:rPr>
          <w:fldChar w:fldCharType="end"/>
        </w:r>
      </w:p>
    </w:sdtContent>
  </w:sdt>
  <w:p w:rsidR="005B4C8D" w:rsidRDefault="005B4C8D" w:rsidP="00A11D53">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C8D" w:rsidRDefault="005B4C8D">
      <w:r>
        <w:separator/>
      </w:r>
    </w:p>
  </w:footnote>
  <w:footnote w:type="continuationSeparator" w:id="0">
    <w:p w:rsidR="005B4C8D" w:rsidRDefault="005B4C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C8D" w:rsidRDefault="005B4C8D">
    <w:pPr>
      <w:pStyle w:val="Koptekst"/>
    </w:pPr>
    <w:r>
      <w:rPr>
        <w:noProof/>
        <w:lang w:val="nl-NL" w:eastAsia="nl-NL" w:bidi="ar-SA"/>
      </w:rPr>
      <w:pict>
        <v:shapetype id="_x0000_t32" coordsize="21600,21600" o:spt="32" o:oned="t" path="m,l21600,21600e" filled="f">
          <v:path arrowok="t" fillok="f" o:connecttype="none"/>
          <o:lock v:ext="edit" shapetype="t"/>
        </v:shapetype>
        <v:shape id="AutoShape 1" o:spid="_x0000_s2049" type="#_x0000_t32" style="position:absolute;margin-left:.4pt;margin-top:19.35pt;width:444pt;height:0;z-index:2516582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V4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"/>
      </w:pict>
    </w:r>
    <w:r w:rsidRPr="004D7FFC">
      <w:rPr>
        <w:noProof/>
        <w:color w:val="00B050"/>
        <w:lang w:val="nl-NL" w:eastAsia="nl-NL" w:bidi="ar-SA"/>
      </w:rPr>
      <w:drawing>
        <wp:anchor distT="0" distB="0" distL="114300" distR="114300" simplePos="0" relativeHeight="251657216" behindDoc="1" locked="0" layoutInCell="1" allowOverlap="1">
          <wp:simplePos x="0" y="0"/>
          <wp:positionH relativeFrom="column">
            <wp:posOffset>4157980</wp:posOffset>
          </wp:positionH>
          <wp:positionV relativeFrom="paragraph">
            <wp:posOffset>-354330</wp:posOffset>
          </wp:positionV>
          <wp:extent cx="1590675" cy="704850"/>
          <wp:effectExtent l="19050" t="0" r="9525" b="0"/>
          <wp:wrapNone/>
          <wp:docPr id="15" name="Afbeelding 0" descr="eu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eur_logo.png"/>
                  <pic:cNvPicPr>
                    <a:picLocks noChangeAspect="1" noChangeArrowheads="1"/>
                  </pic:cNvPicPr>
                </pic:nvPicPr>
                <pic:blipFill>
                  <a:blip r:embed="rId1"/>
                  <a:srcRect/>
                  <a:stretch>
                    <a:fillRect/>
                  </a:stretch>
                </pic:blipFill>
                <pic:spPr bwMode="auto">
                  <a:xfrm>
                    <a:off x="0" y="0"/>
                    <a:ext cx="1590675" cy="704850"/>
                  </a:xfrm>
                  <a:prstGeom prst="rect">
                    <a:avLst/>
                  </a:prstGeom>
                  <a:noFill/>
                </pic:spPr>
              </pic:pic>
            </a:graphicData>
          </a:graphic>
        </wp:anchor>
      </w:drawing>
    </w:r>
    <w:proofErr w:type="spellStart"/>
    <w:r>
      <w:t>Barentsen</w:t>
    </w:r>
    <w:proofErr w:type="spellEnd"/>
    <w:r>
      <w:t>, A. (2013)</w:t>
    </w:r>
    <w:r>
      <w:tab/>
      <w:t>Disclosure quantity and quality</w:t>
    </w:r>
  </w:p>
  <w:p w:rsidR="005B4C8D" w:rsidRDefault="005B4C8D">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A66D6"/>
    <w:multiLevelType w:val="hybridMultilevel"/>
    <w:tmpl w:val="77347F2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4D6981"/>
    <w:multiLevelType w:val="hybridMultilevel"/>
    <w:tmpl w:val="B4EC5A4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0FE86C7D"/>
    <w:multiLevelType w:val="hybridMultilevel"/>
    <w:tmpl w:val="C590B3C8"/>
    <w:lvl w:ilvl="0" w:tplc="2A2089C4">
      <w:start w:val="1"/>
      <w:numFmt w:val="lowerLetter"/>
      <w:lvlText w:val="%1."/>
      <w:lvlJc w:val="left"/>
      <w:pPr>
        <w:ind w:left="422" w:hanging="360"/>
      </w:pPr>
      <w:rPr>
        <w:rFonts w:hint="default"/>
      </w:rPr>
    </w:lvl>
    <w:lvl w:ilvl="1" w:tplc="04130019" w:tentative="1">
      <w:start w:val="1"/>
      <w:numFmt w:val="lowerLetter"/>
      <w:lvlText w:val="%2."/>
      <w:lvlJc w:val="left"/>
      <w:pPr>
        <w:ind w:left="1142" w:hanging="360"/>
      </w:pPr>
    </w:lvl>
    <w:lvl w:ilvl="2" w:tplc="0413001B" w:tentative="1">
      <w:start w:val="1"/>
      <w:numFmt w:val="lowerRoman"/>
      <w:lvlText w:val="%3."/>
      <w:lvlJc w:val="right"/>
      <w:pPr>
        <w:ind w:left="1862" w:hanging="180"/>
      </w:pPr>
    </w:lvl>
    <w:lvl w:ilvl="3" w:tplc="0413000F" w:tentative="1">
      <w:start w:val="1"/>
      <w:numFmt w:val="decimal"/>
      <w:lvlText w:val="%4."/>
      <w:lvlJc w:val="left"/>
      <w:pPr>
        <w:ind w:left="2582" w:hanging="360"/>
      </w:pPr>
    </w:lvl>
    <w:lvl w:ilvl="4" w:tplc="04130019" w:tentative="1">
      <w:start w:val="1"/>
      <w:numFmt w:val="lowerLetter"/>
      <w:lvlText w:val="%5."/>
      <w:lvlJc w:val="left"/>
      <w:pPr>
        <w:ind w:left="3302" w:hanging="360"/>
      </w:pPr>
    </w:lvl>
    <w:lvl w:ilvl="5" w:tplc="0413001B" w:tentative="1">
      <w:start w:val="1"/>
      <w:numFmt w:val="lowerRoman"/>
      <w:lvlText w:val="%6."/>
      <w:lvlJc w:val="right"/>
      <w:pPr>
        <w:ind w:left="4022" w:hanging="180"/>
      </w:pPr>
    </w:lvl>
    <w:lvl w:ilvl="6" w:tplc="0413000F" w:tentative="1">
      <w:start w:val="1"/>
      <w:numFmt w:val="decimal"/>
      <w:lvlText w:val="%7."/>
      <w:lvlJc w:val="left"/>
      <w:pPr>
        <w:ind w:left="4742" w:hanging="360"/>
      </w:pPr>
    </w:lvl>
    <w:lvl w:ilvl="7" w:tplc="04130019" w:tentative="1">
      <w:start w:val="1"/>
      <w:numFmt w:val="lowerLetter"/>
      <w:lvlText w:val="%8."/>
      <w:lvlJc w:val="left"/>
      <w:pPr>
        <w:ind w:left="5462" w:hanging="360"/>
      </w:pPr>
    </w:lvl>
    <w:lvl w:ilvl="8" w:tplc="0413001B" w:tentative="1">
      <w:start w:val="1"/>
      <w:numFmt w:val="lowerRoman"/>
      <w:lvlText w:val="%9."/>
      <w:lvlJc w:val="right"/>
      <w:pPr>
        <w:ind w:left="6182" w:hanging="180"/>
      </w:pPr>
    </w:lvl>
  </w:abstractNum>
  <w:abstractNum w:abstractNumId="3">
    <w:nsid w:val="13DD3500"/>
    <w:multiLevelType w:val="hybridMultilevel"/>
    <w:tmpl w:val="2F14573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726355"/>
    <w:multiLevelType w:val="hybridMultilevel"/>
    <w:tmpl w:val="01520E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AE04514"/>
    <w:multiLevelType w:val="hybridMultilevel"/>
    <w:tmpl w:val="C7908678"/>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nsid w:val="1D1D160D"/>
    <w:multiLevelType w:val="hybridMultilevel"/>
    <w:tmpl w:val="4F2A889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nsid w:val="266A5B06"/>
    <w:multiLevelType w:val="hybridMultilevel"/>
    <w:tmpl w:val="3EBE609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97B0B5C"/>
    <w:multiLevelType w:val="hybridMultilevel"/>
    <w:tmpl w:val="E9341D0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AF23D42"/>
    <w:multiLevelType w:val="hybridMultilevel"/>
    <w:tmpl w:val="9A346AB8"/>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nsid w:val="30513E39"/>
    <w:multiLevelType w:val="hybridMultilevel"/>
    <w:tmpl w:val="09FA0DA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46552E2"/>
    <w:multiLevelType w:val="hybridMultilevel"/>
    <w:tmpl w:val="D93EC156"/>
    <w:lvl w:ilvl="0" w:tplc="F176E132">
      <w:start w:val="2"/>
      <w:numFmt w:val="bullet"/>
      <w:lvlText w:val=""/>
      <w:lvlJc w:val="left"/>
      <w:pPr>
        <w:ind w:left="1080" w:hanging="360"/>
      </w:pPr>
      <w:rPr>
        <w:rFonts w:ascii="Wingdings" w:eastAsia="Times New Roman" w:hAnsi="Wingdings" w:cs="Angsana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3474037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7E62C77"/>
    <w:multiLevelType w:val="hybridMultilevel"/>
    <w:tmpl w:val="0F2C6914"/>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nsid w:val="3BB37173"/>
    <w:multiLevelType w:val="multilevel"/>
    <w:tmpl w:val="53B6DE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2D2321"/>
    <w:multiLevelType w:val="hybridMultilevel"/>
    <w:tmpl w:val="A5CE787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07E5270"/>
    <w:multiLevelType w:val="hybridMultilevel"/>
    <w:tmpl w:val="BEA8D856"/>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471F3182"/>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8">
    <w:nsid w:val="4DE46A34"/>
    <w:multiLevelType w:val="hybridMultilevel"/>
    <w:tmpl w:val="58C4D2D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F982DE3"/>
    <w:multiLevelType w:val="hybridMultilevel"/>
    <w:tmpl w:val="23B2C9C2"/>
    <w:lvl w:ilvl="0" w:tplc="96BAF7A2">
      <w:start w:val="1"/>
      <w:numFmt w:val="bullet"/>
      <w:lvlText w:val="•"/>
      <w:lvlJc w:val="left"/>
      <w:pPr>
        <w:tabs>
          <w:tab w:val="num" w:pos="720"/>
        </w:tabs>
        <w:ind w:left="720" w:hanging="360"/>
      </w:pPr>
      <w:rPr>
        <w:rFonts w:ascii="Arial" w:hAnsi="Arial" w:hint="default"/>
      </w:rPr>
    </w:lvl>
    <w:lvl w:ilvl="1" w:tplc="8DDE229C" w:tentative="1">
      <w:start w:val="1"/>
      <w:numFmt w:val="bullet"/>
      <w:lvlText w:val="•"/>
      <w:lvlJc w:val="left"/>
      <w:pPr>
        <w:tabs>
          <w:tab w:val="num" w:pos="1440"/>
        </w:tabs>
        <w:ind w:left="1440" w:hanging="360"/>
      </w:pPr>
      <w:rPr>
        <w:rFonts w:ascii="Arial" w:hAnsi="Arial" w:hint="default"/>
      </w:rPr>
    </w:lvl>
    <w:lvl w:ilvl="2" w:tplc="0B88C766" w:tentative="1">
      <w:start w:val="1"/>
      <w:numFmt w:val="bullet"/>
      <w:lvlText w:val="•"/>
      <w:lvlJc w:val="left"/>
      <w:pPr>
        <w:tabs>
          <w:tab w:val="num" w:pos="2160"/>
        </w:tabs>
        <w:ind w:left="2160" w:hanging="360"/>
      </w:pPr>
      <w:rPr>
        <w:rFonts w:ascii="Arial" w:hAnsi="Arial" w:hint="default"/>
      </w:rPr>
    </w:lvl>
    <w:lvl w:ilvl="3" w:tplc="1EDAFB5E" w:tentative="1">
      <w:start w:val="1"/>
      <w:numFmt w:val="bullet"/>
      <w:lvlText w:val="•"/>
      <w:lvlJc w:val="left"/>
      <w:pPr>
        <w:tabs>
          <w:tab w:val="num" w:pos="2880"/>
        </w:tabs>
        <w:ind w:left="2880" w:hanging="360"/>
      </w:pPr>
      <w:rPr>
        <w:rFonts w:ascii="Arial" w:hAnsi="Arial" w:hint="default"/>
      </w:rPr>
    </w:lvl>
    <w:lvl w:ilvl="4" w:tplc="056EBC42" w:tentative="1">
      <w:start w:val="1"/>
      <w:numFmt w:val="bullet"/>
      <w:lvlText w:val="•"/>
      <w:lvlJc w:val="left"/>
      <w:pPr>
        <w:tabs>
          <w:tab w:val="num" w:pos="3600"/>
        </w:tabs>
        <w:ind w:left="3600" w:hanging="360"/>
      </w:pPr>
      <w:rPr>
        <w:rFonts w:ascii="Arial" w:hAnsi="Arial" w:hint="default"/>
      </w:rPr>
    </w:lvl>
    <w:lvl w:ilvl="5" w:tplc="C7B4BFEA" w:tentative="1">
      <w:start w:val="1"/>
      <w:numFmt w:val="bullet"/>
      <w:lvlText w:val="•"/>
      <w:lvlJc w:val="left"/>
      <w:pPr>
        <w:tabs>
          <w:tab w:val="num" w:pos="4320"/>
        </w:tabs>
        <w:ind w:left="4320" w:hanging="360"/>
      </w:pPr>
      <w:rPr>
        <w:rFonts w:ascii="Arial" w:hAnsi="Arial" w:hint="default"/>
      </w:rPr>
    </w:lvl>
    <w:lvl w:ilvl="6" w:tplc="085CF4CE" w:tentative="1">
      <w:start w:val="1"/>
      <w:numFmt w:val="bullet"/>
      <w:lvlText w:val="•"/>
      <w:lvlJc w:val="left"/>
      <w:pPr>
        <w:tabs>
          <w:tab w:val="num" w:pos="5040"/>
        </w:tabs>
        <w:ind w:left="5040" w:hanging="360"/>
      </w:pPr>
      <w:rPr>
        <w:rFonts w:ascii="Arial" w:hAnsi="Arial" w:hint="default"/>
      </w:rPr>
    </w:lvl>
    <w:lvl w:ilvl="7" w:tplc="4B322D3C" w:tentative="1">
      <w:start w:val="1"/>
      <w:numFmt w:val="bullet"/>
      <w:lvlText w:val="•"/>
      <w:lvlJc w:val="left"/>
      <w:pPr>
        <w:tabs>
          <w:tab w:val="num" w:pos="5760"/>
        </w:tabs>
        <w:ind w:left="5760" w:hanging="360"/>
      </w:pPr>
      <w:rPr>
        <w:rFonts w:ascii="Arial" w:hAnsi="Arial" w:hint="default"/>
      </w:rPr>
    </w:lvl>
    <w:lvl w:ilvl="8" w:tplc="C2A81812" w:tentative="1">
      <w:start w:val="1"/>
      <w:numFmt w:val="bullet"/>
      <w:lvlText w:val="•"/>
      <w:lvlJc w:val="left"/>
      <w:pPr>
        <w:tabs>
          <w:tab w:val="num" w:pos="6480"/>
        </w:tabs>
        <w:ind w:left="6480" w:hanging="360"/>
      </w:pPr>
      <w:rPr>
        <w:rFonts w:ascii="Arial" w:hAnsi="Arial" w:hint="default"/>
      </w:rPr>
    </w:lvl>
  </w:abstractNum>
  <w:abstractNum w:abstractNumId="20">
    <w:nsid w:val="562C256D"/>
    <w:multiLevelType w:val="hybridMultilevel"/>
    <w:tmpl w:val="C00E5C8E"/>
    <w:lvl w:ilvl="0" w:tplc="E3E8F6A6">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68E4AD6"/>
    <w:multiLevelType w:val="hybridMultilevel"/>
    <w:tmpl w:val="914695F8"/>
    <w:lvl w:ilvl="0" w:tplc="E3E8F6A6">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B470D53E">
      <w:start w:val="4"/>
      <w:numFmt w:val="bullet"/>
      <w:lvlText w:val=""/>
      <w:lvlJc w:val="left"/>
      <w:pPr>
        <w:ind w:left="2160" w:hanging="360"/>
      </w:pPr>
      <w:rPr>
        <w:rFonts w:ascii="Wingdings" w:eastAsia="Times New Roman" w:hAnsi="Wingdings" w:cs="Angsana New"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85B7081"/>
    <w:multiLevelType w:val="hybridMultilevel"/>
    <w:tmpl w:val="B6C08F80"/>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nsid w:val="59BA0888"/>
    <w:multiLevelType w:val="hybridMultilevel"/>
    <w:tmpl w:val="816EB9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A8619BA"/>
    <w:multiLevelType w:val="hybridMultilevel"/>
    <w:tmpl w:val="789468CA"/>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5BFD5481"/>
    <w:multiLevelType w:val="hybridMultilevel"/>
    <w:tmpl w:val="AB36B2D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FDD7B8C"/>
    <w:multiLevelType w:val="hybridMultilevel"/>
    <w:tmpl w:val="F81842F4"/>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nsid w:val="6199029E"/>
    <w:multiLevelType w:val="multilevel"/>
    <w:tmpl w:val="17D46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517895"/>
    <w:multiLevelType w:val="multilevel"/>
    <w:tmpl w:val="8452D8AA"/>
    <w:lvl w:ilvl="0">
      <w:start w:val="1"/>
      <w:numFmt w:val="decimal"/>
      <w:lvlText w:val="%1"/>
      <w:lvlJc w:val="left"/>
      <w:pPr>
        <w:ind w:left="360" w:hanging="360"/>
      </w:pPr>
      <w:rPr>
        <w:rFonts w:cs="Times New Roman" w:hint="default"/>
      </w:rPr>
    </w:lvl>
    <w:lvl w:ilvl="1">
      <w:start w:val="1"/>
      <w:numFmt w:val="decimal"/>
      <w:pStyle w:val="Style1"/>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653C727C"/>
    <w:multiLevelType w:val="hybridMultilevel"/>
    <w:tmpl w:val="36F0EB52"/>
    <w:lvl w:ilvl="0" w:tplc="27204C0E">
      <w:start w:val="5"/>
      <w:numFmt w:val="bullet"/>
      <w:lvlText w:val=""/>
      <w:lvlJc w:val="left"/>
      <w:pPr>
        <w:ind w:left="1080" w:hanging="360"/>
      </w:pPr>
      <w:rPr>
        <w:rFonts w:ascii="Wingdings" w:eastAsia="Times New Roman" w:hAnsi="Wingdings" w:cs="Angsana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nsid w:val="65B819C7"/>
    <w:multiLevelType w:val="hybridMultilevel"/>
    <w:tmpl w:val="2E2A4C90"/>
    <w:lvl w:ilvl="0" w:tplc="04130019">
      <w:start w:val="1"/>
      <w:numFmt w:val="lowerLetter"/>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nsid w:val="6B1A06BA"/>
    <w:multiLevelType w:val="hybridMultilevel"/>
    <w:tmpl w:val="1C02F8E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8F46EA4"/>
    <w:multiLevelType w:val="hybridMultilevel"/>
    <w:tmpl w:val="A9384CF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20"/>
  </w:num>
  <w:num w:numId="3">
    <w:abstractNumId w:val="17"/>
  </w:num>
  <w:num w:numId="4">
    <w:abstractNumId w:val="24"/>
  </w:num>
  <w:num w:numId="5">
    <w:abstractNumId w:val="6"/>
  </w:num>
  <w:num w:numId="6">
    <w:abstractNumId w:val="21"/>
  </w:num>
  <w:num w:numId="7">
    <w:abstractNumId w:val="11"/>
  </w:num>
  <w:num w:numId="8">
    <w:abstractNumId w:val="29"/>
  </w:num>
  <w:num w:numId="9">
    <w:abstractNumId w:val="17"/>
  </w:num>
  <w:num w:numId="10">
    <w:abstractNumId w:val="17"/>
  </w:num>
  <w:num w:numId="11">
    <w:abstractNumId w:val="27"/>
  </w:num>
  <w:num w:numId="12">
    <w:abstractNumId w:val="17"/>
  </w:num>
  <w:num w:numId="13">
    <w:abstractNumId w:val="17"/>
  </w:num>
  <w:num w:numId="14">
    <w:abstractNumId w:val="17"/>
  </w:num>
  <w:num w:numId="15">
    <w:abstractNumId w:val="17"/>
  </w:num>
  <w:num w:numId="16">
    <w:abstractNumId w:val="17"/>
  </w:num>
  <w:num w:numId="17">
    <w:abstractNumId w:val="19"/>
  </w:num>
  <w:num w:numId="18">
    <w:abstractNumId w:val="17"/>
  </w:num>
  <w:num w:numId="19">
    <w:abstractNumId w:val="12"/>
  </w:num>
  <w:num w:numId="20">
    <w:abstractNumId w:val="17"/>
  </w:num>
  <w:num w:numId="21">
    <w:abstractNumId w:val="14"/>
  </w:num>
  <w:num w:numId="22">
    <w:abstractNumId w:val="25"/>
  </w:num>
  <w:num w:numId="23">
    <w:abstractNumId w:val="3"/>
  </w:num>
  <w:num w:numId="24">
    <w:abstractNumId w:val="8"/>
  </w:num>
  <w:num w:numId="25">
    <w:abstractNumId w:val="4"/>
  </w:num>
  <w:num w:numId="26">
    <w:abstractNumId w:val="10"/>
  </w:num>
  <w:num w:numId="27">
    <w:abstractNumId w:val="32"/>
  </w:num>
  <w:num w:numId="28">
    <w:abstractNumId w:val="23"/>
  </w:num>
  <w:num w:numId="29">
    <w:abstractNumId w:val="15"/>
  </w:num>
  <w:num w:numId="30">
    <w:abstractNumId w:val="0"/>
  </w:num>
  <w:num w:numId="31">
    <w:abstractNumId w:val="17"/>
  </w:num>
  <w:num w:numId="32">
    <w:abstractNumId w:val="17"/>
  </w:num>
  <w:num w:numId="33">
    <w:abstractNumId w:val="1"/>
  </w:num>
  <w:num w:numId="34">
    <w:abstractNumId w:val="17"/>
  </w:num>
  <w:num w:numId="35">
    <w:abstractNumId w:val="17"/>
  </w:num>
  <w:num w:numId="36">
    <w:abstractNumId w:val="17"/>
  </w:num>
  <w:num w:numId="37">
    <w:abstractNumId w:val="17"/>
  </w:num>
  <w:num w:numId="38">
    <w:abstractNumId w:val="17"/>
  </w:num>
  <w:num w:numId="39">
    <w:abstractNumId w:val="26"/>
  </w:num>
  <w:num w:numId="40">
    <w:abstractNumId w:val="30"/>
  </w:num>
  <w:num w:numId="41">
    <w:abstractNumId w:val="5"/>
  </w:num>
  <w:num w:numId="42">
    <w:abstractNumId w:val="22"/>
  </w:num>
  <w:num w:numId="43">
    <w:abstractNumId w:val="13"/>
  </w:num>
  <w:num w:numId="44">
    <w:abstractNumId w:val="9"/>
  </w:num>
  <w:num w:numId="45">
    <w:abstractNumId w:val="16"/>
  </w:num>
  <w:num w:numId="46">
    <w:abstractNumId w:val="17"/>
  </w:num>
  <w:num w:numId="47">
    <w:abstractNumId w:val="2"/>
  </w:num>
  <w:num w:numId="48">
    <w:abstractNumId w:val="7"/>
  </w:num>
  <w:num w:numId="49">
    <w:abstractNumId w:val="18"/>
  </w:num>
  <w:num w:numId="50">
    <w:abstractNumId w:val="3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efaultTabStop w:val="720"/>
  <w:hyphenationZone w:val="425"/>
  <w:drawingGridHorizontalSpacing w:val="120"/>
  <w:displayHorizontalDrawingGridEvery w:val="2"/>
  <w:characterSpacingControl w:val="doNotCompress"/>
  <w:hdrShapeDefaults>
    <o:shapedefaults v:ext="edit" spidmax="2050"/>
    <o:shapelayout v:ext="edit">
      <o:idmap v:ext="edit" data="2"/>
      <o:rules v:ext="edit">
        <o:r id="V:Rule2" type="connector" idref="#AutoShape 1"/>
      </o:rules>
    </o:shapelayout>
  </w:hdrShapeDefaults>
  <w:footnotePr>
    <w:footnote w:id="-1"/>
    <w:footnote w:id="0"/>
  </w:footnotePr>
  <w:endnotePr>
    <w:endnote w:id="-1"/>
    <w:endnote w:id="0"/>
  </w:endnotePr>
  <w:compat>
    <w:applyBreakingRules/>
  </w:compat>
  <w:rsids>
    <w:rsidRoot w:val="00C75BC4"/>
    <w:rsid w:val="00000032"/>
    <w:rsid w:val="00000BB8"/>
    <w:rsid w:val="00000CE8"/>
    <w:rsid w:val="00001AF0"/>
    <w:rsid w:val="00001CA9"/>
    <w:rsid w:val="0000212C"/>
    <w:rsid w:val="000028AA"/>
    <w:rsid w:val="00002A5E"/>
    <w:rsid w:val="00003072"/>
    <w:rsid w:val="000031DA"/>
    <w:rsid w:val="0000393F"/>
    <w:rsid w:val="00003B07"/>
    <w:rsid w:val="00003CDD"/>
    <w:rsid w:val="000041A7"/>
    <w:rsid w:val="000041B8"/>
    <w:rsid w:val="000047A0"/>
    <w:rsid w:val="0000534E"/>
    <w:rsid w:val="0000639D"/>
    <w:rsid w:val="0000640D"/>
    <w:rsid w:val="000070E9"/>
    <w:rsid w:val="00007204"/>
    <w:rsid w:val="000075CC"/>
    <w:rsid w:val="00007814"/>
    <w:rsid w:val="00010928"/>
    <w:rsid w:val="00011218"/>
    <w:rsid w:val="00011A84"/>
    <w:rsid w:val="00011CFA"/>
    <w:rsid w:val="0001240B"/>
    <w:rsid w:val="000132BD"/>
    <w:rsid w:val="0001342A"/>
    <w:rsid w:val="00013E45"/>
    <w:rsid w:val="00014AB8"/>
    <w:rsid w:val="00015189"/>
    <w:rsid w:val="00015734"/>
    <w:rsid w:val="00015CBC"/>
    <w:rsid w:val="000163E4"/>
    <w:rsid w:val="0001658C"/>
    <w:rsid w:val="00016782"/>
    <w:rsid w:val="00016FE6"/>
    <w:rsid w:val="00017045"/>
    <w:rsid w:val="000174D6"/>
    <w:rsid w:val="00017CF0"/>
    <w:rsid w:val="00017D74"/>
    <w:rsid w:val="00017FB9"/>
    <w:rsid w:val="00020375"/>
    <w:rsid w:val="000209D5"/>
    <w:rsid w:val="00020F9D"/>
    <w:rsid w:val="000211E3"/>
    <w:rsid w:val="000218C7"/>
    <w:rsid w:val="00021D81"/>
    <w:rsid w:val="000222E2"/>
    <w:rsid w:val="00022396"/>
    <w:rsid w:val="000224F1"/>
    <w:rsid w:val="000227F4"/>
    <w:rsid w:val="00022F3C"/>
    <w:rsid w:val="00023EB0"/>
    <w:rsid w:val="00023ED7"/>
    <w:rsid w:val="00024B78"/>
    <w:rsid w:val="00024BBD"/>
    <w:rsid w:val="000255B5"/>
    <w:rsid w:val="00025AD9"/>
    <w:rsid w:val="00025DC1"/>
    <w:rsid w:val="00027780"/>
    <w:rsid w:val="00027B48"/>
    <w:rsid w:val="00030D65"/>
    <w:rsid w:val="00031095"/>
    <w:rsid w:val="000315DD"/>
    <w:rsid w:val="00031717"/>
    <w:rsid w:val="00031830"/>
    <w:rsid w:val="0003208E"/>
    <w:rsid w:val="00032DB1"/>
    <w:rsid w:val="000337C5"/>
    <w:rsid w:val="0003388D"/>
    <w:rsid w:val="00033960"/>
    <w:rsid w:val="000341C1"/>
    <w:rsid w:val="000343CD"/>
    <w:rsid w:val="00034B99"/>
    <w:rsid w:val="00035437"/>
    <w:rsid w:val="0003603B"/>
    <w:rsid w:val="00036220"/>
    <w:rsid w:val="0003673F"/>
    <w:rsid w:val="000371CD"/>
    <w:rsid w:val="000376F2"/>
    <w:rsid w:val="0003796F"/>
    <w:rsid w:val="00040579"/>
    <w:rsid w:val="00040837"/>
    <w:rsid w:val="000408C3"/>
    <w:rsid w:val="00040C5E"/>
    <w:rsid w:val="000410CD"/>
    <w:rsid w:val="0004123F"/>
    <w:rsid w:val="00041370"/>
    <w:rsid w:val="00041F5F"/>
    <w:rsid w:val="000420E7"/>
    <w:rsid w:val="0004260B"/>
    <w:rsid w:val="00042BB6"/>
    <w:rsid w:val="00043329"/>
    <w:rsid w:val="00043A70"/>
    <w:rsid w:val="00045063"/>
    <w:rsid w:val="000453DB"/>
    <w:rsid w:val="00045410"/>
    <w:rsid w:val="0004574D"/>
    <w:rsid w:val="00045F7E"/>
    <w:rsid w:val="000464FD"/>
    <w:rsid w:val="00046654"/>
    <w:rsid w:val="000477B2"/>
    <w:rsid w:val="000478BD"/>
    <w:rsid w:val="0005008B"/>
    <w:rsid w:val="0005095C"/>
    <w:rsid w:val="00050A7B"/>
    <w:rsid w:val="00050AEA"/>
    <w:rsid w:val="00050D27"/>
    <w:rsid w:val="00050FD2"/>
    <w:rsid w:val="00051B85"/>
    <w:rsid w:val="00051D0F"/>
    <w:rsid w:val="00052056"/>
    <w:rsid w:val="00052378"/>
    <w:rsid w:val="00052996"/>
    <w:rsid w:val="00052CC3"/>
    <w:rsid w:val="00052DA8"/>
    <w:rsid w:val="00052ECF"/>
    <w:rsid w:val="000534E7"/>
    <w:rsid w:val="000535FB"/>
    <w:rsid w:val="000539D8"/>
    <w:rsid w:val="00053F26"/>
    <w:rsid w:val="00054042"/>
    <w:rsid w:val="0005419D"/>
    <w:rsid w:val="000541B6"/>
    <w:rsid w:val="000542DB"/>
    <w:rsid w:val="000542F3"/>
    <w:rsid w:val="0005495B"/>
    <w:rsid w:val="000551DF"/>
    <w:rsid w:val="0005561E"/>
    <w:rsid w:val="000556C7"/>
    <w:rsid w:val="00055A68"/>
    <w:rsid w:val="00055FB4"/>
    <w:rsid w:val="00057505"/>
    <w:rsid w:val="00057A07"/>
    <w:rsid w:val="00060ABC"/>
    <w:rsid w:val="0006101F"/>
    <w:rsid w:val="000610D4"/>
    <w:rsid w:val="000611AA"/>
    <w:rsid w:val="0006137C"/>
    <w:rsid w:val="000616F0"/>
    <w:rsid w:val="00062BD5"/>
    <w:rsid w:val="0006320C"/>
    <w:rsid w:val="000643D5"/>
    <w:rsid w:val="00064EB0"/>
    <w:rsid w:val="000652AE"/>
    <w:rsid w:val="0006563A"/>
    <w:rsid w:val="00065FF9"/>
    <w:rsid w:val="0006603A"/>
    <w:rsid w:val="00066079"/>
    <w:rsid w:val="000662D0"/>
    <w:rsid w:val="0006653C"/>
    <w:rsid w:val="000668C1"/>
    <w:rsid w:val="0006780B"/>
    <w:rsid w:val="00067B08"/>
    <w:rsid w:val="00067CB4"/>
    <w:rsid w:val="00067EF2"/>
    <w:rsid w:val="000706CE"/>
    <w:rsid w:val="00070AD2"/>
    <w:rsid w:val="00070E20"/>
    <w:rsid w:val="0007101F"/>
    <w:rsid w:val="00071D6B"/>
    <w:rsid w:val="000722E1"/>
    <w:rsid w:val="0007264E"/>
    <w:rsid w:val="00073371"/>
    <w:rsid w:val="0007366C"/>
    <w:rsid w:val="00073A80"/>
    <w:rsid w:val="00073B5C"/>
    <w:rsid w:val="00073C24"/>
    <w:rsid w:val="00073F6D"/>
    <w:rsid w:val="000748D8"/>
    <w:rsid w:val="00074A6F"/>
    <w:rsid w:val="00074B08"/>
    <w:rsid w:val="0007513E"/>
    <w:rsid w:val="00075231"/>
    <w:rsid w:val="00075B37"/>
    <w:rsid w:val="00076654"/>
    <w:rsid w:val="000769EC"/>
    <w:rsid w:val="00077117"/>
    <w:rsid w:val="000772A4"/>
    <w:rsid w:val="00077F2F"/>
    <w:rsid w:val="00080034"/>
    <w:rsid w:val="00080510"/>
    <w:rsid w:val="00080A69"/>
    <w:rsid w:val="00080D03"/>
    <w:rsid w:val="00080F6B"/>
    <w:rsid w:val="000814F8"/>
    <w:rsid w:val="00081C2D"/>
    <w:rsid w:val="00081F88"/>
    <w:rsid w:val="000820A4"/>
    <w:rsid w:val="0008239B"/>
    <w:rsid w:val="000823C0"/>
    <w:rsid w:val="000830D6"/>
    <w:rsid w:val="000838CC"/>
    <w:rsid w:val="000838E7"/>
    <w:rsid w:val="000841E9"/>
    <w:rsid w:val="0008431B"/>
    <w:rsid w:val="000853B1"/>
    <w:rsid w:val="00085B78"/>
    <w:rsid w:val="00085F9A"/>
    <w:rsid w:val="00086265"/>
    <w:rsid w:val="000867E6"/>
    <w:rsid w:val="00087EEB"/>
    <w:rsid w:val="00087FFA"/>
    <w:rsid w:val="000905C5"/>
    <w:rsid w:val="00090982"/>
    <w:rsid w:val="00090A00"/>
    <w:rsid w:val="00090C82"/>
    <w:rsid w:val="0009104F"/>
    <w:rsid w:val="000910B0"/>
    <w:rsid w:val="00091300"/>
    <w:rsid w:val="0009145F"/>
    <w:rsid w:val="00091A45"/>
    <w:rsid w:val="00092968"/>
    <w:rsid w:val="000935B3"/>
    <w:rsid w:val="00093760"/>
    <w:rsid w:val="000942AF"/>
    <w:rsid w:val="0009435E"/>
    <w:rsid w:val="00094A90"/>
    <w:rsid w:val="0009533E"/>
    <w:rsid w:val="00095F37"/>
    <w:rsid w:val="000A0B94"/>
    <w:rsid w:val="000A0E4B"/>
    <w:rsid w:val="000A0EDF"/>
    <w:rsid w:val="000A126E"/>
    <w:rsid w:val="000A185A"/>
    <w:rsid w:val="000A18EA"/>
    <w:rsid w:val="000A1F8E"/>
    <w:rsid w:val="000A2528"/>
    <w:rsid w:val="000A2630"/>
    <w:rsid w:val="000A3307"/>
    <w:rsid w:val="000A3906"/>
    <w:rsid w:val="000A3B24"/>
    <w:rsid w:val="000A3C6C"/>
    <w:rsid w:val="000A3E17"/>
    <w:rsid w:val="000A42ED"/>
    <w:rsid w:val="000A4706"/>
    <w:rsid w:val="000A47EE"/>
    <w:rsid w:val="000A4897"/>
    <w:rsid w:val="000A4940"/>
    <w:rsid w:val="000A4BCC"/>
    <w:rsid w:val="000A52E6"/>
    <w:rsid w:val="000A55A4"/>
    <w:rsid w:val="000A598D"/>
    <w:rsid w:val="000A5D05"/>
    <w:rsid w:val="000A5D8D"/>
    <w:rsid w:val="000A6933"/>
    <w:rsid w:val="000A6E71"/>
    <w:rsid w:val="000A6E82"/>
    <w:rsid w:val="000A71F8"/>
    <w:rsid w:val="000A7A6E"/>
    <w:rsid w:val="000A7CF4"/>
    <w:rsid w:val="000B09C9"/>
    <w:rsid w:val="000B0E86"/>
    <w:rsid w:val="000B0EB5"/>
    <w:rsid w:val="000B1258"/>
    <w:rsid w:val="000B148B"/>
    <w:rsid w:val="000B15FA"/>
    <w:rsid w:val="000B16EE"/>
    <w:rsid w:val="000B200C"/>
    <w:rsid w:val="000B353B"/>
    <w:rsid w:val="000B3569"/>
    <w:rsid w:val="000B3D42"/>
    <w:rsid w:val="000B434B"/>
    <w:rsid w:val="000B439D"/>
    <w:rsid w:val="000B48CD"/>
    <w:rsid w:val="000B5121"/>
    <w:rsid w:val="000B526F"/>
    <w:rsid w:val="000B5997"/>
    <w:rsid w:val="000B6106"/>
    <w:rsid w:val="000B653C"/>
    <w:rsid w:val="000B6C24"/>
    <w:rsid w:val="000B7DBB"/>
    <w:rsid w:val="000B7E3F"/>
    <w:rsid w:val="000B7E59"/>
    <w:rsid w:val="000C022C"/>
    <w:rsid w:val="000C16A7"/>
    <w:rsid w:val="000C172A"/>
    <w:rsid w:val="000C18F4"/>
    <w:rsid w:val="000C1E19"/>
    <w:rsid w:val="000C264D"/>
    <w:rsid w:val="000C31D8"/>
    <w:rsid w:val="000C3B14"/>
    <w:rsid w:val="000C3EE2"/>
    <w:rsid w:val="000C3F40"/>
    <w:rsid w:val="000C4107"/>
    <w:rsid w:val="000C460E"/>
    <w:rsid w:val="000C46A1"/>
    <w:rsid w:val="000C4985"/>
    <w:rsid w:val="000C55F6"/>
    <w:rsid w:val="000C59E1"/>
    <w:rsid w:val="000C5BC2"/>
    <w:rsid w:val="000C62C6"/>
    <w:rsid w:val="000C63E1"/>
    <w:rsid w:val="000C6E80"/>
    <w:rsid w:val="000C7758"/>
    <w:rsid w:val="000C7943"/>
    <w:rsid w:val="000C7A97"/>
    <w:rsid w:val="000C7E27"/>
    <w:rsid w:val="000D041E"/>
    <w:rsid w:val="000D073E"/>
    <w:rsid w:val="000D07DC"/>
    <w:rsid w:val="000D0F07"/>
    <w:rsid w:val="000D0FEA"/>
    <w:rsid w:val="000D11C4"/>
    <w:rsid w:val="000D14AE"/>
    <w:rsid w:val="000D19C8"/>
    <w:rsid w:val="000D1A6F"/>
    <w:rsid w:val="000D1E51"/>
    <w:rsid w:val="000D3139"/>
    <w:rsid w:val="000D3750"/>
    <w:rsid w:val="000D397E"/>
    <w:rsid w:val="000D4003"/>
    <w:rsid w:val="000D4939"/>
    <w:rsid w:val="000D4BD5"/>
    <w:rsid w:val="000D4ED6"/>
    <w:rsid w:val="000D52EE"/>
    <w:rsid w:val="000D583D"/>
    <w:rsid w:val="000D699A"/>
    <w:rsid w:val="000D710D"/>
    <w:rsid w:val="000D72FE"/>
    <w:rsid w:val="000D7E12"/>
    <w:rsid w:val="000D7F71"/>
    <w:rsid w:val="000E0D38"/>
    <w:rsid w:val="000E0EE8"/>
    <w:rsid w:val="000E247D"/>
    <w:rsid w:val="000E2F12"/>
    <w:rsid w:val="000E301F"/>
    <w:rsid w:val="000E31D2"/>
    <w:rsid w:val="000E386A"/>
    <w:rsid w:val="000E3EF7"/>
    <w:rsid w:val="000E4079"/>
    <w:rsid w:val="000E48E6"/>
    <w:rsid w:val="000E4EDD"/>
    <w:rsid w:val="000E51C2"/>
    <w:rsid w:val="000E52F8"/>
    <w:rsid w:val="000E53A1"/>
    <w:rsid w:val="000E5604"/>
    <w:rsid w:val="000E5BB4"/>
    <w:rsid w:val="000E6A95"/>
    <w:rsid w:val="000E6B2E"/>
    <w:rsid w:val="000E6E4F"/>
    <w:rsid w:val="000E7256"/>
    <w:rsid w:val="000F0806"/>
    <w:rsid w:val="000F1238"/>
    <w:rsid w:val="000F1324"/>
    <w:rsid w:val="000F1483"/>
    <w:rsid w:val="000F19ED"/>
    <w:rsid w:val="000F26AD"/>
    <w:rsid w:val="000F2D33"/>
    <w:rsid w:val="000F3103"/>
    <w:rsid w:val="000F3707"/>
    <w:rsid w:val="000F4E72"/>
    <w:rsid w:val="000F5A74"/>
    <w:rsid w:val="000F5C22"/>
    <w:rsid w:val="000F5C87"/>
    <w:rsid w:val="000F5FFF"/>
    <w:rsid w:val="000F66D0"/>
    <w:rsid w:val="000F74F3"/>
    <w:rsid w:val="000F774E"/>
    <w:rsid w:val="000F78D5"/>
    <w:rsid w:val="000F7A02"/>
    <w:rsid w:val="000F7CEF"/>
    <w:rsid w:val="001005AD"/>
    <w:rsid w:val="00101371"/>
    <w:rsid w:val="00101481"/>
    <w:rsid w:val="00101ABA"/>
    <w:rsid w:val="00101E38"/>
    <w:rsid w:val="00102151"/>
    <w:rsid w:val="00102574"/>
    <w:rsid w:val="001025E6"/>
    <w:rsid w:val="00102649"/>
    <w:rsid w:val="00102C5C"/>
    <w:rsid w:val="001030BD"/>
    <w:rsid w:val="00103447"/>
    <w:rsid w:val="0010359C"/>
    <w:rsid w:val="00104065"/>
    <w:rsid w:val="001043A2"/>
    <w:rsid w:val="00104788"/>
    <w:rsid w:val="001049DA"/>
    <w:rsid w:val="00104E38"/>
    <w:rsid w:val="0010570C"/>
    <w:rsid w:val="00105725"/>
    <w:rsid w:val="00106241"/>
    <w:rsid w:val="0010625B"/>
    <w:rsid w:val="001062C7"/>
    <w:rsid w:val="001063F4"/>
    <w:rsid w:val="00106CAA"/>
    <w:rsid w:val="001070B8"/>
    <w:rsid w:val="00107581"/>
    <w:rsid w:val="0010775F"/>
    <w:rsid w:val="00107CAC"/>
    <w:rsid w:val="00110C78"/>
    <w:rsid w:val="00110D66"/>
    <w:rsid w:val="001110F4"/>
    <w:rsid w:val="00111462"/>
    <w:rsid w:val="0011149F"/>
    <w:rsid w:val="001116D8"/>
    <w:rsid w:val="00112342"/>
    <w:rsid w:val="00112824"/>
    <w:rsid w:val="00112838"/>
    <w:rsid w:val="00112857"/>
    <w:rsid w:val="00113F39"/>
    <w:rsid w:val="0011428D"/>
    <w:rsid w:val="00114463"/>
    <w:rsid w:val="0011491C"/>
    <w:rsid w:val="00114B58"/>
    <w:rsid w:val="00114D26"/>
    <w:rsid w:val="00115486"/>
    <w:rsid w:val="00115650"/>
    <w:rsid w:val="00115980"/>
    <w:rsid w:val="00115EA5"/>
    <w:rsid w:val="00116B42"/>
    <w:rsid w:val="00117329"/>
    <w:rsid w:val="001179C7"/>
    <w:rsid w:val="00117BD0"/>
    <w:rsid w:val="00117CC4"/>
    <w:rsid w:val="001200E6"/>
    <w:rsid w:val="00120A7B"/>
    <w:rsid w:val="00120C7F"/>
    <w:rsid w:val="00121085"/>
    <w:rsid w:val="00121185"/>
    <w:rsid w:val="001223B0"/>
    <w:rsid w:val="001224C2"/>
    <w:rsid w:val="001237CC"/>
    <w:rsid w:val="001239CF"/>
    <w:rsid w:val="00123CC9"/>
    <w:rsid w:val="00123D8F"/>
    <w:rsid w:val="00124598"/>
    <w:rsid w:val="00124707"/>
    <w:rsid w:val="0012492A"/>
    <w:rsid w:val="001251E9"/>
    <w:rsid w:val="001256D7"/>
    <w:rsid w:val="001257D8"/>
    <w:rsid w:val="00125FC4"/>
    <w:rsid w:val="0012724F"/>
    <w:rsid w:val="00130748"/>
    <w:rsid w:val="00130B4A"/>
    <w:rsid w:val="00130B9E"/>
    <w:rsid w:val="00130D1F"/>
    <w:rsid w:val="00130DEB"/>
    <w:rsid w:val="001314F9"/>
    <w:rsid w:val="00131501"/>
    <w:rsid w:val="00131B09"/>
    <w:rsid w:val="00131F7E"/>
    <w:rsid w:val="0013302C"/>
    <w:rsid w:val="001341D7"/>
    <w:rsid w:val="001343A0"/>
    <w:rsid w:val="00134A1A"/>
    <w:rsid w:val="00134EEC"/>
    <w:rsid w:val="001350E3"/>
    <w:rsid w:val="00135173"/>
    <w:rsid w:val="0013687F"/>
    <w:rsid w:val="00136D6B"/>
    <w:rsid w:val="00137270"/>
    <w:rsid w:val="00137375"/>
    <w:rsid w:val="00137574"/>
    <w:rsid w:val="00137589"/>
    <w:rsid w:val="001378C7"/>
    <w:rsid w:val="00137CC9"/>
    <w:rsid w:val="00140118"/>
    <w:rsid w:val="0014042D"/>
    <w:rsid w:val="00140CA0"/>
    <w:rsid w:val="00141308"/>
    <w:rsid w:val="00141605"/>
    <w:rsid w:val="0014161B"/>
    <w:rsid w:val="00141796"/>
    <w:rsid w:val="001421A4"/>
    <w:rsid w:val="001421ED"/>
    <w:rsid w:val="00142476"/>
    <w:rsid w:val="00142D0A"/>
    <w:rsid w:val="001430AB"/>
    <w:rsid w:val="001435A4"/>
    <w:rsid w:val="001437DA"/>
    <w:rsid w:val="00143D49"/>
    <w:rsid w:val="00143EC0"/>
    <w:rsid w:val="001440ED"/>
    <w:rsid w:val="001441D6"/>
    <w:rsid w:val="001442D7"/>
    <w:rsid w:val="00144AC0"/>
    <w:rsid w:val="00144F82"/>
    <w:rsid w:val="00145BFE"/>
    <w:rsid w:val="00145D80"/>
    <w:rsid w:val="001466E0"/>
    <w:rsid w:val="00146AF1"/>
    <w:rsid w:val="00146B95"/>
    <w:rsid w:val="00147091"/>
    <w:rsid w:val="00150819"/>
    <w:rsid w:val="00150A0D"/>
    <w:rsid w:val="00151E0E"/>
    <w:rsid w:val="00151E7D"/>
    <w:rsid w:val="00152585"/>
    <w:rsid w:val="00152687"/>
    <w:rsid w:val="00152B0B"/>
    <w:rsid w:val="0015308A"/>
    <w:rsid w:val="00153600"/>
    <w:rsid w:val="0015473A"/>
    <w:rsid w:val="00154A7F"/>
    <w:rsid w:val="001552A7"/>
    <w:rsid w:val="001564DF"/>
    <w:rsid w:val="00156746"/>
    <w:rsid w:val="00156AAC"/>
    <w:rsid w:val="001572BC"/>
    <w:rsid w:val="00160197"/>
    <w:rsid w:val="00160C97"/>
    <w:rsid w:val="00160FE6"/>
    <w:rsid w:val="00161535"/>
    <w:rsid w:val="001617BC"/>
    <w:rsid w:val="00162A73"/>
    <w:rsid w:val="001632F9"/>
    <w:rsid w:val="00164493"/>
    <w:rsid w:val="00164643"/>
    <w:rsid w:val="0016480D"/>
    <w:rsid w:val="001650CE"/>
    <w:rsid w:val="0016538D"/>
    <w:rsid w:val="00165726"/>
    <w:rsid w:val="00165A89"/>
    <w:rsid w:val="00165A9B"/>
    <w:rsid w:val="00165E2D"/>
    <w:rsid w:val="00165E3C"/>
    <w:rsid w:val="00166187"/>
    <w:rsid w:val="00166395"/>
    <w:rsid w:val="001664B6"/>
    <w:rsid w:val="001672E9"/>
    <w:rsid w:val="00167761"/>
    <w:rsid w:val="00167801"/>
    <w:rsid w:val="0017002A"/>
    <w:rsid w:val="00170548"/>
    <w:rsid w:val="00170A6B"/>
    <w:rsid w:val="00170D0A"/>
    <w:rsid w:val="00170F50"/>
    <w:rsid w:val="00171221"/>
    <w:rsid w:val="0017148F"/>
    <w:rsid w:val="00171A7A"/>
    <w:rsid w:val="00171A8E"/>
    <w:rsid w:val="00172278"/>
    <w:rsid w:val="0017232F"/>
    <w:rsid w:val="0017261B"/>
    <w:rsid w:val="0017280B"/>
    <w:rsid w:val="001728EE"/>
    <w:rsid w:val="00172A6C"/>
    <w:rsid w:val="00172CE9"/>
    <w:rsid w:val="00172D07"/>
    <w:rsid w:val="0017322A"/>
    <w:rsid w:val="00173318"/>
    <w:rsid w:val="001735B9"/>
    <w:rsid w:val="0017379D"/>
    <w:rsid w:val="00173CAF"/>
    <w:rsid w:val="00174059"/>
    <w:rsid w:val="00174263"/>
    <w:rsid w:val="00174806"/>
    <w:rsid w:val="00174AED"/>
    <w:rsid w:val="00174C85"/>
    <w:rsid w:val="00174EE6"/>
    <w:rsid w:val="0017556B"/>
    <w:rsid w:val="00176184"/>
    <w:rsid w:val="0017630C"/>
    <w:rsid w:val="001765EC"/>
    <w:rsid w:val="0017717C"/>
    <w:rsid w:val="001771BB"/>
    <w:rsid w:val="00177B14"/>
    <w:rsid w:val="00177CB9"/>
    <w:rsid w:val="00180626"/>
    <w:rsid w:val="0018072A"/>
    <w:rsid w:val="001809E5"/>
    <w:rsid w:val="00180D22"/>
    <w:rsid w:val="00181105"/>
    <w:rsid w:val="00181349"/>
    <w:rsid w:val="0018238D"/>
    <w:rsid w:val="001823F0"/>
    <w:rsid w:val="0018265C"/>
    <w:rsid w:val="00182ABD"/>
    <w:rsid w:val="001836E2"/>
    <w:rsid w:val="001839DE"/>
    <w:rsid w:val="00184069"/>
    <w:rsid w:val="001842CA"/>
    <w:rsid w:val="001846AB"/>
    <w:rsid w:val="00184D6C"/>
    <w:rsid w:val="00184FF1"/>
    <w:rsid w:val="00185A88"/>
    <w:rsid w:val="00185CD9"/>
    <w:rsid w:val="001862E7"/>
    <w:rsid w:val="0018674C"/>
    <w:rsid w:val="001877BF"/>
    <w:rsid w:val="00187BC2"/>
    <w:rsid w:val="00187F1B"/>
    <w:rsid w:val="00190029"/>
    <w:rsid w:val="00190075"/>
    <w:rsid w:val="00190261"/>
    <w:rsid w:val="0019072C"/>
    <w:rsid w:val="00190A9F"/>
    <w:rsid w:val="00190B8B"/>
    <w:rsid w:val="00190E2A"/>
    <w:rsid w:val="00191385"/>
    <w:rsid w:val="0019210A"/>
    <w:rsid w:val="00192EA5"/>
    <w:rsid w:val="001933FB"/>
    <w:rsid w:val="001936B7"/>
    <w:rsid w:val="00193FDE"/>
    <w:rsid w:val="00194681"/>
    <w:rsid w:val="00194A97"/>
    <w:rsid w:val="00194D02"/>
    <w:rsid w:val="00195004"/>
    <w:rsid w:val="00195135"/>
    <w:rsid w:val="001951BA"/>
    <w:rsid w:val="0019568F"/>
    <w:rsid w:val="00195F84"/>
    <w:rsid w:val="0019620B"/>
    <w:rsid w:val="00196217"/>
    <w:rsid w:val="001969BC"/>
    <w:rsid w:val="00196A9D"/>
    <w:rsid w:val="001976F0"/>
    <w:rsid w:val="001977BB"/>
    <w:rsid w:val="001A025E"/>
    <w:rsid w:val="001A0C10"/>
    <w:rsid w:val="001A17DA"/>
    <w:rsid w:val="001A1D6F"/>
    <w:rsid w:val="001A1DC4"/>
    <w:rsid w:val="001A2371"/>
    <w:rsid w:val="001A28A9"/>
    <w:rsid w:val="001A2D96"/>
    <w:rsid w:val="001A2E67"/>
    <w:rsid w:val="001A3137"/>
    <w:rsid w:val="001A32A8"/>
    <w:rsid w:val="001A3AC8"/>
    <w:rsid w:val="001A400E"/>
    <w:rsid w:val="001A4639"/>
    <w:rsid w:val="001A4B3F"/>
    <w:rsid w:val="001A4C58"/>
    <w:rsid w:val="001A5065"/>
    <w:rsid w:val="001A546D"/>
    <w:rsid w:val="001A574E"/>
    <w:rsid w:val="001A7BF4"/>
    <w:rsid w:val="001B02FF"/>
    <w:rsid w:val="001B13D0"/>
    <w:rsid w:val="001B19F0"/>
    <w:rsid w:val="001B1B12"/>
    <w:rsid w:val="001B1EF2"/>
    <w:rsid w:val="001B1F37"/>
    <w:rsid w:val="001B2830"/>
    <w:rsid w:val="001B2B76"/>
    <w:rsid w:val="001B2E38"/>
    <w:rsid w:val="001B349A"/>
    <w:rsid w:val="001B379E"/>
    <w:rsid w:val="001B3BEA"/>
    <w:rsid w:val="001B4793"/>
    <w:rsid w:val="001B4851"/>
    <w:rsid w:val="001B4EC6"/>
    <w:rsid w:val="001B55B6"/>
    <w:rsid w:val="001B55CD"/>
    <w:rsid w:val="001B621D"/>
    <w:rsid w:val="001B65AD"/>
    <w:rsid w:val="001B6684"/>
    <w:rsid w:val="001B69A3"/>
    <w:rsid w:val="001B7451"/>
    <w:rsid w:val="001B7B76"/>
    <w:rsid w:val="001B7D21"/>
    <w:rsid w:val="001C01A4"/>
    <w:rsid w:val="001C05DF"/>
    <w:rsid w:val="001C07EA"/>
    <w:rsid w:val="001C0CC0"/>
    <w:rsid w:val="001C1ABB"/>
    <w:rsid w:val="001C25BB"/>
    <w:rsid w:val="001C2982"/>
    <w:rsid w:val="001C2A7E"/>
    <w:rsid w:val="001C2E19"/>
    <w:rsid w:val="001C2E51"/>
    <w:rsid w:val="001C2F98"/>
    <w:rsid w:val="001C344D"/>
    <w:rsid w:val="001C3C9A"/>
    <w:rsid w:val="001C480D"/>
    <w:rsid w:val="001C4C30"/>
    <w:rsid w:val="001C4F06"/>
    <w:rsid w:val="001C51C3"/>
    <w:rsid w:val="001C5BB2"/>
    <w:rsid w:val="001C76F0"/>
    <w:rsid w:val="001C771D"/>
    <w:rsid w:val="001C7CE7"/>
    <w:rsid w:val="001D1889"/>
    <w:rsid w:val="001D1D88"/>
    <w:rsid w:val="001D1D9A"/>
    <w:rsid w:val="001D21E8"/>
    <w:rsid w:val="001D347F"/>
    <w:rsid w:val="001D358B"/>
    <w:rsid w:val="001D3AB4"/>
    <w:rsid w:val="001D3E6F"/>
    <w:rsid w:val="001D4CCF"/>
    <w:rsid w:val="001D58FF"/>
    <w:rsid w:val="001D5E40"/>
    <w:rsid w:val="001D60AD"/>
    <w:rsid w:val="001D6448"/>
    <w:rsid w:val="001D6531"/>
    <w:rsid w:val="001D69D3"/>
    <w:rsid w:val="001D6EB9"/>
    <w:rsid w:val="001E23AD"/>
    <w:rsid w:val="001E2B41"/>
    <w:rsid w:val="001E2CF4"/>
    <w:rsid w:val="001E34B3"/>
    <w:rsid w:val="001E35BA"/>
    <w:rsid w:val="001E3D48"/>
    <w:rsid w:val="001E4003"/>
    <w:rsid w:val="001E4739"/>
    <w:rsid w:val="001E4779"/>
    <w:rsid w:val="001E4CDB"/>
    <w:rsid w:val="001E540D"/>
    <w:rsid w:val="001E5B56"/>
    <w:rsid w:val="001E5CD8"/>
    <w:rsid w:val="001E5EB2"/>
    <w:rsid w:val="001E61A4"/>
    <w:rsid w:val="001E639A"/>
    <w:rsid w:val="001E6554"/>
    <w:rsid w:val="001E6773"/>
    <w:rsid w:val="001E69F7"/>
    <w:rsid w:val="001E6BE7"/>
    <w:rsid w:val="001E7104"/>
    <w:rsid w:val="001E7346"/>
    <w:rsid w:val="001E7826"/>
    <w:rsid w:val="001E7834"/>
    <w:rsid w:val="001E78D5"/>
    <w:rsid w:val="001E7C1B"/>
    <w:rsid w:val="001E7DD2"/>
    <w:rsid w:val="001E7EDD"/>
    <w:rsid w:val="001F0641"/>
    <w:rsid w:val="001F0C86"/>
    <w:rsid w:val="001F15BF"/>
    <w:rsid w:val="001F16C5"/>
    <w:rsid w:val="001F1C8D"/>
    <w:rsid w:val="001F1F1F"/>
    <w:rsid w:val="001F214D"/>
    <w:rsid w:val="001F2BC6"/>
    <w:rsid w:val="001F3088"/>
    <w:rsid w:val="001F48CD"/>
    <w:rsid w:val="001F5732"/>
    <w:rsid w:val="001F589B"/>
    <w:rsid w:val="001F5A60"/>
    <w:rsid w:val="001F6993"/>
    <w:rsid w:val="001F6A24"/>
    <w:rsid w:val="001F6D7F"/>
    <w:rsid w:val="001F7089"/>
    <w:rsid w:val="001F7C89"/>
    <w:rsid w:val="00200496"/>
    <w:rsid w:val="002005A1"/>
    <w:rsid w:val="00200A23"/>
    <w:rsid w:val="00200B22"/>
    <w:rsid w:val="00200E80"/>
    <w:rsid w:val="002010D2"/>
    <w:rsid w:val="0020177E"/>
    <w:rsid w:val="0020287B"/>
    <w:rsid w:val="00202895"/>
    <w:rsid w:val="002028C0"/>
    <w:rsid w:val="00202E1F"/>
    <w:rsid w:val="00203026"/>
    <w:rsid w:val="00203B1C"/>
    <w:rsid w:val="00203B26"/>
    <w:rsid w:val="002048A6"/>
    <w:rsid w:val="00204CD4"/>
    <w:rsid w:val="002051BD"/>
    <w:rsid w:val="002051CA"/>
    <w:rsid w:val="00205238"/>
    <w:rsid w:val="00205874"/>
    <w:rsid w:val="00205C94"/>
    <w:rsid w:val="00205CED"/>
    <w:rsid w:val="00206050"/>
    <w:rsid w:val="002060C5"/>
    <w:rsid w:val="002062DC"/>
    <w:rsid w:val="00206769"/>
    <w:rsid w:val="002068B1"/>
    <w:rsid w:val="00207210"/>
    <w:rsid w:val="002074CB"/>
    <w:rsid w:val="002100F4"/>
    <w:rsid w:val="00210323"/>
    <w:rsid w:val="002114D5"/>
    <w:rsid w:val="00211981"/>
    <w:rsid w:val="00211BB6"/>
    <w:rsid w:val="00212314"/>
    <w:rsid w:val="00213617"/>
    <w:rsid w:val="00213E55"/>
    <w:rsid w:val="00214274"/>
    <w:rsid w:val="0021434E"/>
    <w:rsid w:val="00214B1B"/>
    <w:rsid w:val="00214BBF"/>
    <w:rsid w:val="00215152"/>
    <w:rsid w:val="002155CE"/>
    <w:rsid w:val="002158E8"/>
    <w:rsid w:val="00215A47"/>
    <w:rsid w:val="00215AB9"/>
    <w:rsid w:val="00215FF5"/>
    <w:rsid w:val="0021631A"/>
    <w:rsid w:val="002169D2"/>
    <w:rsid w:val="00216C19"/>
    <w:rsid w:val="00216CC1"/>
    <w:rsid w:val="00217A20"/>
    <w:rsid w:val="00220040"/>
    <w:rsid w:val="0022045E"/>
    <w:rsid w:val="00220757"/>
    <w:rsid w:val="002215EA"/>
    <w:rsid w:val="00221888"/>
    <w:rsid w:val="00221B51"/>
    <w:rsid w:val="002224C9"/>
    <w:rsid w:val="0022281D"/>
    <w:rsid w:val="00222A3F"/>
    <w:rsid w:val="00223160"/>
    <w:rsid w:val="002235BD"/>
    <w:rsid w:val="00223A22"/>
    <w:rsid w:val="00223BB9"/>
    <w:rsid w:val="00223C17"/>
    <w:rsid w:val="00223E60"/>
    <w:rsid w:val="00224227"/>
    <w:rsid w:val="00224B0D"/>
    <w:rsid w:val="00224C5C"/>
    <w:rsid w:val="0022500A"/>
    <w:rsid w:val="0022566A"/>
    <w:rsid w:val="00225AE3"/>
    <w:rsid w:val="00225C16"/>
    <w:rsid w:val="002261B6"/>
    <w:rsid w:val="00226344"/>
    <w:rsid w:val="00226726"/>
    <w:rsid w:val="00227733"/>
    <w:rsid w:val="002279A9"/>
    <w:rsid w:val="00227D5A"/>
    <w:rsid w:val="00227E9F"/>
    <w:rsid w:val="00230111"/>
    <w:rsid w:val="0023037B"/>
    <w:rsid w:val="0023054A"/>
    <w:rsid w:val="00230614"/>
    <w:rsid w:val="002308DC"/>
    <w:rsid w:val="00230B89"/>
    <w:rsid w:val="0023282D"/>
    <w:rsid w:val="00232D7F"/>
    <w:rsid w:val="00233046"/>
    <w:rsid w:val="00234E1C"/>
    <w:rsid w:val="00234EDA"/>
    <w:rsid w:val="00235466"/>
    <w:rsid w:val="0023560A"/>
    <w:rsid w:val="00236044"/>
    <w:rsid w:val="00236156"/>
    <w:rsid w:val="002369F4"/>
    <w:rsid w:val="002400C4"/>
    <w:rsid w:val="00240B4A"/>
    <w:rsid w:val="00240BA3"/>
    <w:rsid w:val="00240DAE"/>
    <w:rsid w:val="00240EF2"/>
    <w:rsid w:val="00241292"/>
    <w:rsid w:val="002418A7"/>
    <w:rsid w:val="00241970"/>
    <w:rsid w:val="00241C00"/>
    <w:rsid w:val="00241EB1"/>
    <w:rsid w:val="00242926"/>
    <w:rsid w:val="002431D7"/>
    <w:rsid w:val="00243AC8"/>
    <w:rsid w:val="002446E2"/>
    <w:rsid w:val="0024518C"/>
    <w:rsid w:val="00245E07"/>
    <w:rsid w:val="00245F76"/>
    <w:rsid w:val="00246283"/>
    <w:rsid w:val="002462DA"/>
    <w:rsid w:val="00246362"/>
    <w:rsid w:val="00247A03"/>
    <w:rsid w:val="002502EC"/>
    <w:rsid w:val="002505AF"/>
    <w:rsid w:val="0025090E"/>
    <w:rsid w:val="00250982"/>
    <w:rsid w:val="00251F21"/>
    <w:rsid w:val="00252111"/>
    <w:rsid w:val="00252A58"/>
    <w:rsid w:val="00253106"/>
    <w:rsid w:val="0025324B"/>
    <w:rsid w:val="00253491"/>
    <w:rsid w:val="00253894"/>
    <w:rsid w:val="00253AAE"/>
    <w:rsid w:val="00253CA1"/>
    <w:rsid w:val="002545B5"/>
    <w:rsid w:val="00254F5C"/>
    <w:rsid w:val="002552A2"/>
    <w:rsid w:val="002554E1"/>
    <w:rsid w:val="002564FC"/>
    <w:rsid w:val="00256E2D"/>
    <w:rsid w:val="002576DD"/>
    <w:rsid w:val="002600AC"/>
    <w:rsid w:val="0026067B"/>
    <w:rsid w:val="00260C01"/>
    <w:rsid w:val="0026128F"/>
    <w:rsid w:val="00261E98"/>
    <w:rsid w:val="0026216A"/>
    <w:rsid w:val="00262719"/>
    <w:rsid w:val="00263342"/>
    <w:rsid w:val="0026368C"/>
    <w:rsid w:val="00263867"/>
    <w:rsid w:val="00264237"/>
    <w:rsid w:val="00264767"/>
    <w:rsid w:val="0026488C"/>
    <w:rsid w:val="002650B1"/>
    <w:rsid w:val="00265421"/>
    <w:rsid w:val="002657AB"/>
    <w:rsid w:val="00265E08"/>
    <w:rsid w:val="00265FA2"/>
    <w:rsid w:val="002660B7"/>
    <w:rsid w:val="002666F8"/>
    <w:rsid w:val="00266754"/>
    <w:rsid w:val="002668E2"/>
    <w:rsid w:val="00266C8A"/>
    <w:rsid w:val="00267131"/>
    <w:rsid w:val="0026784A"/>
    <w:rsid w:val="00267BD1"/>
    <w:rsid w:val="00267FD9"/>
    <w:rsid w:val="00270975"/>
    <w:rsid w:val="002709B0"/>
    <w:rsid w:val="00270C75"/>
    <w:rsid w:val="00271F81"/>
    <w:rsid w:val="002726AB"/>
    <w:rsid w:val="00272F50"/>
    <w:rsid w:val="0027360B"/>
    <w:rsid w:val="00273A6F"/>
    <w:rsid w:val="00273D41"/>
    <w:rsid w:val="00274D77"/>
    <w:rsid w:val="00275106"/>
    <w:rsid w:val="0027627F"/>
    <w:rsid w:val="00276F8C"/>
    <w:rsid w:val="00277278"/>
    <w:rsid w:val="00277E3F"/>
    <w:rsid w:val="002802DF"/>
    <w:rsid w:val="00280A9D"/>
    <w:rsid w:val="00280ED9"/>
    <w:rsid w:val="00280FC0"/>
    <w:rsid w:val="0028126B"/>
    <w:rsid w:val="00281C39"/>
    <w:rsid w:val="0028225A"/>
    <w:rsid w:val="002822CE"/>
    <w:rsid w:val="002824B7"/>
    <w:rsid w:val="00282775"/>
    <w:rsid w:val="00282EA5"/>
    <w:rsid w:val="00282ECA"/>
    <w:rsid w:val="0028333E"/>
    <w:rsid w:val="00283383"/>
    <w:rsid w:val="002836CC"/>
    <w:rsid w:val="002838E9"/>
    <w:rsid w:val="00284B84"/>
    <w:rsid w:val="00284B9C"/>
    <w:rsid w:val="00284F0F"/>
    <w:rsid w:val="00285038"/>
    <w:rsid w:val="00285763"/>
    <w:rsid w:val="002861B0"/>
    <w:rsid w:val="00286978"/>
    <w:rsid w:val="00286B92"/>
    <w:rsid w:val="0028748B"/>
    <w:rsid w:val="002878DF"/>
    <w:rsid w:val="00287D7B"/>
    <w:rsid w:val="00290650"/>
    <w:rsid w:val="00291052"/>
    <w:rsid w:val="002919E5"/>
    <w:rsid w:val="00291E04"/>
    <w:rsid w:val="0029210F"/>
    <w:rsid w:val="00292122"/>
    <w:rsid w:val="00292470"/>
    <w:rsid w:val="0029265B"/>
    <w:rsid w:val="002932E5"/>
    <w:rsid w:val="0029350B"/>
    <w:rsid w:val="00293948"/>
    <w:rsid w:val="002941AC"/>
    <w:rsid w:val="00294BFA"/>
    <w:rsid w:val="00294FD2"/>
    <w:rsid w:val="002952D7"/>
    <w:rsid w:val="0029555C"/>
    <w:rsid w:val="0029581E"/>
    <w:rsid w:val="002959BD"/>
    <w:rsid w:val="00295A86"/>
    <w:rsid w:val="00296073"/>
    <w:rsid w:val="0029675F"/>
    <w:rsid w:val="00296A57"/>
    <w:rsid w:val="002971E2"/>
    <w:rsid w:val="002972BD"/>
    <w:rsid w:val="00297656"/>
    <w:rsid w:val="002A0AA6"/>
    <w:rsid w:val="002A0D41"/>
    <w:rsid w:val="002A1543"/>
    <w:rsid w:val="002A18CB"/>
    <w:rsid w:val="002A19E0"/>
    <w:rsid w:val="002A213E"/>
    <w:rsid w:val="002A2D2A"/>
    <w:rsid w:val="002A2E8B"/>
    <w:rsid w:val="002A31D8"/>
    <w:rsid w:val="002A33CC"/>
    <w:rsid w:val="002A3A4F"/>
    <w:rsid w:val="002A3BBD"/>
    <w:rsid w:val="002A3E26"/>
    <w:rsid w:val="002A40DB"/>
    <w:rsid w:val="002A455E"/>
    <w:rsid w:val="002A50AA"/>
    <w:rsid w:val="002A5A7F"/>
    <w:rsid w:val="002A5BAA"/>
    <w:rsid w:val="002A6626"/>
    <w:rsid w:val="002A6B6C"/>
    <w:rsid w:val="002A6D62"/>
    <w:rsid w:val="002A700D"/>
    <w:rsid w:val="002A770C"/>
    <w:rsid w:val="002B0065"/>
    <w:rsid w:val="002B03FA"/>
    <w:rsid w:val="002B194A"/>
    <w:rsid w:val="002B1D82"/>
    <w:rsid w:val="002B2E02"/>
    <w:rsid w:val="002B36EB"/>
    <w:rsid w:val="002B3777"/>
    <w:rsid w:val="002B3FEE"/>
    <w:rsid w:val="002B4244"/>
    <w:rsid w:val="002B4557"/>
    <w:rsid w:val="002B49F1"/>
    <w:rsid w:val="002B4A0D"/>
    <w:rsid w:val="002B4CC1"/>
    <w:rsid w:val="002B4D5E"/>
    <w:rsid w:val="002B4F89"/>
    <w:rsid w:val="002B5967"/>
    <w:rsid w:val="002B5ED9"/>
    <w:rsid w:val="002B60A9"/>
    <w:rsid w:val="002B61A8"/>
    <w:rsid w:val="002B6A79"/>
    <w:rsid w:val="002B6CD1"/>
    <w:rsid w:val="002B6E22"/>
    <w:rsid w:val="002B739B"/>
    <w:rsid w:val="002B7768"/>
    <w:rsid w:val="002C040A"/>
    <w:rsid w:val="002C0B3A"/>
    <w:rsid w:val="002C0B87"/>
    <w:rsid w:val="002C1FBC"/>
    <w:rsid w:val="002C2069"/>
    <w:rsid w:val="002C23B9"/>
    <w:rsid w:val="002C23F0"/>
    <w:rsid w:val="002C25AA"/>
    <w:rsid w:val="002C2CE3"/>
    <w:rsid w:val="002C3025"/>
    <w:rsid w:val="002C33CA"/>
    <w:rsid w:val="002C447F"/>
    <w:rsid w:val="002C44DE"/>
    <w:rsid w:val="002C46CD"/>
    <w:rsid w:val="002C4BD3"/>
    <w:rsid w:val="002C4DD9"/>
    <w:rsid w:val="002C541A"/>
    <w:rsid w:val="002C558C"/>
    <w:rsid w:val="002C56EF"/>
    <w:rsid w:val="002C5CBC"/>
    <w:rsid w:val="002C6881"/>
    <w:rsid w:val="002C7268"/>
    <w:rsid w:val="002C742D"/>
    <w:rsid w:val="002C77CA"/>
    <w:rsid w:val="002C78B4"/>
    <w:rsid w:val="002C7DAD"/>
    <w:rsid w:val="002C7F62"/>
    <w:rsid w:val="002D007F"/>
    <w:rsid w:val="002D00B6"/>
    <w:rsid w:val="002D0116"/>
    <w:rsid w:val="002D040A"/>
    <w:rsid w:val="002D075D"/>
    <w:rsid w:val="002D130E"/>
    <w:rsid w:val="002D174B"/>
    <w:rsid w:val="002D1A83"/>
    <w:rsid w:val="002D2037"/>
    <w:rsid w:val="002D2070"/>
    <w:rsid w:val="002D210E"/>
    <w:rsid w:val="002D26E1"/>
    <w:rsid w:val="002D2803"/>
    <w:rsid w:val="002D2C78"/>
    <w:rsid w:val="002D30EC"/>
    <w:rsid w:val="002D32E0"/>
    <w:rsid w:val="002D3A96"/>
    <w:rsid w:val="002D3B6E"/>
    <w:rsid w:val="002D3BBE"/>
    <w:rsid w:val="002D3F16"/>
    <w:rsid w:val="002D40C5"/>
    <w:rsid w:val="002D48F6"/>
    <w:rsid w:val="002D4B71"/>
    <w:rsid w:val="002D6C4E"/>
    <w:rsid w:val="002D6F9F"/>
    <w:rsid w:val="002D6FD7"/>
    <w:rsid w:val="002D7672"/>
    <w:rsid w:val="002D7930"/>
    <w:rsid w:val="002E0321"/>
    <w:rsid w:val="002E0C81"/>
    <w:rsid w:val="002E1319"/>
    <w:rsid w:val="002E197B"/>
    <w:rsid w:val="002E2A27"/>
    <w:rsid w:val="002E2A3F"/>
    <w:rsid w:val="002E2E1D"/>
    <w:rsid w:val="002E30EA"/>
    <w:rsid w:val="002E33D5"/>
    <w:rsid w:val="002E346B"/>
    <w:rsid w:val="002E3E50"/>
    <w:rsid w:val="002E406F"/>
    <w:rsid w:val="002E4226"/>
    <w:rsid w:val="002E42DE"/>
    <w:rsid w:val="002E4690"/>
    <w:rsid w:val="002E5191"/>
    <w:rsid w:val="002E52FB"/>
    <w:rsid w:val="002E5341"/>
    <w:rsid w:val="002E612D"/>
    <w:rsid w:val="002E62BE"/>
    <w:rsid w:val="002E6A33"/>
    <w:rsid w:val="002E6E6D"/>
    <w:rsid w:val="002E70EC"/>
    <w:rsid w:val="002E71C5"/>
    <w:rsid w:val="002E742D"/>
    <w:rsid w:val="002E7DB5"/>
    <w:rsid w:val="002F03D7"/>
    <w:rsid w:val="002F150A"/>
    <w:rsid w:val="002F177C"/>
    <w:rsid w:val="002F1A67"/>
    <w:rsid w:val="002F1E24"/>
    <w:rsid w:val="002F20FC"/>
    <w:rsid w:val="002F25EA"/>
    <w:rsid w:val="002F3ADB"/>
    <w:rsid w:val="002F3BD6"/>
    <w:rsid w:val="002F3C2A"/>
    <w:rsid w:val="002F4107"/>
    <w:rsid w:val="002F4539"/>
    <w:rsid w:val="002F4A3E"/>
    <w:rsid w:val="002F4C64"/>
    <w:rsid w:val="002F4F8B"/>
    <w:rsid w:val="002F53BF"/>
    <w:rsid w:val="002F543D"/>
    <w:rsid w:val="002F6310"/>
    <w:rsid w:val="002F655A"/>
    <w:rsid w:val="002F65E8"/>
    <w:rsid w:val="002F67C6"/>
    <w:rsid w:val="002F6A8B"/>
    <w:rsid w:val="002F70E0"/>
    <w:rsid w:val="002F7D6B"/>
    <w:rsid w:val="002F7EFD"/>
    <w:rsid w:val="00300E7B"/>
    <w:rsid w:val="00301932"/>
    <w:rsid w:val="00301B23"/>
    <w:rsid w:val="00302133"/>
    <w:rsid w:val="003024FA"/>
    <w:rsid w:val="00303339"/>
    <w:rsid w:val="00303382"/>
    <w:rsid w:val="0030370D"/>
    <w:rsid w:val="00303CDC"/>
    <w:rsid w:val="00304042"/>
    <w:rsid w:val="003049F9"/>
    <w:rsid w:val="00304C43"/>
    <w:rsid w:val="00305273"/>
    <w:rsid w:val="003053FB"/>
    <w:rsid w:val="00305C32"/>
    <w:rsid w:val="00305E27"/>
    <w:rsid w:val="00305ED9"/>
    <w:rsid w:val="00306163"/>
    <w:rsid w:val="003072CA"/>
    <w:rsid w:val="0030738A"/>
    <w:rsid w:val="00310601"/>
    <w:rsid w:val="00310D29"/>
    <w:rsid w:val="0031109B"/>
    <w:rsid w:val="003110E2"/>
    <w:rsid w:val="0031138D"/>
    <w:rsid w:val="003117FD"/>
    <w:rsid w:val="0031193E"/>
    <w:rsid w:val="00311C75"/>
    <w:rsid w:val="00312368"/>
    <w:rsid w:val="003124AB"/>
    <w:rsid w:val="003127A6"/>
    <w:rsid w:val="00312841"/>
    <w:rsid w:val="0031394E"/>
    <w:rsid w:val="00313A65"/>
    <w:rsid w:val="003140B7"/>
    <w:rsid w:val="0031436E"/>
    <w:rsid w:val="003147BD"/>
    <w:rsid w:val="00314AAC"/>
    <w:rsid w:val="00314C98"/>
    <w:rsid w:val="0031509D"/>
    <w:rsid w:val="003151A1"/>
    <w:rsid w:val="00315ADA"/>
    <w:rsid w:val="00315B9C"/>
    <w:rsid w:val="0031632A"/>
    <w:rsid w:val="00316395"/>
    <w:rsid w:val="00316B1F"/>
    <w:rsid w:val="003170DD"/>
    <w:rsid w:val="0031755F"/>
    <w:rsid w:val="0031764C"/>
    <w:rsid w:val="0031789E"/>
    <w:rsid w:val="0032030C"/>
    <w:rsid w:val="00320465"/>
    <w:rsid w:val="00320670"/>
    <w:rsid w:val="00320907"/>
    <w:rsid w:val="00320B05"/>
    <w:rsid w:val="00321F8E"/>
    <w:rsid w:val="003223C5"/>
    <w:rsid w:val="003228B8"/>
    <w:rsid w:val="00322B08"/>
    <w:rsid w:val="0032374B"/>
    <w:rsid w:val="0032400F"/>
    <w:rsid w:val="00324331"/>
    <w:rsid w:val="00324856"/>
    <w:rsid w:val="00324CA3"/>
    <w:rsid w:val="0032544E"/>
    <w:rsid w:val="0032562E"/>
    <w:rsid w:val="00325ABD"/>
    <w:rsid w:val="003264A9"/>
    <w:rsid w:val="00326F9E"/>
    <w:rsid w:val="00327776"/>
    <w:rsid w:val="00327DB3"/>
    <w:rsid w:val="00327F91"/>
    <w:rsid w:val="003301DA"/>
    <w:rsid w:val="003302FE"/>
    <w:rsid w:val="003304D8"/>
    <w:rsid w:val="003305BA"/>
    <w:rsid w:val="0033062B"/>
    <w:rsid w:val="00330E18"/>
    <w:rsid w:val="003311F8"/>
    <w:rsid w:val="003314C4"/>
    <w:rsid w:val="00331B3B"/>
    <w:rsid w:val="00331C73"/>
    <w:rsid w:val="00331EA4"/>
    <w:rsid w:val="0033208E"/>
    <w:rsid w:val="003328B1"/>
    <w:rsid w:val="00332990"/>
    <w:rsid w:val="00332E33"/>
    <w:rsid w:val="003331E1"/>
    <w:rsid w:val="003349CB"/>
    <w:rsid w:val="00334A27"/>
    <w:rsid w:val="003355BB"/>
    <w:rsid w:val="0033588F"/>
    <w:rsid w:val="00335966"/>
    <w:rsid w:val="00336061"/>
    <w:rsid w:val="00336A8B"/>
    <w:rsid w:val="0033758D"/>
    <w:rsid w:val="00337611"/>
    <w:rsid w:val="00337DAB"/>
    <w:rsid w:val="00340446"/>
    <w:rsid w:val="00340DB2"/>
    <w:rsid w:val="0034168D"/>
    <w:rsid w:val="00341A0F"/>
    <w:rsid w:val="00341E3B"/>
    <w:rsid w:val="00342312"/>
    <w:rsid w:val="003428B4"/>
    <w:rsid w:val="00342C41"/>
    <w:rsid w:val="00342E06"/>
    <w:rsid w:val="00343032"/>
    <w:rsid w:val="003435C0"/>
    <w:rsid w:val="00343F69"/>
    <w:rsid w:val="00344076"/>
    <w:rsid w:val="003444D3"/>
    <w:rsid w:val="00344B19"/>
    <w:rsid w:val="00345084"/>
    <w:rsid w:val="00345927"/>
    <w:rsid w:val="00345999"/>
    <w:rsid w:val="00345A99"/>
    <w:rsid w:val="00346520"/>
    <w:rsid w:val="003468B6"/>
    <w:rsid w:val="00346A1E"/>
    <w:rsid w:val="00347063"/>
    <w:rsid w:val="00347112"/>
    <w:rsid w:val="0035037F"/>
    <w:rsid w:val="003503B4"/>
    <w:rsid w:val="003504F1"/>
    <w:rsid w:val="0035070C"/>
    <w:rsid w:val="00350712"/>
    <w:rsid w:val="00350AE2"/>
    <w:rsid w:val="00350C65"/>
    <w:rsid w:val="00351874"/>
    <w:rsid w:val="00352245"/>
    <w:rsid w:val="00352666"/>
    <w:rsid w:val="00352CE4"/>
    <w:rsid w:val="00352E14"/>
    <w:rsid w:val="0035352D"/>
    <w:rsid w:val="00353E39"/>
    <w:rsid w:val="00354338"/>
    <w:rsid w:val="00354563"/>
    <w:rsid w:val="0035468A"/>
    <w:rsid w:val="003549DA"/>
    <w:rsid w:val="00354AF7"/>
    <w:rsid w:val="0035536D"/>
    <w:rsid w:val="003554A7"/>
    <w:rsid w:val="00355C3B"/>
    <w:rsid w:val="0035631D"/>
    <w:rsid w:val="00356372"/>
    <w:rsid w:val="00357003"/>
    <w:rsid w:val="00357F7C"/>
    <w:rsid w:val="00360092"/>
    <w:rsid w:val="003600F5"/>
    <w:rsid w:val="003602E7"/>
    <w:rsid w:val="003608A6"/>
    <w:rsid w:val="00360931"/>
    <w:rsid w:val="00360DFC"/>
    <w:rsid w:val="00360EEA"/>
    <w:rsid w:val="00360F37"/>
    <w:rsid w:val="00360F4D"/>
    <w:rsid w:val="00361251"/>
    <w:rsid w:val="00361B49"/>
    <w:rsid w:val="00361F4F"/>
    <w:rsid w:val="00362076"/>
    <w:rsid w:val="0036232B"/>
    <w:rsid w:val="00363316"/>
    <w:rsid w:val="0036340E"/>
    <w:rsid w:val="00363A42"/>
    <w:rsid w:val="00363AC3"/>
    <w:rsid w:val="003644F9"/>
    <w:rsid w:val="00364C67"/>
    <w:rsid w:val="003651AE"/>
    <w:rsid w:val="00365952"/>
    <w:rsid w:val="00365D14"/>
    <w:rsid w:val="0036612B"/>
    <w:rsid w:val="00366840"/>
    <w:rsid w:val="00366AFF"/>
    <w:rsid w:val="00366FD1"/>
    <w:rsid w:val="00367472"/>
    <w:rsid w:val="0036796D"/>
    <w:rsid w:val="00367995"/>
    <w:rsid w:val="003700E0"/>
    <w:rsid w:val="003705E8"/>
    <w:rsid w:val="00370A5C"/>
    <w:rsid w:val="00370E83"/>
    <w:rsid w:val="0037168F"/>
    <w:rsid w:val="003719CE"/>
    <w:rsid w:val="00371A8C"/>
    <w:rsid w:val="00371DD3"/>
    <w:rsid w:val="003729A6"/>
    <w:rsid w:val="00373065"/>
    <w:rsid w:val="00374687"/>
    <w:rsid w:val="00374A77"/>
    <w:rsid w:val="003758F7"/>
    <w:rsid w:val="003765DF"/>
    <w:rsid w:val="0037661B"/>
    <w:rsid w:val="00376BAF"/>
    <w:rsid w:val="00376F7D"/>
    <w:rsid w:val="00377440"/>
    <w:rsid w:val="00377CEC"/>
    <w:rsid w:val="00377EB4"/>
    <w:rsid w:val="0038074F"/>
    <w:rsid w:val="00380A8F"/>
    <w:rsid w:val="00380D5B"/>
    <w:rsid w:val="00381D24"/>
    <w:rsid w:val="00381DB9"/>
    <w:rsid w:val="0038230A"/>
    <w:rsid w:val="00382818"/>
    <w:rsid w:val="00383549"/>
    <w:rsid w:val="00383C45"/>
    <w:rsid w:val="003842B9"/>
    <w:rsid w:val="00384394"/>
    <w:rsid w:val="00384780"/>
    <w:rsid w:val="00384FAE"/>
    <w:rsid w:val="0038574C"/>
    <w:rsid w:val="00386327"/>
    <w:rsid w:val="003863E1"/>
    <w:rsid w:val="00386BF7"/>
    <w:rsid w:val="003871F8"/>
    <w:rsid w:val="00387441"/>
    <w:rsid w:val="00387443"/>
    <w:rsid w:val="0038764A"/>
    <w:rsid w:val="003876A2"/>
    <w:rsid w:val="003878E4"/>
    <w:rsid w:val="00387CBA"/>
    <w:rsid w:val="0039023B"/>
    <w:rsid w:val="00390344"/>
    <w:rsid w:val="0039056F"/>
    <w:rsid w:val="00390B1E"/>
    <w:rsid w:val="00390F23"/>
    <w:rsid w:val="0039178E"/>
    <w:rsid w:val="00391928"/>
    <w:rsid w:val="00391CA7"/>
    <w:rsid w:val="0039209C"/>
    <w:rsid w:val="003923BC"/>
    <w:rsid w:val="003925C4"/>
    <w:rsid w:val="00392A77"/>
    <w:rsid w:val="00392BA4"/>
    <w:rsid w:val="00392C97"/>
    <w:rsid w:val="0039395C"/>
    <w:rsid w:val="0039428D"/>
    <w:rsid w:val="003944E1"/>
    <w:rsid w:val="003945FD"/>
    <w:rsid w:val="003951BB"/>
    <w:rsid w:val="003952AD"/>
    <w:rsid w:val="003954C7"/>
    <w:rsid w:val="00395544"/>
    <w:rsid w:val="00395B78"/>
    <w:rsid w:val="003960D4"/>
    <w:rsid w:val="0039707A"/>
    <w:rsid w:val="003972FC"/>
    <w:rsid w:val="00397572"/>
    <w:rsid w:val="003977DD"/>
    <w:rsid w:val="00397ECB"/>
    <w:rsid w:val="003A0000"/>
    <w:rsid w:val="003A0C85"/>
    <w:rsid w:val="003A0ED2"/>
    <w:rsid w:val="003A1E96"/>
    <w:rsid w:val="003A25CB"/>
    <w:rsid w:val="003A2682"/>
    <w:rsid w:val="003A2853"/>
    <w:rsid w:val="003A3398"/>
    <w:rsid w:val="003A38F0"/>
    <w:rsid w:val="003A40E5"/>
    <w:rsid w:val="003A4297"/>
    <w:rsid w:val="003A49CF"/>
    <w:rsid w:val="003A4B36"/>
    <w:rsid w:val="003A4E76"/>
    <w:rsid w:val="003A534E"/>
    <w:rsid w:val="003A5701"/>
    <w:rsid w:val="003A58D4"/>
    <w:rsid w:val="003A5C7D"/>
    <w:rsid w:val="003A5D57"/>
    <w:rsid w:val="003A5D8C"/>
    <w:rsid w:val="003A5EBA"/>
    <w:rsid w:val="003A6021"/>
    <w:rsid w:val="003A7A06"/>
    <w:rsid w:val="003A7E63"/>
    <w:rsid w:val="003B0462"/>
    <w:rsid w:val="003B1B56"/>
    <w:rsid w:val="003B21B2"/>
    <w:rsid w:val="003B22E7"/>
    <w:rsid w:val="003B2D2A"/>
    <w:rsid w:val="003B3065"/>
    <w:rsid w:val="003B3D4C"/>
    <w:rsid w:val="003B3E01"/>
    <w:rsid w:val="003B4088"/>
    <w:rsid w:val="003B4C9D"/>
    <w:rsid w:val="003B4F65"/>
    <w:rsid w:val="003B508A"/>
    <w:rsid w:val="003B51B4"/>
    <w:rsid w:val="003B5291"/>
    <w:rsid w:val="003B657F"/>
    <w:rsid w:val="003B69E4"/>
    <w:rsid w:val="003B6A03"/>
    <w:rsid w:val="003B6A3E"/>
    <w:rsid w:val="003B7547"/>
    <w:rsid w:val="003B7A24"/>
    <w:rsid w:val="003B7C92"/>
    <w:rsid w:val="003C00D4"/>
    <w:rsid w:val="003C05F2"/>
    <w:rsid w:val="003C0656"/>
    <w:rsid w:val="003C0EBE"/>
    <w:rsid w:val="003C1013"/>
    <w:rsid w:val="003C156D"/>
    <w:rsid w:val="003C17EF"/>
    <w:rsid w:val="003C1977"/>
    <w:rsid w:val="003C1B1C"/>
    <w:rsid w:val="003C1E40"/>
    <w:rsid w:val="003C1E85"/>
    <w:rsid w:val="003C20EA"/>
    <w:rsid w:val="003C30EB"/>
    <w:rsid w:val="003C397C"/>
    <w:rsid w:val="003C3C40"/>
    <w:rsid w:val="003C3CD2"/>
    <w:rsid w:val="003C3CE6"/>
    <w:rsid w:val="003C4076"/>
    <w:rsid w:val="003C4813"/>
    <w:rsid w:val="003C4AB2"/>
    <w:rsid w:val="003C5035"/>
    <w:rsid w:val="003C53C8"/>
    <w:rsid w:val="003C5A67"/>
    <w:rsid w:val="003C5EB3"/>
    <w:rsid w:val="003C5F8D"/>
    <w:rsid w:val="003C6C01"/>
    <w:rsid w:val="003C7959"/>
    <w:rsid w:val="003C7BBF"/>
    <w:rsid w:val="003D0771"/>
    <w:rsid w:val="003D0B8C"/>
    <w:rsid w:val="003D0F22"/>
    <w:rsid w:val="003D1B10"/>
    <w:rsid w:val="003D236B"/>
    <w:rsid w:val="003D281E"/>
    <w:rsid w:val="003D2824"/>
    <w:rsid w:val="003D29DF"/>
    <w:rsid w:val="003D3358"/>
    <w:rsid w:val="003D365F"/>
    <w:rsid w:val="003D3D4C"/>
    <w:rsid w:val="003D477C"/>
    <w:rsid w:val="003D47BF"/>
    <w:rsid w:val="003D4928"/>
    <w:rsid w:val="003D496E"/>
    <w:rsid w:val="003D4A1D"/>
    <w:rsid w:val="003D4E03"/>
    <w:rsid w:val="003D4F9C"/>
    <w:rsid w:val="003D4FA6"/>
    <w:rsid w:val="003D4FFD"/>
    <w:rsid w:val="003D5081"/>
    <w:rsid w:val="003D51D0"/>
    <w:rsid w:val="003D5477"/>
    <w:rsid w:val="003D5AD9"/>
    <w:rsid w:val="003D63FA"/>
    <w:rsid w:val="003D64EE"/>
    <w:rsid w:val="003D6837"/>
    <w:rsid w:val="003D6CE5"/>
    <w:rsid w:val="003D71FF"/>
    <w:rsid w:val="003D73B0"/>
    <w:rsid w:val="003E0026"/>
    <w:rsid w:val="003E03A9"/>
    <w:rsid w:val="003E0658"/>
    <w:rsid w:val="003E0D8B"/>
    <w:rsid w:val="003E1002"/>
    <w:rsid w:val="003E10A6"/>
    <w:rsid w:val="003E15FD"/>
    <w:rsid w:val="003E1921"/>
    <w:rsid w:val="003E1A94"/>
    <w:rsid w:val="003E1D91"/>
    <w:rsid w:val="003E1DC6"/>
    <w:rsid w:val="003E1F33"/>
    <w:rsid w:val="003E2420"/>
    <w:rsid w:val="003E3D9B"/>
    <w:rsid w:val="003E3E96"/>
    <w:rsid w:val="003E3FFF"/>
    <w:rsid w:val="003E4093"/>
    <w:rsid w:val="003E57A4"/>
    <w:rsid w:val="003E5AD4"/>
    <w:rsid w:val="003E6AA1"/>
    <w:rsid w:val="003E6E4B"/>
    <w:rsid w:val="003E6F4D"/>
    <w:rsid w:val="003E6F68"/>
    <w:rsid w:val="003E7054"/>
    <w:rsid w:val="003E72AB"/>
    <w:rsid w:val="003E72E6"/>
    <w:rsid w:val="003E7437"/>
    <w:rsid w:val="003E7595"/>
    <w:rsid w:val="003E781E"/>
    <w:rsid w:val="003E7D10"/>
    <w:rsid w:val="003E7EA8"/>
    <w:rsid w:val="003E7EDE"/>
    <w:rsid w:val="003E7FB2"/>
    <w:rsid w:val="003F1299"/>
    <w:rsid w:val="003F18FC"/>
    <w:rsid w:val="003F1A6B"/>
    <w:rsid w:val="003F31A3"/>
    <w:rsid w:val="003F380A"/>
    <w:rsid w:val="003F3B29"/>
    <w:rsid w:val="003F3BB0"/>
    <w:rsid w:val="003F3C25"/>
    <w:rsid w:val="003F3DCF"/>
    <w:rsid w:val="003F4427"/>
    <w:rsid w:val="003F45D3"/>
    <w:rsid w:val="003F49DE"/>
    <w:rsid w:val="003F4C80"/>
    <w:rsid w:val="003F4E6D"/>
    <w:rsid w:val="003F5693"/>
    <w:rsid w:val="003F56E3"/>
    <w:rsid w:val="003F5B80"/>
    <w:rsid w:val="003F5E06"/>
    <w:rsid w:val="003F65BD"/>
    <w:rsid w:val="003F65CC"/>
    <w:rsid w:val="003F69EF"/>
    <w:rsid w:val="003F6DE6"/>
    <w:rsid w:val="003F6E26"/>
    <w:rsid w:val="003F703E"/>
    <w:rsid w:val="003F7CCB"/>
    <w:rsid w:val="003F7D61"/>
    <w:rsid w:val="003F7EEF"/>
    <w:rsid w:val="00400059"/>
    <w:rsid w:val="00400417"/>
    <w:rsid w:val="00400CE6"/>
    <w:rsid w:val="0040184E"/>
    <w:rsid w:val="00401CC9"/>
    <w:rsid w:val="00402406"/>
    <w:rsid w:val="00402C57"/>
    <w:rsid w:val="00403A73"/>
    <w:rsid w:val="00403B65"/>
    <w:rsid w:val="00404523"/>
    <w:rsid w:val="00404778"/>
    <w:rsid w:val="00404B84"/>
    <w:rsid w:val="004051E2"/>
    <w:rsid w:val="004051F3"/>
    <w:rsid w:val="00405355"/>
    <w:rsid w:val="004053CF"/>
    <w:rsid w:val="00405BAD"/>
    <w:rsid w:val="00405FD6"/>
    <w:rsid w:val="00406005"/>
    <w:rsid w:val="00406255"/>
    <w:rsid w:val="004064DB"/>
    <w:rsid w:val="00406AA5"/>
    <w:rsid w:val="004073FA"/>
    <w:rsid w:val="00407F84"/>
    <w:rsid w:val="00410912"/>
    <w:rsid w:val="0041127E"/>
    <w:rsid w:val="004126B1"/>
    <w:rsid w:val="00412A08"/>
    <w:rsid w:val="004138AF"/>
    <w:rsid w:val="004143D8"/>
    <w:rsid w:val="00414864"/>
    <w:rsid w:val="0041507F"/>
    <w:rsid w:val="0041584F"/>
    <w:rsid w:val="0041586A"/>
    <w:rsid w:val="00415BB1"/>
    <w:rsid w:val="004173EA"/>
    <w:rsid w:val="00417648"/>
    <w:rsid w:val="00420588"/>
    <w:rsid w:val="00420899"/>
    <w:rsid w:val="00420A6E"/>
    <w:rsid w:val="00421429"/>
    <w:rsid w:val="0042166B"/>
    <w:rsid w:val="00422238"/>
    <w:rsid w:val="00422367"/>
    <w:rsid w:val="004231B8"/>
    <w:rsid w:val="0042434C"/>
    <w:rsid w:val="00424F7F"/>
    <w:rsid w:val="00425437"/>
    <w:rsid w:val="0042583F"/>
    <w:rsid w:val="0042587D"/>
    <w:rsid w:val="00426277"/>
    <w:rsid w:val="004262D4"/>
    <w:rsid w:val="004264FB"/>
    <w:rsid w:val="00426685"/>
    <w:rsid w:val="0042688C"/>
    <w:rsid w:val="00426A12"/>
    <w:rsid w:val="004270F5"/>
    <w:rsid w:val="00427F84"/>
    <w:rsid w:val="0043000F"/>
    <w:rsid w:val="004301DF"/>
    <w:rsid w:val="00430612"/>
    <w:rsid w:val="0043069B"/>
    <w:rsid w:val="00430D11"/>
    <w:rsid w:val="00430D93"/>
    <w:rsid w:val="00431643"/>
    <w:rsid w:val="004326CD"/>
    <w:rsid w:val="004326EF"/>
    <w:rsid w:val="00432A5C"/>
    <w:rsid w:val="00432B84"/>
    <w:rsid w:val="00432C32"/>
    <w:rsid w:val="004335DB"/>
    <w:rsid w:val="0043380C"/>
    <w:rsid w:val="00433A06"/>
    <w:rsid w:val="00433C1A"/>
    <w:rsid w:val="004345C6"/>
    <w:rsid w:val="00434616"/>
    <w:rsid w:val="00434952"/>
    <w:rsid w:val="004349E9"/>
    <w:rsid w:val="00434C1B"/>
    <w:rsid w:val="00434C95"/>
    <w:rsid w:val="00434FDC"/>
    <w:rsid w:val="00435134"/>
    <w:rsid w:val="00435553"/>
    <w:rsid w:val="00436ADE"/>
    <w:rsid w:val="00437AF8"/>
    <w:rsid w:val="00437BB8"/>
    <w:rsid w:val="004400C2"/>
    <w:rsid w:val="00440703"/>
    <w:rsid w:val="00441581"/>
    <w:rsid w:val="004417FB"/>
    <w:rsid w:val="00441A42"/>
    <w:rsid w:val="00441B47"/>
    <w:rsid w:val="00441BF5"/>
    <w:rsid w:val="0044248F"/>
    <w:rsid w:val="004426EE"/>
    <w:rsid w:val="00442990"/>
    <w:rsid w:val="004434E3"/>
    <w:rsid w:val="00444262"/>
    <w:rsid w:val="00444A05"/>
    <w:rsid w:val="004460A0"/>
    <w:rsid w:val="00446D47"/>
    <w:rsid w:val="00450C56"/>
    <w:rsid w:val="00450F32"/>
    <w:rsid w:val="0045185E"/>
    <w:rsid w:val="004518FF"/>
    <w:rsid w:val="00451DCB"/>
    <w:rsid w:val="00452106"/>
    <w:rsid w:val="0045278F"/>
    <w:rsid w:val="00452BC2"/>
    <w:rsid w:val="00452CDA"/>
    <w:rsid w:val="00452DF6"/>
    <w:rsid w:val="00452F14"/>
    <w:rsid w:val="004543CA"/>
    <w:rsid w:val="004543D9"/>
    <w:rsid w:val="00454975"/>
    <w:rsid w:val="00454D41"/>
    <w:rsid w:val="004557E4"/>
    <w:rsid w:val="00455B60"/>
    <w:rsid w:val="00455C87"/>
    <w:rsid w:val="00455DD9"/>
    <w:rsid w:val="0045714D"/>
    <w:rsid w:val="004572D4"/>
    <w:rsid w:val="00457D4C"/>
    <w:rsid w:val="00460082"/>
    <w:rsid w:val="004600EA"/>
    <w:rsid w:val="00460D30"/>
    <w:rsid w:val="00461644"/>
    <w:rsid w:val="00461CD4"/>
    <w:rsid w:val="00461E0A"/>
    <w:rsid w:val="00461E6B"/>
    <w:rsid w:val="00462338"/>
    <w:rsid w:val="00462C03"/>
    <w:rsid w:val="00462DA5"/>
    <w:rsid w:val="00462F92"/>
    <w:rsid w:val="004634ED"/>
    <w:rsid w:val="004639B9"/>
    <w:rsid w:val="00464287"/>
    <w:rsid w:val="0046594D"/>
    <w:rsid w:val="0046713D"/>
    <w:rsid w:val="004675BF"/>
    <w:rsid w:val="004679C4"/>
    <w:rsid w:val="00467FCF"/>
    <w:rsid w:val="00471019"/>
    <w:rsid w:val="00471213"/>
    <w:rsid w:val="00471402"/>
    <w:rsid w:val="004720BD"/>
    <w:rsid w:val="004723E6"/>
    <w:rsid w:val="0047242B"/>
    <w:rsid w:val="004726AF"/>
    <w:rsid w:val="004729A6"/>
    <w:rsid w:val="00472EFC"/>
    <w:rsid w:val="00473F2B"/>
    <w:rsid w:val="0047400A"/>
    <w:rsid w:val="004742EC"/>
    <w:rsid w:val="00474C21"/>
    <w:rsid w:val="00474CFF"/>
    <w:rsid w:val="004750AF"/>
    <w:rsid w:val="0047519A"/>
    <w:rsid w:val="00475465"/>
    <w:rsid w:val="004759E3"/>
    <w:rsid w:val="00476018"/>
    <w:rsid w:val="00476352"/>
    <w:rsid w:val="00476A70"/>
    <w:rsid w:val="00476B44"/>
    <w:rsid w:val="0047745B"/>
    <w:rsid w:val="0047752E"/>
    <w:rsid w:val="0047782B"/>
    <w:rsid w:val="00477B8C"/>
    <w:rsid w:val="00477D2F"/>
    <w:rsid w:val="0048073A"/>
    <w:rsid w:val="00480AA9"/>
    <w:rsid w:val="0048125D"/>
    <w:rsid w:val="00481738"/>
    <w:rsid w:val="00483F22"/>
    <w:rsid w:val="004840A6"/>
    <w:rsid w:val="0048441E"/>
    <w:rsid w:val="004847BC"/>
    <w:rsid w:val="00485389"/>
    <w:rsid w:val="0048582B"/>
    <w:rsid w:val="00486633"/>
    <w:rsid w:val="00486800"/>
    <w:rsid w:val="00486A45"/>
    <w:rsid w:val="004873AA"/>
    <w:rsid w:val="00490058"/>
    <w:rsid w:val="004901EF"/>
    <w:rsid w:val="0049082D"/>
    <w:rsid w:val="00490A55"/>
    <w:rsid w:val="00490CE0"/>
    <w:rsid w:val="004914BA"/>
    <w:rsid w:val="00491645"/>
    <w:rsid w:val="004917C8"/>
    <w:rsid w:val="004928D7"/>
    <w:rsid w:val="00492CB3"/>
    <w:rsid w:val="00492DA0"/>
    <w:rsid w:val="00492EA4"/>
    <w:rsid w:val="00493063"/>
    <w:rsid w:val="00493EC2"/>
    <w:rsid w:val="004942CD"/>
    <w:rsid w:val="004943DF"/>
    <w:rsid w:val="0049450A"/>
    <w:rsid w:val="00494756"/>
    <w:rsid w:val="00494E05"/>
    <w:rsid w:val="004960A6"/>
    <w:rsid w:val="00496755"/>
    <w:rsid w:val="00496BDD"/>
    <w:rsid w:val="00497276"/>
    <w:rsid w:val="00497FEF"/>
    <w:rsid w:val="004A09D9"/>
    <w:rsid w:val="004A0A1F"/>
    <w:rsid w:val="004A0ACC"/>
    <w:rsid w:val="004A1051"/>
    <w:rsid w:val="004A13D4"/>
    <w:rsid w:val="004A15DF"/>
    <w:rsid w:val="004A1743"/>
    <w:rsid w:val="004A19BF"/>
    <w:rsid w:val="004A1B11"/>
    <w:rsid w:val="004A2074"/>
    <w:rsid w:val="004A2204"/>
    <w:rsid w:val="004A36D9"/>
    <w:rsid w:val="004A36E3"/>
    <w:rsid w:val="004A3DE6"/>
    <w:rsid w:val="004A3F7E"/>
    <w:rsid w:val="004A482F"/>
    <w:rsid w:val="004A491C"/>
    <w:rsid w:val="004A4B0E"/>
    <w:rsid w:val="004A4C33"/>
    <w:rsid w:val="004A4D7D"/>
    <w:rsid w:val="004A4E5C"/>
    <w:rsid w:val="004A50EC"/>
    <w:rsid w:val="004A5247"/>
    <w:rsid w:val="004A57D4"/>
    <w:rsid w:val="004A6062"/>
    <w:rsid w:val="004A62A4"/>
    <w:rsid w:val="004A667B"/>
    <w:rsid w:val="004A6D13"/>
    <w:rsid w:val="004A752F"/>
    <w:rsid w:val="004A7D5F"/>
    <w:rsid w:val="004B0B22"/>
    <w:rsid w:val="004B0DB6"/>
    <w:rsid w:val="004B129B"/>
    <w:rsid w:val="004B13F5"/>
    <w:rsid w:val="004B21F0"/>
    <w:rsid w:val="004B23A6"/>
    <w:rsid w:val="004B404B"/>
    <w:rsid w:val="004B4228"/>
    <w:rsid w:val="004B4CAB"/>
    <w:rsid w:val="004B54F8"/>
    <w:rsid w:val="004B574E"/>
    <w:rsid w:val="004B57BB"/>
    <w:rsid w:val="004B6006"/>
    <w:rsid w:val="004B6089"/>
    <w:rsid w:val="004B61F0"/>
    <w:rsid w:val="004B6290"/>
    <w:rsid w:val="004B643C"/>
    <w:rsid w:val="004B6546"/>
    <w:rsid w:val="004B6634"/>
    <w:rsid w:val="004B74E3"/>
    <w:rsid w:val="004C085D"/>
    <w:rsid w:val="004C0C27"/>
    <w:rsid w:val="004C0D55"/>
    <w:rsid w:val="004C0EF3"/>
    <w:rsid w:val="004C1451"/>
    <w:rsid w:val="004C1BC8"/>
    <w:rsid w:val="004C1D74"/>
    <w:rsid w:val="004C209A"/>
    <w:rsid w:val="004C267B"/>
    <w:rsid w:val="004C2EF0"/>
    <w:rsid w:val="004C2F1B"/>
    <w:rsid w:val="004C3510"/>
    <w:rsid w:val="004C42FF"/>
    <w:rsid w:val="004C49F9"/>
    <w:rsid w:val="004C4DE1"/>
    <w:rsid w:val="004C5D8F"/>
    <w:rsid w:val="004C5DDD"/>
    <w:rsid w:val="004C5EEC"/>
    <w:rsid w:val="004C5F25"/>
    <w:rsid w:val="004C6269"/>
    <w:rsid w:val="004C68C1"/>
    <w:rsid w:val="004C6D30"/>
    <w:rsid w:val="004C6E2F"/>
    <w:rsid w:val="004C75CA"/>
    <w:rsid w:val="004D0542"/>
    <w:rsid w:val="004D063A"/>
    <w:rsid w:val="004D08DC"/>
    <w:rsid w:val="004D0C1C"/>
    <w:rsid w:val="004D1490"/>
    <w:rsid w:val="004D1BD3"/>
    <w:rsid w:val="004D20F0"/>
    <w:rsid w:val="004D2120"/>
    <w:rsid w:val="004D22F8"/>
    <w:rsid w:val="004D2786"/>
    <w:rsid w:val="004D3334"/>
    <w:rsid w:val="004D35CD"/>
    <w:rsid w:val="004D3CB1"/>
    <w:rsid w:val="004D4609"/>
    <w:rsid w:val="004D47D1"/>
    <w:rsid w:val="004D54AA"/>
    <w:rsid w:val="004D5CD0"/>
    <w:rsid w:val="004D5D54"/>
    <w:rsid w:val="004D5E65"/>
    <w:rsid w:val="004D68BD"/>
    <w:rsid w:val="004D6A8C"/>
    <w:rsid w:val="004D6BBD"/>
    <w:rsid w:val="004D70FF"/>
    <w:rsid w:val="004D7EAF"/>
    <w:rsid w:val="004D7FBE"/>
    <w:rsid w:val="004D7FFC"/>
    <w:rsid w:val="004E00AD"/>
    <w:rsid w:val="004E0500"/>
    <w:rsid w:val="004E2A6F"/>
    <w:rsid w:val="004E3517"/>
    <w:rsid w:val="004E4038"/>
    <w:rsid w:val="004E4454"/>
    <w:rsid w:val="004E454B"/>
    <w:rsid w:val="004E48A7"/>
    <w:rsid w:val="004E4FAB"/>
    <w:rsid w:val="004E63DB"/>
    <w:rsid w:val="004E6691"/>
    <w:rsid w:val="004E6AF0"/>
    <w:rsid w:val="004E6C57"/>
    <w:rsid w:val="004E746A"/>
    <w:rsid w:val="004E7782"/>
    <w:rsid w:val="004E79C1"/>
    <w:rsid w:val="004E7E1E"/>
    <w:rsid w:val="004F04A1"/>
    <w:rsid w:val="004F0B26"/>
    <w:rsid w:val="004F0BDD"/>
    <w:rsid w:val="004F1212"/>
    <w:rsid w:val="004F1663"/>
    <w:rsid w:val="004F188E"/>
    <w:rsid w:val="004F1D00"/>
    <w:rsid w:val="004F2003"/>
    <w:rsid w:val="004F2FAA"/>
    <w:rsid w:val="004F40F2"/>
    <w:rsid w:val="004F4296"/>
    <w:rsid w:val="004F4B1E"/>
    <w:rsid w:val="004F5779"/>
    <w:rsid w:val="004F5B33"/>
    <w:rsid w:val="004F5F23"/>
    <w:rsid w:val="004F666A"/>
    <w:rsid w:val="004F6788"/>
    <w:rsid w:val="004F68A9"/>
    <w:rsid w:val="004F6EE3"/>
    <w:rsid w:val="004F74D6"/>
    <w:rsid w:val="00500F46"/>
    <w:rsid w:val="00501713"/>
    <w:rsid w:val="00501F21"/>
    <w:rsid w:val="005020DD"/>
    <w:rsid w:val="00502329"/>
    <w:rsid w:val="00502683"/>
    <w:rsid w:val="00502B94"/>
    <w:rsid w:val="00502EFA"/>
    <w:rsid w:val="00502EFD"/>
    <w:rsid w:val="00503003"/>
    <w:rsid w:val="0050469A"/>
    <w:rsid w:val="0050477D"/>
    <w:rsid w:val="00504991"/>
    <w:rsid w:val="00504A73"/>
    <w:rsid w:val="00504BD0"/>
    <w:rsid w:val="00504F87"/>
    <w:rsid w:val="00505359"/>
    <w:rsid w:val="00505B8F"/>
    <w:rsid w:val="005062D7"/>
    <w:rsid w:val="00506A60"/>
    <w:rsid w:val="00506D65"/>
    <w:rsid w:val="00507996"/>
    <w:rsid w:val="005105E5"/>
    <w:rsid w:val="005106FE"/>
    <w:rsid w:val="0051092C"/>
    <w:rsid w:val="00510A8A"/>
    <w:rsid w:val="00510F44"/>
    <w:rsid w:val="00511B05"/>
    <w:rsid w:val="00511C6A"/>
    <w:rsid w:val="00514659"/>
    <w:rsid w:val="005149B9"/>
    <w:rsid w:val="00514C59"/>
    <w:rsid w:val="00514E79"/>
    <w:rsid w:val="0051545A"/>
    <w:rsid w:val="00515E1B"/>
    <w:rsid w:val="00515F13"/>
    <w:rsid w:val="005165B0"/>
    <w:rsid w:val="005166B5"/>
    <w:rsid w:val="00516871"/>
    <w:rsid w:val="0051698C"/>
    <w:rsid w:val="00516E1A"/>
    <w:rsid w:val="00517228"/>
    <w:rsid w:val="0051735E"/>
    <w:rsid w:val="00517546"/>
    <w:rsid w:val="00517A6E"/>
    <w:rsid w:val="00517B28"/>
    <w:rsid w:val="00517ECD"/>
    <w:rsid w:val="00520024"/>
    <w:rsid w:val="005207AE"/>
    <w:rsid w:val="005209EE"/>
    <w:rsid w:val="00520E09"/>
    <w:rsid w:val="00520F5B"/>
    <w:rsid w:val="0052123D"/>
    <w:rsid w:val="005217A8"/>
    <w:rsid w:val="00521C34"/>
    <w:rsid w:val="00522271"/>
    <w:rsid w:val="005228E8"/>
    <w:rsid w:val="005238C6"/>
    <w:rsid w:val="00523BDC"/>
    <w:rsid w:val="00523C67"/>
    <w:rsid w:val="00523CFA"/>
    <w:rsid w:val="00524644"/>
    <w:rsid w:val="00525D92"/>
    <w:rsid w:val="00526130"/>
    <w:rsid w:val="00526B93"/>
    <w:rsid w:val="0052730D"/>
    <w:rsid w:val="00527CA6"/>
    <w:rsid w:val="00527D08"/>
    <w:rsid w:val="00527DBB"/>
    <w:rsid w:val="0053012A"/>
    <w:rsid w:val="005303C3"/>
    <w:rsid w:val="00530DB4"/>
    <w:rsid w:val="005311CB"/>
    <w:rsid w:val="00531C49"/>
    <w:rsid w:val="00531DE3"/>
    <w:rsid w:val="00532410"/>
    <w:rsid w:val="00532537"/>
    <w:rsid w:val="00532632"/>
    <w:rsid w:val="005327BF"/>
    <w:rsid w:val="00532F16"/>
    <w:rsid w:val="00533454"/>
    <w:rsid w:val="00533607"/>
    <w:rsid w:val="00533630"/>
    <w:rsid w:val="0053375A"/>
    <w:rsid w:val="005337ED"/>
    <w:rsid w:val="005338CC"/>
    <w:rsid w:val="00533A73"/>
    <w:rsid w:val="00533B11"/>
    <w:rsid w:val="00533F32"/>
    <w:rsid w:val="00534042"/>
    <w:rsid w:val="00534412"/>
    <w:rsid w:val="00534C15"/>
    <w:rsid w:val="005350A8"/>
    <w:rsid w:val="00535933"/>
    <w:rsid w:val="00535989"/>
    <w:rsid w:val="00535AD3"/>
    <w:rsid w:val="005372F4"/>
    <w:rsid w:val="005373B4"/>
    <w:rsid w:val="00537414"/>
    <w:rsid w:val="005378B8"/>
    <w:rsid w:val="00540246"/>
    <w:rsid w:val="00540385"/>
    <w:rsid w:val="0054128E"/>
    <w:rsid w:val="005413AF"/>
    <w:rsid w:val="00541589"/>
    <w:rsid w:val="00541A25"/>
    <w:rsid w:val="00542395"/>
    <w:rsid w:val="005427E1"/>
    <w:rsid w:val="00542E92"/>
    <w:rsid w:val="0054319E"/>
    <w:rsid w:val="00543585"/>
    <w:rsid w:val="00543614"/>
    <w:rsid w:val="0054387F"/>
    <w:rsid w:val="005445B2"/>
    <w:rsid w:val="00544E9C"/>
    <w:rsid w:val="00544FB8"/>
    <w:rsid w:val="005451E6"/>
    <w:rsid w:val="00545C68"/>
    <w:rsid w:val="005460C0"/>
    <w:rsid w:val="005466E5"/>
    <w:rsid w:val="005467B9"/>
    <w:rsid w:val="00547C39"/>
    <w:rsid w:val="00550916"/>
    <w:rsid w:val="00550FEA"/>
    <w:rsid w:val="00551733"/>
    <w:rsid w:val="00551FDC"/>
    <w:rsid w:val="0055242D"/>
    <w:rsid w:val="00552C8D"/>
    <w:rsid w:val="00552D0C"/>
    <w:rsid w:val="00553DB8"/>
    <w:rsid w:val="0055407B"/>
    <w:rsid w:val="005555E4"/>
    <w:rsid w:val="0055584C"/>
    <w:rsid w:val="00555B52"/>
    <w:rsid w:val="00555D25"/>
    <w:rsid w:val="005563CD"/>
    <w:rsid w:val="005572B9"/>
    <w:rsid w:val="005576CA"/>
    <w:rsid w:val="00557A6D"/>
    <w:rsid w:val="00557E03"/>
    <w:rsid w:val="005605D9"/>
    <w:rsid w:val="005609E5"/>
    <w:rsid w:val="00560A68"/>
    <w:rsid w:val="00560FD9"/>
    <w:rsid w:val="00561091"/>
    <w:rsid w:val="00561988"/>
    <w:rsid w:val="00561D5E"/>
    <w:rsid w:val="005625F1"/>
    <w:rsid w:val="00562C18"/>
    <w:rsid w:val="00562CF0"/>
    <w:rsid w:val="00563AD9"/>
    <w:rsid w:val="00563E71"/>
    <w:rsid w:val="005646A3"/>
    <w:rsid w:val="005656C7"/>
    <w:rsid w:val="00565914"/>
    <w:rsid w:val="00565E0E"/>
    <w:rsid w:val="00566429"/>
    <w:rsid w:val="0056675C"/>
    <w:rsid w:val="00566947"/>
    <w:rsid w:val="005674BD"/>
    <w:rsid w:val="0056761C"/>
    <w:rsid w:val="00567DE9"/>
    <w:rsid w:val="00567F17"/>
    <w:rsid w:val="00570000"/>
    <w:rsid w:val="0057000E"/>
    <w:rsid w:val="005702DD"/>
    <w:rsid w:val="005716F7"/>
    <w:rsid w:val="00572686"/>
    <w:rsid w:val="005726D7"/>
    <w:rsid w:val="005730F7"/>
    <w:rsid w:val="00573301"/>
    <w:rsid w:val="0057368B"/>
    <w:rsid w:val="00573933"/>
    <w:rsid w:val="00573A62"/>
    <w:rsid w:val="00573ED5"/>
    <w:rsid w:val="0057414B"/>
    <w:rsid w:val="005744BD"/>
    <w:rsid w:val="005747B1"/>
    <w:rsid w:val="00574EF8"/>
    <w:rsid w:val="00575103"/>
    <w:rsid w:val="00575876"/>
    <w:rsid w:val="00575B47"/>
    <w:rsid w:val="00575F9E"/>
    <w:rsid w:val="00576424"/>
    <w:rsid w:val="005765D1"/>
    <w:rsid w:val="005770BF"/>
    <w:rsid w:val="0057724D"/>
    <w:rsid w:val="00577B63"/>
    <w:rsid w:val="00577D0E"/>
    <w:rsid w:val="0058000D"/>
    <w:rsid w:val="00580A17"/>
    <w:rsid w:val="00581543"/>
    <w:rsid w:val="00581C01"/>
    <w:rsid w:val="00581E74"/>
    <w:rsid w:val="00582992"/>
    <w:rsid w:val="00582EB7"/>
    <w:rsid w:val="00582F50"/>
    <w:rsid w:val="00583593"/>
    <w:rsid w:val="0058387C"/>
    <w:rsid w:val="00583B5D"/>
    <w:rsid w:val="0058410A"/>
    <w:rsid w:val="00584311"/>
    <w:rsid w:val="005844EA"/>
    <w:rsid w:val="005845A5"/>
    <w:rsid w:val="005848B9"/>
    <w:rsid w:val="00584E92"/>
    <w:rsid w:val="005854BC"/>
    <w:rsid w:val="00585726"/>
    <w:rsid w:val="005857E7"/>
    <w:rsid w:val="00585AF6"/>
    <w:rsid w:val="005864D9"/>
    <w:rsid w:val="00586DC6"/>
    <w:rsid w:val="005870B2"/>
    <w:rsid w:val="00587496"/>
    <w:rsid w:val="005877A3"/>
    <w:rsid w:val="00587D26"/>
    <w:rsid w:val="005905E4"/>
    <w:rsid w:val="00590819"/>
    <w:rsid w:val="00590C11"/>
    <w:rsid w:val="00590CED"/>
    <w:rsid w:val="005912A3"/>
    <w:rsid w:val="00592959"/>
    <w:rsid w:val="00592A2E"/>
    <w:rsid w:val="0059331A"/>
    <w:rsid w:val="005936EE"/>
    <w:rsid w:val="005939FB"/>
    <w:rsid w:val="00593D27"/>
    <w:rsid w:val="00594938"/>
    <w:rsid w:val="00595194"/>
    <w:rsid w:val="00595CA7"/>
    <w:rsid w:val="0059649C"/>
    <w:rsid w:val="005968B3"/>
    <w:rsid w:val="005970B2"/>
    <w:rsid w:val="005970E9"/>
    <w:rsid w:val="005971EB"/>
    <w:rsid w:val="00597338"/>
    <w:rsid w:val="00597A50"/>
    <w:rsid w:val="00597C49"/>
    <w:rsid w:val="00597C4F"/>
    <w:rsid w:val="005A033D"/>
    <w:rsid w:val="005A0518"/>
    <w:rsid w:val="005A0ADA"/>
    <w:rsid w:val="005A17CF"/>
    <w:rsid w:val="005A20A3"/>
    <w:rsid w:val="005A225F"/>
    <w:rsid w:val="005A2805"/>
    <w:rsid w:val="005A298D"/>
    <w:rsid w:val="005A46CA"/>
    <w:rsid w:val="005A554C"/>
    <w:rsid w:val="005A57C7"/>
    <w:rsid w:val="005A5CB7"/>
    <w:rsid w:val="005A5D16"/>
    <w:rsid w:val="005A67B0"/>
    <w:rsid w:val="005A6CBB"/>
    <w:rsid w:val="005A6FBB"/>
    <w:rsid w:val="005A7062"/>
    <w:rsid w:val="005A7377"/>
    <w:rsid w:val="005A7782"/>
    <w:rsid w:val="005A7BB3"/>
    <w:rsid w:val="005B118E"/>
    <w:rsid w:val="005B1348"/>
    <w:rsid w:val="005B1544"/>
    <w:rsid w:val="005B16E5"/>
    <w:rsid w:val="005B1B07"/>
    <w:rsid w:val="005B1BC9"/>
    <w:rsid w:val="005B2075"/>
    <w:rsid w:val="005B258F"/>
    <w:rsid w:val="005B26E9"/>
    <w:rsid w:val="005B27CA"/>
    <w:rsid w:val="005B2A2F"/>
    <w:rsid w:val="005B2D53"/>
    <w:rsid w:val="005B3098"/>
    <w:rsid w:val="005B31F7"/>
    <w:rsid w:val="005B3621"/>
    <w:rsid w:val="005B36F9"/>
    <w:rsid w:val="005B3CE0"/>
    <w:rsid w:val="005B400B"/>
    <w:rsid w:val="005B4C8D"/>
    <w:rsid w:val="005B4CB2"/>
    <w:rsid w:val="005B4F8C"/>
    <w:rsid w:val="005B5252"/>
    <w:rsid w:val="005B5520"/>
    <w:rsid w:val="005B5B81"/>
    <w:rsid w:val="005B60F5"/>
    <w:rsid w:val="005B6556"/>
    <w:rsid w:val="005B67D6"/>
    <w:rsid w:val="005B699A"/>
    <w:rsid w:val="005B6AAE"/>
    <w:rsid w:val="005B6AC9"/>
    <w:rsid w:val="005B6C4C"/>
    <w:rsid w:val="005B6FFD"/>
    <w:rsid w:val="005B7300"/>
    <w:rsid w:val="005B76BC"/>
    <w:rsid w:val="005B7BDE"/>
    <w:rsid w:val="005B7E0A"/>
    <w:rsid w:val="005C00B7"/>
    <w:rsid w:val="005C00C0"/>
    <w:rsid w:val="005C0352"/>
    <w:rsid w:val="005C046D"/>
    <w:rsid w:val="005C04D7"/>
    <w:rsid w:val="005C098E"/>
    <w:rsid w:val="005C0C4E"/>
    <w:rsid w:val="005C14D0"/>
    <w:rsid w:val="005C1511"/>
    <w:rsid w:val="005C1C63"/>
    <w:rsid w:val="005C1F5B"/>
    <w:rsid w:val="005C2078"/>
    <w:rsid w:val="005C2550"/>
    <w:rsid w:val="005C2834"/>
    <w:rsid w:val="005C2BD7"/>
    <w:rsid w:val="005C2DCD"/>
    <w:rsid w:val="005C3071"/>
    <w:rsid w:val="005C30A3"/>
    <w:rsid w:val="005C3208"/>
    <w:rsid w:val="005C36A8"/>
    <w:rsid w:val="005C41D8"/>
    <w:rsid w:val="005C43BA"/>
    <w:rsid w:val="005C46CA"/>
    <w:rsid w:val="005C4BC3"/>
    <w:rsid w:val="005C4BE9"/>
    <w:rsid w:val="005C53E6"/>
    <w:rsid w:val="005C5753"/>
    <w:rsid w:val="005C6E5A"/>
    <w:rsid w:val="005C7304"/>
    <w:rsid w:val="005C7E87"/>
    <w:rsid w:val="005C7F5E"/>
    <w:rsid w:val="005D0BAF"/>
    <w:rsid w:val="005D258F"/>
    <w:rsid w:val="005D299C"/>
    <w:rsid w:val="005D2D51"/>
    <w:rsid w:val="005D388C"/>
    <w:rsid w:val="005D3CB1"/>
    <w:rsid w:val="005D4957"/>
    <w:rsid w:val="005D4C97"/>
    <w:rsid w:val="005D4E4C"/>
    <w:rsid w:val="005D4EFD"/>
    <w:rsid w:val="005D4F38"/>
    <w:rsid w:val="005D53E5"/>
    <w:rsid w:val="005D57C7"/>
    <w:rsid w:val="005D5A26"/>
    <w:rsid w:val="005D5CEA"/>
    <w:rsid w:val="005D5E9A"/>
    <w:rsid w:val="005D6B1A"/>
    <w:rsid w:val="005D6B5C"/>
    <w:rsid w:val="005D6F21"/>
    <w:rsid w:val="005E16AF"/>
    <w:rsid w:val="005E1835"/>
    <w:rsid w:val="005E1AB0"/>
    <w:rsid w:val="005E1B7F"/>
    <w:rsid w:val="005E1B97"/>
    <w:rsid w:val="005E1CDF"/>
    <w:rsid w:val="005E1D1F"/>
    <w:rsid w:val="005E278E"/>
    <w:rsid w:val="005E2883"/>
    <w:rsid w:val="005E2BE4"/>
    <w:rsid w:val="005E3773"/>
    <w:rsid w:val="005E39E2"/>
    <w:rsid w:val="005E3D0B"/>
    <w:rsid w:val="005E407D"/>
    <w:rsid w:val="005E4620"/>
    <w:rsid w:val="005E4D34"/>
    <w:rsid w:val="005E4DBE"/>
    <w:rsid w:val="005E52AD"/>
    <w:rsid w:val="005E54EF"/>
    <w:rsid w:val="005E5B82"/>
    <w:rsid w:val="005E655E"/>
    <w:rsid w:val="005E6661"/>
    <w:rsid w:val="005E66E7"/>
    <w:rsid w:val="005E6920"/>
    <w:rsid w:val="005E6B44"/>
    <w:rsid w:val="005E73EF"/>
    <w:rsid w:val="005E73FC"/>
    <w:rsid w:val="005E76DC"/>
    <w:rsid w:val="005E7860"/>
    <w:rsid w:val="005F006B"/>
    <w:rsid w:val="005F031D"/>
    <w:rsid w:val="005F0C90"/>
    <w:rsid w:val="005F210C"/>
    <w:rsid w:val="005F217B"/>
    <w:rsid w:val="005F22D5"/>
    <w:rsid w:val="005F2A48"/>
    <w:rsid w:val="005F4F49"/>
    <w:rsid w:val="005F5665"/>
    <w:rsid w:val="005F5E1F"/>
    <w:rsid w:val="005F7302"/>
    <w:rsid w:val="005F7F20"/>
    <w:rsid w:val="00600679"/>
    <w:rsid w:val="00601477"/>
    <w:rsid w:val="006019EC"/>
    <w:rsid w:val="00601C27"/>
    <w:rsid w:val="006029C7"/>
    <w:rsid w:val="00602B85"/>
    <w:rsid w:val="00602D48"/>
    <w:rsid w:val="006030D4"/>
    <w:rsid w:val="00603536"/>
    <w:rsid w:val="00603631"/>
    <w:rsid w:val="00603BDC"/>
    <w:rsid w:val="00604238"/>
    <w:rsid w:val="00604C24"/>
    <w:rsid w:val="00605783"/>
    <w:rsid w:val="006057B8"/>
    <w:rsid w:val="00605AE0"/>
    <w:rsid w:val="006065EB"/>
    <w:rsid w:val="00606981"/>
    <w:rsid w:val="00606DF5"/>
    <w:rsid w:val="00606F00"/>
    <w:rsid w:val="00607080"/>
    <w:rsid w:val="00607130"/>
    <w:rsid w:val="0060722D"/>
    <w:rsid w:val="00607395"/>
    <w:rsid w:val="00607564"/>
    <w:rsid w:val="0060766E"/>
    <w:rsid w:val="00607C3B"/>
    <w:rsid w:val="0061068B"/>
    <w:rsid w:val="0061089B"/>
    <w:rsid w:val="00610FF7"/>
    <w:rsid w:val="00611413"/>
    <w:rsid w:val="0061162D"/>
    <w:rsid w:val="00611BD1"/>
    <w:rsid w:val="00611FEB"/>
    <w:rsid w:val="006121DD"/>
    <w:rsid w:val="006129FC"/>
    <w:rsid w:val="00612E3E"/>
    <w:rsid w:val="00613074"/>
    <w:rsid w:val="00613425"/>
    <w:rsid w:val="006135C3"/>
    <w:rsid w:val="00613763"/>
    <w:rsid w:val="0061423E"/>
    <w:rsid w:val="006144B7"/>
    <w:rsid w:val="00614634"/>
    <w:rsid w:val="006149B4"/>
    <w:rsid w:val="00614CF5"/>
    <w:rsid w:val="00615959"/>
    <w:rsid w:val="00616B04"/>
    <w:rsid w:val="00616F04"/>
    <w:rsid w:val="00616F83"/>
    <w:rsid w:val="00617811"/>
    <w:rsid w:val="00620148"/>
    <w:rsid w:val="0062083A"/>
    <w:rsid w:val="00620FA5"/>
    <w:rsid w:val="00620FCE"/>
    <w:rsid w:val="00620FEB"/>
    <w:rsid w:val="00621389"/>
    <w:rsid w:val="0062229C"/>
    <w:rsid w:val="006225E9"/>
    <w:rsid w:val="00622B48"/>
    <w:rsid w:val="0062323D"/>
    <w:rsid w:val="006238CD"/>
    <w:rsid w:val="00623AD8"/>
    <w:rsid w:val="006241EF"/>
    <w:rsid w:val="006242FD"/>
    <w:rsid w:val="006245E6"/>
    <w:rsid w:val="0062504A"/>
    <w:rsid w:val="00625702"/>
    <w:rsid w:val="00625D8D"/>
    <w:rsid w:val="006265B2"/>
    <w:rsid w:val="00626766"/>
    <w:rsid w:val="00626A4D"/>
    <w:rsid w:val="006274C0"/>
    <w:rsid w:val="0062778F"/>
    <w:rsid w:val="00630E76"/>
    <w:rsid w:val="006312FC"/>
    <w:rsid w:val="006316E8"/>
    <w:rsid w:val="0063213C"/>
    <w:rsid w:val="006321E1"/>
    <w:rsid w:val="00632987"/>
    <w:rsid w:val="00632BFF"/>
    <w:rsid w:val="006343CE"/>
    <w:rsid w:val="006346D5"/>
    <w:rsid w:val="00634BC3"/>
    <w:rsid w:val="00634C00"/>
    <w:rsid w:val="00634DB0"/>
    <w:rsid w:val="00635243"/>
    <w:rsid w:val="00636A85"/>
    <w:rsid w:val="00636C81"/>
    <w:rsid w:val="00636DB8"/>
    <w:rsid w:val="00637602"/>
    <w:rsid w:val="00640663"/>
    <w:rsid w:val="0064075D"/>
    <w:rsid w:val="00640CE3"/>
    <w:rsid w:val="00641063"/>
    <w:rsid w:val="00641191"/>
    <w:rsid w:val="006416D0"/>
    <w:rsid w:val="006418D4"/>
    <w:rsid w:val="00641A1B"/>
    <w:rsid w:val="006424A1"/>
    <w:rsid w:val="006426E0"/>
    <w:rsid w:val="00642958"/>
    <w:rsid w:val="006432E5"/>
    <w:rsid w:val="00643FF3"/>
    <w:rsid w:val="00644189"/>
    <w:rsid w:val="0064440F"/>
    <w:rsid w:val="006447BA"/>
    <w:rsid w:val="006449C0"/>
    <w:rsid w:val="00645480"/>
    <w:rsid w:val="00645978"/>
    <w:rsid w:val="00645D02"/>
    <w:rsid w:val="00645E00"/>
    <w:rsid w:val="00645EFC"/>
    <w:rsid w:val="00646AD0"/>
    <w:rsid w:val="006475C2"/>
    <w:rsid w:val="00647BB3"/>
    <w:rsid w:val="00647BDB"/>
    <w:rsid w:val="00647D67"/>
    <w:rsid w:val="006503E0"/>
    <w:rsid w:val="00650BEF"/>
    <w:rsid w:val="00650D79"/>
    <w:rsid w:val="00651F18"/>
    <w:rsid w:val="00651F5F"/>
    <w:rsid w:val="00652357"/>
    <w:rsid w:val="006526B6"/>
    <w:rsid w:val="00652E2C"/>
    <w:rsid w:val="00653618"/>
    <w:rsid w:val="00653EAD"/>
    <w:rsid w:val="00654248"/>
    <w:rsid w:val="0065460F"/>
    <w:rsid w:val="00654B9F"/>
    <w:rsid w:val="00654DCE"/>
    <w:rsid w:val="006551AE"/>
    <w:rsid w:val="00655646"/>
    <w:rsid w:val="0065594A"/>
    <w:rsid w:val="00656009"/>
    <w:rsid w:val="0065723F"/>
    <w:rsid w:val="006573F9"/>
    <w:rsid w:val="006575BA"/>
    <w:rsid w:val="0065790F"/>
    <w:rsid w:val="00660459"/>
    <w:rsid w:val="00660E8C"/>
    <w:rsid w:val="006614C3"/>
    <w:rsid w:val="006615AB"/>
    <w:rsid w:val="00661DEC"/>
    <w:rsid w:val="006624EC"/>
    <w:rsid w:val="006635D1"/>
    <w:rsid w:val="006637D3"/>
    <w:rsid w:val="0066388C"/>
    <w:rsid w:val="00663E46"/>
    <w:rsid w:val="00664E50"/>
    <w:rsid w:val="00664F94"/>
    <w:rsid w:val="00665833"/>
    <w:rsid w:val="00666093"/>
    <w:rsid w:val="006662A3"/>
    <w:rsid w:val="0066638D"/>
    <w:rsid w:val="00666BE4"/>
    <w:rsid w:val="00667154"/>
    <w:rsid w:val="00667160"/>
    <w:rsid w:val="00667299"/>
    <w:rsid w:val="00667737"/>
    <w:rsid w:val="00667F7B"/>
    <w:rsid w:val="0067059D"/>
    <w:rsid w:val="0067076D"/>
    <w:rsid w:val="0067078C"/>
    <w:rsid w:val="0067113A"/>
    <w:rsid w:val="00671706"/>
    <w:rsid w:val="00672173"/>
    <w:rsid w:val="00672703"/>
    <w:rsid w:val="0067280E"/>
    <w:rsid w:val="0067377A"/>
    <w:rsid w:val="00673B33"/>
    <w:rsid w:val="00673EBC"/>
    <w:rsid w:val="006741EE"/>
    <w:rsid w:val="00675923"/>
    <w:rsid w:val="0067598F"/>
    <w:rsid w:val="00675D4A"/>
    <w:rsid w:val="006761DD"/>
    <w:rsid w:val="00676352"/>
    <w:rsid w:val="00677268"/>
    <w:rsid w:val="00677C8B"/>
    <w:rsid w:val="006808A5"/>
    <w:rsid w:val="00680B49"/>
    <w:rsid w:val="00681822"/>
    <w:rsid w:val="00681BB1"/>
    <w:rsid w:val="00681E5C"/>
    <w:rsid w:val="00682365"/>
    <w:rsid w:val="00682D04"/>
    <w:rsid w:val="006835C0"/>
    <w:rsid w:val="00683B20"/>
    <w:rsid w:val="00683FF6"/>
    <w:rsid w:val="00684003"/>
    <w:rsid w:val="006841B5"/>
    <w:rsid w:val="00684844"/>
    <w:rsid w:val="00684B4B"/>
    <w:rsid w:val="00684DF2"/>
    <w:rsid w:val="006850AB"/>
    <w:rsid w:val="006854AC"/>
    <w:rsid w:val="006858B1"/>
    <w:rsid w:val="00685DDD"/>
    <w:rsid w:val="0068602D"/>
    <w:rsid w:val="00686318"/>
    <w:rsid w:val="00686DEF"/>
    <w:rsid w:val="0068706D"/>
    <w:rsid w:val="00687339"/>
    <w:rsid w:val="00687482"/>
    <w:rsid w:val="00687F4A"/>
    <w:rsid w:val="00690338"/>
    <w:rsid w:val="006903B5"/>
    <w:rsid w:val="0069064F"/>
    <w:rsid w:val="006912FB"/>
    <w:rsid w:val="006921EF"/>
    <w:rsid w:val="00692353"/>
    <w:rsid w:val="00692891"/>
    <w:rsid w:val="00692CF5"/>
    <w:rsid w:val="00693070"/>
    <w:rsid w:val="006930B0"/>
    <w:rsid w:val="00694CDA"/>
    <w:rsid w:val="0069527B"/>
    <w:rsid w:val="00695EA0"/>
    <w:rsid w:val="0069642B"/>
    <w:rsid w:val="006966DF"/>
    <w:rsid w:val="0069722C"/>
    <w:rsid w:val="006973E0"/>
    <w:rsid w:val="006975E0"/>
    <w:rsid w:val="006979D5"/>
    <w:rsid w:val="00697A08"/>
    <w:rsid w:val="006A0A0A"/>
    <w:rsid w:val="006A0AE5"/>
    <w:rsid w:val="006A1F30"/>
    <w:rsid w:val="006A2246"/>
    <w:rsid w:val="006A2687"/>
    <w:rsid w:val="006A2AB1"/>
    <w:rsid w:val="006A2D6E"/>
    <w:rsid w:val="006A2F46"/>
    <w:rsid w:val="006A32AC"/>
    <w:rsid w:val="006A377D"/>
    <w:rsid w:val="006A3FBA"/>
    <w:rsid w:val="006A5007"/>
    <w:rsid w:val="006A54D2"/>
    <w:rsid w:val="006A5530"/>
    <w:rsid w:val="006A5560"/>
    <w:rsid w:val="006A56EE"/>
    <w:rsid w:val="006A5BA4"/>
    <w:rsid w:val="006A61F5"/>
    <w:rsid w:val="006A6C1D"/>
    <w:rsid w:val="006A6CE0"/>
    <w:rsid w:val="006A6D86"/>
    <w:rsid w:val="006A6E00"/>
    <w:rsid w:val="006A6E77"/>
    <w:rsid w:val="006A70F5"/>
    <w:rsid w:val="006B00A5"/>
    <w:rsid w:val="006B02EA"/>
    <w:rsid w:val="006B083C"/>
    <w:rsid w:val="006B0913"/>
    <w:rsid w:val="006B0A7E"/>
    <w:rsid w:val="006B0BC9"/>
    <w:rsid w:val="006B0CB0"/>
    <w:rsid w:val="006B13D3"/>
    <w:rsid w:val="006B148B"/>
    <w:rsid w:val="006B2369"/>
    <w:rsid w:val="006B27DB"/>
    <w:rsid w:val="006B28A6"/>
    <w:rsid w:val="006B448B"/>
    <w:rsid w:val="006B4490"/>
    <w:rsid w:val="006B59D2"/>
    <w:rsid w:val="006B5D29"/>
    <w:rsid w:val="006B627B"/>
    <w:rsid w:val="006B6510"/>
    <w:rsid w:val="006B6D1C"/>
    <w:rsid w:val="006B6D5E"/>
    <w:rsid w:val="006B70C5"/>
    <w:rsid w:val="006B726C"/>
    <w:rsid w:val="006B72AE"/>
    <w:rsid w:val="006B7371"/>
    <w:rsid w:val="006B7A5D"/>
    <w:rsid w:val="006B7C07"/>
    <w:rsid w:val="006B7C93"/>
    <w:rsid w:val="006B7DC7"/>
    <w:rsid w:val="006C02D8"/>
    <w:rsid w:val="006C0903"/>
    <w:rsid w:val="006C1C1E"/>
    <w:rsid w:val="006C211E"/>
    <w:rsid w:val="006C226A"/>
    <w:rsid w:val="006C27D5"/>
    <w:rsid w:val="006C31AA"/>
    <w:rsid w:val="006C320E"/>
    <w:rsid w:val="006C34CC"/>
    <w:rsid w:val="006C3BCD"/>
    <w:rsid w:val="006C3F66"/>
    <w:rsid w:val="006C4609"/>
    <w:rsid w:val="006C4907"/>
    <w:rsid w:val="006C4BB9"/>
    <w:rsid w:val="006C5B0C"/>
    <w:rsid w:val="006C73FA"/>
    <w:rsid w:val="006C7422"/>
    <w:rsid w:val="006C7917"/>
    <w:rsid w:val="006D0DD0"/>
    <w:rsid w:val="006D161C"/>
    <w:rsid w:val="006D1ADB"/>
    <w:rsid w:val="006D224C"/>
    <w:rsid w:val="006D231B"/>
    <w:rsid w:val="006D3673"/>
    <w:rsid w:val="006D3E0C"/>
    <w:rsid w:val="006D4457"/>
    <w:rsid w:val="006D47DF"/>
    <w:rsid w:val="006D487A"/>
    <w:rsid w:val="006D56AB"/>
    <w:rsid w:val="006D5D10"/>
    <w:rsid w:val="006D5E95"/>
    <w:rsid w:val="006D617D"/>
    <w:rsid w:val="006D6894"/>
    <w:rsid w:val="006D6A3D"/>
    <w:rsid w:val="006D73A1"/>
    <w:rsid w:val="006D75AE"/>
    <w:rsid w:val="006D7A79"/>
    <w:rsid w:val="006E0595"/>
    <w:rsid w:val="006E0EA3"/>
    <w:rsid w:val="006E0F76"/>
    <w:rsid w:val="006E2165"/>
    <w:rsid w:val="006E22C7"/>
    <w:rsid w:val="006E2D37"/>
    <w:rsid w:val="006E2F18"/>
    <w:rsid w:val="006E39E1"/>
    <w:rsid w:val="006E3ADC"/>
    <w:rsid w:val="006E40BA"/>
    <w:rsid w:val="006E4356"/>
    <w:rsid w:val="006E4E54"/>
    <w:rsid w:val="006E54CD"/>
    <w:rsid w:val="006E596A"/>
    <w:rsid w:val="006E6168"/>
    <w:rsid w:val="006E6C75"/>
    <w:rsid w:val="006E6E46"/>
    <w:rsid w:val="006E6F5F"/>
    <w:rsid w:val="006E7CD1"/>
    <w:rsid w:val="006E7FC6"/>
    <w:rsid w:val="006F0021"/>
    <w:rsid w:val="006F04D1"/>
    <w:rsid w:val="006F0737"/>
    <w:rsid w:val="006F0D7A"/>
    <w:rsid w:val="006F16C7"/>
    <w:rsid w:val="006F1A71"/>
    <w:rsid w:val="006F1BE8"/>
    <w:rsid w:val="006F253A"/>
    <w:rsid w:val="006F28DC"/>
    <w:rsid w:val="006F339F"/>
    <w:rsid w:val="006F487D"/>
    <w:rsid w:val="006F4A8B"/>
    <w:rsid w:val="006F51A8"/>
    <w:rsid w:val="006F52CF"/>
    <w:rsid w:val="006F53DE"/>
    <w:rsid w:val="006F5447"/>
    <w:rsid w:val="006F57AE"/>
    <w:rsid w:val="006F5A42"/>
    <w:rsid w:val="006F607F"/>
    <w:rsid w:val="006F6A7D"/>
    <w:rsid w:val="006F6CEF"/>
    <w:rsid w:val="006F7382"/>
    <w:rsid w:val="006F76C7"/>
    <w:rsid w:val="006F78B7"/>
    <w:rsid w:val="006F7B90"/>
    <w:rsid w:val="006F7BB3"/>
    <w:rsid w:val="00700017"/>
    <w:rsid w:val="007004A9"/>
    <w:rsid w:val="00700AA5"/>
    <w:rsid w:val="00700CC9"/>
    <w:rsid w:val="00701347"/>
    <w:rsid w:val="00701479"/>
    <w:rsid w:val="0070193A"/>
    <w:rsid w:val="007034EA"/>
    <w:rsid w:val="00703C34"/>
    <w:rsid w:val="00703F42"/>
    <w:rsid w:val="00703F5D"/>
    <w:rsid w:val="007059C3"/>
    <w:rsid w:val="00705B4C"/>
    <w:rsid w:val="00706D24"/>
    <w:rsid w:val="00706EDA"/>
    <w:rsid w:val="00707286"/>
    <w:rsid w:val="00710027"/>
    <w:rsid w:val="00710326"/>
    <w:rsid w:val="0071092F"/>
    <w:rsid w:val="0071151E"/>
    <w:rsid w:val="0071232A"/>
    <w:rsid w:val="007128C0"/>
    <w:rsid w:val="00712D03"/>
    <w:rsid w:val="00714AA7"/>
    <w:rsid w:val="00714E32"/>
    <w:rsid w:val="00715203"/>
    <w:rsid w:val="0071555B"/>
    <w:rsid w:val="00716758"/>
    <w:rsid w:val="0071676E"/>
    <w:rsid w:val="00716E61"/>
    <w:rsid w:val="00717132"/>
    <w:rsid w:val="00717303"/>
    <w:rsid w:val="00717379"/>
    <w:rsid w:val="007179AE"/>
    <w:rsid w:val="0072008A"/>
    <w:rsid w:val="007201E8"/>
    <w:rsid w:val="0072082C"/>
    <w:rsid w:val="00720AA4"/>
    <w:rsid w:val="00720B95"/>
    <w:rsid w:val="0072179A"/>
    <w:rsid w:val="007219F5"/>
    <w:rsid w:val="0072310C"/>
    <w:rsid w:val="007237AB"/>
    <w:rsid w:val="00724602"/>
    <w:rsid w:val="0072461C"/>
    <w:rsid w:val="007248BB"/>
    <w:rsid w:val="00724AEB"/>
    <w:rsid w:val="007252FF"/>
    <w:rsid w:val="0072659A"/>
    <w:rsid w:val="00727273"/>
    <w:rsid w:val="00727A0A"/>
    <w:rsid w:val="00727E56"/>
    <w:rsid w:val="007307CD"/>
    <w:rsid w:val="00731170"/>
    <w:rsid w:val="007313BF"/>
    <w:rsid w:val="007316F6"/>
    <w:rsid w:val="00732850"/>
    <w:rsid w:val="00732D6D"/>
    <w:rsid w:val="007335A8"/>
    <w:rsid w:val="0073363B"/>
    <w:rsid w:val="007336BF"/>
    <w:rsid w:val="00733895"/>
    <w:rsid w:val="00733948"/>
    <w:rsid w:val="00733BDA"/>
    <w:rsid w:val="00733F21"/>
    <w:rsid w:val="007341DA"/>
    <w:rsid w:val="007343A7"/>
    <w:rsid w:val="00734780"/>
    <w:rsid w:val="00734AE7"/>
    <w:rsid w:val="007354F7"/>
    <w:rsid w:val="00735D71"/>
    <w:rsid w:val="007365FB"/>
    <w:rsid w:val="0073676E"/>
    <w:rsid w:val="007367C1"/>
    <w:rsid w:val="00736DBF"/>
    <w:rsid w:val="00737740"/>
    <w:rsid w:val="007378DE"/>
    <w:rsid w:val="0074083D"/>
    <w:rsid w:val="00741730"/>
    <w:rsid w:val="00741CC8"/>
    <w:rsid w:val="00741DAD"/>
    <w:rsid w:val="00742155"/>
    <w:rsid w:val="007428CE"/>
    <w:rsid w:val="007429CC"/>
    <w:rsid w:val="00742C40"/>
    <w:rsid w:val="007430AD"/>
    <w:rsid w:val="007431C4"/>
    <w:rsid w:val="007437D8"/>
    <w:rsid w:val="00744005"/>
    <w:rsid w:val="0074464D"/>
    <w:rsid w:val="00744E34"/>
    <w:rsid w:val="007456CF"/>
    <w:rsid w:val="00745EE5"/>
    <w:rsid w:val="00745F7F"/>
    <w:rsid w:val="00746192"/>
    <w:rsid w:val="00746B01"/>
    <w:rsid w:val="00746B4D"/>
    <w:rsid w:val="00747554"/>
    <w:rsid w:val="007476A2"/>
    <w:rsid w:val="007505D9"/>
    <w:rsid w:val="00750674"/>
    <w:rsid w:val="00750897"/>
    <w:rsid w:val="0075171E"/>
    <w:rsid w:val="007518C5"/>
    <w:rsid w:val="0075197A"/>
    <w:rsid w:val="00752051"/>
    <w:rsid w:val="0075266C"/>
    <w:rsid w:val="007529C9"/>
    <w:rsid w:val="00752B40"/>
    <w:rsid w:val="00752B55"/>
    <w:rsid w:val="00752CE7"/>
    <w:rsid w:val="0075326B"/>
    <w:rsid w:val="00753325"/>
    <w:rsid w:val="00753934"/>
    <w:rsid w:val="007539B4"/>
    <w:rsid w:val="00753E01"/>
    <w:rsid w:val="00754A4F"/>
    <w:rsid w:val="00754EBC"/>
    <w:rsid w:val="007556E8"/>
    <w:rsid w:val="007557EC"/>
    <w:rsid w:val="00755C6F"/>
    <w:rsid w:val="00755C80"/>
    <w:rsid w:val="00755D50"/>
    <w:rsid w:val="00755DBF"/>
    <w:rsid w:val="00755EEC"/>
    <w:rsid w:val="00756068"/>
    <w:rsid w:val="007560D4"/>
    <w:rsid w:val="00757331"/>
    <w:rsid w:val="00757377"/>
    <w:rsid w:val="00757AC1"/>
    <w:rsid w:val="0076033C"/>
    <w:rsid w:val="00760D88"/>
    <w:rsid w:val="00760DCD"/>
    <w:rsid w:val="00760EC3"/>
    <w:rsid w:val="00760F8A"/>
    <w:rsid w:val="00761721"/>
    <w:rsid w:val="00761AFC"/>
    <w:rsid w:val="007623DA"/>
    <w:rsid w:val="00762BE5"/>
    <w:rsid w:val="00762F8B"/>
    <w:rsid w:val="007638F2"/>
    <w:rsid w:val="00763E7C"/>
    <w:rsid w:val="0076426C"/>
    <w:rsid w:val="00764632"/>
    <w:rsid w:val="007648C3"/>
    <w:rsid w:val="00764C20"/>
    <w:rsid w:val="00764F7E"/>
    <w:rsid w:val="007659D5"/>
    <w:rsid w:val="00765E30"/>
    <w:rsid w:val="007661A8"/>
    <w:rsid w:val="00766B8B"/>
    <w:rsid w:val="00767549"/>
    <w:rsid w:val="007675BF"/>
    <w:rsid w:val="00767CA4"/>
    <w:rsid w:val="0077003E"/>
    <w:rsid w:val="007700D8"/>
    <w:rsid w:val="007702A4"/>
    <w:rsid w:val="0077036E"/>
    <w:rsid w:val="00770759"/>
    <w:rsid w:val="00770866"/>
    <w:rsid w:val="00771884"/>
    <w:rsid w:val="00771E4D"/>
    <w:rsid w:val="00772155"/>
    <w:rsid w:val="00772A31"/>
    <w:rsid w:val="00772E71"/>
    <w:rsid w:val="007735C7"/>
    <w:rsid w:val="007739E5"/>
    <w:rsid w:val="00773AF0"/>
    <w:rsid w:val="007746B7"/>
    <w:rsid w:val="0077492B"/>
    <w:rsid w:val="00775077"/>
    <w:rsid w:val="007750D9"/>
    <w:rsid w:val="00775E56"/>
    <w:rsid w:val="00776067"/>
    <w:rsid w:val="00776415"/>
    <w:rsid w:val="00776DDD"/>
    <w:rsid w:val="00776F83"/>
    <w:rsid w:val="00776FE7"/>
    <w:rsid w:val="0077798E"/>
    <w:rsid w:val="00777F7E"/>
    <w:rsid w:val="007800FE"/>
    <w:rsid w:val="007806AD"/>
    <w:rsid w:val="0078079E"/>
    <w:rsid w:val="00780C31"/>
    <w:rsid w:val="0078218C"/>
    <w:rsid w:val="00782255"/>
    <w:rsid w:val="00783A71"/>
    <w:rsid w:val="00783BD3"/>
    <w:rsid w:val="00784871"/>
    <w:rsid w:val="00786A3E"/>
    <w:rsid w:val="00786CA1"/>
    <w:rsid w:val="0078717E"/>
    <w:rsid w:val="0078717F"/>
    <w:rsid w:val="007872D2"/>
    <w:rsid w:val="00787674"/>
    <w:rsid w:val="00787856"/>
    <w:rsid w:val="00787F2F"/>
    <w:rsid w:val="007901C3"/>
    <w:rsid w:val="00790B65"/>
    <w:rsid w:val="007913AE"/>
    <w:rsid w:val="00791992"/>
    <w:rsid w:val="00791F02"/>
    <w:rsid w:val="00791F92"/>
    <w:rsid w:val="00792F00"/>
    <w:rsid w:val="00793AEB"/>
    <w:rsid w:val="00794159"/>
    <w:rsid w:val="00794B6F"/>
    <w:rsid w:val="007950E7"/>
    <w:rsid w:val="00795DDF"/>
    <w:rsid w:val="00795FA1"/>
    <w:rsid w:val="00795FD3"/>
    <w:rsid w:val="00796241"/>
    <w:rsid w:val="0079701A"/>
    <w:rsid w:val="00797296"/>
    <w:rsid w:val="007A01C2"/>
    <w:rsid w:val="007A07AC"/>
    <w:rsid w:val="007A0FD4"/>
    <w:rsid w:val="007A1399"/>
    <w:rsid w:val="007A1950"/>
    <w:rsid w:val="007A1C83"/>
    <w:rsid w:val="007A23AB"/>
    <w:rsid w:val="007A24D5"/>
    <w:rsid w:val="007A2E7E"/>
    <w:rsid w:val="007A3097"/>
    <w:rsid w:val="007A48B2"/>
    <w:rsid w:val="007A4C72"/>
    <w:rsid w:val="007A4D3F"/>
    <w:rsid w:val="007A5393"/>
    <w:rsid w:val="007A60F6"/>
    <w:rsid w:val="007A7434"/>
    <w:rsid w:val="007A7497"/>
    <w:rsid w:val="007A7A1A"/>
    <w:rsid w:val="007A7D86"/>
    <w:rsid w:val="007B07EF"/>
    <w:rsid w:val="007B1AE0"/>
    <w:rsid w:val="007B2787"/>
    <w:rsid w:val="007B2861"/>
    <w:rsid w:val="007B2D3A"/>
    <w:rsid w:val="007B2F58"/>
    <w:rsid w:val="007B35A2"/>
    <w:rsid w:val="007B4262"/>
    <w:rsid w:val="007B4361"/>
    <w:rsid w:val="007B44A6"/>
    <w:rsid w:val="007B4603"/>
    <w:rsid w:val="007B584C"/>
    <w:rsid w:val="007B663B"/>
    <w:rsid w:val="007B66A9"/>
    <w:rsid w:val="007B68B7"/>
    <w:rsid w:val="007B6D55"/>
    <w:rsid w:val="007B704C"/>
    <w:rsid w:val="007B7B3F"/>
    <w:rsid w:val="007B7F63"/>
    <w:rsid w:val="007C0C6D"/>
    <w:rsid w:val="007C184C"/>
    <w:rsid w:val="007C3F59"/>
    <w:rsid w:val="007C4703"/>
    <w:rsid w:val="007C47CA"/>
    <w:rsid w:val="007C4E4B"/>
    <w:rsid w:val="007C5008"/>
    <w:rsid w:val="007C5124"/>
    <w:rsid w:val="007C588B"/>
    <w:rsid w:val="007C5D39"/>
    <w:rsid w:val="007C5F27"/>
    <w:rsid w:val="007C6057"/>
    <w:rsid w:val="007C60BE"/>
    <w:rsid w:val="007C6201"/>
    <w:rsid w:val="007C6316"/>
    <w:rsid w:val="007C665E"/>
    <w:rsid w:val="007C6CEF"/>
    <w:rsid w:val="007C7570"/>
    <w:rsid w:val="007C77EE"/>
    <w:rsid w:val="007C7ECA"/>
    <w:rsid w:val="007C7F3F"/>
    <w:rsid w:val="007D01D6"/>
    <w:rsid w:val="007D0691"/>
    <w:rsid w:val="007D09F6"/>
    <w:rsid w:val="007D0A8A"/>
    <w:rsid w:val="007D0DFC"/>
    <w:rsid w:val="007D0FFD"/>
    <w:rsid w:val="007D105C"/>
    <w:rsid w:val="007D1160"/>
    <w:rsid w:val="007D140B"/>
    <w:rsid w:val="007D18DA"/>
    <w:rsid w:val="007D193B"/>
    <w:rsid w:val="007D2206"/>
    <w:rsid w:val="007D34B3"/>
    <w:rsid w:val="007D34C3"/>
    <w:rsid w:val="007D36C3"/>
    <w:rsid w:val="007D3E68"/>
    <w:rsid w:val="007D414B"/>
    <w:rsid w:val="007D4442"/>
    <w:rsid w:val="007D4799"/>
    <w:rsid w:val="007D5158"/>
    <w:rsid w:val="007D53A2"/>
    <w:rsid w:val="007D59C8"/>
    <w:rsid w:val="007D6724"/>
    <w:rsid w:val="007D6931"/>
    <w:rsid w:val="007D69A9"/>
    <w:rsid w:val="007D78E4"/>
    <w:rsid w:val="007E0933"/>
    <w:rsid w:val="007E0AB9"/>
    <w:rsid w:val="007E0BA9"/>
    <w:rsid w:val="007E0C29"/>
    <w:rsid w:val="007E0DDF"/>
    <w:rsid w:val="007E0EE9"/>
    <w:rsid w:val="007E12B0"/>
    <w:rsid w:val="007E2317"/>
    <w:rsid w:val="007E232A"/>
    <w:rsid w:val="007E2425"/>
    <w:rsid w:val="007E2747"/>
    <w:rsid w:val="007E29B2"/>
    <w:rsid w:val="007E3150"/>
    <w:rsid w:val="007E3CF4"/>
    <w:rsid w:val="007E4534"/>
    <w:rsid w:val="007E4FC9"/>
    <w:rsid w:val="007E50C5"/>
    <w:rsid w:val="007E539F"/>
    <w:rsid w:val="007E5CD7"/>
    <w:rsid w:val="007E6ACA"/>
    <w:rsid w:val="007E6EE3"/>
    <w:rsid w:val="007E70AB"/>
    <w:rsid w:val="007E730D"/>
    <w:rsid w:val="007E7706"/>
    <w:rsid w:val="007E786C"/>
    <w:rsid w:val="007E7893"/>
    <w:rsid w:val="007E7900"/>
    <w:rsid w:val="007E7B51"/>
    <w:rsid w:val="007E7BDA"/>
    <w:rsid w:val="007E7C14"/>
    <w:rsid w:val="007E7DD3"/>
    <w:rsid w:val="007F02A3"/>
    <w:rsid w:val="007F02F1"/>
    <w:rsid w:val="007F0506"/>
    <w:rsid w:val="007F06AB"/>
    <w:rsid w:val="007F06EF"/>
    <w:rsid w:val="007F10C4"/>
    <w:rsid w:val="007F1105"/>
    <w:rsid w:val="007F1A6E"/>
    <w:rsid w:val="007F2049"/>
    <w:rsid w:val="007F20F6"/>
    <w:rsid w:val="007F23A2"/>
    <w:rsid w:val="007F2A74"/>
    <w:rsid w:val="007F2CF9"/>
    <w:rsid w:val="007F2F9C"/>
    <w:rsid w:val="007F32B6"/>
    <w:rsid w:val="007F3946"/>
    <w:rsid w:val="007F4202"/>
    <w:rsid w:val="007F4820"/>
    <w:rsid w:val="007F48F5"/>
    <w:rsid w:val="007F4D30"/>
    <w:rsid w:val="007F4D9E"/>
    <w:rsid w:val="007F55E6"/>
    <w:rsid w:val="007F61D5"/>
    <w:rsid w:val="007F63B5"/>
    <w:rsid w:val="007F63E4"/>
    <w:rsid w:val="007F6B8D"/>
    <w:rsid w:val="007F7816"/>
    <w:rsid w:val="007F7A33"/>
    <w:rsid w:val="007F7B75"/>
    <w:rsid w:val="007F7BC9"/>
    <w:rsid w:val="007F7F5B"/>
    <w:rsid w:val="0080024C"/>
    <w:rsid w:val="00800FE0"/>
    <w:rsid w:val="008010D0"/>
    <w:rsid w:val="008025BC"/>
    <w:rsid w:val="00802714"/>
    <w:rsid w:val="0080276E"/>
    <w:rsid w:val="008027E4"/>
    <w:rsid w:val="00803834"/>
    <w:rsid w:val="00803A78"/>
    <w:rsid w:val="008044A7"/>
    <w:rsid w:val="00804960"/>
    <w:rsid w:val="00805186"/>
    <w:rsid w:val="00806499"/>
    <w:rsid w:val="00806D92"/>
    <w:rsid w:val="0080729E"/>
    <w:rsid w:val="008078CA"/>
    <w:rsid w:val="0081001B"/>
    <w:rsid w:val="00810895"/>
    <w:rsid w:val="008108E3"/>
    <w:rsid w:val="008109C2"/>
    <w:rsid w:val="00810E7C"/>
    <w:rsid w:val="00811394"/>
    <w:rsid w:val="008114A1"/>
    <w:rsid w:val="00811C3B"/>
    <w:rsid w:val="0081214F"/>
    <w:rsid w:val="008122E4"/>
    <w:rsid w:val="00812D56"/>
    <w:rsid w:val="008132FF"/>
    <w:rsid w:val="0081387C"/>
    <w:rsid w:val="00813A53"/>
    <w:rsid w:val="00813BEA"/>
    <w:rsid w:val="00814C1F"/>
    <w:rsid w:val="008157BD"/>
    <w:rsid w:val="008159EE"/>
    <w:rsid w:val="00816C35"/>
    <w:rsid w:val="0081736A"/>
    <w:rsid w:val="00817C9F"/>
    <w:rsid w:val="00817E11"/>
    <w:rsid w:val="00817E38"/>
    <w:rsid w:val="00820C32"/>
    <w:rsid w:val="0082125B"/>
    <w:rsid w:val="00821287"/>
    <w:rsid w:val="0082135A"/>
    <w:rsid w:val="008218E3"/>
    <w:rsid w:val="0082197A"/>
    <w:rsid w:val="00821AF9"/>
    <w:rsid w:val="00821B8F"/>
    <w:rsid w:val="00821E21"/>
    <w:rsid w:val="00821EFF"/>
    <w:rsid w:val="00822184"/>
    <w:rsid w:val="00822DA2"/>
    <w:rsid w:val="0082366A"/>
    <w:rsid w:val="00823B71"/>
    <w:rsid w:val="008240EA"/>
    <w:rsid w:val="00824420"/>
    <w:rsid w:val="00824A49"/>
    <w:rsid w:val="00824AC4"/>
    <w:rsid w:val="00824BA0"/>
    <w:rsid w:val="00825057"/>
    <w:rsid w:val="0082526B"/>
    <w:rsid w:val="00825306"/>
    <w:rsid w:val="00825FED"/>
    <w:rsid w:val="008263D9"/>
    <w:rsid w:val="008269F4"/>
    <w:rsid w:val="00826D4E"/>
    <w:rsid w:val="00826EF8"/>
    <w:rsid w:val="00827238"/>
    <w:rsid w:val="008272B7"/>
    <w:rsid w:val="008278FE"/>
    <w:rsid w:val="00830132"/>
    <w:rsid w:val="0083026A"/>
    <w:rsid w:val="00830620"/>
    <w:rsid w:val="008307FA"/>
    <w:rsid w:val="008308CD"/>
    <w:rsid w:val="00830A23"/>
    <w:rsid w:val="00830C44"/>
    <w:rsid w:val="0083149B"/>
    <w:rsid w:val="008318F6"/>
    <w:rsid w:val="008325C2"/>
    <w:rsid w:val="00832A0B"/>
    <w:rsid w:val="00833338"/>
    <w:rsid w:val="0083350F"/>
    <w:rsid w:val="008337EF"/>
    <w:rsid w:val="00833977"/>
    <w:rsid w:val="00833B83"/>
    <w:rsid w:val="008348AD"/>
    <w:rsid w:val="008350A7"/>
    <w:rsid w:val="0083546F"/>
    <w:rsid w:val="00835AAE"/>
    <w:rsid w:val="00836054"/>
    <w:rsid w:val="00836561"/>
    <w:rsid w:val="008375B3"/>
    <w:rsid w:val="00837B6E"/>
    <w:rsid w:val="00837C22"/>
    <w:rsid w:val="00837F43"/>
    <w:rsid w:val="00840176"/>
    <w:rsid w:val="0084057C"/>
    <w:rsid w:val="008406A1"/>
    <w:rsid w:val="008406DC"/>
    <w:rsid w:val="00840A2D"/>
    <w:rsid w:val="00841A9D"/>
    <w:rsid w:val="00841B22"/>
    <w:rsid w:val="008424EA"/>
    <w:rsid w:val="008426B8"/>
    <w:rsid w:val="0084273C"/>
    <w:rsid w:val="0084284F"/>
    <w:rsid w:val="00842C98"/>
    <w:rsid w:val="00842EBA"/>
    <w:rsid w:val="00843B27"/>
    <w:rsid w:val="00844B6F"/>
    <w:rsid w:val="00844BD3"/>
    <w:rsid w:val="008450A5"/>
    <w:rsid w:val="008456A9"/>
    <w:rsid w:val="00845876"/>
    <w:rsid w:val="00845E24"/>
    <w:rsid w:val="008463FB"/>
    <w:rsid w:val="0084641B"/>
    <w:rsid w:val="00846429"/>
    <w:rsid w:val="00846B0F"/>
    <w:rsid w:val="00846D22"/>
    <w:rsid w:val="00846F68"/>
    <w:rsid w:val="0084728C"/>
    <w:rsid w:val="008477AA"/>
    <w:rsid w:val="008478DD"/>
    <w:rsid w:val="00847B36"/>
    <w:rsid w:val="00850560"/>
    <w:rsid w:val="00850969"/>
    <w:rsid w:val="00851541"/>
    <w:rsid w:val="0085187F"/>
    <w:rsid w:val="00851A4C"/>
    <w:rsid w:val="008528C6"/>
    <w:rsid w:val="008528F3"/>
    <w:rsid w:val="00852C5E"/>
    <w:rsid w:val="008530BF"/>
    <w:rsid w:val="00853144"/>
    <w:rsid w:val="00853958"/>
    <w:rsid w:val="00853C87"/>
    <w:rsid w:val="008540DC"/>
    <w:rsid w:val="00854905"/>
    <w:rsid w:val="0085491A"/>
    <w:rsid w:val="00854C19"/>
    <w:rsid w:val="00855092"/>
    <w:rsid w:val="00855105"/>
    <w:rsid w:val="008552CB"/>
    <w:rsid w:val="00855324"/>
    <w:rsid w:val="0085586A"/>
    <w:rsid w:val="00855A55"/>
    <w:rsid w:val="00855BB7"/>
    <w:rsid w:val="00855E70"/>
    <w:rsid w:val="00855F65"/>
    <w:rsid w:val="008571F5"/>
    <w:rsid w:val="008578A9"/>
    <w:rsid w:val="00857F77"/>
    <w:rsid w:val="00860326"/>
    <w:rsid w:val="00860B69"/>
    <w:rsid w:val="00861740"/>
    <w:rsid w:val="00861B35"/>
    <w:rsid w:val="0086202A"/>
    <w:rsid w:val="008626BE"/>
    <w:rsid w:val="00862982"/>
    <w:rsid w:val="00862BAE"/>
    <w:rsid w:val="00862CB8"/>
    <w:rsid w:val="008637DF"/>
    <w:rsid w:val="00863C75"/>
    <w:rsid w:val="00863C8F"/>
    <w:rsid w:val="00863EBF"/>
    <w:rsid w:val="00864577"/>
    <w:rsid w:val="0086482A"/>
    <w:rsid w:val="00864C78"/>
    <w:rsid w:val="00864D7B"/>
    <w:rsid w:val="0086506D"/>
    <w:rsid w:val="0086529A"/>
    <w:rsid w:val="00865552"/>
    <w:rsid w:val="00865629"/>
    <w:rsid w:val="00865DA1"/>
    <w:rsid w:val="00866284"/>
    <w:rsid w:val="008662B5"/>
    <w:rsid w:val="008666E6"/>
    <w:rsid w:val="00866A27"/>
    <w:rsid w:val="00866B27"/>
    <w:rsid w:val="0086760C"/>
    <w:rsid w:val="00867735"/>
    <w:rsid w:val="0086799E"/>
    <w:rsid w:val="00867CD4"/>
    <w:rsid w:val="00867DCB"/>
    <w:rsid w:val="00871A43"/>
    <w:rsid w:val="00871B21"/>
    <w:rsid w:val="0087206F"/>
    <w:rsid w:val="008722DB"/>
    <w:rsid w:val="00872435"/>
    <w:rsid w:val="0087272E"/>
    <w:rsid w:val="0087286F"/>
    <w:rsid w:val="008728EC"/>
    <w:rsid w:val="00872EF4"/>
    <w:rsid w:val="008730C3"/>
    <w:rsid w:val="0087338C"/>
    <w:rsid w:val="00873780"/>
    <w:rsid w:val="00873C83"/>
    <w:rsid w:val="00874038"/>
    <w:rsid w:val="008740BD"/>
    <w:rsid w:val="008740D8"/>
    <w:rsid w:val="008751B3"/>
    <w:rsid w:val="0087578C"/>
    <w:rsid w:val="0087579A"/>
    <w:rsid w:val="00875A9C"/>
    <w:rsid w:val="00875DD3"/>
    <w:rsid w:val="00876084"/>
    <w:rsid w:val="008762D0"/>
    <w:rsid w:val="008763E0"/>
    <w:rsid w:val="0087682B"/>
    <w:rsid w:val="00876FBF"/>
    <w:rsid w:val="00877018"/>
    <w:rsid w:val="00877407"/>
    <w:rsid w:val="00877608"/>
    <w:rsid w:val="00880996"/>
    <w:rsid w:val="008810A8"/>
    <w:rsid w:val="0088110E"/>
    <w:rsid w:val="0088129E"/>
    <w:rsid w:val="00882B8E"/>
    <w:rsid w:val="0088394A"/>
    <w:rsid w:val="008839AC"/>
    <w:rsid w:val="00884256"/>
    <w:rsid w:val="0088445B"/>
    <w:rsid w:val="00884480"/>
    <w:rsid w:val="008844B3"/>
    <w:rsid w:val="00884683"/>
    <w:rsid w:val="00884956"/>
    <w:rsid w:val="00884970"/>
    <w:rsid w:val="00885420"/>
    <w:rsid w:val="00885971"/>
    <w:rsid w:val="00885C23"/>
    <w:rsid w:val="00885ED5"/>
    <w:rsid w:val="008864CF"/>
    <w:rsid w:val="00886605"/>
    <w:rsid w:val="008868CD"/>
    <w:rsid w:val="00886BC5"/>
    <w:rsid w:val="00887523"/>
    <w:rsid w:val="00887FB6"/>
    <w:rsid w:val="00890FF4"/>
    <w:rsid w:val="00891530"/>
    <w:rsid w:val="00891EFF"/>
    <w:rsid w:val="0089210A"/>
    <w:rsid w:val="00892211"/>
    <w:rsid w:val="0089232E"/>
    <w:rsid w:val="00892581"/>
    <w:rsid w:val="00892883"/>
    <w:rsid w:val="008931B8"/>
    <w:rsid w:val="008932BE"/>
    <w:rsid w:val="008939D4"/>
    <w:rsid w:val="00893C68"/>
    <w:rsid w:val="00893E93"/>
    <w:rsid w:val="00893FD6"/>
    <w:rsid w:val="0089405A"/>
    <w:rsid w:val="008946C7"/>
    <w:rsid w:val="008950CC"/>
    <w:rsid w:val="0089580E"/>
    <w:rsid w:val="0089658C"/>
    <w:rsid w:val="008966CD"/>
    <w:rsid w:val="00896F02"/>
    <w:rsid w:val="00897540"/>
    <w:rsid w:val="00897949"/>
    <w:rsid w:val="00897E3B"/>
    <w:rsid w:val="00897EE7"/>
    <w:rsid w:val="008A051C"/>
    <w:rsid w:val="008A1263"/>
    <w:rsid w:val="008A1A67"/>
    <w:rsid w:val="008A1EC8"/>
    <w:rsid w:val="008A2235"/>
    <w:rsid w:val="008A229E"/>
    <w:rsid w:val="008A265A"/>
    <w:rsid w:val="008A2D55"/>
    <w:rsid w:val="008A2FC0"/>
    <w:rsid w:val="008A3169"/>
    <w:rsid w:val="008A3F34"/>
    <w:rsid w:val="008A46B2"/>
    <w:rsid w:val="008A4977"/>
    <w:rsid w:val="008A4CC8"/>
    <w:rsid w:val="008A4D02"/>
    <w:rsid w:val="008A511E"/>
    <w:rsid w:val="008A5DB1"/>
    <w:rsid w:val="008A60F9"/>
    <w:rsid w:val="008A61A0"/>
    <w:rsid w:val="008A649C"/>
    <w:rsid w:val="008A68D2"/>
    <w:rsid w:val="008A6E04"/>
    <w:rsid w:val="008A72D8"/>
    <w:rsid w:val="008A776F"/>
    <w:rsid w:val="008A7963"/>
    <w:rsid w:val="008A7A87"/>
    <w:rsid w:val="008A7CFB"/>
    <w:rsid w:val="008B0490"/>
    <w:rsid w:val="008B0598"/>
    <w:rsid w:val="008B0856"/>
    <w:rsid w:val="008B0D07"/>
    <w:rsid w:val="008B1415"/>
    <w:rsid w:val="008B14EE"/>
    <w:rsid w:val="008B1849"/>
    <w:rsid w:val="008B282B"/>
    <w:rsid w:val="008B311F"/>
    <w:rsid w:val="008B356C"/>
    <w:rsid w:val="008B3942"/>
    <w:rsid w:val="008B41D8"/>
    <w:rsid w:val="008B45DF"/>
    <w:rsid w:val="008B4654"/>
    <w:rsid w:val="008B53CF"/>
    <w:rsid w:val="008B5C4B"/>
    <w:rsid w:val="008B6272"/>
    <w:rsid w:val="008B6382"/>
    <w:rsid w:val="008B6A32"/>
    <w:rsid w:val="008B6A93"/>
    <w:rsid w:val="008B78F6"/>
    <w:rsid w:val="008B7A6B"/>
    <w:rsid w:val="008C0693"/>
    <w:rsid w:val="008C0BC4"/>
    <w:rsid w:val="008C0CC0"/>
    <w:rsid w:val="008C1127"/>
    <w:rsid w:val="008C18ED"/>
    <w:rsid w:val="008C1BF5"/>
    <w:rsid w:val="008C1F85"/>
    <w:rsid w:val="008C285B"/>
    <w:rsid w:val="008C2A55"/>
    <w:rsid w:val="008C2EF8"/>
    <w:rsid w:val="008C3057"/>
    <w:rsid w:val="008C3A7A"/>
    <w:rsid w:val="008C3B3C"/>
    <w:rsid w:val="008C425D"/>
    <w:rsid w:val="008C49DE"/>
    <w:rsid w:val="008C4CB6"/>
    <w:rsid w:val="008C51C9"/>
    <w:rsid w:val="008C5437"/>
    <w:rsid w:val="008C5559"/>
    <w:rsid w:val="008C55B4"/>
    <w:rsid w:val="008C55DE"/>
    <w:rsid w:val="008C56A9"/>
    <w:rsid w:val="008C58B7"/>
    <w:rsid w:val="008C5F35"/>
    <w:rsid w:val="008C68BE"/>
    <w:rsid w:val="008C6F85"/>
    <w:rsid w:val="008C73AD"/>
    <w:rsid w:val="008D01A2"/>
    <w:rsid w:val="008D052F"/>
    <w:rsid w:val="008D0A8D"/>
    <w:rsid w:val="008D0B78"/>
    <w:rsid w:val="008D1486"/>
    <w:rsid w:val="008D1A6F"/>
    <w:rsid w:val="008D2553"/>
    <w:rsid w:val="008D2725"/>
    <w:rsid w:val="008D3EE4"/>
    <w:rsid w:val="008D437F"/>
    <w:rsid w:val="008D4E12"/>
    <w:rsid w:val="008D5134"/>
    <w:rsid w:val="008D52A7"/>
    <w:rsid w:val="008D5F7B"/>
    <w:rsid w:val="008D619C"/>
    <w:rsid w:val="008D63B1"/>
    <w:rsid w:val="008D69C5"/>
    <w:rsid w:val="008D6ABB"/>
    <w:rsid w:val="008D6AEC"/>
    <w:rsid w:val="008D7170"/>
    <w:rsid w:val="008D75C8"/>
    <w:rsid w:val="008D7D57"/>
    <w:rsid w:val="008D7D62"/>
    <w:rsid w:val="008E0B02"/>
    <w:rsid w:val="008E0EBF"/>
    <w:rsid w:val="008E0FD0"/>
    <w:rsid w:val="008E1493"/>
    <w:rsid w:val="008E1552"/>
    <w:rsid w:val="008E172C"/>
    <w:rsid w:val="008E1BF2"/>
    <w:rsid w:val="008E222E"/>
    <w:rsid w:val="008E2696"/>
    <w:rsid w:val="008E28BC"/>
    <w:rsid w:val="008E36A9"/>
    <w:rsid w:val="008E45F6"/>
    <w:rsid w:val="008E49E3"/>
    <w:rsid w:val="008E63F9"/>
    <w:rsid w:val="008E67F2"/>
    <w:rsid w:val="008E6ECF"/>
    <w:rsid w:val="008E737D"/>
    <w:rsid w:val="008E74C0"/>
    <w:rsid w:val="008E7BA7"/>
    <w:rsid w:val="008E7CED"/>
    <w:rsid w:val="008E7EAF"/>
    <w:rsid w:val="008E7FC7"/>
    <w:rsid w:val="008F0131"/>
    <w:rsid w:val="008F05A5"/>
    <w:rsid w:val="008F084E"/>
    <w:rsid w:val="008F097E"/>
    <w:rsid w:val="008F0F91"/>
    <w:rsid w:val="008F1286"/>
    <w:rsid w:val="008F20E3"/>
    <w:rsid w:val="008F2373"/>
    <w:rsid w:val="008F288A"/>
    <w:rsid w:val="008F2F48"/>
    <w:rsid w:val="008F320E"/>
    <w:rsid w:val="008F33B4"/>
    <w:rsid w:val="008F34BE"/>
    <w:rsid w:val="008F35C4"/>
    <w:rsid w:val="008F4037"/>
    <w:rsid w:val="008F47AC"/>
    <w:rsid w:val="008F4E59"/>
    <w:rsid w:val="008F4F01"/>
    <w:rsid w:val="008F4FE4"/>
    <w:rsid w:val="008F510C"/>
    <w:rsid w:val="008F54A9"/>
    <w:rsid w:val="008F55B9"/>
    <w:rsid w:val="008F598C"/>
    <w:rsid w:val="008F6403"/>
    <w:rsid w:val="008F715C"/>
    <w:rsid w:val="008F72B9"/>
    <w:rsid w:val="008F75B8"/>
    <w:rsid w:val="008F7E52"/>
    <w:rsid w:val="008F7E74"/>
    <w:rsid w:val="0090075B"/>
    <w:rsid w:val="00901897"/>
    <w:rsid w:val="00901AFD"/>
    <w:rsid w:val="009021A8"/>
    <w:rsid w:val="0090233A"/>
    <w:rsid w:val="0090304F"/>
    <w:rsid w:val="00903A30"/>
    <w:rsid w:val="009041B7"/>
    <w:rsid w:val="009044C1"/>
    <w:rsid w:val="00904603"/>
    <w:rsid w:val="00904D45"/>
    <w:rsid w:val="0090501D"/>
    <w:rsid w:val="00905B16"/>
    <w:rsid w:val="0090753A"/>
    <w:rsid w:val="00907751"/>
    <w:rsid w:val="00907C0F"/>
    <w:rsid w:val="009105EC"/>
    <w:rsid w:val="0091089A"/>
    <w:rsid w:val="00911489"/>
    <w:rsid w:val="009115FC"/>
    <w:rsid w:val="009119FE"/>
    <w:rsid w:val="0091223F"/>
    <w:rsid w:val="009128BD"/>
    <w:rsid w:val="009130DB"/>
    <w:rsid w:val="00913144"/>
    <w:rsid w:val="009131FA"/>
    <w:rsid w:val="00913232"/>
    <w:rsid w:val="009132B7"/>
    <w:rsid w:val="00913494"/>
    <w:rsid w:val="00913558"/>
    <w:rsid w:val="00913D4A"/>
    <w:rsid w:val="009141A5"/>
    <w:rsid w:val="009146D9"/>
    <w:rsid w:val="0091483A"/>
    <w:rsid w:val="00914A1D"/>
    <w:rsid w:val="0091503D"/>
    <w:rsid w:val="009155B4"/>
    <w:rsid w:val="00915BB1"/>
    <w:rsid w:val="00916937"/>
    <w:rsid w:val="00916F95"/>
    <w:rsid w:val="00917267"/>
    <w:rsid w:val="009175F2"/>
    <w:rsid w:val="00917B9C"/>
    <w:rsid w:val="009200CD"/>
    <w:rsid w:val="009205CA"/>
    <w:rsid w:val="00920669"/>
    <w:rsid w:val="0092098B"/>
    <w:rsid w:val="00921240"/>
    <w:rsid w:val="00921BC6"/>
    <w:rsid w:val="0092208C"/>
    <w:rsid w:val="00922392"/>
    <w:rsid w:val="0092354E"/>
    <w:rsid w:val="00923882"/>
    <w:rsid w:val="00923963"/>
    <w:rsid w:val="00923A9A"/>
    <w:rsid w:val="00923B1E"/>
    <w:rsid w:val="00923CF7"/>
    <w:rsid w:val="00924443"/>
    <w:rsid w:val="0092483C"/>
    <w:rsid w:val="00924977"/>
    <w:rsid w:val="00925386"/>
    <w:rsid w:val="009258D6"/>
    <w:rsid w:val="00925FCF"/>
    <w:rsid w:val="0092603D"/>
    <w:rsid w:val="0092618E"/>
    <w:rsid w:val="00926DB2"/>
    <w:rsid w:val="009271F4"/>
    <w:rsid w:val="00927905"/>
    <w:rsid w:val="00927EF3"/>
    <w:rsid w:val="0093010B"/>
    <w:rsid w:val="00930319"/>
    <w:rsid w:val="009304A8"/>
    <w:rsid w:val="00930865"/>
    <w:rsid w:val="00930D4E"/>
    <w:rsid w:val="00930D4F"/>
    <w:rsid w:val="00931646"/>
    <w:rsid w:val="009316A2"/>
    <w:rsid w:val="0093202B"/>
    <w:rsid w:val="0093234C"/>
    <w:rsid w:val="00933010"/>
    <w:rsid w:val="00933241"/>
    <w:rsid w:val="00933DD8"/>
    <w:rsid w:val="0093447F"/>
    <w:rsid w:val="00934816"/>
    <w:rsid w:val="00934A18"/>
    <w:rsid w:val="00934BEB"/>
    <w:rsid w:val="00934EE6"/>
    <w:rsid w:val="00935098"/>
    <w:rsid w:val="00935C93"/>
    <w:rsid w:val="00936A57"/>
    <w:rsid w:val="00936C31"/>
    <w:rsid w:val="009373F4"/>
    <w:rsid w:val="0093759E"/>
    <w:rsid w:val="00937FFD"/>
    <w:rsid w:val="00937FFE"/>
    <w:rsid w:val="0094061D"/>
    <w:rsid w:val="00941274"/>
    <w:rsid w:val="009412D4"/>
    <w:rsid w:val="009413E8"/>
    <w:rsid w:val="00941AC8"/>
    <w:rsid w:val="00941BD3"/>
    <w:rsid w:val="00941FE7"/>
    <w:rsid w:val="00942212"/>
    <w:rsid w:val="00942A5C"/>
    <w:rsid w:val="00943132"/>
    <w:rsid w:val="0094320E"/>
    <w:rsid w:val="00943535"/>
    <w:rsid w:val="00943805"/>
    <w:rsid w:val="00943C7E"/>
    <w:rsid w:val="00943DA1"/>
    <w:rsid w:val="00943EAE"/>
    <w:rsid w:val="009440AE"/>
    <w:rsid w:val="0094452E"/>
    <w:rsid w:val="009446B9"/>
    <w:rsid w:val="00944EBA"/>
    <w:rsid w:val="0094502D"/>
    <w:rsid w:val="009452F7"/>
    <w:rsid w:val="009459F9"/>
    <w:rsid w:val="009464AA"/>
    <w:rsid w:val="00946DC5"/>
    <w:rsid w:val="0094717E"/>
    <w:rsid w:val="00947563"/>
    <w:rsid w:val="00947771"/>
    <w:rsid w:val="00947BD3"/>
    <w:rsid w:val="00947E4D"/>
    <w:rsid w:val="00950EBB"/>
    <w:rsid w:val="009510EB"/>
    <w:rsid w:val="009513BE"/>
    <w:rsid w:val="00951B63"/>
    <w:rsid w:val="00951DEC"/>
    <w:rsid w:val="00952201"/>
    <w:rsid w:val="00952C61"/>
    <w:rsid w:val="00952D9D"/>
    <w:rsid w:val="0095321E"/>
    <w:rsid w:val="009533BE"/>
    <w:rsid w:val="00953583"/>
    <w:rsid w:val="00953600"/>
    <w:rsid w:val="009538E6"/>
    <w:rsid w:val="0095394A"/>
    <w:rsid w:val="00953D4E"/>
    <w:rsid w:val="00954487"/>
    <w:rsid w:val="00954825"/>
    <w:rsid w:val="009549EC"/>
    <w:rsid w:val="00955265"/>
    <w:rsid w:val="0095532E"/>
    <w:rsid w:val="0095550B"/>
    <w:rsid w:val="009559DB"/>
    <w:rsid w:val="00955D4E"/>
    <w:rsid w:val="00956206"/>
    <w:rsid w:val="00956455"/>
    <w:rsid w:val="00956937"/>
    <w:rsid w:val="00956D08"/>
    <w:rsid w:val="00957AA8"/>
    <w:rsid w:val="00957EF7"/>
    <w:rsid w:val="0096023D"/>
    <w:rsid w:val="009604D5"/>
    <w:rsid w:val="009605A9"/>
    <w:rsid w:val="00960CAC"/>
    <w:rsid w:val="00960D23"/>
    <w:rsid w:val="00960D30"/>
    <w:rsid w:val="00961508"/>
    <w:rsid w:val="00961571"/>
    <w:rsid w:val="00961AD7"/>
    <w:rsid w:val="00961D05"/>
    <w:rsid w:val="00961D0F"/>
    <w:rsid w:val="009622E3"/>
    <w:rsid w:val="00962BA4"/>
    <w:rsid w:val="00962F4B"/>
    <w:rsid w:val="00963491"/>
    <w:rsid w:val="00964006"/>
    <w:rsid w:val="0096427E"/>
    <w:rsid w:val="00964CB8"/>
    <w:rsid w:val="00964CEB"/>
    <w:rsid w:val="009651C5"/>
    <w:rsid w:val="00965B37"/>
    <w:rsid w:val="009664FE"/>
    <w:rsid w:val="009677E0"/>
    <w:rsid w:val="009702DB"/>
    <w:rsid w:val="00970800"/>
    <w:rsid w:val="009708E7"/>
    <w:rsid w:val="00970A5A"/>
    <w:rsid w:val="00971954"/>
    <w:rsid w:val="00971A3C"/>
    <w:rsid w:val="00971D03"/>
    <w:rsid w:val="009723B8"/>
    <w:rsid w:val="00972523"/>
    <w:rsid w:val="00972946"/>
    <w:rsid w:val="00973B50"/>
    <w:rsid w:val="0097493D"/>
    <w:rsid w:val="00974A31"/>
    <w:rsid w:val="00974F7C"/>
    <w:rsid w:val="009755DB"/>
    <w:rsid w:val="00975724"/>
    <w:rsid w:val="0097575A"/>
    <w:rsid w:val="00975DE6"/>
    <w:rsid w:val="00976A4A"/>
    <w:rsid w:val="00976A75"/>
    <w:rsid w:val="00976F21"/>
    <w:rsid w:val="00977920"/>
    <w:rsid w:val="00977A22"/>
    <w:rsid w:val="0098066C"/>
    <w:rsid w:val="00980D6A"/>
    <w:rsid w:val="00980EC4"/>
    <w:rsid w:val="0098121F"/>
    <w:rsid w:val="00982B1B"/>
    <w:rsid w:val="00982C6A"/>
    <w:rsid w:val="00982EC6"/>
    <w:rsid w:val="0098335C"/>
    <w:rsid w:val="009834EE"/>
    <w:rsid w:val="00983C0D"/>
    <w:rsid w:val="00984BB0"/>
    <w:rsid w:val="009851E6"/>
    <w:rsid w:val="009858C2"/>
    <w:rsid w:val="00985A9F"/>
    <w:rsid w:val="009866EE"/>
    <w:rsid w:val="00986A8B"/>
    <w:rsid w:val="00986D58"/>
    <w:rsid w:val="00987026"/>
    <w:rsid w:val="00987331"/>
    <w:rsid w:val="009874C6"/>
    <w:rsid w:val="0098762F"/>
    <w:rsid w:val="00987BD5"/>
    <w:rsid w:val="00987FAA"/>
    <w:rsid w:val="00990BDB"/>
    <w:rsid w:val="00990C88"/>
    <w:rsid w:val="00991025"/>
    <w:rsid w:val="00991073"/>
    <w:rsid w:val="00991229"/>
    <w:rsid w:val="009914A1"/>
    <w:rsid w:val="0099156E"/>
    <w:rsid w:val="00991573"/>
    <w:rsid w:val="00991619"/>
    <w:rsid w:val="00991C26"/>
    <w:rsid w:val="0099224E"/>
    <w:rsid w:val="0099257F"/>
    <w:rsid w:val="0099299C"/>
    <w:rsid w:val="009943E9"/>
    <w:rsid w:val="00994B0A"/>
    <w:rsid w:val="00994F11"/>
    <w:rsid w:val="009958D5"/>
    <w:rsid w:val="00995B13"/>
    <w:rsid w:val="009965F6"/>
    <w:rsid w:val="00996B17"/>
    <w:rsid w:val="00996C4E"/>
    <w:rsid w:val="009A05BE"/>
    <w:rsid w:val="009A05C1"/>
    <w:rsid w:val="009A094A"/>
    <w:rsid w:val="009A098E"/>
    <w:rsid w:val="009A14C5"/>
    <w:rsid w:val="009A1796"/>
    <w:rsid w:val="009A1BF3"/>
    <w:rsid w:val="009A249A"/>
    <w:rsid w:val="009A25B3"/>
    <w:rsid w:val="009A26A4"/>
    <w:rsid w:val="009A26FE"/>
    <w:rsid w:val="009A2ABD"/>
    <w:rsid w:val="009A2D94"/>
    <w:rsid w:val="009A326E"/>
    <w:rsid w:val="009A42BF"/>
    <w:rsid w:val="009A441A"/>
    <w:rsid w:val="009A446C"/>
    <w:rsid w:val="009A547C"/>
    <w:rsid w:val="009A5874"/>
    <w:rsid w:val="009A59EB"/>
    <w:rsid w:val="009A6BB3"/>
    <w:rsid w:val="009A7116"/>
    <w:rsid w:val="009A7188"/>
    <w:rsid w:val="009A728C"/>
    <w:rsid w:val="009A744D"/>
    <w:rsid w:val="009A78FA"/>
    <w:rsid w:val="009A7993"/>
    <w:rsid w:val="009B00D6"/>
    <w:rsid w:val="009B0191"/>
    <w:rsid w:val="009B0365"/>
    <w:rsid w:val="009B0A8A"/>
    <w:rsid w:val="009B0C79"/>
    <w:rsid w:val="009B1551"/>
    <w:rsid w:val="009B26A7"/>
    <w:rsid w:val="009B36B0"/>
    <w:rsid w:val="009B36E7"/>
    <w:rsid w:val="009B4362"/>
    <w:rsid w:val="009B4795"/>
    <w:rsid w:val="009B4A3E"/>
    <w:rsid w:val="009B7FC9"/>
    <w:rsid w:val="009C06A6"/>
    <w:rsid w:val="009C085C"/>
    <w:rsid w:val="009C0BCC"/>
    <w:rsid w:val="009C15FE"/>
    <w:rsid w:val="009C1756"/>
    <w:rsid w:val="009C1A15"/>
    <w:rsid w:val="009C2837"/>
    <w:rsid w:val="009C295D"/>
    <w:rsid w:val="009C2C9C"/>
    <w:rsid w:val="009C3CEC"/>
    <w:rsid w:val="009C45F5"/>
    <w:rsid w:val="009C4B38"/>
    <w:rsid w:val="009C4EB9"/>
    <w:rsid w:val="009C525B"/>
    <w:rsid w:val="009C57FD"/>
    <w:rsid w:val="009C673D"/>
    <w:rsid w:val="009C767D"/>
    <w:rsid w:val="009C76A1"/>
    <w:rsid w:val="009C77B7"/>
    <w:rsid w:val="009C7BD4"/>
    <w:rsid w:val="009C7EE5"/>
    <w:rsid w:val="009D0171"/>
    <w:rsid w:val="009D059F"/>
    <w:rsid w:val="009D103A"/>
    <w:rsid w:val="009D154F"/>
    <w:rsid w:val="009D185A"/>
    <w:rsid w:val="009D19A1"/>
    <w:rsid w:val="009D1C67"/>
    <w:rsid w:val="009D22BC"/>
    <w:rsid w:val="009D3618"/>
    <w:rsid w:val="009D3A4D"/>
    <w:rsid w:val="009D3B4A"/>
    <w:rsid w:val="009D40A0"/>
    <w:rsid w:val="009D4132"/>
    <w:rsid w:val="009D421A"/>
    <w:rsid w:val="009D44A2"/>
    <w:rsid w:val="009D4AFD"/>
    <w:rsid w:val="009D5352"/>
    <w:rsid w:val="009D556C"/>
    <w:rsid w:val="009D56B8"/>
    <w:rsid w:val="009D582B"/>
    <w:rsid w:val="009D5915"/>
    <w:rsid w:val="009D6D9B"/>
    <w:rsid w:val="009D74EB"/>
    <w:rsid w:val="009D79B1"/>
    <w:rsid w:val="009D7D39"/>
    <w:rsid w:val="009E0623"/>
    <w:rsid w:val="009E187C"/>
    <w:rsid w:val="009E19A4"/>
    <w:rsid w:val="009E1B73"/>
    <w:rsid w:val="009E2040"/>
    <w:rsid w:val="009E210D"/>
    <w:rsid w:val="009E285D"/>
    <w:rsid w:val="009E2C7C"/>
    <w:rsid w:val="009E358F"/>
    <w:rsid w:val="009E4088"/>
    <w:rsid w:val="009E422E"/>
    <w:rsid w:val="009E4733"/>
    <w:rsid w:val="009E47DF"/>
    <w:rsid w:val="009E4DFC"/>
    <w:rsid w:val="009E4E20"/>
    <w:rsid w:val="009E5999"/>
    <w:rsid w:val="009E5E7A"/>
    <w:rsid w:val="009E6BE1"/>
    <w:rsid w:val="009E6F41"/>
    <w:rsid w:val="009E732B"/>
    <w:rsid w:val="009E77F7"/>
    <w:rsid w:val="009F0D4B"/>
    <w:rsid w:val="009F1056"/>
    <w:rsid w:val="009F1961"/>
    <w:rsid w:val="009F1A61"/>
    <w:rsid w:val="009F1BCB"/>
    <w:rsid w:val="009F1F51"/>
    <w:rsid w:val="009F3963"/>
    <w:rsid w:val="009F3D75"/>
    <w:rsid w:val="009F4768"/>
    <w:rsid w:val="009F4B74"/>
    <w:rsid w:val="009F4EB2"/>
    <w:rsid w:val="009F4ED9"/>
    <w:rsid w:val="009F5AB8"/>
    <w:rsid w:val="009F5FE2"/>
    <w:rsid w:val="009F6445"/>
    <w:rsid w:val="009F65E6"/>
    <w:rsid w:val="009F6B24"/>
    <w:rsid w:val="009F6E2E"/>
    <w:rsid w:val="009F7A1B"/>
    <w:rsid w:val="009F7B6C"/>
    <w:rsid w:val="009F7DF7"/>
    <w:rsid w:val="00A00FAF"/>
    <w:rsid w:val="00A0164F"/>
    <w:rsid w:val="00A0272A"/>
    <w:rsid w:val="00A02CAE"/>
    <w:rsid w:val="00A032B8"/>
    <w:rsid w:val="00A033EB"/>
    <w:rsid w:val="00A035A3"/>
    <w:rsid w:val="00A03A67"/>
    <w:rsid w:val="00A03EF3"/>
    <w:rsid w:val="00A0404E"/>
    <w:rsid w:val="00A0409C"/>
    <w:rsid w:val="00A0415F"/>
    <w:rsid w:val="00A04448"/>
    <w:rsid w:val="00A04EB1"/>
    <w:rsid w:val="00A051C0"/>
    <w:rsid w:val="00A05C35"/>
    <w:rsid w:val="00A05C41"/>
    <w:rsid w:val="00A05F56"/>
    <w:rsid w:val="00A060A8"/>
    <w:rsid w:val="00A06C4F"/>
    <w:rsid w:val="00A07466"/>
    <w:rsid w:val="00A077AD"/>
    <w:rsid w:val="00A103B7"/>
    <w:rsid w:val="00A108E8"/>
    <w:rsid w:val="00A11167"/>
    <w:rsid w:val="00A111E0"/>
    <w:rsid w:val="00A1169B"/>
    <w:rsid w:val="00A118FD"/>
    <w:rsid w:val="00A11D53"/>
    <w:rsid w:val="00A11D99"/>
    <w:rsid w:val="00A11E52"/>
    <w:rsid w:val="00A126F2"/>
    <w:rsid w:val="00A12D21"/>
    <w:rsid w:val="00A12E8D"/>
    <w:rsid w:val="00A131F1"/>
    <w:rsid w:val="00A13CE7"/>
    <w:rsid w:val="00A13FAE"/>
    <w:rsid w:val="00A140AD"/>
    <w:rsid w:val="00A15206"/>
    <w:rsid w:val="00A152D6"/>
    <w:rsid w:val="00A15533"/>
    <w:rsid w:val="00A1596F"/>
    <w:rsid w:val="00A15CEE"/>
    <w:rsid w:val="00A1648E"/>
    <w:rsid w:val="00A16B9F"/>
    <w:rsid w:val="00A175D8"/>
    <w:rsid w:val="00A1760C"/>
    <w:rsid w:val="00A178DA"/>
    <w:rsid w:val="00A203A9"/>
    <w:rsid w:val="00A2041E"/>
    <w:rsid w:val="00A207CF"/>
    <w:rsid w:val="00A2126E"/>
    <w:rsid w:val="00A2165F"/>
    <w:rsid w:val="00A21F80"/>
    <w:rsid w:val="00A22490"/>
    <w:rsid w:val="00A22CA5"/>
    <w:rsid w:val="00A22FF7"/>
    <w:rsid w:val="00A23235"/>
    <w:rsid w:val="00A23649"/>
    <w:rsid w:val="00A23E8B"/>
    <w:rsid w:val="00A2429F"/>
    <w:rsid w:val="00A244BE"/>
    <w:rsid w:val="00A24BB6"/>
    <w:rsid w:val="00A24E9F"/>
    <w:rsid w:val="00A251C2"/>
    <w:rsid w:val="00A257A6"/>
    <w:rsid w:val="00A25EB5"/>
    <w:rsid w:val="00A261E9"/>
    <w:rsid w:val="00A2631F"/>
    <w:rsid w:val="00A26E2F"/>
    <w:rsid w:val="00A272AB"/>
    <w:rsid w:val="00A27408"/>
    <w:rsid w:val="00A277AD"/>
    <w:rsid w:val="00A27BDC"/>
    <w:rsid w:val="00A27E75"/>
    <w:rsid w:val="00A30271"/>
    <w:rsid w:val="00A31448"/>
    <w:rsid w:val="00A334CE"/>
    <w:rsid w:val="00A342F0"/>
    <w:rsid w:val="00A355B9"/>
    <w:rsid w:val="00A35C3B"/>
    <w:rsid w:val="00A35E93"/>
    <w:rsid w:val="00A369C3"/>
    <w:rsid w:val="00A36AA2"/>
    <w:rsid w:val="00A37412"/>
    <w:rsid w:val="00A37C6F"/>
    <w:rsid w:val="00A37E5F"/>
    <w:rsid w:val="00A41B0D"/>
    <w:rsid w:val="00A42590"/>
    <w:rsid w:val="00A429BE"/>
    <w:rsid w:val="00A42B1F"/>
    <w:rsid w:val="00A430E2"/>
    <w:rsid w:val="00A43108"/>
    <w:rsid w:val="00A4328B"/>
    <w:rsid w:val="00A43850"/>
    <w:rsid w:val="00A44DD0"/>
    <w:rsid w:val="00A451BE"/>
    <w:rsid w:val="00A4550D"/>
    <w:rsid w:val="00A456A6"/>
    <w:rsid w:val="00A458F6"/>
    <w:rsid w:val="00A45BC4"/>
    <w:rsid w:val="00A4694E"/>
    <w:rsid w:val="00A46DB7"/>
    <w:rsid w:val="00A47305"/>
    <w:rsid w:val="00A47475"/>
    <w:rsid w:val="00A478E9"/>
    <w:rsid w:val="00A508A8"/>
    <w:rsid w:val="00A50D9B"/>
    <w:rsid w:val="00A510D1"/>
    <w:rsid w:val="00A51929"/>
    <w:rsid w:val="00A52228"/>
    <w:rsid w:val="00A5240F"/>
    <w:rsid w:val="00A527D6"/>
    <w:rsid w:val="00A532BB"/>
    <w:rsid w:val="00A54063"/>
    <w:rsid w:val="00A54481"/>
    <w:rsid w:val="00A547D4"/>
    <w:rsid w:val="00A548D4"/>
    <w:rsid w:val="00A54E6F"/>
    <w:rsid w:val="00A54EC5"/>
    <w:rsid w:val="00A54FD7"/>
    <w:rsid w:val="00A555C7"/>
    <w:rsid w:val="00A5593A"/>
    <w:rsid w:val="00A55E1B"/>
    <w:rsid w:val="00A563CE"/>
    <w:rsid w:val="00A56665"/>
    <w:rsid w:val="00A56693"/>
    <w:rsid w:val="00A57C21"/>
    <w:rsid w:val="00A57F53"/>
    <w:rsid w:val="00A57FEF"/>
    <w:rsid w:val="00A60811"/>
    <w:rsid w:val="00A609D0"/>
    <w:rsid w:val="00A60D03"/>
    <w:rsid w:val="00A61196"/>
    <w:rsid w:val="00A6141B"/>
    <w:rsid w:val="00A625DC"/>
    <w:rsid w:val="00A626F3"/>
    <w:rsid w:val="00A62971"/>
    <w:rsid w:val="00A62D75"/>
    <w:rsid w:val="00A63EC6"/>
    <w:rsid w:val="00A64076"/>
    <w:rsid w:val="00A64F07"/>
    <w:rsid w:val="00A651E8"/>
    <w:rsid w:val="00A65665"/>
    <w:rsid w:val="00A659C6"/>
    <w:rsid w:val="00A65EC8"/>
    <w:rsid w:val="00A661CB"/>
    <w:rsid w:val="00A66419"/>
    <w:rsid w:val="00A66847"/>
    <w:rsid w:val="00A66CAF"/>
    <w:rsid w:val="00A7020C"/>
    <w:rsid w:val="00A70342"/>
    <w:rsid w:val="00A70579"/>
    <w:rsid w:val="00A714AA"/>
    <w:rsid w:val="00A71E2C"/>
    <w:rsid w:val="00A71E50"/>
    <w:rsid w:val="00A72227"/>
    <w:rsid w:val="00A72BD8"/>
    <w:rsid w:val="00A72D8E"/>
    <w:rsid w:val="00A7357F"/>
    <w:rsid w:val="00A7369C"/>
    <w:rsid w:val="00A73809"/>
    <w:rsid w:val="00A7390F"/>
    <w:rsid w:val="00A73E63"/>
    <w:rsid w:val="00A74B06"/>
    <w:rsid w:val="00A75480"/>
    <w:rsid w:val="00A76279"/>
    <w:rsid w:val="00A7669E"/>
    <w:rsid w:val="00A7745B"/>
    <w:rsid w:val="00A774FE"/>
    <w:rsid w:val="00A77875"/>
    <w:rsid w:val="00A800EC"/>
    <w:rsid w:val="00A80146"/>
    <w:rsid w:val="00A8068E"/>
    <w:rsid w:val="00A806C5"/>
    <w:rsid w:val="00A817EA"/>
    <w:rsid w:val="00A817EE"/>
    <w:rsid w:val="00A822B7"/>
    <w:rsid w:val="00A826AF"/>
    <w:rsid w:val="00A82FF4"/>
    <w:rsid w:val="00A83303"/>
    <w:rsid w:val="00A840CE"/>
    <w:rsid w:val="00A84161"/>
    <w:rsid w:val="00A84EFB"/>
    <w:rsid w:val="00A8507D"/>
    <w:rsid w:val="00A851B8"/>
    <w:rsid w:val="00A85652"/>
    <w:rsid w:val="00A85AC3"/>
    <w:rsid w:val="00A85F85"/>
    <w:rsid w:val="00A866B1"/>
    <w:rsid w:val="00A86B30"/>
    <w:rsid w:val="00A86C87"/>
    <w:rsid w:val="00A86C98"/>
    <w:rsid w:val="00A871F5"/>
    <w:rsid w:val="00A87BA5"/>
    <w:rsid w:val="00A9052C"/>
    <w:rsid w:val="00A90793"/>
    <w:rsid w:val="00A91068"/>
    <w:rsid w:val="00A91260"/>
    <w:rsid w:val="00A912F1"/>
    <w:rsid w:val="00A91773"/>
    <w:rsid w:val="00A9177D"/>
    <w:rsid w:val="00A91A98"/>
    <w:rsid w:val="00A9200A"/>
    <w:rsid w:val="00A92384"/>
    <w:rsid w:val="00A93726"/>
    <w:rsid w:val="00A9384A"/>
    <w:rsid w:val="00A93888"/>
    <w:rsid w:val="00A93E10"/>
    <w:rsid w:val="00A93FA7"/>
    <w:rsid w:val="00A944C8"/>
    <w:rsid w:val="00A94CCB"/>
    <w:rsid w:val="00A9509F"/>
    <w:rsid w:val="00A956EE"/>
    <w:rsid w:val="00A95CFD"/>
    <w:rsid w:val="00A960E3"/>
    <w:rsid w:val="00A97763"/>
    <w:rsid w:val="00A97B32"/>
    <w:rsid w:val="00A97CEA"/>
    <w:rsid w:val="00AA0910"/>
    <w:rsid w:val="00AA0F9C"/>
    <w:rsid w:val="00AA1450"/>
    <w:rsid w:val="00AA18EF"/>
    <w:rsid w:val="00AA1B32"/>
    <w:rsid w:val="00AA1C99"/>
    <w:rsid w:val="00AA1D5B"/>
    <w:rsid w:val="00AA23A6"/>
    <w:rsid w:val="00AA2C82"/>
    <w:rsid w:val="00AA2D50"/>
    <w:rsid w:val="00AA367A"/>
    <w:rsid w:val="00AA39B3"/>
    <w:rsid w:val="00AA47DB"/>
    <w:rsid w:val="00AA4C3D"/>
    <w:rsid w:val="00AA5955"/>
    <w:rsid w:val="00AA5D79"/>
    <w:rsid w:val="00AA5E4A"/>
    <w:rsid w:val="00AA66F8"/>
    <w:rsid w:val="00AA6762"/>
    <w:rsid w:val="00AA6C01"/>
    <w:rsid w:val="00AA77B7"/>
    <w:rsid w:val="00AA789C"/>
    <w:rsid w:val="00AA7B34"/>
    <w:rsid w:val="00AA7F02"/>
    <w:rsid w:val="00AB01C2"/>
    <w:rsid w:val="00AB025B"/>
    <w:rsid w:val="00AB025F"/>
    <w:rsid w:val="00AB0A06"/>
    <w:rsid w:val="00AB0BD9"/>
    <w:rsid w:val="00AB16C2"/>
    <w:rsid w:val="00AB1773"/>
    <w:rsid w:val="00AB1E1A"/>
    <w:rsid w:val="00AB221B"/>
    <w:rsid w:val="00AB234C"/>
    <w:rsid w:val="00AB2491"/>
    <w:rsid w:val="00AB27E6"/>
    <w:rsid w:val="00AB2B68"/>
    <w:rsid w:val="00AB2E41"/>
    <w:rsid w:val="00AB2EE3"/>
    <w:rsid w:val="00AB329D"/>
    <w:rsid w:val="00AB334C"/>
    <w:rsid w:val="00AB4233"/>
    <w:rsid w:val="00AB4353"/>
    <w:rsid w:val="00AB439C"/>
    <w:rsid w:val="00AB4A01"/>
    <w:rsid w:val="00AB4A56"/>
    <w:rsid w:val="00AB4A98"/>
    <w:rsid w:val="00AB56AC"/>
    <w:rsid w:val="00AB57AE"/>
    <w:rsid w:val="00AB5CB6"/>
    <w:rsid w:val="00AB5D02"/>
    <w:rsid w:val="00AB5E03"/>
    <w:rsid w:val="00AB63DA"/>
    <w:rsid w:val="00AB679E"/>
    <w:rsid w:val="00AB7ED1"/>
    <w:rsid w:val="00AC00BF"/>
    <w:rsid w:val="00AC0517"/>
    <w:rsid w:val="00AC0C4C"/>
    <w:rsid w:val="00AC0E40"/>
    <w:rsid w:val="00AC0EF0"/>
    <w:rsid w:val="00AC1313"/>
    <w:rsid w:val="00AC1477"/>
    <w:rsid w:val="00AC1EA3"/>
    <w:rsid w:val="00AC20B6"/>
    <w:rsid w:val="00AC2311"/>
    <w:rsid w:val="00AC24B5"/>
    <w:rsid w:val="00AC261C"/>
    <w:rsid w:val="00AC2BD1"/>
    <w:rsid w:val="00AC3062"/>
    <w:rsid w:val="00AC36BE"/>
    <w:rsid w:val="00AC3730"/>
    <w:rsid w:val="00AC3BB3"/>
    <w:rsid w:val="00AC3CE9"/>
    <w:rsid w:val="00AC42F4"/>
    <w:rsid w:val="00AC45D6"/>
    <w:rsid w:val="00AC4906"/>
    <w:rsid w:val="00AC4F0F"/>
    <w:rsid w:val="00AC54C0"/>
    <w:rsid w:val="00AC5951"/>
    <w:rsid w:val="00AC5A6D"/>
    <w:rsid w:val="00AC6381"/>
    <w:rsid w:val="00AC680A"/>
    <w:rsid w:val="00AC76D8"/>
    <w:rsid w:val="00AC7D65"/>
    <w:rsid w:val="00AD1E9C"/>
    <w:rsid w:val="00AD2017"/>
    <w:rsid w:val="00AD23D6"/>
    <w:rsid w:val="00AD278B"/>
    <w:rsid w:val="00AD2AC8"/>
    <w:rsid w:val="00AD2B18"/>
    <w:rsid w:val="00AD2B38"/>
    <w:rsid w:val="00AD2DDF"/>
    <w:rsid w:val="00AD3079"/>
    <w:rsid w:val="00AD364F"/>
    <w:rsid w:val="00AD3788"/>
    <w:rsid w:val="00AD3826"/>
    <w:rsid w:val="00AD3844"/>
    <w:rsid w:val="00AD460D"/>
    <w:rsid w:val="00AD4643"/>
    <w:rsid w:val="00AD4BC9"/>
    <w:rsid w:val="00AD4EB4"/>
    <w:rsid w:val="00AD4F73"/>
    <w:rsid w:val="00AD5236"/>
    <w:rsid w:val="00AD5345"/>
    <w:rsid w:val="00AD54B8"/>
    <w:rsid w:val="00AD5E03"/>
    <w:rsid w:val="00AD5E29"/>
    <w:rsid w:val="00AD610B"/>
    <w:rsid w:val="00AD635D"/>
    <w:rsid w:val="00AD73C3"/>
    <w:rsid w:val="00AD7954"/>
    <w:rsid w:val="00AD7AD0"/>
    <w:rsid w:val="00AE002E"/>
    <w:rsid w:val="00AE01F0"/>
    <w:rsid w:val="00AE0A4A"/>
    <w:rsid w:val="00AE0F33"/>
    <w:rsid w:val="00AE13FC"/>
    <w:rsid w:val="00AE1647"/>
    <w:rsid w:val="00AE17B7"/>
    <w:rsid w:val="00AE1A79"/>
    <w:rsid w:val="00AE2948"/>
    <w:rsid w:val="00AE2B21"/>
    <w:rsid w:val="00AE3435"/>
    <w:rsid w:val="00AE3AF7"/>
    <w:rsid w:val="00AE3C81"/>
    <w:rsid w:val="00AE3E7D"/>
    <w:rsid w:val="00AE41BC"/>
    <w:rsid w:val="00AE477D"/>
    <w:rsid w:val="00AE4979"/>
    <w:rsid w:val="00AE55B0"/>
    <w:rsid w:val="00AE64F8"/>
    <w:rsid w:val="00AE693C"/>
    <w:rsid w:val="00AE700F"/>
    <w:rsid w:val="00AE7326"/>
    <w:rsid w:val="00AE7641"/>
    <w:rsid w:val="00AE7EC8"/>
    <w:rsid w:val="00AF0242"/>
    <w:rsid w:val="00AF0EE7"/>
    <w:rsid w:val="00AF1371"/>
    <w:rsid w:val="00AF1CD0"/>
    <w:rsid w:val="00AF1E97"/>
    <w:rsid w:val="00AF1F02"/>
    <w:rsid w:val="00AF1F63"/>
    <w:rsid w:val="00AF20E0"/>
    <w:rsid w:val="00AF2450"/>
    <w:rsid w:val="00AF25CB"/>
    <w:rsid w:val="00AF295C"/>
    <w:rsid w:val="00AF2D04"/>
    <w:rsid w:val="00AF308F"/>
    <w:rsid w:val="00AF312E"/>
    <w:rsid w:val="00AF40E7"/>
    <w:rsid w:val="00AF4509"/>
    <w:rsid w:val="00AF525F"/>
    <w:rsid w:val="00AF55A7"/>
    <w:rsid w:val="00AF5CBE"/>
    <w:rsid w:val="00AF5E5F"/>
    <w:rsid w:val="00AF608A"/>
    <w:rsid w:val="00AF61D4"/>
    <w:rsid w:val="00AF6276"/>
    <w:rsid w:val="00AF69AF"/>
    <w:rsid w:val="00AF69BB"/>
    <w:rsid w:val="00AF784D"/>
    <w:rsid w:val="00AF78D7"/>
    <w:rsid w:val="00AF7B5A"/>
    <w:rsid w:val="00AF7BB3"/>
    <w:rsid w:val="00AF7E53"/>
    <w:rsid w:val="00AF7EBA"/>
    <w:rsid w:val="00B00108"/>
    <w:rsid w:val="00B004AF"/>
    <w:rsid w:val="00B00B2F"/>
    <w:rsid w:val="00B00FBE"/>
    <w:rsid w:val="00B01400"/>
    <w:rsid w:val="00B02139"/>
    <w:rsid w:val="00B02143"/>
    <w:rsid w:val="00B02206"/>
    <w:rsid w:val="00B02538"/>
    <w:rsid w:val="00B028AA"/>
    <w:rsid w:val="00B02A2F"/>
    <w:rsid w:val="00B0361C"/>
    <w:rsid w:val="00B0372E"/>
    <w:rsid w:val="00B03A78"/>
    <w:rsid w:val="00B03C5B"/>
    <w:rsid w:val="00B04E68"/>
    <w:rsid w:val="00B051A5"/>
    <w:rsid w:val="00B056D8"/>
    <w:rsid w:val="00B05BBA"/>
    <w:rsid w:val="00B05C13"/>
    <w:rsid w:val="00B05D2A"/>
    <w:rsid w:val="00B060A7"/>
    <w:rsid w:val="00B06114"/>
    <w:rsid w:val="00B06651"/>
    <w:rsid w:val="00B066DE"/>
    <w:rsid w:val="00B069E9"/>
    <w:rsid w:val="00B06A98"/>
    <w:rsid w:val="00B06D97"/>
    <w:rsid w:val="00B06FC6"/>
    <w:rsid w:val="00B0747F"/>
    <w:rsid w:val="00B076D5"/>
    <w:rsid w:val="00B077A4"/>
    <w:rsid w:val="00B10560"/>
    <w:rsid w:val="00B10AAF"/>
    <w:rsid w:val="00B1168C"/>
    <w:rsid w:val="00B11B39"/>
    <w:rsid w:val="00B11DCB"/>
    <w:rsid w:val="00B12975"/>
    <w:rsid w:val="00B12B50"/>
    <w:rsid w:val="00B12F58"/>
    <w:rsid w:val="00B13275"/>
    <w:rsid w:val="00B13739"/>
    <w:rsid w:val="00B13E85"/>
    <w:rsid w:val="00B1487F"/>
    <w:rsid w:val="00B15A67"/>
    <w:rsid w:val="00B15CA6"/>
    <w:rsid w:val="00B16335"/>
    <w:rsid w:val="00B16485"/>
    <w:rsid w:val="00B165A4"/>
    <w:rsid w:val="00B16CE9"/>
    <w:rsid w:val="00B1723B"/>
    <w:rsid w:val="00B17D8A"/>
    <w:rsid w:val="00B17FBA"/>
    <w:rsid w:val="00B20471"/>
    <w:rsid w:val="00B210EB"/>
    <w:rsid w:val="00B2122F"/>
    <w:rsid w:val="00B21640"/>
    <w:rsid w:val="00B21A50"/>
    <w:rsid w:val="00B22662"/>
    <w:rsid w:val="00B227B5"/>
    <w:rsid w:val="00B22B01"/>
    <w:rsid w:val="00B239EA"/>
    <w:rsid w:val="00B2424A"/>
    <w:rsid w:val="00B24944"/>
    <w:rsid w:val="00B2607F"/>
    <w:rsid w:val="00B27BAA"/>
    <w:rsid w:val="00B27C0B"/>
    <w:rsid w:val="00B3007F"/>
    <w:rsid w:val="00B3064D"/>
    <w:rsid w:val="00B30F60"/>
    <w:rsid w:val="00B310F9"/>
    <w:rsid w:val="00B3177B"/>
    <w:rsid w:val="00B3286C"/>
    <w:rsid w:val="00B33159"/>
    <w:rsid w:val="00B332DD"/>
    <w:rsid w:val="00B33557"/>
    <w:rsid w:val="00B33AE6"/>
    <w:rsid w:val="00B33B26"/>
    <w:rsid w:val="00B33D73"/>
    <w:rsid w:val="00B33E0D"/>
    <w:rsid w:val="00B34466"/>
    <w:rsid w:val="00B3534B"/>
    <w:rsid w:val="00B35464"/>
    <w:rsid w:val="00B35ED7"/>
    <w:rsid w:val="00B366C0"/>
    <w:rsid w:val="00B36A55"/>
    <w:rsid w:val="00B36B26"/>
    <w:rsid w:val="00B36E98"/>
    <w:rsid w:val="00B37756"/>
    <w:rsid w:val="00B37A29"/>
    <w:rsid w:val="00B37E91"/>
    <w:rsid w:val="00B4042F"/>
    <w:rsid w:val="00B40561"/>
    <w:rsid w:val="00B4094C"/>
    <w:rsid w:val="00B40DA7"/>
    <w:rsid w:val="00B414DE"/>
    <w:rsid w:val="00B42038"/>
    <w:rsid w:val="00B433EA"/>
    <w:rsid w:val="00B43EAE"/>
    <w:rsid w:val="00B44812"/>
    <w:rsid w:val="00B4494B"/>
    <w:rsid w:val="00B44E53"/>
    <w:rsid w:val="00B4509F"/>
    <w:rsid w:val="00B4514C"/>
    <w:rsid w:val="00B453FC"/>
    <w:rsid w:val="00B45495"/>
    <w:rsid w:val="00B4638D"/>
    <w:rsid w:val="00B46425"/>
    <w:rsid w:val="00B4662B"/>
    <w:rsid w:val="00B4729E"/>
    <w:rsid w:val="00B474B1"/>
    <w:rsid w:val="00B4791F"/>
    <w:rsid w:val="00B500BC"/>
    <w:rsid w:val="00B501C2"/>
    <w:rsid w:val="00B520FB"/>
    <w:rsid w:val="00B52606"/>
    <w:rsid w:val="00B53470"/>
    <w:rsid w:val="00B53CE0"/>
    <w:rsid w:val="00B53F35"/>
    <w:rsid w:val="00B547AA"/>
    <w:rsid w:val="00B54C4C"/>
    <w:rsid w:val="00B554EB"/>
    <w:rsid w:val="00B55A13"/>
    <w:rsid w:val="00B56641"/>
    <w:rsid w:val="00B569FC"/>
    <w:rsid w:val="00B575E6"/>
    <w:rsid w:val="00B57EB8"/>
    <w:rsid w:val="00B60449"/>
    <w:rsid w:val="00B60927"/>
    <w:rsid w:val="00B60943"/>
    <w:rsid w:val="00B61657"/>
    <w:rsid w:val="00B61E1F"/>
    <w:rsid w:val="00B628FC"/>
    <w:rsid w:val="00B631F8"/>
    <w:rsid w:val="00B633F3"/>
    <w:rsid w:val="00B639CE"/>
    <w:rsid w:val="00B63CE0"/>
    <w:rsid w:val="00B64367"/>
    <w:rsid w:val="00B6476E"/>
    <w:rsid w:val="00B64918"/>
    <w:rsid w:val="00B64DC4"/>
    <w:rsid w:val="00B6517C"/>
    <w:rsid w:val="00B652ED"/>
    <w:rsid w:val="00B654C4"/>
    <w:rsid w:val="00B65B74"/>
    <w:rsid w:val="00B66450"/>
    <w:rsid w:val="00B664B3"/>
    <w:rsid w:val="00B66721"/>
    <w:rsid w:val="00B6673E"/>
    <w:rsid w:val="00B668E2"/>
    <w:rsid w:val="00B66D95"/>
    <w:rsid w:val="00B66E69"/>
    <w:rsid w:val="00B672D3"/>
    <w:rsid w:val="00B675BC"/>
    <w:rsid w:val="00B70912"/>
    <w:rsid w:val="00B71F7B"/>
    <w:rsid w:val="00B72C3A"/>
    <w:rsid w:val="00B73499"/>
    <w:rsid w:val="00B73FEC"/>
    <w:rsid w:val="00B751E5"/>
    <w:rsid w:val="00B7537E"/>
    <w:rsid w:val="00B75B65"/>
    <w:rsid w:val="00B75D8A"/>
    <w:rsid w:val="00B7677E"/>
    <w:rsid w:val="00B768B5"/>
    <w:rsid w:val="00B76DB4"/>
    <w:rsid w:val="00B77239"/>
    <w:rsid w:val="00B77371"/>
    <w:rsid w:val="00B773F2"/>
    <w:rsid w:val="00B77762"/>
    <w:rsid w:val="00B77E40"/>
    <w:rsid w:val="00B80B7D"/>
    <w:rsid w:val="00B81099"/>
    <w:rsid w:val="00B810AB"/>
    <w:rsid w:val="00B8276D"/>
    <w:rsid w:val="00B82994"/>
    <w:rsid w:val="00B82C69"/>
    <w:rsid w:val="00B82FF1"/>
    <w:rsid w:val="00B83AF9"/>
    <w:rsid w:val="00B83E2B"/>
    <w:rsid w:val="00B83F19"/>
    <w:rsid w:val="00B84200"/>
    <w:rsid w:val="00B8465F"/>
    <w:rsid w:val="00B84865"/>
    <w:rsid w:val="00B8515A"/>
    <w:rsid w:val="00B8579C"/>
    <w:rsid w:val="00B85E08"/>
    <w:rsid w:val="00B8647B"/>
    <w:rsid w:val="00B8650B"/>
    <w:rsid w:val="00B8670D"/>
    <w:rsid w:val="00B87A68"/>
    <w:rsid w:val="00B87C6D"/>
    <w:rsid w:val="00B904D1"/>
    <w:rsid w:val="00B90C46"/>
    <w:rsid w:val="00B9129D"/>
    <w:rsid w:val="00B918BC"/>
    <w:rsid w:val="00B91F61"/>
    <w:rsid w:val="00B92128"/>
    <w:rsid w:val="00B926E1"/>
    <w:rsid w:val="00B9383B"/>
    <w:rsid w:val="00B93B6F"/>
    <w:rsid w:val="00B93C69"/>
    <w:rsid w:val="00B945B3"/>
    <w:rsid w:val="00B949FF"/>
    <w:rsid w:val="00B94D1D"/>
    <w:rsid w:val="00B9523E"/>
    <w:rsid w:val="00B95575"/>
    <w:rsid w:val="00B956BB"/>
    <w:rsid w:val="00B95B69"/>
    <w:rsid w:val="00B96769"/>
    <w:rsid w:val="00B96A8B"/>
    <w:rsid w:val="00B97399"/>
    <w:rsid w:val="00B97F1A"/>
    <w:rsid w:val="00BA0405"/>
    <w:rsid w:val="00BA05DA"/>
    <w:rsid w:val="00BA0A98"/>
    <w:rsid w:val="00BA0C05"/>
    <w:rsid w:val="00BA0C5B"/>
    <w:rsid w:val="00BA1135"/>
    <w:rsid w:val="00BA15A2"/>
    <w:rsid w:val="00BA1E9B"/>
    <w:rsid w:val="00BA1F5C"/>
    <w:rsid w:val="00BA21B1"/>
    <w:rsid w:val="00BA2828"/>
    <w:rsid w:val="00BA2A2D"/>
    <w:rsid w:val="00BA2D35"/>
    <w:rsid w:val="00BA3149"/>
    <w:rsid w:val="00BA31A2"/>
    <w:rsid w:val="00BA347A"/>
    <w:rsid w:val="00BA3FA9"/>
    <w:rsid w:val="00BA4151"/>
    <w:rsid w:val="00BA447B"/>
    <w:rsid w:val="00BA44C4"/>
    <w:rsid w:val="00BA4567"/>
    <w:rsid w:val="00BA4569"/>
    <w:rsid w:val="00BA485B"/>
    <w:rsid w:val="00BA4ACB"/>
    <w:rsid w:val="00BA4BA1"/>
    <w:rsid w:val="00BA4BE5"/>
    <w:rsid w:val="00BA4D56"/>
    <w:rsid w:val="00BA5276"/>
    <w:rsid w:val="00BA52AD"/>
    <w:rsid w:val="00BA5F95"/>
    <w:rsid w:val="00BA6350"/>
    <w:rsid w:val="00BA6566"/>
    <w:rsid w:val="00BA6803"/>
    <w:rsid w:val="00BA6C42"/>
    <w:rsid w:val="00BA7602"/>
    <w:rsid w:val="00BA773D"/>
    <w:rsid w:val="00BA77D7"/>
    <w:rsid w:val="00BA77E7"/>
    <w:rsid w:val="00BB03B4"/>
    <w:rsid w:val="00BB05E0"/>
    <w:rsid w:val="00BB0A7F"/>
    <w:rsid w:val="00BB0A82"/>
    <w:rsid w:val="00BB0FCF"/>
    <w:rsid w:val="00BB113C"/>
    <w:rsid w:val="00BB252E"/>
    <w:rsid w:val="00BB2FED"/>
    <w:rsid w:val="00BB3552"/>
    <w:rsid w:val="00BB3D40"/>
    <w:rsid w:val="00BB3E8E"/>
    <w:rsid w:val="00BB4264"/>
    <w:rsid w:val="00BB4D77"/>
    <w:rsid w:val="00BB535A"/>
    <w:rsid w:val="00BB53BA"/>
    <w:rsid w:val="00BB58BA"/>
    <w:rsid w:val="00BB6494"/>
    <w:rsid w:val="00BB7078"/>
    <w:rsid w:val="00BB73DA"/>
    <w:rsid w:val="00BB75C8"/>
    <w:rsid w:val="00BB7E60"/>
    <w:rsid w:val="00BB7E96"/>
    <w:rsid w:val="00BC028C"/>
    <w:rsid w:val="00BC08C5"/>
    <w:rsid w:val="00BC0FBB"/>
    <w:rsid w:val="00BC0FEF"/>
    <w:rsid w:val="00BC124E"/>
    <w:rsid w:val="00BC1A5F"/>
    <w:rsid w:val="00BC1F29"/>
    <w:rsid w:val="00BC2E83"/>
    <w:rsid w:val="00BC3149"/>
    <w:rsid w:val="00BC3272"/>
    <w:rsid w:val="00BC331F"/>
    <w:rsid w:val="00BC34EE"/>
    <w:rsid w:val="00BC37C0"/>
    <w:rsid w:val="00BC3F33"/>
    <w:rsid w:val="00BC49DB"/>
    <w:rsid w:val="00BC4A67"/>
    <w:rsid w:val="00BC4EDB"/>
    <w:rsid w:val="00BC4FA1"/>
    <w:rsid w:val="00BC531E"/>
    <w:rsid w:val="00BC5323"/>
    <w:rsid w:val="00BC5D53"/>
    <w:rsid w:val="00BC5E8B"/>
    <w:rsid w:val="00BC5F57"/>
    <w:rsid w:val="00BC6169"/>
    <w:rsid w:val="00BC6A79"/>
    <w:rsid w:val="00BC6D24"/>
    <w:rsid w:val="00BC6FB7"/>
    <w:rsid w:val="00BC7AF3"/>
    <w:rsid w:val="00BD0564"/>
    <w:rsid w:val="00BD0FA3"/>
    <w:rsid w:val="00BD1222"/>
    <w:rsid w:val="00BD1600"/>
    <w:rsid w:val="00BD2042"/>
    <w:rsid w:val="00BD22AD"/>
    <w:rsid w:val="00BD28E5"/>
    <w:rsid w:val="00BD2D97"/>
    <w:rsid w:val="00BD2EA1"/>
    <w:rsid w:val="00BD3A8C"/>
    <w:rsid w:val="00BD3DCD"/>
    <w:rsid w:val="00BD4057"/>
    <w:rsid w:val="00BD41E2"/>
    <w:rsid w:val="00BD4368"/>
    <w:rsid w:val="00BD4E92"/>
    <w:rsid w:val="00BD5108"/>
    <w:rsid w:val="00BD5363"/>
    <w:rsid w:val="00BD5BC2"/>
    <w:rsid w:val="00BD5EE7"/>
    <w:rsid w:val="00BD6047"/>
    <w:rsid w:val="00BD6AA7"/>
    <w:rsid w:val="00BD6EFE"/>
    <w:rsid w:val="00BD7137"/>
    <w:rsid w:val="00BD71BB"/>
    <w:rsid w:val="00BD7A96"/>
    <w:rsid w:val="00BD7DC3"/>
    <w:rsid w:val="00BE02E0"/>
    <w:rsid w:val="00BE0968"/>
    <w:rsid w:val="00BE0A1F"/>
    <w:rsid w:val="00BE0B7F"/>
    <w:rsid w:val="00BE0F47"/>
    <w:rsid w:val="00BE1947"/>
    <w:rsid w:val="00BE1C9F"/>
    <w:rsid w:val="00BE2D31"/>
    <w:rsid w:val="00BE2E68"/>
    <w:rsid w:val="00BE372E"/>
    <w:rsid w:val="00BE4B29"/>
    <w:rsid w:val="00BE4C51"/>
    <w:rsid w:val="00BE4CC6"/>
    <w:rsid w:val="00BE57AB"/>
    <w:rsid w:val="00BE5933"/>
    <w:rsid w:val="00BE5D48"/>
    <w:rsid w:val="00BE6198"/>
    <w:rsid w:val="00BE66A1"/>
    <w:rsid w:val="00BE6C71"/>
    <w:rsid w:val="00BE75B5"/>
    <w:rsid w:val="00BE761D"/>
    <w:rsid w:val="00BE7782"/>
    <w:rsid w:val="00BE7EED"/>
    <w:rsid w:val="00BF0A5A"/>
    <w:rsid w:val="00BF0C95"/>
    <w:rsid w:val="00BF1084"/>
    <w:rsid w:val="00BF1128"/>
    <w:rsid w:val="00BF1189"/>
    <w:rsid w:val="00BF1779"/>
    <w:rsid w:val="00BF1B0D"/>
    <w:rsid w:val="00BF1C07"/>
    <w:rsid w:val="00BF1C0F"/>
    <w:rsid w:val="00BF3120"/>
    <w:rsid w:val="00BF32BC"/>
    <w:rsid w:val="00BF3492"/>
    <w:rsid w:val="00BF3673"/>
    <w:rsid w:val="00BF41C6"/>
    <w:rsid w:val="00BF4341"/>
    <w:rsid w:val="00BF45F7"/>
    <w:rsid w:val="00BF5672"/>
    <w:rsid w:val="00BF57EE"/>
    <w:rsid w:val="00BF5AFC"/>
    <w:rsid w:val="00BF5F1E"/>
    <w:rsid w:val="00BF5F77"/>
    <w:rsid w:val="00BF66E1"/>
    <w:rsid w:val="00BF715A"/>
    <w:rsid w:val="00BF7556"/>
    <w:rsid w:val="00C00E0E"/>
    <w:rsid w:val="00C018F7"/>
    <w:rsid w:val="00C01993"/>
    <w:rsid w:val="00C01B0F"/>
    <w:rsid w:val="00C02E55"/>
    <w:rsid w:val="00C03408"/>
    <w:rsid w:val="00C03520"/>
    <w:rsid w:val="00C0383F"/>
    <w:rsid w:val="00C03CE2"/>
    <w:rsid w:val="00C04050"/>
    <w:rsid w:val="00C046AB"/>
    <w:rsid w:val="00C04BE4"/>
    <w:rsid w:val="00C058E4"/>
    <w:rsid w:val="00C05C31"/>
    <w:rsid w:val="00C06D8C"/>
    <w:rsid w:val="00C07333"/>
    <w:rsid w:val="00C07C2A"/>
    <w:rsid w:val="00C1014E"/>
    <w:rsid w:val="00C10206"/>
    <w:rsid w:val="00C1027A"/>
    <w:rsid w:val="00C10395"/>
    <w:rsid w:val="00C10CB9"/>
    <w:rsid w:val="00C113FE"/>
    <w:rsid w:val="00C11566"/>
    <w:rsid w:val="00C11E40"/>
    <w:rsid w:val="00C11EBD"/>
    <w:rsid w:val="00C120E8"/>
    <w:rsid w:val="00C12CDD"/>
    <w:rsid w:val="00C13144"/>
    <w:rsid w:val="00C1357E"/>
    <w:rsid w:val="00C1365E"/>
    <w:rsid w:val="00C139FD"/>
    <w:rsid w:val="00C14A06"/>
    <w:rsid w:val="00C14AE5"/>
    <w:rsid w:val="00C16791"/>
    <w:rsid w:val="00C173D1"/>
    <w:rsid w:val="00C17C7B"/>
    <w:rsid w:val="00C2036E"/>
    <w:rsid w:val="00C20840"/>
    <w:rsid w:val="00C2085D"/>
    <w:rsid w:val="00C208F8"/>
    <w:rsid w:val="00C20BAF"/>
    <w:rsid w:val="00C20F71"/>
    <w:rsid w:val="00C212AB"/>
    <w:rsid w:val="00C2133E"/>
    <w:rsid w:val="00C21BA5"/>
    <w:rsid w:val="00C21C1D"/>
    <w:rsid w:val="00C21F37"/>
    <w:rsid w:val="00C21FC9"/>
    <w:rsid w:val="00C226A9"/>
    <w:rsid w:val="00C22BE9"/>
    <w:rsid w:val="00C23036"/>
    <w:rsid w:val="00C23139"/>
    <w:rsid w:val="00C23188"/>
    <w:rsid w:val="00C23F11"/>
    <w:rsid w:val="00C2411E"/>
    <w:rsid w:val="00C247AC"/>
    <w:rsid w:val="00C24FE5"/>
    <w:rsid w:val="00C2511A"/>
    <w:rsid w:val="00C25361"/>
    <w:rsid w:val="00C26127"/>
    <w:rsid w:val="00C26766"/>
    <w:rsid w:val="00C26D25"/>
    <w:rsid w:val="00C27137"/>
    <w:rsid w:val="00C27287"/>
    <w:rsid w:val="00C27F3F"/>
    <w:rsid w:val="00C30369"/>
    <w:rsid w:val="00C303BE"/>
    <w:rsid w:val="00C307B3"/>
    <w:rsid w:val="00C30A7E"/>
    <w:rsid w:val="00C317F0"/>
    <w:rsid w:val="00C32051"/>
    <w:rsid w:val="00C328F0"/>
    <w:rsid w:val="00C32946"/>
    <w:rsid w:val="00C32A58"/>
    <w:rsid w:val="00C32EBA"/>
    <w:rsid w:val="00C32EFE"/>
    <w:rsid w:val="00C32FFC"/>
    <w:rsid w:val="00C337A1"/>
    <w:rsid w:val="00C3526A"/>
    <w:rsid w:val="00C35931"/>
    <w:rsid w:val="00C36203"/>
    <w:rsid w:val="00C363A3"/>
    <w:rsid w:val="00C368E5"/>
    <w:rsid w:val="00C36AAB"/>
    <w:rsid w:val="00C372C0"/>
    <w:rsid w:val="00C37489"/>
    <w:rsid w:val="00C37875"/>
    <w:rsid w:val="00C379E5"/>
    <w:rsid w:val="00C37F58"/>
    <w:rsid w:val="00C4041D"/>
    <w:rsid w:val="00C40DB1"/>
    <w:rsid w:val="00C41E72"/>
    <w:rsid w:val="00C421F7"/>
    <w:rsid w:val="00C426CE"/>
    <w:rsid w:val="00C429F3"/>
    <w:rsid w:val="00C43A5F"/>
    <w:rsid w:val="00C43E3A"/>
    <w:rsid w:val="00C43F8B"/>
    <w:rsid w:val="00C4414B"/>
    <w:rsid w:val="00C44482"/>
    <w:rsid w:val="00C44A12"/>
    <w:rsid w:val="00C44D4C"/>
    <w:rsid w:val="00C44D8F"/>
    <w:rsid w:val="00C45062"/>
    <w:rsid w:val="00C459FE"/>
    <w:rsid w:val="00C45ED4"/>
    <w:rsid w:val="00C4609A"/>
    <w:rsid w:val="00C46625"/>
    <w:rsid w:val="00C46A78"/>
    <w:rsid w:val="00C46E67"/>
    <w:rsid w:val="00C472E8"/>
    <w:rsid w:val="00C47AA0"/>
    <w:rsid w:val="00C47B6B"/>
    <w:rsid w:val="00C47BE5"/>
    <w:rsid w:val="00C47E2B"/>
    <w:rsid w:val="00C50C0E"/>
    <w:rsid w:val="00C50DD2"/>
    <w:rsid w:val="00C510E6"/>
    <w:rsid w:val="00C513F5"/>
    <w:rsid w:val="00C51BD0"/>
    <w:rsid w:val="00C51D1A"/>
    <w:rsid w:val="00C525CF"/>
    <w:rsid w:val="00C52E29"/>
    <w:rsid w:val="00C532BA"/>
    <w:rsid w:val="00C53C48"/>
    <w:rsid w:val="00C54BFC"/>
    <w:rsid w:val="00C550C0"/>
    <w:rsid w:val="00C5524C"/>
    <w:rsid w:val="00C55D83"/>
    <w:rsid w:val="00C5602F"/>
    <w:rsid w:val="00C5611F"/>
    <w:rsid w:val="00C563F0"/>
    <w:rsid w:val="00C56697"/>
    <w:rsid w:val="00C56D55"/>
    <w:rsid w:val="00C57D6A"/>
    <w:rsid w:val="00C57F23"/>
    <w:rsid w:val="00C601CA"/>
    <w:rsid w:val="00C60729"/>
    <w:rsid w:val="00C60E77"/>
    <w:rsid w:val="00C610B8"/>
    <w:rsid w:val="00C6187D"/>
    <w:rsid w:val="00C61ECB"/>
    <w:rsid w:val="00C62091"/>
    <w:rsid w:val="00C62194"/>
    <w:rsid w:val="00C623EB"/>
    <w:rsid w:val="00C6241B"/>
    <w:rsid w:val="00C624EF"/>
    <w:rsid w:val="00C62702"/>
    <w:rsid w:val="00C62A60"/>
    <w:rsid w:val="00C63115"/>
    <w:rsid w:val="00C63B4D"/>
    <w:rsid w:val="00C63F88"/>
    <w:rsid w:val="00C64157"/>
    <w:rsid w:val="00C6425E"/>
    <w:rsid w:val="00C649D9"/>
    <w:rsid w:val="00C64EE3"/>
    <w:rsid w:val="00C6533B"/>
    <w:rsid w:val="00C653A3"/>
    <w:rsid w:val="00C65924"/>
    <w:rsid w:val="00C65C6D"/>
    <w:rsid w:val="00C65D95"/>
    <w:rsid w:val="00C65FB3"/>
    <w:rsid w:val="00C6652A"/>
    <w:rsid w:val="00C6679F"/>
    <w:rsid w:val="00C667BA"/>
    <w:rsid w:val="00C66B40"/>
    <w:rsid w:val="00C66B8D"/>
    <w:rsid w:val="00C66DD6"/>
    <w:rsid w:val="00C6769A"/>
    <w:rsid w:val="00C67B46"/>
    <w:rsid w:val="00C70143"/>
    <w:rsid w:val="00C70A4E"/>
    <w:rsid w:val="00C71845"/>
    <w:rsid w:val="00C71D7D"/>
    <w:rsid w:val="00C71DAA"/>
    <w:rsid w:val="00C71E0A"/>
    <w:rsid w:val="00C724D9"/>
    <w:rsid w:val="00C72ECB"/>
    <w:rsid w:val="00C73163"/>
    <w:rsid w:val="00C7318C"/>
    <w:rsid w:val="00C743E4"/>
    <w:rsid w:val="00C74BFA"/>
    <w:rsid w:val="00C75BC4"/>
    <w:rsid w:val="00C760AE"/>
    <w:rsid w:val="00C76414"/>
    <w:rsid w:val="00C76F37"/>
    <w:rsid w:val="00C76F72"/>
    <w:rsid w:val="00C77A8E"/>
    <w:rsid w:val="00C8067F"/>
    <w:rsid w:val="00C80ADA"/>
    <w:rsid w:val="00C81604"/>
    <w:rsid w:val="00C8193C"/>
    <w:rsid w:val="00C81A2F"/>
    <w:rsid w:val="00C81BE7"/>
    <w:rsid w:val="00C81DDA"/>
    <w:rsid w:val="00C82474"/>
    <w:rsid w:val="00C82487"/>
    <w:rsid w:val="00C826EC"/>
    <w:rsid w:val="00C8290B"/>
    <w:rsid w:val="00C82A27"/>
    <w:rsid w:val="00C82D0F"/>
    <w:rsid w:val="00C83913"/>
    <w:rsid w:val="00C83E91"/>
    <w:rsid w:val="00C84E78"/>
    <w:rsid w:val="00C85131"/>
    <w:rsid w:val="00C85995"/>
    <w:rsid w:val="00C863CD"/>
    <w:rsid w:val="00C86AF6"/>
    <w:rsid w:val="00C86DEE"/>
    <w:rsid w:val="00C879EE"/>
    <w:rsid w:val="00C87DCF"/>
    <w:rsid w:val="00C87E34"/>
    <w:rsid w:val="00C900F1"/>
    <w:rsid w:val="00C90E6E"/>
    <w:rsid w:val="00C90FB1"/>
    <w:rsid w:val="00C91ABA"/>
    <w:rsid w:val="00C9213A"/>
    <w:rsid w:val="00C9223E"/>
    <w:rsid w:val="00C92251"/>
    <w:rsid w:val="00C92663"/>
    <w:rsid w:val="00C93F3D"/>
    <w:rsid w:val="00C94478"/>
    <w:rsid w:val="00C94A8D"/>
    <w:rsid w:val="00C94BA2"/>
    <w:rsid w:val="00C94BAD"/>
    <w:rsid w:val="00C94ECF"/>
    <w:rsid w:val="00C9597C"/>
    <w:rsid w:val="00C959BF"/>
    <w:rsid w:val="00C9633A"/>
    <w:rsid w:val="00C963AD"/>
    <w:rsid w:val="00C96889"/>
    <w:rsid w:val="00C96E89"/>
    <w:rsid w:val="00C977B7"/>
    <w:rsid w:val="00C979A6"/>
    <w:rsid w:val="00CA07FA"/>
    <w:rsid w:val="00CA11F8"/>
    <w:rsid w:val="00CA1504"/>
    <w:rsid w:val="00CA2173"/>
    <w:rsid w:val="00CA291E"/>
    <w:rsid w:val="00CA38E4"/>
    <w:rsid w:val="00CA3B34"/>
    <w:rsid w:val="00CA3BB5"/>
    <w:rsid w:val="00CA423E"/>
    <w:rsid w:val="00CA465D"/>
    <w:rsid w:val="00CA4755"/>
    <w:rsid w:val="00CA4AAE"/>
    <w:rsid w:val="00CA577D"/>
    <w:rsid w:val="00CA5FE2"/>
    <w:rsid w:val="00CA6379"/>
    <w:rsid w:val="00CA647E"/>
    <w:rsid w:val="00CA6576"/>
    <w:rsid w:val="00CA6DC2"/>
    <w:rsid w:val="00CA707A"/>
    <w:rsid w:val="00CA77E1"/>
    <w:rsid w:val="00CA7BA7"/>
    <w:rsid w:val="00CA7C82"/>
    <w:rsid w:val="00CB0748"/>
    <w:rsid w:val="00CB0985"/>
    <w:rsid w:val="00CB1D62"/>
    <w:rsid w:val="00CB1FA0"/>
    <w:rsid w:val="00CB21E6"/>
    <w:rsid w:val="00CB35F4"/>
    <w:rsid w:val="00CB3604"/>
    <w:rsid w:val="00CB4B43"/>
    <w:rsid w:val="00CB5058"/>
    <w:rsid w:val="00CB5176"/>
    <w:rsid w:val="00CB518C"/>
    <w:rsid w:val="00CB5AA5"/>
    <w:rsid w:val="00CB5CE8"/>
    <w:rsid w:val="00CB71EC"/>
    <w:rsid w:val="00CB7883"/>
    <w:rsid w:val="00CC0574"/>
    <w:rsid w:val="00CC080B"/>
    <w:rsid w:val="00CC0955"/>
    <w:rsid w:val="00CC0EF5"/>
    <w:rsid w:val="00CC1034"/>
    <w:rsid w:val="00CC1CF9"/>
    <w:rsid w:val="00CC1F71"/>
    <w:rsid w:val="00CC2771"/>
    <w:rsid w:val="00CC3C17"/>
    <w:rsid w:val="00CC4811"/>
    <w:rsid w:val="00CC5BA9"/>
    <w:rsid w:val="00CC5C91"/>
    <w:rsid w:val="00CC5CD3"/>
    <w:rsid w:val="00CC6904"/>
    <w:rsid w:val="00CC6DBE"/>
    <w:rsid w:val="00CC6E0A"/>
    <w:rsid w:val="00CC7426"/>
    <w:rsid w:val="00CC7881"/>
    <w:rsid w:val="00CC7A18"/>
    <w:rsid w:val="00CD17A1"/>
    <w:rsid w:val="00CD1A3E"/>
    <w:rsid w:val="00CD1B8E"/>
    <w:rsid w:val="00CD203A"/>
    <w:rsid w:val="00CD2189"/>
    <w:rsid w:val="00CD2424"/>
    <w:rsid w:val="00CD2C29"/>
    <w:rsid w:val="00CD2D95"/>
    <w:rsid w:val="00CD2F19"/>
    <w:rsid w:val="00CD32C5"/>
    <w:rsid w:val="00CD3F1D"/>
    <w:rsid w:val="00CD4114"/>
    <w:rsid w:val="00CD499D"/>
    <w:rsid w:val="00CD4C29"/>
    <w:rsid w:val="00CD5943"/>
    <w:rsid w:val="00CD5B38"/>
    <w:rsid w:val="00CD5C55"/>
    <w:rsid w:val="00CD5E49"/>
    <w:rsid w:val="00CD67DC"/>
    <w:rsid w:val="00CD68CE"/>
    <w:rsid w:val="00CD6B17"/>
    <w:rsid w:val="00CD6E18"/>
    <w:rsid w:val="00CD740C"/>
    <w:rsid w:val="00CD74FB"/>
    <w:rsid w:val="00CD7577"/>
    <w:rsid w:val="00CD7A0E"/>
    <w:rsid w:val="00CE0523"/>
    <w:rsid w:val="00CE06DA"/>
    <w:rsid w:val="00CE0F82"/>
    <w:rsid w:val="00CE11FC"/>
    <w:rsid w:val="00CE127C"/>
    <w:rsid w:val="00CE19C1"/>
    <w:rsid w:val="00CE1B4D"/>
    <w:rsid w:val="00CE24AD"/>
    <w:rsid w:val="00CE2B32"/>
    <w:rsid w:val="00CE2D0F"/>
    <w:rsid w:val="00CE2E05"/>
    <w:rsid w:val="00CE2E31"/>
    <w:rsid w:val="00CE399E"/>
    <w:rsid w:val="00CE39F6"/>
    <w:rsid w:val="00CE3AD0"/>
    <w:rsid w:val="00CE3B7F"/>
    <w:rsid w:val="00CE4566"/>
    <w:rsid w:val="00CE4956"/>
    <w:rsid w:val="00CE4964"/>
    <w:rsid w:val="00CE49CC"/>
    <w:rsid w:val="00CE4B55"/>
    <w:rsid w:val="00CE4F46"/>
    <w:rsid w:val="00CE51CA"/>
    <w:rsid w:val="00CE55F0"/>
    <w:rsid w:val="00CE5A8C"/>
    <w:rsid w:val="00CE5B6A"/>
    <w:rsid w:val="00CE6CC8"/>
    <w:rsid w:val="00CE6D15"/>
    <w:rsid w:val="00CE6E0B"/>
    <w:rsid w:val="00CE7485"/>
    <w:rsid w:val="00CF0731"/>
    <w:rsid w:val="00CF155D"/>
    <w:rsid w:val="00CF250E"/>
    <w:rsid w:val="00CF29E7"/>
    <w:rsid w:val="00CF34CE"/>
    <w:rsid w:val="00CF40B5"/>
    <w:rsid w:val="00CF4E10"/>
    <w:rsid w:val="00CF4EFF"/>
    <w:rsid w:val="00CF52CD"/>
    <w:rsid w:val="00CF54CC"/>
    <w:rsid w:val="00CF5F89"/>
    <w:rsid w:val="00CF652F"/>
    <w:rsid w:val="00CF669D"/>
    <w:rsid w:val="00CF69A4"/>
    <w:rsid w:val="00CF711D"/>
    <w:rsid w:val="00CF7647"/>
    <w:rsid w:val="00CF779B"/>
    <w:rsid w:val="00CF7D36"/>
    <w:rsid w:val="00CF7E5F"/>
    <w:rsid w:val="00D009A0"/>
    <w:rsid w:val="00D00DFD"/>
    <w:rsid w:val="00D00F97"/>
    <w:rsid w:val="00D01513"/>
    <w:rsid w:val="00D016AE"/>
    <w:rsid w:val="00D01E80"/>
    <w:rsid w:val="00D026D1"/>
    <w:rsid w:val="00D02A61"/>
    <w:rsid w:val="00D02C1D"/>
    <w:rsid w:val="00D03BEA"/>
    <w:rsid w:val="00D040A7"/>
    <w:rsid w:val="00D0415A"/>
    <w:rsid w:val="00D0419B"/>
    <w:rsid w:val="00D05034"/>
    <w:rsid w:val="00D05141"/>
    <w:rsid w:val="00D053A6"/>
    <w:rsid w:val="00D05870"/>
    <w:rsid w:val="00D059F6"/>
    <w:rsid w:val="00D05ADD"/>
    <w:rsid w:val="00D05B7E"/>
    <w:rsid w:val="00D061FF"/>
    <w:rsid w:val="00D06C1E"/>
    <w:rsid w:val="00D07C47"/>
    <w:rsid w:val="00D1001F"/>
    <w:rsid w:val="00D104C1"/>
    <w:rsid w:val="00D10A38"/>
    <w:rsid w:val="00D1158E"/>
    <w:rsid w:val="00D11833"/>
    <w:rsid w:val="00D11FA6"/>
    <w:rsid w:val="00D12833"/>
    <w:rsid w:val="00D130F6"/>
    <w:rsid w:val="00D1322B"/>
    <w:rsid w:val="00D13471"/>
    <w:rsid w:val="00D136CB"/>
    <w:rsid w:val="00D13A6C"/>
    <w:rsid w:val="00D13BE1"/>
    <w:rsid w:val="00D148B4"/>
    <w:rsid w:val="00D14C05"/>
    <w:rsid w:val="00D14EFB"/>
    <w:rsid w:val="00D14F59"/>
    <w:rsid w:val="00D155CD"/>
    <w:rsid w:val="00D15A85"/>
    <w:rsid w:val="00D15AD1"/>
    <w:rsid w:val="00D15B71"/>
    <w:rsid w:val="00D163AD"/>
    <w:rsid w:val="00D16574"/>
    <w:rsid w:val="00D16B22"/>
    <w:rsid w:val="00D16E92"/>
    <w:rsid w:val="00D173F4"/>
    <w:rsid w:val="00D17C8B"/>
    <w:rsid w:val="00D207C7"/>
    <w:rsid w:val="00D20C31"/>
    <w:rsid w:val="00D212E5"/>
    <w:rsid w:val="00D21697"/>
    <w:rsid w:val="00D2172F"/>
    <w:rsid w:val="00D22D9F"/>
    <w:rsid w:val="00D22E59"/>
    <w:rsid w:val="00D23672"/>
    <w:rsid w:val="00D236A2"/>
    <w:rsid w:val="00D23938"/>
    <w:rsid w:val="00D23AF7"/>
    <w:rsid w:val="00D24277"/>
    <w:rsid w:val="00D2427B"/>
    <w:rsid w:val="00D243AC"/>
    <w:rsid w:val="00D24F00"/>
    <w:rsid w:val="00D27351"/>
    <w:rsid w:val="00D27502"/>
    <w:rsid w:val="00D27539"/>
    <w:rsid w:val="00D277A6"/>
    <w:rsid w:val="00D27904"/>
    <w:rsid w:val="00D27B9C"/>
    <w:rsid w:val="00D30747"/>
    <w:rsid w:val="00D315FD"/>
    <w:rsid w:val="00D31F15"/>
    <w:rsid w:val="00D321E4"/>
    <w:rsid w:val="00D3239D"/>
    <w:rsid w:val="00D323D2"/>
    <w:rsid w:val="00D3253A"/>
    <w:rsid w:val="00D330FC"/>
    <w:rsid w:val="00D332F1"/>
    <w:rsid w:val="00D33381"/>
    <w:rsid w:val="00D33563"/>
    <w:rsid w:val="00D33F2F"/>
    <w:rsid w:val="00D34663"/>
    <w:rsid w:val="00D3475A"/>
    <w:rsid w:val="00D34DA0"/>
    <w:rsid w:val="00D36E96"/>
    <w:rsid w:val="00D370CB"/>
    <w:rsid w:val="00D3781B"/>
    <w:rsid w:val="00D379C6"/>
    <w:rsid w:val="00D37D40"/>
    <w:rsid w:val="00D4044A"/>
    <w:rsid w:val="00D408B7"/>
    <w:rsid w:val="00D409B0"/>
    <w:rsid w:val="00D410D0"/>
    <w:rsid w:val="00D41AF2"/>
    <w:rsid w:val="00D4260B"/>
    <w:rsid w:val="00D42DC8"/>
    <w:rsid w:val="00D43241"/>
    <w:rsid w:val="00D4397A"/>
    <w:rsid w:val="00D448D7"/>
    <w:rsid w:val="00D45111"/>
    <w:rsid w:val="00D45780"/>
    <w:rsid w:val="00D45A90"/>
    <w:rsid w:val="00D4661A"/>
    <w:rsid w:val="00D46F36"/>
    <w:rsid w:val="00D47413"/>
    <w:rsid w:val="00D47528"/>
    <w:rsid w:val="00D479F6"/>
    <w:rsid w:val="00D500E5"/>
    <w:rsid w:val="00D50281"/>
    <w:rsid w:val="00D505A4"/>
    <w:rsid w:val="00D506F7"/>
    <w:rsid w:val="00D50815"/>
    <w:rsid w:val="00D51446"/>
    <w:rsid w:val="00D51703"/>
    <w:rsid w:val="00D51B4C"/>
    <w:rsid w:val="00D51F34"/>
    <w:rsid w:val="00D5305E"/>
    <w:rsid w:val="00D53B56"/>
    <w:rsid w:val="00D543D4"/>
    <w:rsid w:val="00D54950"/>
    <w:rsid w:val="00D54DEF"/>
    <w:rsid w:val="00D55657"/>
    <w:rsid w:val="00D55669"/>
    <w:rsid w:val="00D55F60"/>
    <w:rsid w:val="00D56320"/>
    <w:rsid w:val="00D56786"/>
    <w:rsid w:val="00D56E33"/>
    <w:rsid w:val="00D56E4F"/>
    <w:rsid w:val="00D56F7C"/>
    <w:rsid w:val="00D57600"/>
    <w:rsid w:val="00D57C6F"/>
    <w:rsid w:val="00D60687"/>
    <w:rsid w:val="00D606B8"/>
    <w:rsid w:val="00D606C8"/>
    <w:rsid w:val="00D6118A"/>
    <w:rsid w:val="00D61A07"/>
    <w:rsid w:val="00D61C43"/>
    <w:rsid w:val="00D62E52"/>
    <w:rsid w:val="00D63B6E"/>
    <w:rsid w:val="00D63DA6"/>
    <w:rsid w:val="00D63F71"/>
    <w:rsid w:val="00D64419"/>
    <w:rsid w:val="00D647CE"/>
    <w:rsid w:val="00D64883"/>
    <w:rsid w:val="00D64C36"/>
    <w:rsid w:val="00D64EF2"/>
    <w:rsid w:val="00D650E5"/>
    <w:rsid w:val="00D661AA"/>
    <w:rsid w:val="00D667D4"/>
    <w:rsid w:val="00D66A26"/>
    <w:rsid w:val="00D671BA"/>
    <w:rsid w:val="00D673F0"/>
    <w:rsid w:val="00D701A3"/>
    <w:rsid w:val="00D70F35"/>
    <w:rsid w:val="00D713B3"/>
    <w:rsid w:val="00D71B4D"/>
    <w:rsid w:val="00D71BA0"/>
    <w:rsid w:val="00D72333"/>
    <w:rsid w:val="00D7237E"/>
    <w:rsid w:val="00D72498"/>
    <w:rsid w:val="00D7287C"/>
    <w:rsid w:val="00D72ADB"/>
    <w:rsid w:val="00D72B95"/>
    <w:rsid w:val="00D72DDB"/>
    <w:rsid w:val="00D73DAE"/>
    <w:rsid w:val="00D748C3"/>
    <w:rsid w:val="00D74C22"/>
    <w:rsid w:val="00D75674"/>
    <w:rsid w:val="00D75A8B"/>
    <w:rsid w:val="00D766D0"/>
    <w:rsid w:val="00D77168"/>
    <w:rsid w:val="00D7782F"/>
    <w:rsid w:val="00D778BF"/>
    <w:rsid w:val="00D8095C"/>
    <w:rsid w:val="00D80A31"/>
    <w:rsid w:val="00D80CEF"/>
    <w:rsid w:val="00D812FE"/>
    <w:rsid w:val="00D81FA7"/>
    <w:rsid w:val="00D8284A"/>
    <w:rsid w:val="00D82856"/>
    <w:rsid w:val="00D830CD"/>
    <w:rsid w:val="00D8361A"/>
    <w:rsid w:val="00D836C0"/>
    <w:rsid w:val="00D8485D"/>
    <w:rsid w:val="00D848E8"/>
    <w:rsid w:val="00D849D7"/>
    <w:rsid w:val="00D84C54"/>
    <w:rsid w:val="00D852C5"/>
    <w:rsid w:val="00D85600"/>
    <w:rsid w:val="00D85AAB"/>
    <w:rsid w:val="00D86380"/>
    <w:rsid w:val="00D8743F"/>
    <w:rsid w:val="00D87855"/>
    <w:rsid w:val="00D87C61"/>
    <w:rsid w:val="00D87F16"/>
    <w:rsid w:val="00D90010"/>
    <w:rsid w:val="00D90A82"/>
    <w:rsid w:val="00D91755"/>
    <w:rsid w:val="00D91B30"/>
    <w:rsid w:val="00D91C78"/>
    <w:rsid w:val="00D91DF3"/>
    <w:rsid w:val="00D91FC2"/>
    <w:rsid w:val="00D92916"/>
    <w:rsid w:val="00D92F32"/>
    <w:rsid w:val="00D9319A"/>
    <w:rsid w:val="00D934A6"/>
    <w:rsid w:val="00D93B68"/>
    <w:rsid w:val="00D93BD6"/>
    <w:rsid w:val="00D93CAB"/>
    <w:rsid w:val="00D93FC6"/>
    <w:rsid w:val="00D940C8"/>
    <w:rsid w:val="00D942C0"/>
    <w:rsid w:val="00D945E2"/>
    <w:rsid w:val="00D946EB"/>
    <w:rsid w:val="00D9481F"/>
    <w:rsid w:val="00D94E29"/>
    <w:rsid w:val="00D958B6"/>
    <w:rsid w:val="00D96011"/>
    <w:rsid w:val="00D965B8"/>
    <w:rsid w:val="00D96AD9"/>
    <w:rsid w:val="00D96EC0"/>
    <w:rsid w:val="00D97610"/>
    <w:rsid w:val="00D977AB"/>
    <w:rsid w:val="00D97865"/>
    <w:rsid w:val="00DA001A"/>
    <w:rsid w:val="00DA0518"/>
    <w:rsid w:val="00DA06CA"/>
    <w:rsid w:val="00DA0865"/>
    <w:rsid w:val="00DA0BC3"/>
    <w:rsid w:val="00DA122B"/>
    <w:rsid w:val="00DA16E3"/>
    <w:rsid w:val="00DA1E86"/>
    <w:rsid w:val="00DA22AE"/>
    <w:rsid w:val="00DA2385"/>
    <w:rsid w:val="00DA239F"/>
    <w:rsid w:val="00DA28F7"/>
    <w:rsid w:val="00DA2F07"/>
    <w:rsid w:val="00DA2FEA"/>
    <w:rsid w:val="00DA31F4"/>
    <w:rsid w:val="00DA3810"/>
    <w:rsid w:val="00DA3CAE"/>
    <w:rsid w:val="00DA3D17"/>
    <w:rsid w:val="00DA3E78"/>
    <w:rsid w:val="00DA4403"/>
    <w:rsid w:val="00DA4988"/>
    <w:rsid w:val="00DA6467"/>
    <w:rsid w:val="00DA6551"/>
    <w:rsid w:val="00DA6D12"/>
    <w:rsid w:val="00DA6F4C"/>
    <w:rsid w:val="00DA713B"/>
    <w:rsid w:val="00DA79E4"/>
    <w:rsid w:val="00DB05AC"/>
    <w:rsid w:val="00DB0912"/>
    <w:rsid w:val="00DB0B68"/>
    <w:rsid w:val="00DB0BFE"/>
    <w:rsid w:val="00DB1515"/>
    <w:rsid w:val="00DB2008"/>
    <w:rsid w:val="00DB2A0E"/>
    <w:rsid w:val="00DB2B0E"/>
    <w:rsid w:val="00DB3137"/>
    <w:rsid w:val="00DB346B"/>
    <w:rsid w:val="00DB403A"/>
    <w:rsid w:val="00DB42E4"/>
    <w:rsid w:val="00DB4A7C"/>
    <w:rsid w:val="00DB4C5A"/>
    <w:rsid w:val="00DB5E38"/>
    <w:rsid w:val="00DB6381"/>
    <w:rsid w:val="00DB65C9"/>
    <w:rsid w:val="00DB6724"/>
    <w:rsid w:val="00DB68B7"/>
    <w:rsid w:val="00DB68E1"/>
    <w:rsid w:val="00DB6BD5"/>
    <w:rsid w:val="00DB6D50"/>
    <w:rsid w:val="00DB70BD"/>
    <w:rsid w:val="00DB71DE"/>
    <w:rsid w:val="00DB7287"/>
    <w:rsid w:val="00DB7B7A"/>
    <w:rsid w:val="00DB7F22"/>
    <w:rsid w:val="00DC07C1"/>
    <w:rsid w:val="00DC07D3"/>
    <w:rsid w:val="00DC0DB4"/>
    <w:rsid w:val="00DC0E6F"/>
    <w:rsid w:val="00DC160A"/>
    <w:rsid w:val="00DC1C5A"/>
    <w:rsid w:val="00DC231B"/>
    <w:rsid w:val="00DC2857"/>
    <w:rsid w:val="00DC295C"/>
    <w:rsid w:val="00DC3A08"/>
    <w:rsid w:val="00DC3B30"/>
    <w:rsid w:val="00DC3D8D"/>
    <w:rsid w:val="00DC3FA7"/>
    <w:rsid w:val="00DC4959"/>
    <w:rsid w:val="00DC4A24"/>
    <w:rsid w:val="00DC4CC4"/>
    <w:rsid w:val="00DC552F"/>
    <w:rsid w:val="00DC55B5"/>
    <w:rsid w:val="00DC59FF"/>
    <w:rsid w:val="00DC5D04"/>
    <w:rsid w:val="00DC65E9"/>
    <w:rsid w:val="00DC6A19"/>
    <w:rsid w:val="00DC6B50"/>
    <w:rsid w:val="00DC771F"/>
    <w:rsid w:val="00DC7791"/>
    <w:rsid w:val="00DC78AC"/>
    <w:rsid w:val="00DD0EEC"/>
    <w:rsid w:val="00DD10B9"/>
    <w:rsid w:val="00DD155B"/>
    <w:rsid w:val="00DD1621"/>
    <w:rsid w:val="00DD1BFB"/>
    <w:rsid w:val="00DD317E"/>
    <w:rsid w:val="00DD343E"/>
    <w:rsid w:val="00DD3BE0"/>
    <w:rsid w:val="00DD3C04"/>
    <w:rsid w:val="00DD3C41"/>
    <w:rsid w:val="00DD4929"/>
    <w:rsid w:val="00DD4A6A"/>
    <w:rsid w:val="00DD4E36"/>
    <w:rsid w:val="00DD521E"/>
    <w:rsid w:val="00DD5543"/>
    <w:rsid w:val="00DD5D51"/>
    <w:rsid w:val="00DD604D"/>
    <w:rsid w:val="00DD63EA"/>
    <w:rsid w:val="00DD65C8"/>
    <w:rsid w:val="00DD7743"/>
    <w:rsid w:val="00DE00C3"/>
    <w:rsid w:val="00DE06F4"/>
    <w:rsid w:val="00DE09EC"/>
    <w:rsid w:val="00DE0A15"/>
    <w:rsid w:val="00DE13D4"/>
    <w:rsid w:val="00DE1D1D"/>
    <w:rsid w:val="00DE2050"/>
    <w:rsid w:val="00DE20EE"/>
    <w:rsid w:val="00DE2E31"/>
    <w:rsid w:val="00DE316E"/>
    <w:rsid w:val="00DE3730"/>
    <w:rsid w:val="00DE3E72"/>
    <w:rsid w:val="00DE4619"/>
    <w:rsid w:val="00DE47EE"/>
    <w:rsid w:val="00DE4AB8"/>
    <w:rsid w:val="00DE541B"/>
    <w:rsid w:val="00DE63E8"/>
    <w:rsid w:val="00DE651C"/>
    <w:rsid w:val="00DE6DE4"/>
    <w:rsid w:val="00DE71B5"/>
    <w:rsid w:val="00DE7676"/>
    <w:rsid w:val="00DF05D2"/>
    <w:rsid w:val="00DF08EE"/>
    <w:rsid w:val="00DF09CE"/>
    <w:rsid w:val="00DF0C95"/>
    <w:rsid w:val="00DF1435"/>
    <w:rsid w:val="00DF1543"/>
    <w:rsid w:val="00DF17BA"/>
    <w:rsid w:val="00DF192B"/>
    <w:rsid w:val="00DF2809"/>
    <w:rsid w:val="00DF2CF7"/>
    <w:rsid w:val="00DF2E39"/>
    <w:rsid w:val="00DF32B6"/>
    <w:rsid w:val="00DF41FB"/>
    <w:rsid w:val="00DF42B5"/>
    <w:rsid w:val="00DF4EC6"/>
    <w:rsid w:val="00DF4F7C"/>
    <w:rsid w:val="00DF4FEE"/>
    <w:rsid w:val="00DF5314"/>
    <w:rsid w:val="00DF59A2"/>
    <w:rsid w:val="00DF5CD7"/>
    <w:rsid w:val="00DF6758"/>
    <w:rsid w:val="00DF6F06"/>
    <w:rsid w:val="00DF7255"/>
    <w:rsid w:val="00DF77A3"/>
    <w:rsid w:val="00DF7D70"/>
    <w:rsid w:val="00DF7F64"/>
    <w:rsid w:val="00E00432"/>
    <w:rsid w:val="00E009E3"/>
    <w:rsid w:val="00E00ED6"/>
    <w:rsid w:val="00E01004"/>
    <w:rsid w:val="00E01CF4"/>
    <w:rsid w:val="00E01DE6"/>
    <w:rsid w:val="00E01F1F"/>
    <w:rsid w:val="00E0225B"/>
    <w:rsid w:val="00E0246F"/>
    <w:rsid w:val="00E0274C"/>
    <w:rsid w:val="00E02F4B"/>
    <w:rsid w:val="00E03F68"/>
    <w:rsid w:val="00E0432D"/>
    <w:rsid w:val="00E04C2A"/>
    <w:rsid w:val="00E05749"/>
    <w:rsid w:val="00E05A08"/>
    <w:rsid w:val="00E05E5B"/>
    <w:rsid w:val="00E05F85"/>
    <w:rsid w:val="00E063C1"/>
    <w:rsid w:val="00E065D6"/>
    <w:rsid w:val="00E06A0C"/>
    <w:rsid w:val="00E070EE"/>
    <w:rsid w:val="00E07184"/>
    <w:rsid w:val="00E07265"/>
    <w:rsid w:val="00E07487"/>
    <w:rsid w:val="00E074A0"/>
    <w:rsid w:val="00E07534"/>
    <w:rsid w:val="00E07547"/>
    <w:rsid w:val="00E075D0"/>
    <w:rsid w:val="00E07D39"/>
    <w:rsid w:val="00E1053F"/>
    <w:rsid w:val="00E10623"/>
    <w:rsid w:val="00E10A8B"/>
    <w:rsid w:val="00E1118C"/>
    <w:rsid w:val="00E114F8"/>
    <w:rsid w:val="00E117FA"/>
    <w:rsid w:val="00E11FFE"/>
    <w:rsid w:val="00E12EDB"/>
    <w:rsid w:val="00E12FD1"/>
    <w:rsid w:val="00E132A1"/>
    <w:rsid w:val="00E13561"/>
    <w:rsid w:val="00E135FF"/>
    <w:rsid w:val="00E136D4"/>
    <w:rsid w:val="00E13F62"/>
    <w:rsid w:val="00E146A5"/>
    <w:rsid w:val="00E147E5"/>
    <w:rsid w:val="00E14E5B"/>
    <w:rsid w:val="00E1528A"/>
    <w:rsid w:val="00E15432"/>
    <w:rsid w:val="00E1570D"/>
    <w:rsid w:val="00E15C87"/>
    <w:rsid w:val="00E16160"/>
    <w:rsid w:val="00E16AA6"/>
    <w:rsid w:val="00E16BB4"/>
    <w:rsid w:val="00E16FA6"/>
    <w:rsid w:val="00E172B1"/>
    <w:rsid w:val="00E17538"/>
    <w:rsid w:val="00E1797F"/>
    <w:rsid w:val="00E17ABC"/>
    <w:rsid w:val="00E17F5D"/>
    <w:rsid w:val="00E208E1"/>
    <w:rsid w:val="00E209AD"/>
    <w:rsid w:val="00E213B2"/>
    <w:rsid w:val="00E21404"/>
    <w:rsid w:val="00E21CAD"/>
    <w:rsid w:val="00E22553"/>
    <w:rsid w:val="00E2258C"/>
    <w:rsid w:val="00E225FC"/>
    <w:rsid w:val="00E22842"/>
    <w:rsid w:val="00E23857"/>
    <w:rsid w:val="00E23A8B"/>
    <w:rsid w:val="00E24180"/>
    <w:rsid w:val="00E2453C"/>
    <w:rsid w:val="00E24D60"/>
    <w:rsid w:val="00E24EB7"/>
    <w:rsid w:val="00E251A1"/>
    <w:rsid w:val="00E257A5"/>
    <w:rsid w:val="00E2672F"/>
    <w:rsid w:val="00E26CF8"/>
    <w:rsid w:val="00E27B60"/>
    <w:rsid w:val="00E27DF6"/>
    <w:rsid w:val="00E30B60"/>
    <w:rsid w:val="00E30C53"/>
    <w:rsid w:val="00E3163F"/>
    <w:rsid w:val="00E318D8"/>
    <w:rsid w:val="00E32177"/>
    <w:rsid w:val="00E3277C"/>
    <w:rsid w:val="00E32A44"/>
    <w:rsid w:val="00E32A53"/>
    <w:rsid w:val="00E32D4C"/>
    <w:rsid w:val="00E32FA1"/>
    <w:rsid w:val="00E32FF3"/>
    <w:rsid w:val="00E336D3"/>
    <w:rsid w:val="00E33FDC"/>
    <w:rsid w:val="00E343BC"/>
    <w:rsid w:val="00E34442"/>
    <w:rsid w:val="00E34687"/>
    <w:rsid w:val="00E35006"/>
    <w:rsid w:val="00E351BD"/>
    <w:rsid w:val="00E35F6A"/>
    <w:rsid w:val="00E36E47"/>
    <w:rsid w:val="00E36E71"/>
    <w:rsid w:val="00E3799B"/>
    <w:rsid w:val="00E37D89"/>
    <w:rsid w:val="00E40798"/>
    <w:rsid w:val="00E40F0C"/>
    <w:rsid w:val="00E40F5A"/>
    <w:rsid w:val="00E41783"/>
    <w:rsid w:val="00E4181F"/>
    <w:rsid w:val="00E4199C"/>
    <w:rsid w:val="00E41F5D"/>
    <w:rsid w:val="00E42287"/>
    <w:rsid w:val="00E42496"/>
    <w:rsid w:val="00E427C3"/>
    <w:rsid w:val="00E42C3A"/>
    <w:rsid w:val="00E43E2F"/>
    <w:rsid w:val="00E44A9C"/>
    <w:rsid w:val="00E44F93"/>
    <w:rsid w:val="00E45653"/>
    <w:rsid w:val="00E45C5F"/>
    <w:rsid w:val="00E45D50"/>
    <w:rsid w:val="00E46B21"/>
    <w:rsid w:val="00E4759D"/>
    <w:rsid w:val="00E47880"/>
    <w:rsid w:val="00E47D2E"/>
    <w:rsid w:val="00E47EF1"/>
    <w:rsid w:val="00E501C7"/>
    <w:rsid w:val="00E501D0"/>
    <w:rsid w:val="00E50493"/>
    <w:rsid w:val="00E51A1F"/>
    <w:rsid w:val="00E51AE3"/>
    <w:rsid w:val="00E52A4F"/>
    <w:rsid w:val="00E52D59"/>
    <w:rsid w:val="00E52F76"/>
    <w:rsid w:val="00E5306B"/>
    <w:rsid w:val="00E5334A"/>
    <w:rsid w:val="00E53492"/>
    <w:rsid w:val="00E534C0"/>
    <w:rsid w:val="00E53EA5"/>
    <w:rsid w:val="00E545F0"/>
    <w:rsid w:val="00E546BD"/>
    <w:rsid w:val="00E54D34"/>
    <w:rsid w:val="00E54DF8"/>
    <w:rsid w:val="00E5626A"/>
    <w:rsid w:val="00E5667A"/>
    <w:rsid w:val="00E56E2C"/>
    <w:rsid w:val="00E57A9B"/>
    <w:rsid w:val="00E57C50"/>
    <w:rsid w:val="00E57D90"/>
    <w:rsid w:val="00E57E01"/>
    <w:rsid w:val="00E6090A"/>
    <w:rsid w:val="00E60D6E"/>
    <w:rsid w:val="00E60FED"/>
    <w:rsid w:val="00E61264"/>
    <w:rsid w:val="00E615D8"/>
    <w:rsid w:val="00E621D0"/>
    <w:rsid w:val="00E62353"/>
    <w:rsid w:val="00E6237B"/>
    <w:rsid w:val="00E65BBD"/>
    <w:rsid w:val="00E662C7"/>
    <w:rsid w:val="00E66517"/>
    <w:rsid w:val="00E66543"/>
    <w:rsid w:val="00E6698D"/>
    <w:rsid w:val="00E66FEF"/>
    <w:rsid w:val="00E67FA1"/>
    <w:rsid w:val="00E70094"/>
    <w:rsid w:val="00E700C2"/>
    <w:rsid w:val="00E70833"/>
    <w:rsid w:val="00E70E4D"/>
    <w:rsid w:val="00E711FF"/>
    <w:rsid w:val="00E712A7"/>
    <w:rsid w:val="00E71B4D"/>
    <w:rsid w:val="00E720CA"/>
    <w:rsid w:val="00E727A2"/>
    <w:rsid w:val="00E733C1"/>
    <w:rsid w:val="00E742B0"/>
    <w:rsid w:val="00E743B7"/>
    <w:rsid w:val="00E7469E"/>
    <w:rsid w:val="00E74866"/>
    <w:rsid w:val="00E74E1A"/>
    <w:rsid w:val="00E750CD"/>
    <w:rsid w:val="00E7534A"/>
    <w:rsid w:val="00E757D3"/>
    <w:rsid w:val="00E75970"/>
    <w:rsid w:val="00E75E12"/>
    <w:rsid w:val="00E75FDD"/>
    <w:rsid w:val="00E76294"/>
    <w:rsid w:val="00E76524"/>
    <w:rsid w:val="00E76B91"/>
    <w:rsid w:val="00E76C20"/>
    <w:rsid w:val="00E77392"/>
    <w:rsid w:val="00E77437"/>
    <w:rsid w:val="00E80145"/>
    <w:rsid w:val="00E80651"/>
    <w:rsid w:val="00E80770"/>
    <w:rsid w:val="00E81458"/>
    <w:rsid w:val="00E81776"/>
    <w:rsid w:val="00E81B05"/>
    <w:rsid w:val="00E821B4"/>
    <w:rsid w:val="00E82ADA"/>
    <w:rsid w:val="00E82C62"/>
    <w:rsid w:val="00E82FC9"/>
    <w:rsid w:val="00E83A35"/>
    <w:rsid w:val="00E8424D"/>
    <w:rsid w:val="00E8456A"/>
    <w:rsid w:val="00E84BA1"/>
    <w:rsid w:val="00E84F1F"/>
    <w:rsid w:val="00E84F59"/>
    <w:rsid w:val="00E851FD"/>
    <w:rsid w:val="00E85A6F"/>
    <w:rsid w:val="00E86148"/>
    <w:rsid w:val="00E867DC"/>
    <w:rsid w:val="00E86832"/>
    <w:rsid w:val="00E87DEA"/>
    <w:rsid w:val="00E901D2"/>
    <w:rsid w:val="00E903BD"/>
    <w:rsid w:val="00E904EF"/>
    <w:rsid w:val="00E909F3"/>
    <w:rsid w:val="00E90CD2"/>
    <w:rsid w:val="00E910B1"/>
    <w:rsid w:val="00E911D6"/>
    <w:rsid w:val="00E911FD"/>
    <w:rsid w:val="00E914F1"/>
    <w:rsid w:val="00E91618"/>
    <w:rsid w:val="00E92219"/>
    <w:rsid w:val="00E926AC"/>
    <w:rsid w:val="00E92AC7"/>
    <w:rsid w:val="00E9302C"/>
    <w:rsid w:val="00E93373"/>
    <w:rsid w:val="00E944BD"/>
    <w:rsid w:val="00E944E6"/>
    <w:rsid w:val="00E945FD"/>
    <w:rsid w:val="00E94849"/>
    <w:rsid w:val="00E94E02"/>
    <w:rsid w:val="00E95332"/>
    <w:rsid w:val="00E956E6"/>
    <w:rsid w:val="00E95D75"/>
    <w:rsid w:val="00E96013"/>
    <w:rsid w:val="00E960BA"/>
    <w:rsid w:val="00E96262"/>
    <w:rsid w:val="00E965F2"/>
    <w:rsid w:val="00E96AAB"/>
    <w:rsid w:val="00E96B0D"/>
    <w:rsid w:val="00E9780B"/>
    <w:rsid w:val="00E978C3"/>
    <w:rsid w:val="00E97AAC"/>
    <w:rsid w:val="00E97F1D"/>
    <w:rsid w:val="00E97F85"/>
    <w:rsid w:val="00EA03A4"/>
    <w:rsid w:val="00EA0FAF"/>
    <w:rsid w:val="00EA1799"/>
    <w:rsid w:val="00EA23FC"/>
    <w:rsid w:val="00EA2C46"/>
    <w:rsid w:val="00EA36D5"/>
    <w:rsid w:val="00EA39DA"/>
    <w:rsid w:val="00EA3AC1"/>
    <w:rsid w:val="00EA4247"/>
    <w:rsid w:val="00EA4504"/>
    <w:rsid w:val="00EA462B"/>
    <w:rsid w:val="00EA5311"/>
    <w:rsid w:val="00EA596D"/>
    <w:rsid w:val="00EA5B17"/>
    <w:rsid w:val="00EA5FE3"/>
    <w:rsid w:val="00EA66F8"/>
    <w:rsid w:val="00EA6D67"/>
    <w:rsid w:val="00EA7A8D"/>
    <w:rsid w:val="00EA7A9D"/>
    <w:rsid w:val="00EB0052"/>
    <w:rsid w:val="00EB033E"/>
    <w:rsid w:val="00EB0B83"/>
    <w:rsid w:val="00EB11C8"/>
    <w:rsid w:val="00EB169D"/>
    <w:rsid w:val="00EB1969"/>
    <w:rsid w:val="00EB1EA9"/>
    <w:rsid w:val="00EB223B"/>
    <w:rsid w:val="00EB2AFE"/>
    <w:rsid w:val="00EB2B6E"/>
    <w:rsid w:val="00EB3316"/>
    <w:rsid w:val="00EB3ED2"/>
    <w:rsid w:val="00EB3F16"/>
    <w:rsid w:val="00EB48DE"/>
    <w:rsid w:val="00EB5415"/>
    <w:rsid w:val="00EB5425"/>
    <w:rsid w:val="00EB5D23"/>
    <w:rsid w:val="00EB5D35"/>
    <w:rsid w:val="00EB5DE1"/>
    <w:rsid w:val="00EB632A"/>
    <w:rsid w:val="00EB65F4"/>
    <w:rsid w:val="00EB6784"/>
    <w:rsid w:val="00EB6AE7"/>
    <w:rsid w:val="00EB7176"/>
    <w:rsid w:val="00EB73F1"/>
    <w:rsid w:val="00EB74D5"/>
    <w:rsid w:val="00EB778A"/>
    <w:rsid w:val="00EB7841"/>
    <w:rsid w:val="00EC05FD"/>
    <w:rsid w:val="00EC0AAC"/>
    <w:rsid w:val="00EC1890"/>
    <w:rsid w:val="00EC1E9A"/>
    <w:rsid w:val="00EC20DE"/>
    <w:rsid w:val="00EC2798"/>
    <w:rsid w:val="00EC2855"/>
    <w:rsid w:val="00EC2A62"/>
    <w:rsid w:val="00EC2F47"/>
    <w:rsid w:val="00EC2F7D"/>
    <w:rsid w:val="00EC34ED"/>
    <w:rsid w:val="00EC3C45"/>
    <w:rsid w:val="00EC3E01"/>
    <w:rsid w:val="00EC43F5"/>
    <w:rsid w:val="00EC52EC"/>
    <w:rsid w:val="00EC569C"/>
    <w:rsid w:val="00EC56FF"/>
    <w:rsid w:val="00EC5C37"/>
    <w:rsid w:val="00EC5CFB"/>
    <w:rsid w:val="00EC6104"/>
    <w:rsid w:val="00EC6580"/>
    <w:rsid w:val="00EC6E74"/>
    <w:rsid w:val="00EC7299"/>
    <w:rsid w:val="00EC72A9"/>
    <w:rsid w:val="00EC749A"/>
    <w:rsid w:val="00EC775E"/>
    <w:rsid w:val="00EC7D2E"/>
    <w:rsid w:val="00EC7E8E"/>
    <w:rsid w:val="00ED0085"/>
    <w:rsid w:val="00ED03FC"/>
    <w:rsid w:val="00ED08CB"/>
    <w:rsid w:val="00ED0933"/>
    <w:rsid w:val="00ED0998"/>
    <w:rsid w:val="00ED172C"/>
    <w:rsid w:val="00ED1844"/>
    <w:rsid w:val="00ED2509"/>
    <w:rsid w:val="00ED254E"/>
    <w:rsid w:val="00ED3049"/>
    <w:rsid w:val="00ED48B1"/>
    <w:rsid w:val="00ED4A30"/>
    <w:rsid w:val="00ED5C49"/>
    <w:rsid w:val="00ED5F96"/>
    <w:rsid w:val="00ED6317"/>
    <w:rsid w:val="00ED65D3"/>
    <w:rsid w:val="00ED67F5"/>
    <w:rsid w:val="00ED6C12"/>
    <w:rsid w:val="00ED6F1E"/>
    <w:rsid w:val="00ED74B8"/>
    <w:rsid w:val="00ED7E38"/>
    <w:rsid w:val="00ED7F1F"/>
    <w:rsid w:val="00EE020D"/>
    <w:rsid w:val="00EE0482"/>
    <w:rsid w:val="00EE0515"/>
    <w:rsid w:val="00EE0683"/>
    <w:rsid w:val="00EE09D9"/>
    <w:rsid w:val="00EE0B9D"/>
    <w:rsid w:val="00EE0EC0"/>
    <w:rsid w:val="00EE12CF"/>
    <w:rsid w:val="00EE18A2"/>
    <w:rsid w:val="00EE19B4"/>
    <w:rsid w:val="00EE1ACE"/>
    <w:rsid w:val="00EE1C19"/>
    <w:rsid w:val="00EE2221"/>
    <w:rsid w:val="00EE252E"/>
    <w:rsid w:val="00EE269B"/>
    <w:rsid w:val="00EE2FA4"/>
    <w:rsid w:val="00EE301C"/>
    <w:rsid w:val="00EE3756"/>
    <w:rsid w:val="00EE3820"/>
    <w:rsid w:val="00EE3894"/>
    <w:rsid w:val="00EE38E2"/>
    <w:rsid w:val="00EE3BED"/>
    <w:rsid w:val="00EE3CAE"/>
    <w:rsid w:val="00EE3F59"/>
    <w:rsid w:val="00EE4348"/>
    <w:rsid w:val="00EE4361"/>
    <w:rsid w:val="00EE56B5"/>
    <w:rsid w:val="00EE58B7"/>
    <w:rsid w:val="00EE64D9"/>
    <w:rsid w:val="00EE660F"/>
    <w:rsid w:val="00EE68AB"/>
    <w:rsid w:val="00EE72EA"/>
    <w:rsid w:val="00EE7504"/>
    <w:rsid w:val="00EF03D4"/>
    <w:rsid w:val="00EF03D6"/>
    <w:rsid w:val="00EF0A81"/>
    <w:rsid w:val="00EF0A89"/>
    <w:rsid w:val="00EF1D81"/>
    <w:rsid w:val="00EF1E0E"/>
    <w:rsid w:val="00EF1F17"/>
    <w:rsid w:val="00EF2CB6"/>
    <w:rsid w:val="00EF3536"/>
    <w:rsid w:val="00EF3651"/>
    <w:rsid w:val="00EF443D"/>
    <w:rsid w:val="00EF4A3A"/>
    <w:rsid w:val="00EF4F4F"/>
    <w:rsid w:val="00EF5421"/>
    <w:rsid w:val="00EF54F1"/>
    <w:rsid w:val="00EF5E92"/>
    <w:rsid w:val="00EF607F"/>
    <w:rsid w:val="00EF642E"/>
    <w:rsid w:val="00EF6972"/>
    <w:rsid w:val="00EF699D"/>
    <w:rsid w:val="00EF6BCB"/>
    <w:rsid w:val="00EF7A00"/>
    <w:rsid w:val="00F00074"/>
    <w:rsid w:val="00F000A2"/>
    <w:rsid w:val="00F00A1F"/>
    <w:rsid w:val="00F00B16"/>
    <w:rsid w:val="00F0106C"/>
    <w:rsid w:val="00F018AC"/>
    <w:rsid w:val="00F018F6"/>
    <w:rsid w:val="00F01CFE"/>
    <w:rsid w:val="00F021A4"/>
    <w:rsid w:val="00F02403"/>
    <w:rsid w:val="00F02709"/>
    <w:rsid w:val="00F033B4"/>
    <w:rsid w:val="00F0356F"/>
    <w:rsid w:val="00F035E4"/>
    <w:rsid w:val="00F03AD8"/>
    <w:rsid w:val="00F03E07"/>
    <w:rsid w:val="00F0406A"/>
    <w:rsid w:val="00F050CB"/>
    <w:rsid w:val="00F0549B"/>
    <w:rsid w:val="00F05587"/>
    <w:rsid w:val="00F057CA"/>
    <w:rsid w:val="00F06927"/>
    <w:rsid w:val="00F06B95"/>
    <w:rsid w:val="00F06C89"/>
    <w:rsid w:val="00F079CB"/>
    <w:rsid w:val="00F07C5B"/>
    <w:rsid w:val="00F10F54"/>
    <w:rsid w:val="00F1136A"/>
    <w:rsid w:val="00F116DD"/>
    <w:rsid w:val="00F126DE"/>
    <w:rsid w:val="00F127DA"/>
    <w:rsid w:val="00F129C5"/>
    <w:rsid w:val="00F13204"/>
    <w:rsid w:val="00F1333E"/>
    <w:rsid w:val="00F13371"/>
    <w:rsid w:val="00F13B45"/>
    <w:rsid w:val="00F13D81"/>
    <w:rsid w:val="00F1401C"/>
    <w:rsid w:val="00F1428A"/>
    <w:rsid w:val="00F147DA"/>
    <w:rsid w:val="00F14E45"/>
    <w:rsid w:val="00F15FF1"/>
    <w:rsid w:val="00F161A5"/>
    <w:rsid w:val="00F161A8"/>
    <w:rsid w:val="00F16212"/>
    <w:rsid w:val="00F164A5"/>
    <w:rsid w:val="00F1664A"/>
    <w:rsid w:val="00F16682"/>
    <w:rsid w:val="00F16EFA"/>
    <w:rsid w:val="00F16F9C"/>
    <w:rsid w:val="00F17742"/>
    <w:rsid w:val="00F17DC2"/>
    <w:rsid w:val="00F17F9D"/>
    <w:rsid w:val="00F2009D"/>
    <w:rsid w:val="00F20285"/>
    <w:rsid w:val="00F2046D"/>
    <w:rsid w:val="00F205F7"/>
    <w:rsid w:val="00F206F2"/>
    <w:rsid w:val="00F2078E"/>
    <w:rsid w:val="00F20826"/>
    <w:rsid w:val="00F20E52"/>
    <w:rsid w:val="00F21764"/>
    <w:rsid w:val="00F21A7D"/>
    <w:rsid w:val="00F21FFE"/>
    <w:rsid w:val="00F22016"/>
    <w:rsid w:val="00F2248E"/>
    <w:rsid w:val="00F228EB"/>
    <w:rsid w:val="00F23347"/>
    <w:rsid w:val="00F233F5"/>
    <w:rsid w:val="00F23E9F"/>
    <w:rsid w:val="00F2535D"/>
    <w:rsid w:val="00F2537C"/>
    <w:rsid w:val="00F255F0"/>
    <w:rsid w:val="00F2575C"/>
    <w:rsid w:val="00F2581F"/>
    <w:rsid w:val="00F2607D"/>
    <w:rsid w:val="00F261F2"/>
    <w:rsid w:val="00F263DC"/>
    <w:rsid w:val="00F26AB9"/>
    <w:rsid w:val="00F26AF3"/>
    <w:rsid w:val="00F27069"/>
    <w:rsid w:val="00F3010B"/>
    <w:rsid w:val="00F305C0"/>
    <w:rsid w:val="00F30CD2"/>
    <w:rsid w:val="00F3166F"/>
    <w:rsid w:val="00F31930"/>
    <w:rsid w:val="00F31AC0"/>
    <w:rsid w:val="00F31B86"/>
    <w:rsid w:val="00F31C1A"/>
    <w:rsid w:val="00F324D3"/>
    <w:rsid w:val="00F32D6D"/>
    <w:rsid w:val="00F33B31"/>
    <w:rsid w:val="00F3515E"/>
    <w:rsid w:val="00F36501"/>
    <w:rsid w:val="00F3674F"/>
    <w:rsid w:val="00F36A4A"/>
    <w:rsid w:val="00F36CC0"/>
    <w:rsid w:val="00F370A5"/>
    <w:rsid w:val="00F37422"/>
    <w:rsid w:val="00F40255"/>
    <w:rsid w:val="00F4043D"/>
    <w:rsid w:val="00F4098C"/>
    <w:rsid w:val="00F40D30"/>
    <w:rsid w:val="00F41737"/>
    <w:rsid w:val="00F41E13"/>
    <w:rsid w:val="00F42DE3"/>
    <w:rsid w:val="00F43312"/>
    <w:rsid w:val="00F43403"/>
    <w:rsid w:val="00F4373A"/>
    <w:rsid w:val="00F43DBE"/>
    <w:rsid w:val="00F43DED"/>
    <w:rsid w:val="00F44F94"/>
    <w:rsid w:val="00F455CB"/>
    <w:rsid w:val="00F4589A"/>
    <w:rsid w:val="00F45CF6"/>
    <w:rsid w:val="00F4607D"/>
    <w:rsid w:val="00F4620C"/>
    <w:rsid w:val="00F4624F"/>
    <w:rsid w:val="00F46636"/>
    <w:rsid w:val="00F4702D"/>
    <w:rsid w:val="00F472AA"/>
    <w:rsid w:val="00F47D71"/>
    <w:rsid w:val="00F505A5"/>
    <w:rsid w:val="00F505B3"/>
    <w:rsid w:val="00F5093C"/>
    <w:rsid w:val="00F50A65"/>
    <w:rsid w:val="00F50D63"/>
    <w:rsid w:val="00F50DAE"/>
    <w:rsid w:val="00F50F21"/>
    <w:rsid w:val="00F5146B"/>
    <w:rsid w:val="00F51D7E"/>
    <w:rsid w:val="00F537A7"/>
    <w:rsid w:val="00F5394F"/>
    <w:rsid w:val="00F53C4E"/>
    <w:rsid w:val="00F53D04"/>
    <w:rsid w:val="00F53D77"/>
    <w:rsid w:val="00F54EAC"/>
    <w:rsid w:val="00F5539A"/>
    <w:rsid w:val="00F554AF"/>
    <w:rsid w:val="00F55C77"/>
    <w:rsid w:val="00F5606C"/>
    <w:rsid w:val="00F56368"/>
    <w:rsid w:val="00F567CF"/>
    <w:rsid w:val="00F56DC0"/>
    <w:rsid w:val="00F571AE"/>
    <w:rsid w:val="00F613C0"/>
    <w:rsid w:val="00F615FC"/>
    <w:rsid w:val="00F616A0"/>
    <w:rsid w:val="00F61740"/>
    <w:rsid w:val="00F617CC"/>
    <w:rsid w:val="00F61E44"/>
    <w:rsid w:val="00F625D3"/>
    <w:rsid w:val="00F62C3B"/>
    <w:rsid w:val="00F62DF3"/>
    <w:rsid w:val="00F6320A"/>
    <w:rsid w:val="00F63490"/>
    <w:rsid w:val="00F63C4B"/>
    <w:rsid w:val="00F63CB3"/>
    <w:rsid w:val="00F65E21"/>
    <w:rsid w:val="00F67152"/>
    <w:rsid w:val="00F67A6F"/>
    <w:rsid w:val="00F70242"/>
    <w:rsid w:val="00F70590"/>
    <w:rsid w:val="00F70E0A"/>
    <w:rsid w:val="00F70E1B"/>
    <w:rsid w:val="00F713F6"/>
    <w:rsid w:val="00F720F3"/>
    <w:rsid w:val="00F72795"/>
    <w:rsid w:val="00F72A8B"/>
    <w:rsid w:val="00F730DD"/>
    <w:rsid w:val="00F7361F"/>
    <w:rsid w:val="00F73701"/>
    <w:rsid w:val="00F7375E"/>
    <w:rsid w:val="00F7377C"/>
    <w:rsid w:val="00F73967"/>
    <w:rsid w:val="00F73989"/>
    <w:rsid w:val="00F73A09"/>
    <w:rsid w:val="00F74287"/>
    <w:rsid w:val="00F7433E"/>
    <w:rsid w:val="00F7503E"/>
    <w:rsid w:val="00F7609F"/>
    <w:rsid w:val="00F76AF5"/>
    <w:rsid w:val="00F776B2"/>
    <w:rsid w:val="00F776FA"/>
    <w:rsid w:val="00F77FCA"/>
    <w:rsid w:val="00F80083"/>
    <w:rsid w:val="00F8046C"/>
    <w:rsid w:val="00F809B1"/>
    <w:rsid w:val="00F80FC9"/>
    <w:rsid w:val="00F8175B"/>
    <w:rsid w:val="00F825D6"/>
    <w:rsid w:val="00F82650"/>
    <w:rsid w:val="00F829BA"/>
    <w:rsid w:val="00F82AD5"/>
    <w:rsid w:val="00F83109"/>
    <w:rsid w:val="00F832B1"/>
    <w:rsid w:val="00F83730"/>
    <w:rsid w:val="00F8391C"/>
    <w:rsid w:val="00F83D1E"/>
    <w:rsid w:val="00F8420C"/>
    <w:rsid w:val="00F843CC"/>
    <w:rsid w:val="00F84645"/>
    <w:rsid w:val="00F84B5A"/>
    <w:rsid w:val="00F851A5"/>
    <w:rsid w:val="00F85B9D"/>
    <w:rsid w:val="00F85C0F"/>
    <w:rsid w:val="00F86432"/>
    <w:rsid w:val="00F8654C"/>
    <w:rsid w:val="00F86760"/>
    <w:rsid w:val="00F86C39"/>
    <w:rsid w:val="00F876D3"/>
    <w:rsid w:val="00F90D7A"/>
    <w:rsid w:val="00F91489"/>
    <w:rsid w:val="00F9177F"/>
    <w:rsid w:val="00F91A3B"/>
    <w:rsid w:val="00F91EFB"/>
    <w:rsid w:val="00F92A14"/>
    <w:rsid w:val="00F92A8C"/>
    <w:rsid w:val="00F93335"/>
    <w:rsid w:val="00F936DE"/>
    <w:rsid w:val="00F93A02"/>
    <w:rsid w:val="00F940D7"/>
    <w:rsid w:val="00F94488"/>
    <w:rsid w:val="00F9485D"/>
    <w:rsid w:val="00F94ACE"/>
    <w:rsid w:val="00F94BD9"/>
    <w:rsid w:val="00F9543B"/>
    <w:rsid w:val="00F95D1A"/>
    <w:rsid w:val="00F95DCA"/>
    <w:rsid w:val="00F963C3"/>
    <w:rsid w:val="00F96B80"/>
    <w:rsid w:val="00F96E31"/>
    <w:rsid w:val="00F96F7C"/>
    <w:rsid w:val="00F970FE"/>
    <w:rsid w:val="00F97547"/>
    <w:rsid w:val="00F97570"/>
    <w:rsid w:val="00F978AC"/>
    <w:rsid w:val="00F979AB"/>
    <w:rsid w:val="00F97D34"/>
    <w:rsid w:val="00FA04FC"/>
    <w:rsid w:val="00FA0C52"/>
    <w:rsid w:val="00FA0F87"/>
    <w:rsid w:val="00FA1100"/>
    <w:rsid w:val="00FA1767"/>
    <w:rsid w:val="00FA1A8A"/>
    <w:rsid w:val="00FA231E"/>
    <w:rsid w:val="00FA3083"/>
    <w:rsid w:val="00FA38C1"/>
    <w:rsid w:val="00FA3B3F"/>
    <w:rsid w:val="00FA3EF1"/>
    <w:rsid w:val="00FA4DCC"/>
    <w:rsid w:val="00FA51AE"/>
    <w:rsid w:val="00FA5261"/>
    <w:rsid w:val="00FA55B3"/>
    <w:rsid w:val="00FA5740"/>
    <w:rsid w:val="00FA5D1D"/>
    <w:rsid w:val="00FA5E8C"/>
    <w:rsid w:val="00FA5FCF"/>
    <w:rsid w:val="00FA6101"/>
    <w:rsid w:val="00FA63FD"/>
    <w:rsid w:val="00FA6B7D"/>
    <w:rsid w:val="00FA78ED"/>
    <w:rsid w:val="00FA7906"/>
    <w:rsid w:val="00FA7BAC"/>
    <w:rsid w:val="00FB05ED"/>
    <w:rsid w:val="00FB09E7"/>
    <w:rsid w:val="00FB0BC7"/>
    <w:rsid w:val="00FB0D41"/>
    <w:rsid w:val="00FB0E28"/>
    <w:rsid w:val="00FB0E95"/>
    <w:rsid w:val="00FB0F74"/>
    <w:rsid w:val="00FB1007"/>
    <w:rsid w:val="00FB141D"/>
    <w:rsid w:val="00FB16C7"/>
    <w:rsid w:val="00FB19B1"/>
    <w:rsid w:val="00FB1AD9"/>
    <w:rsid w:val="00FB22FA"/>
    <w:rsid w:val="00FB32A1"/>
    <w:rsid w:val="00FB3591"/>
    <w:rsid w:val="00FB385F"/>
    <w:rsid w:val="00FB3C65"/>
    <w:rsid w:val="00FB3F37"/>
    <w:rsid w:val="00FB4C0B"/>
    <w:rsid w:val="00FB4FA8"/>
    <w:rsid w:val="00FB5720"/>
    <w:rsid w:val="00FB592F"/>
    <w:rsid w:val="00FB6271"/>
    <w:rsid w:val="00FB65D0"/>
    <w:rsid w:val="00FB7508"/>
    <w:rsid w:val="00FB7C69"/>
    <w:rsid w:val="00FB7E9D"/>
    <w:rsid w:val="00FC05E5"/>
    <w:rsid w:val="00FC0B7B"/>
    <w:rsid w:val="00FC0DCF"/>
    <w:rsid w:val="00FC1FC3"/>
    <w:rsid w:val="00FC24CF"/>
    <w:rsid w:val="00FC304D"/>
    <w:rsid w:val="00FC30D4"/>
    <w:rsid w:val="00FC3483"/>
    <w:rsid w:val="00FC358B"/>
    <w:rsid w:val="00FC36E3"/>
    <w:rsid w:val="00FC3818"/>
    <w:rsid w:val="00FC45BC"/>
    <w:rsid w:val="00FC48A3"/>
    <w:rsid w:val="00FC4F78"/>
    <w:rsid w:val="00FC5159"/>
    <w:rsid w:val="00FC5279"/>
    <w:rsid w:val="00FC59BA"/>
    <w:rsid w:val="00FC5D6A"/>
    <w:rsid w:val="00FC6037"/>
    <w:rsid w:val="00FC61D7"/>
    <w:rsid w:val="00FC67A5"/>
    <w:rsid w:val="00FC72CE"/>
    <w:rsid w:val="00FC7834"/>
    <w:rsid w:val="00FD10E9"/>
    <w:rsid w:val="00FD12B7"/>
    <w:rsid w:val="00FD12E7"/>
    <w:rsid w:val="00FD13BF"/>
    <w:rsid w:val="00FD2042"/>
    <w:rsid w:val="00FD2348"/>
    <w:rsid w:val="00FD26FE"/>
    <w:rsid w:val="00FD2DB7"/>
    <w:rsid w:val="00FD3020"/>
    <w:rsid w:val="00FD32AC"/>
    <w:rsid w:val="00FD388B"/>
    <w:rsid w:val="00FD3CE1"/>
    <w:rsid w:val="00FD4273"/>
    <w:rsid w:val="00FD43AE"/>
    <w:rsid w:val="00FD4BE7"/>
    <w:rsid w:val="00FD5007"/>
    <w:rsid w:val="00FD5656"/>
    <w:rsid w:val="00FD57B0"/>
    <w:rsid w:val="00FD62F2"/>
    <w:rsid w:val="00FD6615"/>
    <w:rsid w:val="00FD6C29"/>
    <w:rsid w:val="00FD7199"/>
    <w:rsid w:val="00FD75E1"/>
    <w:rsid w:val="00FD7E37"/>
    <w:rsid w:val="00FE0050"/>
    <w:rsid w:val="00FE1099"/>
    <w:rsid w:val="00FE12EB"/>
    <w:rsid w:val="00FE1A79"/>
    <w:rsid w:val="00FE1FF5"/>
    <w:rsid w:val="00FE22F5"/>
    <w:rsid w:val="00FE2D88"/>
    <w:rsid w:val="00FE33F6"/>
    <w:rsid w:val="00FE3D25"/>
    <w:rsid w:val="00FE47B5"/>
    <w:rsid w:val="00FE4BA0"/>
    <w:rsid w:val="00FE515A"/>
    <w:rsid w:val="00FE59AA"/>
    <w:rsid w:val="00FE5DA9"/>
    <w:rsid w:val="00FE5DF7"/>
    <w:rsid w:val="00FE77D2"/>
    <w:rsid w:val="00FE783B"/>
    <w:rsid w:val="00FF0367"/>
    <w:rsid w:val="00FF080B"/>
    <w:rsid w:val="00FF0943"/>
    <w:rsid w:val="00FF1912"/>
    <w:rsid w:val="00FF1C25"/>
    <w:rsid w:val="00FF2355"/>
    <w:rsid w:val="00FF23DA"/>
    <w:rsid w:val="00FF2E59"/>
    <w:rsid w:val="00FF2EE2"/>
    <w:rsid w:val="00FF338E"/>
    <w:rsid w:val="00FF350F"/>
    <w:rsid w:val="00FF383B"/>
    <w:rsid w:val="00FF3D15"/>
    <w:rsid w:val="00FF5366"/>
    <w:rsid w:val="00FF56A7"/>
    <w:rsid w:val="00FF56C2"/>
    <w:rsid w:val="00FF59A5"/>
    <w:rsid w:val="00FF64B1"/>
    <w:rsid w:val="00FF721F"/>
    <w:rsid w:val="00FF796E"/>
    <w:rsid w:val="00FF7B7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48" type="connector" idref="#AutoShape 84"/>
        <o:r id="V:Rule49" type="connector" idref="#AutoShape 67"/>
        <o:r id="V:Rule50" type="connector" idref="#AutoShape 70"/>
        <o:r id="V:Rule51" type="connector" idref="#Rechte verbindingslijn met pijl 64"/>
        <o:r id="V:Rule52" type="connector" idref="#AutoShape 101"/>
        <o:r id="V:Rule53" type="connector" idref="#Rechte verbindingslijn met pijl 72"/>
        <o:r id="V:Rule54" type="connector" idref="#AutoShape 56"/>
        <o:r id="V:Rule55" type="connector" idref="#AutoShape 96"/>
        <o:r id="V:Rule56" type="connector" idref="#AutoShape 35"/>
        <o:r id="V:Rule57" type="connector" idref="#AutoShape 32"/>
        <o:r id="V:Rule58" type="connector" idref="#Rechte verbindingslijn met pijl 75"/>
        <o:r id="V:Rule59" type="connector" idref="#AutoShape 95"/>
        <o:r id="V:Rule60" type="connector" idref="#Rechte verbindingslijn met pijl 69"/>
        <o:r id="V:Rule61" type="connector" idref="#AutoShape 57"/>
        <o:r id="V:Rule62" type="connector" idref="#AutoShape 73"/>
        <o:r id="V:Rule63" type="connector" idref="#AutoShape 92"/>
        <o:r id="V:Rule64" type="connector" idref="#Rechte verbindingslijn met pijl 63"/>
        <o:r id="V:Rule65" type="connector" idref="#AutoShape 31"/>
        <o:r id="V:Rule66" type="connector" idref="#AutoShape 82"/>
        <o:r id="V:Rule67" type="connector" idref="#AutoShape 43"/>
        <o:r id="V:Rule68" type="connector" idref="#AutoShape 94"/>
        <o:r id="V:Rule69" type="connector" idref="#AutoShape 93"/>
        <o:r id="V:Rule70" type="connector" idref="#Rechte verbindingslijn met pijl 68"/>
        <o:r id="V:Rule71" type="connector" idref="#AutoShape 86"/>
        <o:r id="V:Rule72" type="connector" idref="#Rechte verbindingslijn met pijl 74"/>
        <o:r id="V:Rule73" type="connector" idref="#AutoShape 87"/>
        <o:r id="V:Rule74" type="connector" idref="#AutoShape 99"/>
        <o:r id="V:Rule75" type="connector" idref="#AutoShape 30"/>
        <o:r id="V:Rule76" type="connector" idref="#AutoShape 89"/>
        <o:r id="V:Rule77" type="connector" idref="#AutoShape 71"/>
        <o:r id="V:Rule78" type="connector" idref="#Rechte verbindingslijn met pijl 73"/>
        <o:r id="V:Rule79" type="connector" idref="#AutoShape 33"/>
        <o:r id="V:Rule80" type="connector" idref="#AutoShape 40"/>
        <o:r id="V:Rule81" type="connector" idref="#AutoShape 90"/>
        <o:r id="V:Rule82" type="connector" idref="#AutoShape 88"/>
        <o:r id="V:Rule83" type="connector" idref="#AutoShape 69"/>
        <o:r id="V:Rule84" type="connector" idref="#AutoShape 59"/>
        <o:r id="V:Rule85" type="connector" idref="#AutoShape 41"/>
        <o:r id="V:Rule86" type="connector" idref="#AutoShape 45"/>
        <o:r id="V:Rule87" type="connector" idref="#AutoShape 42"/>
        <o:r id="V:Rule88" type="connector" idref="#AutoShape 39"/>
        <o:r id="V:Rule89" type="connector" idref="#AutoShape 98"/>
        <o:r id="V:Rule90" type="connector" idref="#AutoShape 68"/>
        <o:r id="V:Rule91" type="connector" idref="#_x0000_s1086"/>
        <o:r id="V:Rule92" type="connector" idref="#AutoShape 38"/>
        <o:r id="V:Rule93" type="connector" idref="#AutoShape 72"/>
        <o:r id="V:Rule94" type="connector" idref="#AutoShape 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0" w:qFormat="1"/>
    <w:lsdException w:name="heading 5" w:semiHidden="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5702DD"/>
    <w:rPr>
      <w:rFonts w:cs="Angsana New"/>
      <w:sz w:val="24"/>
      <w:szCs w:val="24"/>
      <w:lang w:val="en-AU" w:eastAsia="en-AU" w:bidi="th-TH"/>
    </w:rPr>
  </w:style>
  <w:style w:type="paragraph" w:styleId="Kop1">
    <w:name w:val="heading 1"/>
    <w:basedOn w:val="Standaard"/>
    <w:next w:val="Standaard"/>
    <w:link w:val="Kop1Char"/>
    <w:uiPriority w:val="99"/>
    <w:qFormat/>
    <w:rsid w:val="00F7375E"/>
    <w:pPr>
      <w:keepNext/>
      <w:numPr>
        <w:numId w:val="3"/>
      </w:numPr>
      <w:spacing w:before="240" w:after="60"/>
      <w:outlineLvl w:val="0"/>
    </w:pPr>
    <w:rPr>
      <w:b/>
      <w:bCs/>
      <w:kern w:val="32"/>
      <w:sz w:val="28"/>
      <w:szCs w:val="40"/>
    </w:rPr>
  </w:style>
  <w:style w:type="paragraph" w:styleId="Kop2">
    <w:name w:val="heading 2"/>
    <w:basedOn w:val="Standaard"/>
    <w:next w:val="Standaard"/>
    <w:link w:val="Kop2Char"/>
    <w:uiPriority w:val="99"/>
    <w:qFormat/>
    <w:locked/>
    <w:rsid w:val="006C1C1E"/>
    <w:pPr>
      <w:keepNext/>
      <w:numPr>
        <w:ilvl w:val="1"/>
        <w:numId w:val="3"/>
      </w:numPr>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A41B0D"/>
    <w:pPr>
      <w:keepNext/>
      <w:keepLines/>
      <w:numPr>
        <w:ilvl w:val="2"/>
        <w:numId w:val="3"/>
      </w:numPr>
      <w:spacing w:before="200"/>
      <w:outlineLvl w:val="2"/>
    </w:pPr>
    <w:rPr>
      <w:rFonts w:ascii="Cambria" w:hAnsi="Cambria"/>
      <w:b/>
      <w:bCs/>
      <w:color w:val="4F81BD"/>
      <w:szCs w:val="30"/>
    </w:rPr>
  </w:style>
  <w:style w:type="paragraph" w:styleId="Kop4">
    <w:name w:val="heading 4"/>
    <w:basedOn w:val="Standaard"/>
    <w:next w:val="Standaard"/>
    <w:link w:val="Kop4Char"/>
    <w:semiHidden/>
    <w:unhideWhenUsed/>
    <w:qFormat/>
    <w:rsid w:val="00535AD3"/>
    <w:pPr>
      <w:keepNext/>
      <w:keepLines/>
      <w:numPr>
        <w:ilvl w:val="3"/>
        <w:numId w:val="3"/>
      </w:numPr>
      <w:spacing w:before="200"/>
      <w:outlineLvl w:val="3"/>
    </w:pPr>
    <w:rPr>
      <w:rFonts w:asciiTheme="majorHAnsi" w:eastAsiaTheme="majorEastAsia" w:hAnsiTheme="majorHAnsi"/>
      <w:b/>
      <w:bCs/>
      <w:i/>
      <w:iCs/>
      <w:color w:val="4F81BD" w:themeColor="accent1"/>
      <w:szCs w:val="30"/>
    </w:rPr>
  </w:style>
  <w:style w:type="paragraph" w:styleId="Kop5">
    <w:name w:val="heading 5"/>
    <w:basedOn w:val="Standaard"/>
    <w:link w:val="Kop5Char"/>
    <w:uiPriority w:val="99"/>
    <w:qFormat/>
    <w:locked/>
    <w:rsid w:val="00F03E07"/>
    <w:pPr>
      <w:numPr>
        <w:ilvl w:val="4"/>
        <w:numId w:val="3"/>
      </w:numPr>
      <w:spacing w:before="100" w:beforeAutospacing="1" w:after="100" w:afterAutospacing="1"/>
      <w:outlineLvl w:val="4"/>
    </w:pPr>
    <w:rPr>
      <w:rFonts w:cs="Times New Roman"/>
      <w:b/>
      <w:bCs/>
      <w:sz w:val="20"/>
      <w:szCs w:val="20"/>
      <w:lang w:val="en-US" w:eastAsia="en-US" w:bidi="ar-SA"/>
    </w:rPr>
  </w:style>
  <w:style w:type="paragraph" w:styleId="Kop6">
    <w:name w:val="heading 6"/>
    <w:basedOn w:val="Standaard"/>
    <w:next w:val="Standaard"/>
    <w:link w:val="Kop6Char"/>
    <w:semiHidden/>
    <w:unhideWhenUsed/>
    <w:qFormat/>
    <w:rsid w:val="00535AD3"/>
    <w:pPr>
      <w:keepNext/>
      <w:keepLines/>
      <w:numPr>
        <w:ilvl w:val="5"/>
        <w:numId w:val="3"/>
      </w:numPr>
      <w:spacing w:before="200"/>
      <w:outlineLvl w:val="5"/>
    </w:pPr>
    <w:rPr>
      <w:rFonts w:asciiTheme="majorHAnsi" w:eastAsiaTheme="majorEastAsia" w:hAnsiTheme="majorHAnsi"/>
      <w:i/>
      <w:iCs/>
      <w:color w:val="243F60" w:themeColor="accent1" w:themeShade="7F"/>
      <w:szCs w:val="30"/>
    </w:rPr>
  </w:style>
  <w:style w:type="paragraph" w:styleId="Kop7">
    <w:name w:val="heading 7"/>
    <w:basedOn w:val="Standaard"/>
    <w:next w:val="Standaard"/>
    <w:link w:val="Kop7Char"/>
    <w:semiHidden/>
    <w:unhideWhenUsed/>
    <w:qFormat/>
    <w:rsid w:val="00535AD3"/>
    <w:pPr>
      <w:keepNext/>
      <w:keepLines/>
      <w:numPr>
        <w:ilvl w:val="6"/>
        <w:numId w:val="3"/>
      </w:numPr>
      <w:spacing w:before="200"/>
      <w:outlineLvl w:val="6"/>
    </w:pPr>
    <w:rPr>
      <w:rFonts w:asciiTheme="majorHAnsi" w:eastAsiaTheme="majorEastAsia" w:hAnsiTheme="majorHAnsi"/>
      <w:i/>
      <w:iCs/>
      <w:color w:val="404040" w:themeColor="text1" w:themeTint="BF"/>
      <w:szCs w:val="30"/>
    </w:rPr>
  </w:style>
  <w:style w:type="paragraph" w:styleId="Kop8">
    <w:name w:val="heading 8"/>
    <w:basedOn w:val="Standaard"/>
    <w:next w:val="Standaard"/>
    <w:link w:val="Kop8Char"/>
    <w:semiHidden/>
    <w:unhideWhenUsed/>
    <w:qFormat/>
    <w:rsid w:val="00535AD3"/>
    <w:pPr>
      <w:keepNext/>
      <w:keepLines/>
      <w:numPr>
        <w:ilvl w:val="7"/>
        <w:numId w:val="3"/>
      </w:numPr>
      <w:spacing w:before="200"/>
      <w:outlineLvl w:val="7"/>
    </w:pPr>
    <w:rPr>
      <w:rFonts w:asciiTheme="majorHAnsi" w:eastAsiaTheme="majorEastAsia" w:hAnsiTheme="majorHAnsi"/>
      <w:color w:val="404040" w:themeColor="text1" w:themeTint="BF"/>
      <w:sz w:val="20"/>
      <w:szCs w:val="25"/>
    </w:rPr>
  </w:style>
  <w:style w:type="paragraph" w:styleId="Kop9">
    <w:name w:val="heading 9"/>
    <w:basedOn w:val="Standaard"/>
    <w:next w:val="Standaard"/>
    <w:link w:val="Kop9Char"/>
    <w:semiHidden/>
    <w:unhideWhenUsed/>
    <w:qFormat/>
    <w:rsid w:val="00535AD3"/>
    <w:pPr>
      <w:keepNext/>
      <w:keepLines/>
      <w:numPr>
        <w:ilvl w:val="8"/>
        <w:numId w:val="3"/>
      </w:numPr>
      <w:spacing w:before="200"/>
      <w:outlineLvl w:val="8"/>
    </w:pPr>
    <w:rPr>
      <w:rFonts w:asciiTheme="majorHAnsi" w:eastAsiaTheme="majorEastAsia" w:hAnsiTheme="majorHAnsi"/>
      <w:i/>
      <w:iCs/>
      <w:color w:val="404040" w:themeColor="text1" w:themeTint="BF"/>
      <w:sz w:val="20"/>
      <w:szCs w:val="2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F7375E"/>
    <w:rPr>
      <w:rFonts w:cs="Angsana New"/>
      <w:b/>
      <w:bCs/>
      <w:kern w:val="32"/>
      <w:sz w:val="28"/>
      <w:szCs w:val="40"/>
      <w:lang w:val="en-AU" w:eastAsia="en-AU" w:bidi="th-TH"/>
    </w:rPr>
  </w:style>
  <w:style w:type="character" w:customStyle="1" w:styleId="Kop2Char">
    <w:name w:val="Kop 2 Char"/>
    <w:basedOn w:val="Standaardalinea-lettertype"/>
    <w:link w:val="Kop2"/>
    <w:uiPriority w:val="99"/>
    <w:locked/>
    <w:rsid w:val="001A5065"/>
    <w:rPr>
      <w:rFonts w:ascii="Arial" w:hAnsi="Arial" w:cs="Arial"/>
      <w:b/>
      <w:bCs/>
      <w:i/>
      <w:iCs/>
      <w:sz w:val="28"/>
      <w:szCs w:val="28"/>
      <w:lang w:val="en-AU" w:eastAsia="en-AU" w:bidi="th-TH"/>
    </w:rPr>
  </w:style>
  <w:style w:type="character" w:customStyle="1" w:styleId="Kop3Char">
    <w:name w:val="Kop 3 Char"/>
    <w:basedOn w:val="Standaardalinea-lettertype"/>
    <w:link w:val="Kop3"/>
    <w:uiPriority w:val="99"/>
    <w:locked/>
    <w:rsid w:val="00A41B0D"/>
    <w:rPr>
      <w:rFonts w:ascii="Cambria" w:hAnsi="Cambria" w:cs="Angsana New"/>
      <w:b/>
      <w:bCs/>
      <w:color w:val="4F81BD"/>
      <w:sz w:val="24"/>
      <w:szCs w:val="30"/>
      <w:lang w:val="en-AU" w:eastAsia="en-AU" w:bidi="th-TH"/>
    </w:rPr>
  </w:style>
  <w:style w:type="character" w:customStyle="1" w:styleId="Kop5Char">
    <w:name w:val="Kop 5 Char"/>
    <w:basedOn w:val="Standaardalinea-lettertype"/>
    <w:link w:val="Kop5"/>
    <w:uiPriority w:val="99"/>
    <w:locked/>
    <w:rsid w:val="00555D25"/>
    <w:rPr>
      <w:b/>
      <w:bCs/>
    </w:rPr>
  </w:style>
  <w:style w:type="table" w:styleId="Tabelraster">
    <w:name w:val="Table Grid"/>
    <w:basedOn w:val="Standaardtabel"/>
    <w:uiPriority w:val="99"/>
    <w:rsid w:val="00CC1F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rsid w:val="007A01C2"/>
    <w:rPr>
      <w:sz w:val="20"/>
      <w:szCs w:val="20"/>
    </w:rPr>
  </w:style>
  <w:style w:type="character" w:customStyle="1" w:styleId="VoetnoottekstChar">
    <w:name w:val="Voetnoottekst Char"/>
    <w:basedOn w:val="Standaardalinea-lettertype"/>
    <w:link w:val="Voetnoottekst"/>
    <w:uiPriority w:val="99"/>
    <w:semiHidden/>
    <w:locked/>
    <w:rsid w:val="007C47CA"/>
    <w:rPr>
      <w:rFonts w:cs="Angsana New"/>
      <w:sz w:val="25"/>
      <w:szCs w:val="25"/>
      <w:lang w:val="en-AU" w:eastAsia="en-AU" w:bidi="th-TH"/>
    </w:rPr>
  </w:style>
  <w:style w:type="character" w:styleId="Voetnootmarkering">
    <w:name w:val="footnote reference"/>
    <w:basedOn w:val="Standaardalinea-lettertype"/>
    <w:uiPriority w:val="99"/>
    <w:semiHidden/>
    <w:rsid w:val="007A01C2"/>
    <w:rPr>
      <w:rFonts w:cs="Times New Roman"/>
      <w:vertAlign w:val="superscript"/>
    </w:rPr>
  </w:style>
  <w:style w:type="character" w:styleId="Hyperlink">
    <w:name w:val="Hyperlink"/>
    <w:basedOn w:val="Standaardalinea-lettertype"/>
    <w:uiPriority w:val="99"/>
    <w:rsid w:val="007A01C2"/>
    <w:rPr>
      <w:rFonts w:cs="Times New Roman"/>
      <w:color w:val="0000FF"/>
      <w:u w:val="single"/>
    </w:rPr>
  </w:style>
  <w:style w:type="character" w:customStyle="1" w:styleId="citationspeech">
    <w:name w:val="citation speech"/>
    <w:basedOn w:val="Standaardalinea-lettertype"/>
    <w:uiPriority w:val="99"/>
    <w:rsid w:val="007A01C2"/>
    <w:rPr>
      <w:rFonts w:cs="Times New Roman"/>
    </w:rPr>
  </w:style>
  <w:style w:type="paragraph" w:styleId="Voettekst">
    <w:name w:val="footer"/>
    <w:basedOn w:val="Standaard"/>
    <w:link w:val="VoettekstChar"/>
    <w:uiPriority w:val="99"/>
    <w:rsid w:val="00A11D53"/>
    <w:pPr>
      <w:tabs>
        <w:tab w:val="center" w:pos="4153"/>
        <w:tab w:val="right" w:pos="8306"/>
      </w:tabs>
    </w:pPr>
  </w:style>
  <w:style w:type="character" w:customStyle="1" w:styleId="VoettekstChar">
    <w:name w:val="Voettekst Char"/>
    <w:basedOn w:val="Standaardalinea-lettertype"/>
    <w:link w:val="Voettekst"/>
    <w:uiPriority w:val="99"/>
    <w:locked/>
    <w:rsid w:val="00F8175B"/>
    <w:rPr>
      <w:rFonts w:cs="Angsana New"/>
      <w:sz w:val="24"/>
      <w:szCs w:val="24"/>
      <w:lang w:val="en-AU" w:eastAsia="en-AU" w:bidi="th-TH"/>
    </w:rPr>
  </w:style>
  <w:style w:type="character" w:styleId="Paginanummer">
    <w:name w:val="page number"/>
    <w:basedOn w:val="Standaardalinea-lettertype"/>
    <w:uiPriority w:val="99"/>
    <w:rsid w:val="00A11D53"/>
    <w:rPr>
      <w:rFonts w:cs="Times New Roman"/>
    </w:rPr>
  </w:style>
  <w:style w:type="character" w:customStyle="1" w:styleId="citationnews">
    <w:name w:val="citation news"/>
    <w:basedOn w:val="Standaardalinea-lettertype"/>
    <w:uiPriority w:val="99"/>
    <w:rsid w:val="003B508A"/>
    <w:rPr>
      <w:rFonts w:cs="Times New Roman"/>
    </w:rPr>
  </w:style>
  <w:style w:type="character" w:customStyle="1" w:styleId="printonly">
    <w:name w:val="printonly"/>
    <w:basedOn w:val="Standaardalinea-lettertype"/>
    <w:rsid w:val="003B508A"/>
    <w:rPr>
      <w:rFonts w:cs="Times New Roman"/>
    </w:rPr>
  </w:style>
  <w:style w:type="character" w:customStyle="1" w:styleId="reference-accessdate">
    <w:name w:val="reference-accessdate"/>
    <w:basedOn w:val="Standaardalinea-lettertype"/>
    <w:rsid w:val="003729A6"/>
    <w:rPr>
      <w:rFonts w:cs="Times New Roman"/>
    </w:rPr>
  </w:style>
  <w:style w:type="character" w:customStyle="1" w:styleId="citationweb">
    <w:name w:val="citation web"/>
    <w:basedOn w:val="Standaardalinea-lettertype"/>
    <w:uiPriority w:val="99"/>
    <w:rsid w:val="00F15FF1"/>
    <w:rPr>
      <w:rFonts w:cs="Times New Roman"/>
    </w:rPr>
  </w:style>
  <w:style w:type="paragraph" w:styleId="Kopvaninhoudsopgave">
    <w:name w:val="TOC Heading"/>
    <w:basedOn w:val="Kop1"/>
    <w:next w:val="Standaard"/>
    <w:uiPriority w:val="99"/>
    <w:qFormat/>
    <w:rsid w:val="00A54FD7"/>
    <w:pPr>
      <w:keepLines/>
      <w:spacing w:before="480" w:after="0" w:line="276" w:lineRule="auto"/>
      <w:outlineLvl w:val="9"/>
    </w:pPr>
    <w:rPr>
      <w:rFonts w:cs="Times New Roman"/>
      <w:color w:val="365F91"/>
      <w:kern w:val="0"/>
      <w:szCs w:val="28"/>
      <w:lang w:val="nl-NL" w:eastAsia="en-US" w:bidi="ar-SA"/>
    </w:rPr>
  </w:style>
  <w:style w:type="paragraph" w:styleId="Inhopg1">
    <w:name w:val="toc 1"/>
    <w:basedOn w:val="Standaard"/>
    <w:next w:val="Standaard"/>
    <w:autoRedefine/>
    <w:uiPriority w:val="39"/>
    <w:rsid w:val="006B0BC9"/>
    <w:pPr>
      <w:tabs>
        <w:tab w:val="right" w:leader="dot" w:pos="9060"/>
      </w:tabs>
      <w:spacing w:line="360" w:lineRule="auto"/>
    </w:pPr>
    <w:rPr>
      <w:b/>
      <w:bCs/>
      <w:noProof/>
      <w:szCs w:val="30"/>
    </w:rPr>
  </w:style>
  <w:style w:type="character" w:styleId="Nadruk">
    <w:name w:val="Emphasis"/>
    <w:basedOn w:val="Standaardalinea-lettertype"/>
    <w:uiPriority w:val="99"/>
    <w:qFormat/>
    <w:rsid w:val="00101481"/>
    <w:rPr>
      <w:rFonts w:cs="Times New Roman"/>
      <w:b/>
      <w:i/>
      <w:iCs/>
    </w:rPr>
  </w:style>
  <w:style w:type="paragraph" w:styleId="Lijstalinea">
    <w:name w:val="List Paragraph"/>
    <w:basedOn w:val="Standaard"/>
    <w:uiPriority w:val="34"/>
    <w:qFormat/>
    <w:rsid w:val="005C1511"/>
    <w:pPr>
      <w:ind w:left="720"/>
      <w:contextualSpacing/>
    </w:pPr>
    <w:rPr>
      <w:szCs w:val="30"/>
    </w:rPr>
  </w:style>
  <w:style w:type="paragraph" w:styleId="Koptekst">
    <w:name w:val="header"/>
    <w:basedOn w:val="Standaard"/>
    <w:link w:val="KoptekstChar"/>
    <w:uiPriority w:val="99"/>
    <w:rsid w:val="00F8175B"/>
    <w:pPr>
      <w:tabs>
        <w:tab w:val="center" w:pos="4536"/>
        <w:tab w:val="right" w:pos="9072"/>
      </w:tabs>
    </w:pPr>
    <w:rPr>
      <w:szCs w:val="30"/>
    </w:rPr>
  </w:style>
  <w:style w:type="character" w:customStyle="1" w:styleId="KoptekstChar">
    <w:name w:val="Koptekst Char"/>
    <w:basedOn w:val="Standaardalinea-lettertype"/>
    <w:link w:val="Koptekst"/>
    <w:uiPriority w:val="99"/>
    <w:locked/>
    <w:rsid w:val="00F8175B"/>
    <w:rPr>
      <w:rFonts w:cs="Angsana New"/>
      <w:sz w:val="30"/>
      <w:szCs w:val="30"/>
      <w:lang w:val="en-AU" w:eastAsia="en-AU" w:bidi="th-TH"/>
    </w:rPr>
  </w:style>
  <w:style w:type="paragraph" w:styleId="Ballontekst">
    <w:name w:val="Balloon Text"/>
    <w:basedOn w:val="Standaard"/>
    <w:link w:val="BallontekstChar"/>
    <w:uiPriority w:val="99"/>
    <w:rsid w:val="00F8175B"/>
    <w:rPr>
      <w:rFonts w:ascii="Tahoma" w:hAnsi="Tahoma"/>
      <w:sz w:val="16"/>
      <w:szCs w:val="20"/>
    </w:rPr>
  </w:style>
  <w:style w:type="character" w:customStyle="1" w:styleId="BallontekstChar">
    <w:name w:val="Ballontekst Char"/>
    <w:basedOn w:val="Standaardalinea-lettertype"/>
    <w:link w:val="Ballontekst"/>
    <w:uiPriority w:val="99"/>
    <w:locked/>
    <w:rsid w:val="00F8175B"/>
    <w:rPr>
      <w:rFonts w:ascii="Tahoma" w:hAnsi="Tahoma" w:cs="Angsana New"/>
      <w:sz w:val="16"/>
      <w:lang w:val="en-AU" w:eastAsia="en-AU" w:bidi="th-TH"/>
    </w:rPr>
  </w:style>
  <w:style w:type="paragraph" w:customStyle="1" w:styleId="Lijstalinea1">
    <w:name w:val="Lijstalinea1"/>
    <w:basedOn w:val="Standaard"/>
    <w:uiPriority w:val="99"/>
    <w:rsid w:val="00EF0A81"/>
    <w:pPr>
      <w:widowControl w:val="0"/>
      <w:suppressAutoHyphens/>
      <w:ind w:left="720"/>
    </w:pPr>
    <w:rPr>
      <w:rFonts w:cs="Times New Roman"/>
      <w:kern w:val="1"/>
      <w:szCs w:val="30"/>
      <w:lang w:val="nl-NL" w:bidi="ar-SA"/>
    </w:rPr>
  </w:style>
  <w:style w:type="character" w:customStyle="1" w:styleId="texhtml1">
    <w:name w:val="texhtml1"/>
    <w:basedOn w:val="Standaardalinea-lettertype"/>
    <w:uiPriority w:val="99"/>
    <w:rsid w:val="00491645"/>
    <w:rPr>
      <w:rFonts w:cs="Times New Roman"/>
      <w:sz w:val="30"/>
      <w:szCs w:val="30"/>
    </w:rPr>
  </w:style>
  <w:style w:type="paragraph" w:customStyle="1" w:styleId="Default">
    <w:name w:val="Default"/>
    <w:uiPriority w:val="99"/>
    <w:rsid w:val="00352E14"/>
    <w:pPr>
      <w:autoSpaceDE w:val="0"/>
      <w:autoSpaceDN w:val="0"/>
      <w:adjustRightInd w:val="0"/>
    </w:pPr>
    <w:rPr>
      <w:color w:val="000000"/>
      <w:sz w:val="24"/>
      <w:szCs w:val="24"/>
      <w:lang w:val="nl-NL" w:eastAsia="nl-NL"/>
    </w:rPr>
  </w:style>
  <w:style w:type="paragraph" w:customStyle="1" w:styleId="000">
    <w:name w:val="000"/>
    <w:aliases w:val="standaard"/>
    <w:basedOn w:val="Standaard"/>
    <w:uiPriority w:val="99"/>
    <w:rsid w:val="00414864"/>
    <w:pPr>
      <w:overflowPunct w:val="0"/>
      <w:autoSpaceDE w:val="0"/>
      <w:autoSpaceDN w:val="0"/>
      <w:adjustRightInd w:val="0"/>
      <w:spacing w:line="260" w:lineRule="atLeast"/>
      <w:textAlignment w:val="baseline"/>
    </w:pPr>
    <w:rPr>
      <w:rFonts w:ascii="EYInterstate Light" w:hAnsi="EYInterstate Light" w:cs="Times New Roman"/>
      <w:sz w:val="22"/>
      <w:szCs w:val="20"/>
      <w:lang w:val="nl-NL" w:eastAsia="en-US" w:bidi="ar-SA"/>
    </w:rPr>
  </w:style>
  <w:style w:type="character" w:styleId="Tekstvantijdelijkeaanduiding">
    <w:name w:val="Placeholder Text"/>
    <w:basedOn w:val="Standaardalinea-lettertype"/>
    <w:uiPriority w:val="99"/>
    <w:semiHidden/>
    <w:rsid w:val="00C21FC9"/>
    <w:rPr>
      <w:rFonts w:cs="Times New Roman"/>
      <w:color w:val="808080"/>
    </w:rPr>
  </w:style>
  <w:style w:type="character" w:styleId="Verwijzingopmerking">
    <w:name w:val="annotation reference"/>
    <w:basedOn w:val="Standaardalinea-lettertype"/>
    <w:uiPriority w:val="99"/>
    <w:semiHidden/>
    <w:rsid w:val="00E76B91"/>
    <w:rPr>
      <w:rFonts w:cs="Times New Roman"/>
      <w:sz w:val="16"/>
      <w:szCs w:val="16"/>
    </w:rPr>
  </w:style>
  <w:style w:type="paragraph" w:styleId="Tekstopmerking">
    <w:name w:val="annotation text"/>
    <w:basedOn w:val="Standaard"/>
    <w:link w:val="TekstopmerkingChar"/>
    <w:uiPriority w:val="99"/>
    <w:semiHidden/>
    <w:rsid w:val="00E76B91"/>
    <w:rPr>
      <w:sz w:val="20"/>
      <w:szCs w:val="20"/>
    </w:rPr>
  </w:style>
  <w:style w:type="character" w:customStyle="1" w:styleId="TekstopmerkingChar">
    <w:name w:val="Tekst opmerking Char"/>
    <w:basedOn w:val="Standaardalinea-lettertype"/>
    <w:link w:val="Tekstopmerking"/>
    <w:uiPriority w:val="99"/>
    <w:semiHidden/>
    <w:locked/>
    <w:rsid w:val="004B6290"/>
    <w:rPr>
      <w:rFonts w:cs="Angsana New"/>
      <w:sz w:val="25"/>
      <w:szCs w:val="25"/>
      <w:lang w:val="en-AU" w:eastAsia="en-AU" w:bidi="th-TH"/>
    </w:rPr>
  </w:style>
  <w:style w:type="paragraph" w:styleId="Onderwerpvanopmerking">
    <w:name w:val="annotation subject"/>
    <w:basedOn w:val="Tekstopmerking"/>
    <w:next w:val="Tekstopmerking"/>
    <w:link w:val="OnderwerpvanopmerkingChar"/>
    <w:uiPriority w:val="99"/>
    <w:semiHidden/>
    <w:rsid w:val="00E76B91"/>
    <w:rPr>
      <w:b/>
      <w:bCs/>
    </w:rPr>
  </w:style>
  <w:style w:type="character" w:customStyle="1" w:styleId="OnderwerpvanopmerkingChar">
    <w:name w:val="Onderwerp van opmerking Char"/>
    <w:basedOn w:val="TekstopmerkingChar"/>
    <w:link w:val="Onderwerpvanopmerking"/>
    <w:uiPriority w:val="99"/>
    <w:semiHidden/>
    <w:locked/>
    <w:rsid w:val="004B6290"/>
    <w:rPr>
      <w:rFonts w:cs="Angsana New"/>
      <w:b/>
      <w:bCs/>
      <w:sz w:val="25"/>
      <w:szCs w:val="25"/>
      <w:lang w:val="en-AU" w:eastAsia="en-AU" w:bidi="th-TH"/>
    </w:rPr>
  </w:style>
  <w:style w:type="table" w:customStyle="1" w:styleId="Lichtearcering1">
    <w:name w:val="Lichte arcering1"/>
    <w:uiPriority w:val="99"/>
    <w:rsid w:val="00284B9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chtearcering-accent11">
    <w:name w:val="Lichte arcering - accent 11"/>
    <w:uiPriority w:val="99"/>
    <w:rsid w:val="00284B9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Gemiddeldraster11">
    <w:name w:val="Gemiddeld raster 11"/>
    <w:uiPriority w:val="99"/>
    <w:rsid w:val="00284B9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Lichtearcering-accent2">
    <w:name w:val="Light Shading Accent 2"/>
    <w:basedOn w:val="Standaardtabel"/>
    <w:uiPriority w:val="99"/>
    <w:rsid w:val="00BE096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Gemiddeldearcering21">
    <w:name w:val="Gemiddelde arcering 21"/>
    <w:uiPriority w:val="99"/>
    <w:rsid w:val="00BE09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Gemiddeldearcering2-accent2">
    <w:name w:val="Medium Shading 2 Accent 2"/>
    <w:basedOn w:val="Standaardtabel"/>
    <w:uiPriority w:val="99"/>
    <w:rsid w:val="00BE09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1">
    <w:name w:val="Gemiddelde arcering 2 - accent 11"/>
    <w:uiPriority w:val="99"/>
    <w:rsid w:val="00BE09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Gemiddeldearcering1-accent6">
    <w:name w:val="Medium Shading 1 Accent 6"/>
    <w:basedOn w:val="Standaardtabel"/>
    <w:uiPriority w:val="99"/>
    <w:rsid w:val="00BE096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Gemiddeldelijst21">
    <w:name w:val="Gemiddelde lijst 21"/>
    <w:uiPriority w:val="99"/>
    <w:rsid w:val="00BE096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chtearcering2">
    <w:name w:val="Lichte arcering2"/>
    <w:uiPriority w:val="99"/>
    <w:rsid w:val="00241C0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Gemiddeldelijst11">
    <w:name w:val="Gemiddelde lijst 11"/>
    <w:uiPriority w:val="99"/>
    <w:rsid w:val="001B37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Gemiddeldearcering2-accent6">
    <w:name w:val="Medium Shading 2 Accent 6"/>
    <w:basedOn w:val="Standaardtabel"/>
    <w:uiPriority w:val="99"/>
    <w:rsid w:val="001B37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99"/>
    <w:rsid w:val="001B37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99"/>
    <w:rsid w:val="001B37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99"/>
    <w:rsid w:val="001B37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1-accent5">
    <w:name w:val="Medium Shading 1 Accent 5"/>
    <w:basedOn w:val="Standaardtabel"/>
    <w:uiPriority w:val="99"/>
    <w:rsid w:val="001B379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Lichtearcering-accent12">
    <w:name w:val="Lichte arcering - accent 12"/>
    <w:uiPriority w:val="99"/>
    <w:rsid w:val="00BD3A8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raster1">
    <w:name w:val="Licht raster1"/>
    <w:uiPriority w:val="99"/>
    <w:rsid w:val="005D57C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B75B6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GevolgdeHyperlink">
    <w:name w:val="FollowedHyperlink"/>
    <w:basedOn w:val="Standaardalinea-lettertype"/>
    <w:uiPriority w:val="99"/>
    <w:rsid w:val="006C1C1E"/>
    <w:rPr>
      <w:rFonts w:cs="Times New Roman"/>
      <w:color w:val="0000FF"/>
      <w:u w:val="single"/>
    </w:rPr>
  </w:style>
  <w:style w:type="character" w:styleId="HTML-citaat">
    <w:name w:val="HTML Cite"/>
    <w:basedOn w:val="Standaardalinea-lettertype"/>
    <w:uiPriority w:val="99"/>
    <w:rsid w:val="006C1C1E"/>
    <w:rPr>
      <w:rFonts w:cs="Times New Roman"/>
    </w:rPr>
  </w:style>
  <w:style w:type="character" w:styleId="HTMLCode">
    <w:name w:val="HTML Code"/>
    <w:basedOn w:val="Standaardalinea-lettertype"/>
    <w:uiPriority w:val="99"/>
    <w:rsid w:val="006C1C1E"/>
    <w:rPr>
      <w:rFonts w:ascii="Courier New" w:hAnsi="Courier New" w:cs="Courier New"/>
      <w:sz w:val="20"/>
      <w:szCs w:val="20"/>
    </w:rPr>
  </w:style>
  <w:style w:type="paragraph" w:styleId="HTML-voorafopgemaakt">
    <w:name w:val="HTML Preformatted"/>
    <w:basedOn w:val="Standaard"/>
    <w:link w:val="HTML-voorafopgemaaktChar"/>
    <w:uiPriority w:val="99"/>
    <w:rsid w:val="006C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voorafopgemaaktChar">
    <w:name w:val="HTML - vooraf opgemaakt Char"/>
    <w:basedOn w:val="Standaardalinea-lettertype"/>
    <w:link w:val="HTML-voorafopgemaakt"/>
    <w:uiPriority w:val="99"/>
    <w:semiHidden/>
    <w:locked/>
    <w:rsid w:val="001A5065"/>
    <w:rPr>
      <w:rFonts w:ascii="Courier New" w:hAnsi="Courier New" w:cs="Angsana New"/>
      <w:sz w:val="25"/>
      <w:szCs w:val="25"/>
      <w:lang w:val="en-AU" w:eastAsia="en-AU" w:bidi="th-TH"/>
    </w:rPr>
  </w:style>
  <w:style w:type="character" w:styleId="HTML-schrijfmachine">
    <w:name w:val="HTML Typewriter"/>
    <w:basedOn w:val="Standaardalinea-lettertype"/>
    <w:uiPriority w:val="99"/>
    <w:rsid w:val="006C1C1E"/>
    <w:rPr>
      <w:rFonts w:ascii="Courier New" w:hAnsi="Courier New" w:cs="Courier New"/>
      <w:sz w:val="20"/>
      <w:szCs w:val="20"/>
    </w:rPr>
  </w:style>
  <w:style w:type="paragraph" w:styleId="Normaalweb">
    <w:name w:val="Normal (Web)"/>
    <w:basedOn w:val="Standaard"/>
    <w:uiPriority w:val="99"/>
    <w:rsid w:val="006C1C1E"/>
    <w:pPr>
      <w:spacing w:before="100" w:beforeAutospacing="1" w:after="100" w:afterAutospacing="1"/>
    </w:pPr>
    <w:rPr>
      <w:rFonts w:cs="Times New Roman"/>
      <w:lang w:val="en-US" w:eastAsia="en-US" w:bidi="ar-SA"/>
    </w:rPr>
  </w:style>
  <w:style w:type="paragraph" w:customStyle="1" w:styleId="suggestions">
    <w:name w:val="suggestions"/>
    <w:basedOn w:val="Standaard"/>
    <w:uiPriority w:val="99"/>
    <w:rsid w:val="006C1C1E"/>
    <w:rPr>
      <w:rFonts w:cs="Times New Roman"/>
      <w:lang w:val="en-US" w:eastAsia="en-US" w:bidi="ar-SA"/>
    </w:rPr>
  </w:style>
  <w:style w:type="paragraph" w:customStyle="1" w:styleId="suggestions-special">
    <w:name w:val="suggestions-special"/>
    <w:basedOn w:val="Standaard"/>
    <w:uiPriority w:val="99"/>
    <w:rsid w:val="006C1C1E"/>
    <w:pPr>
      <w:pBdr>
        <w:top w:val="single" w:sz="6" w:space="3" w:color="AAAAAA"/>
        <w:left w:val="single" w:sz="6" w:space="3" w:color="AAAAAA"/>
        <w:bottom w:val="single" w:sz="6" w:space="3" w:color="AAAAAA"/>
        <w:right w:val="single" w:sz="6" w:space="3" w:color="AAAAAA"/>
      </w:pBdr>
      <w:spacing w:line="300" w:lineRule="atLeast"/>
    </w:pPr>
    <w:rPr>
      <w:rFonts w:cs="Times New Roman"/>
      <w:vanish/>
      <w:sz w:val="19"/>
      <w:szCs w:val="19"/>
      <w:lang w:val="en-US" w:eastAsia="en-US" w:bidi="ar-SA"/>
    </w:rPr>
  </w:style>
  <w:style w:type="paragraph" w:customStyle="1" w:styleId="suggestions-results">
    <w:name w:val="suggestions-results"/>
    <w:basedOn w:val="Standaard"/>
    <w:uiPriority w:val="99"/>
    <w:rsid w:val="006C1C1E"/>
    <w:pPr>
      <w:pBdr>
        <w:top w:val="single" w:sz="6" w:space="0" w:color="AAAAAA"/>
        <w:left w:val="single" w:sz="6" w:space="0" w:color="AAAAAA"/>
        <w:bottom w:val="single" w:sz="6" w:space="0" w:color="AAAAAA"/>
        <w:right w:val="single" w:sz="6" w:space="0" w:color="AAAAAA"/>
      </w:pBdr>
      <w:shd w:val="clear" w:color="auto" w:fill="FFFFFF"/>
    </w:pPr>
    <w:rPr>
      <w:rFonts w:cs="Times New Roman"/>
      <w:sz w:val="19"/>
      <w:szCs w:val="19"/>
      <w:lang w:val="en-US" w:eastAsia="en-US" w:bidi="ar-SA"/>
    </w:rPr>
  </w:style>
  <w:style w:type="paragraph" w:customStyle="1" w:styleId="suggestions-result">
    <w:name w:val="suggestions-result"/>
    <w:basedOn w:val="Standaard"/>
    <w:uiPriority w:val="99"/>
    <w:rsid w:val="006C1C1E"/>
    <w:pPr>
      <w:spacing w:line="360" w:lineRule="atLeast"/>
    </w:pPr>
    <w:rPr>
      <w:rFonts w:cs="Times New Roman"/>
      <w:lang w:val="en-US" w:eastAsia="en-US" w:bidi="ar-SA"/>
    </w:rPr>
  </w:style>
  <w:style w:type="paragraph" w:customStyle="1" w:styleId="suggestions-result-current">
    <w:name w:val="suggestions-result-current"/>
    <w:basedOn w:val="Standaard"/>
    <w:uiPriority w:val="99"/>
    <w:rsid w:val="006C1C1E"/>
    <w:pPr>
      <w:shd w:val="clear" w:color="auto" w:fill="4C59A6"/>
      <w:spacing w:before="100" w:beforeAutospacing="1" w:after="100" w:afterAutospacing="1"/>
    </w:pPr>
    <w:rPr>
      <w:rFonts w:cs="Times New Roman"/>
      <w:color w:val="FFFFFF"/>
      <w:lang w:val="en-US" w:eastAsia="en-US" w:bidi="ar-SA"/>
    </w:rPr>
  </w:style>
  <w:style w:type="paragraph" w:customStyle="1" w:styleId="autoellipsis-matched">
    <w:name w:val="autoellipsis-matched"/>
    <w:basedOn w:val="Standaard"/>
    <w:uiPriority w:val="99"/>
    <w:rsid w:val="006C1C1E"/>
    <w:pPr>
      <w:spacing w:before="100" w:beforeAutospacing="1" w:after="100" w:afterAutospacing="1"/>
    </w:pPr>
    <w:rPr>
      <w:rFonts w:cs="Times New Roman"/>
      <w:b/>
      <w:bCs/>
      <w:lang w:val="en-US" w:eastAsia="en-US" w:bidi="ar-SA"/>
    </w:rPr>
  </w:style>
  <w:style w:type="paragraph" w:customStyle="1" w:styleId="wikieditor-ui">
    <w:name w:val="wikieditor-ui"/>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rPr>
      <w:rFonts w:cs="Times New Roman"/>
      <w:lang w:val="en-US" w:eastAsia="en-US" w:bidi="ar-SA"/>
    </w:rPr>
  </w:style>
  <w:style w:type="paragraph" w:customStyle="1" w:styleId="wikieditor-wikitext">
    <w:name w:val="wikieditor-wikitext"/>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controls">
    <w:name w:val="wikieditor-ui-controls"/>
    <w:basedOn w:val="Standaard"/>
    <w:uiPriority w:val="99"/>
    <w:rsid w:val="006C1C1E"/>
    <w:pPr>
      <w:pBdr>
        <w:bottom w:val="single" w:sz="6" w:space="0" w:color="C0C0C0"/>
      </w:pBdr>
      <w:shd w:val="clear" w:color="auto" w:fill="FFFFFF"/>
      <w:spacing w:after="100" w:afterAutospacing="1"/>
    </w:pPr>
    <w:rPr>
      <w:rFonts w:cs="Times New Roman"/>
      <w:lang w:val="en-US" w:eastAsia="en-US" w:bidi="ar-SA"/>
    </w:rPr>
  </w:style>
  <w:style w:type="paragraph" w:customStyle="1" w:styleId="wikieditor-ui-tabs">
    <w:name w:val="wikieditor-ui-tabs"/>
    <w:basedOn w:val="Standaard"/>
    <w:uiPriority w:val="99"/>
    <w:rsid w:val="006C1C1E"/>
    <w:pPr>
      <w:pBdr>
        <w:top w:val="single" w:sz="6" w:space="0" w:color="C0C0C0"/>
        <w:left w:val="single" w:sz="6" w:space="0" w:color="C0C0C0"/>
      </w:pBdr>
      <w:shd w:val="clear" w:color="auto" w:fill="FFFFFF"/>
      <w:spacing w:before="100" w:beforeAutospacing="1" w:after="100" w:afterAutospacing="1"/>
      <w:ind w:left="-15"/>
    </w:pPr>
    <w:rPr>
      <w:rFonts w:cs="Times New Roman"/>
      <w:lang w:val="en-US" w:eastAsia="en-US" w:bidi="ar-SA"/>
    </w:rPr>
  </w:style>
  <w:style w:type="paragraph" w:customStyle="1" w:styleId="wikieditor-ui-buttons">
    <w:name w:val="wikieditor-ui-buttons"/>
    <w:basedOn w:val="Standaard"/>
    <w:uiPriority w:val="99"/>
    <w:rsid w:val="006C1C1E"/>
    <w:pPr>
      <w:pBdr>
        <w:top w:val="single" w:sz="6" w:space="0" w:color="FFFFFF"/>
      </w:pBdr>
      <w:shd w:val="clear" w:color="auto" w:fill="FFFFFF"/>
      <w:spacing w:before="100" w:beforeAutospacing="1" w:after="100" w:afterAutospacing="1"/>
      <w:ind w:right="-15"/>
    </w:pPr>
    <w:rPr>
      <w:rFonts w:cs="Times New Roman"/>
      <w:lang w:val="en-US" w:eastAsia="en-US" w:bidi="ar-SA"/>
    </w:rPr>
  </w:style>
  <w:style w:type="paragraph" w:customStyle="1" w:styleId="wikieditor-view-wikitext">
    <w:name w:val="wikieditor-view-wikitext"/>
    <w:basedOn w:val="Standaard"/>
    <w:uiPriority w:val="99"/>
    <w:rsid w:val="006C1C1E"/>
    <w:pPr>
      <w:spacing w:before="100" w:beforeAutospacing="1" w:after="100" w:afterAutospacing="1" w:line="240" w:lineRule="atLeast"/>
    </w:pPr>
    <w:rPr>
      <w:rFonts w:cs="Times New Roman"/>
      <w:lang w:val="en-US" w:eastAsia="en-US" w:bidi="ar-SA"/>
    </w:rPr>
  </w:style>
  <w:style w:type="paragraph" w:customStyle="1" w:styleId="wikieditor-ui-loading">
    <w:name w:val="wikieditor-ui-loading"/>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3F3F3"/>
      <w:ind w:left="-15" w:right="-15"/>
      <w:jc w:val="center"/>
    </w:pPr>
    <w:rPr>
      <w:rFonts w:cs="Times New Roman"/>
      <w:lang w:val="en-US" w:eastAsia="en-US" w:bidi="ar-SA"/>
    </w:rPr>
  </w:style>
  <w:style w:type="paragraph" w:customStyle="1" w:styleId="wikieditor-toolbar-field-wrapper">
    <w:name w:val="wikieditor-toolbar-field-wrapper"/>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floated-field-wrapper">
    <w:name w:val="wikieditor-toolbar-floated-field-wrapper"/>
    <w:basedOn w:val="Standaard"/>
    <w:uiPriority w:val="99"/>
    <w:rsid w:val="006C1C1E"/>
    <w:pPr>
      <w:spacing w:before="100" w:beforeAutospacing="1" w:after="100" w:afterAutospacing="1"/>
      <w:ind w:right="480"/>
    </w:pPr>
    <w:rPr>
      <w:rFonts w:cs="Times New Roman"/>
      <w:lang w:val="en-US" w:eastAsia="en-US" w:bidi="ar-SA"/>
    </w:rPr>
  </w:style>
  <w:style w:type="paragraph" w:customStyle="1" w:styleId="wikieditor-toolbar-dialog-hint">
    <w:name w:val="wikieditor-toolbar-dialog-hint"/>
    <w:basedOn w:val="Standaard"/>
    <w:uiPriority w:val="99"/>
    <w:rsid w:val="006C1C1E"/>
    <w:pPr>
      <w:spacing w:before="100" w:beforeAutospacing="1" w:after="100" w:afterAutospacing="1"/>
    </w:pPr>
    <w:rPr>
      <w:rFonts w:cs="Times New Roman"/>
      <w:color w:val="999999"/>
      <w:lang w:val="en-US" w:eastAsia="en-US" w:bidi="ar-SA"/>
    </w:rPr>
  </w:style>
  <w:style w:type="paragraph" w:customStyle="1" w:styleId="wikieditor-toolbar-dialog-wrapper">
    <w:name w:val="wikieditor-toolbar-dialog-wrapper"/>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dimension-fields">
    <w:name w:val="wikieditor-toolbar-table-dimension-fields"/>
    <w:basedOn w:val="Standaard"/>
    <w:uiPriority w:val="99"/>
    <w:rsid w:val="006C1C1E"/>
    <w:pPr>
      <w:spacing w:before="100" w:beforeAutospacing="1" w:after="100" w:afterAutospacing="1"/>
    </w:pPr>
    <w:rPr>
      <w:rFonts w:cs="Times New Roman"/>
      <w:lang w:val="en-US" w:eastAsia="en-US" w:bidi="ar-SA"/>
    </w:rPr>
  </w:style>
  <w:style w:type="paragraph" w:customStyle="1" w:styleId="wikieditor-dialog-editoptions">
    <w:name w:val="wikieditor-dialog-editoptions"/>
    <w:basedOn w:val="Standaard"/>
    <w:uiPriority w:val="99"/>
    <w:rsid w:val="006C1C1E"/>
    <w:pPr>
      <w:spacing w:before="225" w:after="100" w:afterAutospacing="1"/>
    </w:pPr>
    <w:rPr>
      <w:rFonts w:cs="Times New Roman"/>
      <w:lang w:val="en-US" w:eastAsia="en-US" w:bidi="ar-SA"/>
    </w:rPr>
  </w:style>
  <w:style w:type="paragraph" w:customStyle="1" w:styleId="wikieditor-publish-dialog-copywarn">
    <w:name w:val="wikieditor-publish-dialog-copywarn"/>
    <w:basedOn w:val="Standaard"/>
    <w:uiPriority w:val="99"/>
    <w:rsid w:val="006C1C1E"/>
    <w:pPr>
      <w:spacing w:before="120" w:after="100" w:afterAutospacing="1"/>
    </w:pPr>
    <w:rPr>
      <w:rFonts w:cs="Times New Roman"/>
      <w:lang w:val="en-US" w:eastAsia="en-US" w:bidi="ar-SA"/>
    </w:rPr>
  </w:style>
  <w:style w:type="paragraph" w:customStyle="1" w:styleId="wikieditor-publish-dialog-summary">
    <w:name w:val="wikieditor-publish-dialog-summary"/>
    <w:basedOn w:val="Standaard"/>
    <w:uiPriority w:val="99"/>
    <w:rsid w:val="006C1C1E"/>
    <w:pPr>
      <w:spacing w:before="360" w:after="100" w:afterAutospacing="1"/>
    </w:pPr>
    <w:rPr>
      <w:rFonts w:cs="Times New Roman"/>
      <w:lang w:val="en-US" w:eastAsia="en-US" w:bidi="ar-SA"/>
    </w:rPr>
  </w:style>
  <w:style w:type="paragraph" w:customStyle="1" w:styleId="wikieditor-publish-dialog-options">
    <w:name w:val="wikieditor-publish-dialog-options"/>
    <w:basedOn w:val="Standaard"/>
    <w:uiPriority w:val="99"/>
    <w:rsid w:val="006C1C1E"/>
    <w:pPr>
      <w:spacing w:before="360" w:after="100" w:afterAutospacing="1"/>
    </w:pPr>
    <w:rPr>
      <w:rFonts w:cs="Times New Roman"/>
      <w:lang w:val="en-US" w:eastAsia="en-US" w:bidi="ar-SA"/>
    </w:rPr>
  </w:style>
  <w:style w:type="paragraph" w:customStyle="1" w:styleId="wikieditor-ui-toolbar">
    <w:name w:val="wikieditor-ui-toolbar"/>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spritedbutton">
    <w:name w:val="wikieditor-toolbar-spritedbutton"/>
    <w:basedOn w:val="Standaard"/>
    <w:uiPriority w:val="99"/>
    <w:rsid w:val="006C1C1E"/>
    <w:pPr>
      <w:spacing w:before="100" w:beforeAutospacing="1" w:after="100" w:afterAutospacing="1"/>
      <w:ind w:hanging="18913"/>
    </w:pPr>
    <w:rPr>
      <w:rFonts w:cs="Times New Roman"/>
      <w:lang w:val="en-US" w:eastAsia="en-US" w:bidi="ar-SA"/>
    </w:rPr>
  </w:style>
  <w:style w:type="paragraph" w:customStyle="1" w:styleId="ui-helper-hidden">
    <w:name w:val="ui-helper-hidden"/>
    <w:basedOn w:val="Standaard"/>
    <w:uiPriority w:val="99"/>
    <w:rsid w:val="006C1C1E"/>
    <w:pPr>
      <w:spacing w:before="100" w:beforeAutospacing="1" w:after="100" w:afterAutospacing="1"/>
    </w:pPr>
    <w:rPr>
      <w:rFonts w:cs="Times New Roman"/>
      <w:vanish/>
      <w:lang w:val="en-US" w:eastAsia="en-US" w:bidi="ar-SA"/>
    </w:rPr>
  </w:style>
  <w:style w:type="paragraph" w:customStyle="1" w:styleId="ui-helper-reset">
    <w:name w:val="ui-helper-reset"/>
    <w:basedOn w:val="Standaard"/>
    <w:uiPriority w:val="99"/>
    <w:rsid w:val="006C1C1E"/>
    <w:rPr>
      <w:rFonts w:cs="Times New Roman"/>
      <w:lang w:val="en-US" w:eastAsia="en-US" w:bidi="ar-SA"/>
    </w:rPr>
  </w:style>
  <w:style w:type="paragraph" w:customStyle="1" w:styleId="ui-helper-clearfix">
    <w:name w:val="ui-helper-clearfix"/>
    <w:basedOn w:val="Standaard"/>
    <w:uiPriority w:val="99"/>
    <w:rsid w:val="006C1C1E"/>
    <w:pPr>
      <w:spacing w:before="100" w:beforeAutospacing="1" w:after="100" w:afterAutospacing="1"/>
    </w:pPr>
    <w:rPr>
      <w:rFonts w:cs="Times New Roman"/>
      <w:lang w:val="en-US" w:eastAsia="en-US" w:bidi="ar-SA"/>
    </w:rPr>
  </w:style>
  <w:style w:type="paragraph" w:customStyle="1" w:styleId="ui-helper-zfix">
    <w:name w:val="ui-helper-zfix"/>
    <w:basedOn w:val="Standaard"/>
    <w:uiPriority w:val="99"/>
    <w:rsid w:val="006C1C1E"/>
    <w:pPr>
      <w:spacing w:before="100" w:beforeAutospacing="1" w:after="100" w:afterAutospacing="1"/>
    </w:pPr>
    <w:rPr>
      <w:rFonts w:cs="Times New Roman"/>
      <w:lang w:val="en-US" w:eastAsia="en-US" w:bidi="ar-SA"/>
    </w:rPr>
  </w:style>
  <w:style w:type="paragraph" w:customStyle="1" w:styleId="ui-icon">
    <w:name w:val="ui-icon"/>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widget-overlay">
    <w:name w:val="ui-widget-overlay"/>
    <w:basedOn w:val="Standaard"/>
    <w:uiPriority w:val="99"/>
    <w:rsid w:val="006C1C1E"/>
    <w:pPr>
      <w:shd w:val="clear" w:color="auto" w:fill="000000"/>
      <w:spacing w:before="100" w:beforeAutospacing="1" w:after="100" w:afterAutospacing="1"/>
    </w:pPr>
    <w:rPr>
      <w:rFonts w:cs="Times New Roman"/>
      <w:lang w:val="en-US" w:eastAsia="en-US" w:bidi="ar-SA"/>
    </w:rPr>
  </w:style>
  <w:style w:type="paragraph" w:customStyle="1" w:styleId="ui-widget">
    <w:name w:val="ui-widget"/>
    <w:basedOn w:val="Standaard"/>
    <w:uiPriority w:val="99"/>
    <w:rsid w:val="006C1C1E"/>
    <w:pPr>
      <w:spacing w:before="100" w:beforeAutospacing="1" w:after="100" w:afterAutospacing="1"/>
    </w:pPr>
    <w:rPr>
      <w:rFonts w:ascii="Arial" w:hAnsi="Arial" w:cs="Arial"/>
      <w:sz w:val="22"/>
      <w:szCs w:val="22"/>
      <w:lang w:val="en-US" w:eastAsia="en-US" w:bidi="ar-SA"/>
    </w:rPr>
  </w:style>
  <w:style w:type="paragraph" w:customStyle="1" w:styleId="ui-widget-content">
    <w:name w:val="ui-widget-content"/>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000000"/>
      <w:lang w:val="en-US" w:eastAsia="en-US" w:bidi="ar-SA"/>
    </w:rPr>
  </w:style>
  <w:style w:type="paragraph" w:customStyle="1" w:styleId="ui-widget-header">
    <w:name w:val="ui-widget-header"/>
    <w:basedOn w:val="Standaard"/>
    <w:uiPriority w:val="99"/>
    <w:rsid w:val="006C1C1E"/>
    <w:pPr>
      <w:pBdr>
        <w:bottom w:val="single" w:sz="6" w:space="0" w:color="C0C0C0"/>
      </w:pBdr>
      <w:shd w:val="clear" w:color="auto" w:fill="E2EEF6"/>
      <w:spacing w:before="100" w:beforeAutospacing="1" w:after="100" w:afterAutospacing="1" w:line="240" w:lineRule="atLeast"/>
    </w:pPr>
    <w:rPr>
      <w:rFonts w:cs="Times New Roman"/>
      <w:b/>
      <w:bCs/>
      <w:color w:val="333333"/>
      <w:lang w:val="en-US" w:eastAsia="en-US" w:bidi="ar-SA"/>
    </w:rPr>
  </w:style>
  <w:style w:type="paragraph" w:customStyle="1" w:styleId="ui-state-default">
    <w:name w:val="ui-state-default"/>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rFonts w:cs="Times New Roman"/>
      <w:color w:val="333333"/>
      <w:lang w:val="en-US" w:eastAsia="en-US" w:bidi="ar-SA"/>
    </w:rPr>
  </w:style>
  <w:style w:type="paragraph" w:customStyle="1" w:styleId="ui-state-hover">
    <w:name w:val="ui-state-hover"/>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focus">
    <w:name w:val="ui-state-focus"/>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active">
    <w:name w:val="ui-state-active"/>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highlight">
    <w:name w:val="ui-state-highlight"/>
    <w:basedOn w:val="Standaard"/>
    <w:uiPriority w:val="99"/>
    <w:rsid w:val="006C1C1E"/>
    <w:pPr>
      <w:pBdr>
        <w:top w:val="single" w:sz="6" w:space="0" w:color="FCEFA1"/>
        <w:left w:val="single" w:sz="6" w:space="0" w:color="FCEFA1"/>
        <w:bottom w:val="single" w:sz="6" w:space="0" w:color="FCEFA1"/>
        <w:right w:val="single" w:sz="6" w:space="0" w:color="FCEFA1"/>
      </w:pBdr>
      <w:spacing w:before="100" w:beforeAutospacing="1" w:after="100" w:afterAutospacing="1"/>
    </w:pPr>
    <w:rPr>
      <w:rFonts w:cs="Times New Roman"/>
      <w:color w:val="363636"/>
      <w:lang w:val="en-US" w:eastAsia="en-US" w:bidi="ar-SA"/>
    </w:rPr>
  </w:style>
  <w:style w:type="paragraph" w:customStyle="1" w:styleId="ui-state-error">
    <w:name w:val="ui-state-error"/>
    <w:basedOn w:val="Standaard"/>
    <w:uiPriority w:val="99"/>
    <w:rsid w:val="006C1C1E"/>
    <w:pPr>
      <w:pBdr>
        <w:top w:val="single" w:sz="6" w:space="0" w:color="CD0A0A"/>
        <w:left w:val="single" w:sz="6" w:space="0" w:color="CD0A0A"/>
        <w:bottom w:val="single" w:sz="6" w:space="0" w:color="CD0A0A"/>
        <w:right w:val="single" w:sz="6" w:space="0" w:color="CD0A0A"/>
      </w:pBdr>
      <w:spacing w:before="100" w:beforeAutospacing="1" w:after="100" w:afterAutospacing="1"/>
    </w:pPr>
    <w:rPr>
      <w:rFonts w:cs="Times New Roman"/>
      <w:color w:val="CD0A0A"/>
      <w:lang w:val="en-US" w:eastAsia="en-US" w:bidi="ar-SA"/>
    </w:rPr>
  </w:style>
  <w:style w:type="paragraph" w:customStyle="1" w:styleId="ui-state-error-text">
    <w:name w:val="ui-state-error-text"/>
    <w:basedOn w:val="Standaard"/>
    <w:uiPriority w:val="99"/>
    <w:rsid w:val="006C1C1E"/>
    <w:pPr>
      <w:spacing w:before="100" w:beforeAutospacing="1" w:after="100" w:afterAutospacing="1"/>
    </w:pPr>
    <w:rPr>
      <w:rFonts w:cs="Times New Roman"/>
      <w:color w:val="CD0A0A"/>
      <w:lang w:val="en-US" w:eastAsia="en-US" w:bidi="ar-SA"/>
    </w:rPr>
  </w:style>
  <w:style w:type="paragraph" w:customStyle="1" w:styleId="ui-state-disabled">
    <w:name w:val="ui-state-disabled"/>
    <w:basedOn w:val="Standaard"/>
    <w:uiPriority w:val="99"/>
    <w:rsid w:val="006C1C1E"/>
    <w:pPr>
      <w:spacing w:before="100" w:beforeAutospacing="1" w:after="100" w:afterAutospacing="1"/>
    </w:pPr>
    <w:rPr>
      <w:rFonts w:cs="Times New Roman"/>
      <w:lang w:val="en-US" w:eastAsia="en-US" w:bidi="ar-SA"/>
    </w:rPr>
  </w:style>
  <w:style w:type="paragraph" w:customStyle="1" w:styleId="ui-priority-primary">
    <w:name w:val="ui-priority-primary"/>
    <w:basedOn w:val="Standaard"/>
    <w:uiPriority w:val="99"/>
    <w:rsid w:val="006C1C1E"/>
    <w:pPr>
      <w:spacing w:before="100" w:beforeAutospacing="1" w:after="100" w:afterAutospacing="1"/>
    </w:pPr>
    <w:rPr>
      <w:rFonts w:cs="Times New Roman"/>
      <w:b/>
      <w:bCs/>
      <w:lang w:val="en-US" w:eastAsia="en-US" w:bidi="ar-SA"/>
    </w:rPr>
  </w:style>
  <w:style w:type="paragraph" w:customStyle="1" w:styleId="ui-priority-secondary">
    <w:name w:val="ui-priority-secondary"/>
    <w:basedOn w:val="Standaard"/>
    <w:uiPriority w:val="99"/>
    <w:rsid w:val="006C1C1E"/>
    <w:pPr>
      <w:spacing w:before="100" w:beforeAutospacing="1" w:after="100" w:afterAutospacing="1"/>
    </w:pPr>
    <w:rPr>
      <w:rFonts w:cs="Times New Roman"/>
      <w:lang w:val="en-US" w:eastAsia="en-US" w:bidi="ar-SA"/>
    </w:rPr>
  </w:style>
  <w:style w:type="paragraph" w:customStyle="1" w:styleId="ui-widget-shadow">
    <w:name w:val="ui-widget-shadow"/>
    <w:basedOn w:val="Standaard"/>
    <w:uiPriority w:val="99"/>
    <w:rsid w:val="006C1C1E"/>
    <w:pPr>
      <w:shd w:val="clear" w:color="auto" w:fill="000000"/>
      <w:ind w:left="-120"/>
    </w:pPr>
    <w:rPr>
      <w:rFonts w:cs="Times New Roman"/>
      <w:lang w:val="en-US" w:eastAsia="en-US" w:bidi="ar-SA"/>
    </w:rPr>
  </w:style>
  <w:style w:type="paragraph" w:customStyle="1" w:styleId="ui-datepicker">
    <w:name w:val="ui-datepicker"/>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row-break">
    <w:name w:val="ui-datepicker-row-break"/>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rtl">
    <w:name w:val="ui-datepicker-rtl"/>
    <w:basedOn w:val="Standaard"/>
    <w:uiPriority w:val="99"/>
    <w:rsid w:val="006C1C1E"/>
    <w:pPr>
      <w:bidi/>
      <w:spacing w:before="100" w:beforeAutospacing="1" w:after="100" w:afterAutospacing="1"/>
    </w:pPr>
    <w:rPr>
      <w:rFonts w:cs="Times New Roman"/>
      <w:lang w:val="en-US" w:eastAsia="en-US" w:bidi="ar-SA"/>
    </w:rPr>
  </w:style>
  <w:style w:type="paragraph" w:customStyle="1" w:styleId="ui-datepicker-cover">
    <w:name w:val="ui-datepicker-cover"/>
    <w:basedOn w:val="Standaard"/>
    <w:uiPriority w:val="99"/>
    <w:rsid w:val="006C1C1E"/>
    <w:pPr>
      <w:spacing w:before="100" w:beforeAutospacing="1" w:after="100" w:afterAutospacing="1"/>
    </w:pPr>
    <w:rPr>
      <w:rFonts w:cs="Times New Roman"/>
      <w:lang w:val="en-US" w:eastAsia="en-US" w:bidi="ar-SA"/>
    </w:rPr>
  </w:style>
  <w:style w:type="paragraph" w:customStyle="1" w:styleId="ui-dialog">
    <w:name w:val="ui-dialog"/>
    <w:basedOn w:val="Standaard"/>
    <w:uiPriority w:val="99"/>
    <w:rsid w:val="006C1C1E"/>
    <w:pPr>
      <w:spacing w:before="100" w:beforeAutospacing="1" w:after="100" w:afterAutospacing="1"/>
    </w:pPr>
    <w:rPr>
      <w:rFonts w:cs="Times New Roman"/>
      <w:lang w:val="en-US" w:eastAsia="en-US" w:bidi="ar-SA"/>
    </w:rPr>
  </w:style>
  <w:style w:type="paragraph" w:customStyle="1" w:styleId="ui-progressbar">
    <w:name w:val="ui-progressbar"/>
    <w:basedOn w:val="Standaard"/>
    <w:uiPriority w:val="99"/>
    <w:rsid w:val="006C1C1E"/>
    <w:pPr>
      <w:spacing w:before="100" w:beforeAutospacing="1" w:after="100" w:afterAutospacing="1"/>
    </w:pPr>
    <w:rPr>
      <w:rFonts w:cs="Times New Roman"/>
      <w:lang w:val="en-US" w:eastAsia="en-US" w:bidi="ar-SA"/>
    </w:rPr>
  </w:style>
  <w:style w:type="paragraph" w:customStyle="1" w:styleId="ui-resizable-handle">
    <w:name w:val="ui-resizable-handle"/>
    <w:basedOn w:val="Standaard"/>
    <w:uiPriority w:val="99"/>
    <w:rsid w:val="006C1C1E"/>
    <w:pPr>
      <w:spacing w:before="100" w:beforeAutospacing="1" w:after="100" w:afterAutospacing="1"/>
    </w:pPr>
    <w:rPr>
      <w:rFonts w:cs="Times New Roman"/>
      <w:sz w:val="2"/>
      <w:szCs w:val="2"/>
      <w:lang w:val="en-US" w:eastAsia="en-US" w:bidi="ar-SA"/>
    </w:rPr>
  </w:style>
  <w:style w:type="paragraph" w:customStyle="1" w:styleId="ui-resizable-n">
    <w:name w:val="ui-resizable-n"/>
    <w:basedOn w:val="Standaard"/>
    <w:uiPriority w:val="99"/>
    <w:rsid w:val="006C1C1E"/>
    <w:pPr>
      <w:spacing w:before="100" w:beforeAutospacing="1" w:after="100" w:afterAutospacing="1"/>
    </w:pPr>
    <w:rPr>
      <w:rFonts w:cs="Times New Roman"/>
      <w:lang w:val="en-US" w:eastAsia="en-US" w:bidi="ar-SA"/>
    </w:rPr>
  </w:style>
  <w:style w:type="paragraph" w:customStyle="1" w:styleId="ui-resizable-s">
    <w:name w:val="ui-resizable-s"/>
    <w:basedOn w:val="Standaard"/>
    <w:uiPriority w:val="99"/>
    <w:rsid w:val="006C1C1E"/>
    <w:pPr>
      <w:spacing w:before="100" w:beforeAutospacing="1" w:after="100" w:afterAutospacing="1"/>
    </w:pPr>
    <w:rPr>
      <w:rFonts w:cs="Times New Roman"/>
      <w:lang w:val="en-US" w:eastAsia="en-US" w:bidi="ar-SA"/>
    </w:rPr>
  </w:style>
  <w:style w:type="paragraph" w:customStyle="1" w:styleId="ui-resizable-e">
    <w:name w:val="ui-resizable-e"/>
    <w:basedOn w:val="Standaard"/>
    <w:uiPriority w:val="99"/>
    <w:rsid w:val="006C1C1E"/>
    <w:pPr>
      <w:spacing w:before="100" w:beforeAutospacing="1" w:after="100" w:afterAutospacing="1"/>
    </w:pPr>
    <w:rPr>
      <w:rFonts w:cs="Times New Roman"/>
      <w:lang w:val="en-US" w:eastAsia="en-US" w:bidi="ar-SA"/>
    </w:rPr>
  </w:style>
  <w:style w:type="paragraph" w:customStyle="1" w:styleId="ui-resizable-w">
    <w:name w:val="ui-resizable-w"/>
    <w:basedOn w:val="Standaard"/>
    <w:uiPriority w:val="99"/>
    <w:rsid w:val="006C1C1E"/>
    <w:pPr>
      <w:spacing w:before="100" w:beforeAutospacing="1" w:after="100" w:afterAutospacing="1"/>
    </w:pPr>
    <w:rPr>
      <w:rFonts w:cs="Times New Roman"/>
      <w:lang w:val="en-US" w:eastAsia="en-US" w:bidi="ar-SA"/>
    </w:rPr>
  </w:style>
  <w:style w:type="paragraph" w:customStyle="1" w:styleId="ui-resizable-se">
    <w:name w:val="ui-resizable-se"/>
    <w:basedOn w:val="Standaard"/>
    <w:uiPriority w:val="99"/>
    <w:rsid w:val="006C1C1E"/>
    <w:pPr>
      <w:spacing w:before="100" w:beforeAutospacing="1" w:after="100" w:afterAutospacing="1"/>
    </w:pPr>
    <w:rPr>
      <w:rFonts w:cs="Times New Roman"/>
      <w:lang w:val="en-US" w:eastAsia="en-US" w:bidi="ar-SA"/>
    </w:rPr>
  </w:style>
  <w:style w:type="paragraph" w:customStyle="1" w:styleId="ui-resizable-sw">
    <w:name w:val="ui-resizable-sw"/>
    <w:basedOn w:val="Standaard"/>
    <w:uiPriority w:val="99"/>
    <w:rsid w:val="006C1C1E"/>
    <w:pPr>
      <w:spacing w:before="100" w:beforeAutospacing="1" w:after="100" w:afterAutospacing="1"/>
    </w:pPr>
    <w:rPr>
      <w:rFonts w:cs="Times New Roman"/>
      <w:lang w:val="en-US" w:eastAsia="en-US" w:bidi="ar-SA"/>
    </w:rPr>
  </w:style>
  <w:style w:type="paragraph" w:customStyle="1" w:styleId="ui-resizable-nw">
    <w:name w:val="ui-resizable-nw"/>
    <w:basedOn w:val="Standaard"/>
    <w:uiPriority w:val="99"/>
    <w:rsid w:val="006C1C1E"/>
    <w:pPr>
      <w:spacing w:before="100" w:beforeAutospacing="1" w:after="100" w:afterAutospacing="1"/>
    </w:pPr>
    <w:rPr>
      <w:rFonts w:cs="Times New Roman"/>
      <w:lang w:val="en-US" w:eastAsia="en-US" w:bidi="ar-SA"/>
    </w:rPr>
  </w:style>
  <w:style w:type="paragraph" w:customStyle="1" w:styleId="ui-resizable-ne">
    <w:name w:val="ui-resizable-ne"/>
    <w:basedOn w:val="Standaard"/>
    <w:uiPriority w:val="99"/>
    <w:rsid w:val="006C1C1E"/>
    <w:pPr>
      <w:spacing w:before="100" w:beforeAutospacing="1" w:after="100" w:afterAutospacing="1"/>
    </w:pPr>
    <w:rPr>
      <w:rFonts w:cs="Times New Roman"/>
      <w:lang w:val="en-US" w:eastAsia="en-US" w:bidi="ar-SA"/>
    </w:rPr>
  </w:style>
  <w:style w:type="paragraph" w:customStyle="1" w:styleId="ui-slider">
    <w:name w:val="ui-slider"/>
    <w:basedOn w:val="Standaard"/>
    <w:uiPriority w:val="99"/>
    <w:rsid w:val="006C1C1E"/>
    <w:pPr>
      <w:spacing w:before="100" w:beforeAutospacing="1" w:after="100" w:afterAutospacing="1"/>
    </w:pPr>
    <w:rPr>
      <w:rFonts w:cs="Times New Roman"/>
      <w:lang w:val="en-US" w:eastAsia="en-US" w:bidi="ar-SA"/>
    </w:rPr>
  </w:style>
  <w:style w:type="paragraph" w:customStyle="1" w:styleId="ui-slider-horizontal">
    <w:name w:val="ui-slider-horizontal"/>
    <w:basedOn w:val="Standaard"/>
    <w:uiPriority w:val="99"/>
    <w:rsid w:val="006C1C1E"/>
    <w:pPr>
      <w:spacing w:before="100" w:beforeAutospacing="1" w:after="100" w:afterAutospacing="1"/>
    </w:pPr>
    <w:rPr>
      <w:rFonts w:cs="Times New Roman"/>
      <w:lang w:val="en-US" w:eastAsia="en-US" w:bidi="ar-SA"/>
    </w:rPr>
  </w:style>
  <w:style w:type="paragraph" w:customStyle="1" w:styleId="ui-slider-vertical">
    <w:name w:val="ui-slider-vertical"/>
    <w:basedOn w:val="Standaard"/>
    <w:uiPriority w:val="99"/>
    <w:rsid w:val="006C1C1E"/>
    <w:pPr>
      <w:spacing w:before="100" w:beforeAutospacing="1" w:after="100" w:afterAutospacing="1"/>
    </w:pPr>
    <w:rPr>
      <w:rFonts w:cs="Times New Roman"/>
      <w:lang w:val="en-US" w:eastAsia="en-US" w:bidi="ar-SA"/>
    </w:rPr>
  </w:style>
  <w:style w:type="paragraph" w:customStyle="1" w:styleId="ui-tabs">
    <w:name w:val="ui-tabs"/>
    <w:basedOn w:val="Standaard"/>
    <w:uiPriority w:val="99"/>
    <w:rsid w:val="006C1C1E"/>
    <w:pPr>
      <w:spacing w:before="100" w:beforeAutospacing="1" w:after="100" w:afterAutospacing="1"/>
    </w:pPr>
    <w:rPr>
      <w:rFonts w:cs="Times New Roman"/>
      <w:lang w:val="en-US" w:eastAsia="en-US" w:bidi="ar-SA"/>
    </w:rPr>
  </w:style>
  <w:style w:type="paragraph" w:customStyle="1" w:styleId="references-small">
    <w:name w:val="references-small"/>
    <w:basedOn w:val="Standaard"/>
    <w:uiPriority w:val="99"/>
    <w:rsid w:val="006C1C1E"/>
    <w:pPr>
      <w:spacing w:before="100" w:beforeAutospacing="1" w:after="100" w:afterAutospacing="1"/>
    </w:pPr>
    <w:rPr>
      <w:rFonts w:cs="Times New Roman"/>
      <w:sz w:val="22"/>
      <w:szCs w:val="22"/>
      <w:lang w:val="en-US" w:eastAsia="en-US" w:bidi="ar-SA"/>
    </w:rPr>
  </w:style>
  <w:style w:type="paragraph" w:customStyle="1" w:styleId="navbox-title">
    <w:name w:val="navbox-title"/>
    <w:basedOn w:val="Standaard"/>
    <w:uiPriority w:val="99"/>
    <w:rsid w:val="006C1C1E"/>
    <w:pPr>
      <w:shd w:val="clear" w:color="auto" w:fill="CCCCFF"/>
      <w:spacing w:before="100" w:beforeAutospacing="1" w:after="100" w:afterAutospacing="1"/>
      <w:jc w:val="center"/>
    </w:pPr>
    <w:rPr>
      <w:rFonts w:cs="Times New Roman"/>
      <w:lang w:val="en-US" w:eastAsia="en-US" w:bidi="ar-SA"/>
    </w:rPr>
  </w:style>
  <w:style w:type="paragraph" w:customStyle="1" w:styleId="navbox-abovebelow">
    <w:name w:val="navbox-abovebelow"/>
    <w:basedOn w:val="Standaard"/>
    <w:uiPriority w:val="99"/>
    <w:rsid w:val="006C1C1E"/>
    <w:pPr>
      <w:shd w:val="clear" w:color="auto" w:fill="DDDDFF"/>
      <w:spacing w:before="100" w:beforeAutospacing="1" w:after="100" w:afterAutospacing="1"/>
      <w:jc w:val="center"/>
    </w:pPr>
    <w:rPr>
      <w:rFonts w:cs="Times New Roman"/>
      <w:lang w:val="en-US" w:eastAsia="en-US" w:bidi="ar-SA"/>
    </w:rPr>
  </w:style>
  <w:style w:type="paragraph" w:customStyle="1" w:styleId="navbox-group">
    <w:name w:val="navbox-group"/>
    <w:basedOn w:val="Standaard"/>
    <w:uiPriority w:val="99"/>
    <w:rsid w:val="006C1C1E"/>
    <w:pPr>
      <w:shd w:val="clear" w:color="auto" w:fill="DDDDFF"/>
      <w:spacing w:before="100" w:beforeAutospacing="1" w:after="100" w:afterAutospacing="1"/>
      <w:jc w:val="right"/>
    </w:pPr>
    <w:rPr>
      <w:rFonts w:cs="Times New Roman"/>
      <w:b/>
      <w:bCs/>
      <w:lang w:val="en-US" w:eastAsia="en-US" w:bidi="ar-SA"/>
    </w:rPr>
  </w:style>
  <w:style w:type="paragraph" w:customStyle="1" w:styleId="navbox">
    <w:name w:val="navbox"/>
    <w:basedOn w:val="Standaard"/>
    <w:uiPriority w:val="99"/>
    <w:rsid w:val="006C1C1E"/>
    <w:pPr>
      <w:shd w:val="clear" w:color="auto" w:fill="FDFDFD"/>
      <w:spacing w:before="100" w:beforeAutospacing="1" w:after="100" w:afterAutospacing="1"/>
    </w:pPr>
    <w:rPr>
      <w:rFonts w:cs="Times New Roman"/>
      <w:lang w:val="en-US" w:eastAsia="en-US" w:bidi="ar-SA"/>
    </w:rPr>
  </w:style>
  <w:style w:type="paragraph" w:customStyle="1" w:styleId="navbox-subgroup">
    <w:name w:val="navbox-subgroup"/>
    <w:basedOn w:val="Standaard"/>
    <w:uiPriority w:val="99"/>
    <w:rsid w:val="006C1C1E"/>
    <w:pPr>
      <w:shd w:val="clear" w:color="auto" w:fill="FDFDFD"/>
      <w:spacing w:before="100" w:beforeAutospacing="1" w:after="100" w:afterAutospacing="1"/>
    </w:pPr>
    <w:rPr>
      <w:rFonts w:cs="Times New Roman"/>
      <w:lang w:val="en-US" w:eastAsia="en-US" w:bidi="ar-SA"/>
    </w:rPr>
  </w:style>
  <w:style w:type="paragraph" w:customStyle="1" w:styleId="navbox-list">
    <w:name w:val="navbox-list"/>
    <w:basedOn w:val="Standaard"/>
    <w:uiPriority w:val="99"/>
    <w:rsid w:val="006C1C1E"/>
    <w:pPr>
      <w:spacing w:before="100" w:beforeAutospacing="1" w:after="100" w:afterAutospacing="1"/>
    </w:pPr>
    <w:rPr>
      <w:rFonts w:cs="Times New Roman"/>
      <w:lang w:val="en-US" w:eastAsia="en-US" w:bidi="ar-SA"/>
    </w:rPr>
  </w:style>
  <w:style w:type="paragraph" w:customStyle="1" w:styleId="navbox-even">
    <w:name w:val="navbox-even"/>
    <w:basedOn w:val="Standaard"/>
    <w:uiPriority w:val="99"/>
    <w:rsid w:val="006C1C1E"/>
    <w:pPr>
      <w:shd w:val="clear" w:color="auto" w:fill="F7F7F7"/>
      <w:spacing w:before="100" w:beforeAutospacing="1" w:after="100" w:afterAutospacing="1"/>
    </w:pPr>
    <w:rPr>
      <w:rFonts w:cs="Times New Roman"/>
      <w:lang w:val="en-US" w:eastAsia="en-US" w:bidi="ar-SA"/>
    </w:rPr>
  </w:style>
  <w:style w:type="paragraph" w:customStyle="1" w:styleId="navbox-odd">
    <w:name w:val="navbox-odd"/>
    <w:basedOn w:val="Standaard"/>
    <w:uiPriority w:val="99"/>
    <w:rsid w:val="006C1C1E"/>
    <w:pPr>
      <w:spacing w:before="100" w:beforeAutospacing="1" w:after="100" w:afterAutospacing="1"/>
    </w:pPr>
    <w:rPr>
      <w:rFonts w:cs="Times New Roman"/>
      <w:lang w:val="en-US" w:eastAsia="en-US" w:bidi="ar-SA"/>
    </w:rPr>
  </w:style>
  <w:style w:type="paragraph" w:customStyle="1" w:styleId="collapsebutton">
    <w:name w:val="collapsebutton"/>
    <w:basedOn w:val="Standaard"/>
    <w:uiPriority w:val="99"/>
    <w:rsid w:val="006C1C1E"/>
    <w:pPr>
      <w:spacing w:before="100" w:beforeAutospacing="1" w:after="100" w:afterAutospacing="1"/>
      <w:jc w:val="right"/>
    </w:pPr>
    <w:rPr>
      <w:rFonts w:cs="Times New Roman"/>
      <w:lang w:val="en-US" w:eastAsia="en-US" w:bidi="ar-SA"/>
    </w:rPr>
  </w:style>
  <w:style w:type="paragraph" w:customStyle="1" w:styleId="infobox">
    <w:name w:val="infobox"/>
    <w:basedOn w:val="Standaard"/>
    <w:uiPriority w:val="99"/>
    <w:rsid w:val="006C1C1E"/>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rFonts w:cs="Times New Roman"/>
      <w:color w:val="000000"/>
      <w:lang w:val="en-US" w:eastAsia="en-US" w:bidi="ar-SA"/>
    </w:rPr>
  </w:style>
  <w:style w:type="paragraph" w:customStyle="1" w:styleId="redirect-in-category">
    <w:name w:val="redirect-in-category"/>
    <w:basedOn w:val="Standaard"/>
    <w:uiPriority w:val="99"/>
    <w:rsid w:val="006C1C1E"/>
    <w:pPr>
      <w:spacing w:before="100" w:beforeAutospacing="1" w:after="100" w:afterAutospacing="1"/>
    </w:pPr>
    <w:rPr>
      <w:rFonts w:cs="Times New Roman"/>
      <w:i/>
      <w:iCs/>
      <w:lang w:val="en-US" w:eastAsia="en-US" w:bidi="ar-SA"/>
    </w:rPr>
  </w:style>
  <w:style w:type="paragraph" w:customStyle="1" w:styleId="allpagesredirect">
    <w:name w:val="allpagesredirect"/>
    <w:basedOn w:val="Standaard"/>
    <w:uiPriority w:val="99"/>
    <w:rsid w:val="006C1C1E"/>
    <w:pPr>
      <w:spacing w:before="100" w:beforeAutospacing="1" w:after="100" w:afterAutospacing="1"/>
    </w:pPr>
    <w:rPr>
      <w:rFonts w:cs="Times New Roman"/>
      <w:i/>
      <w:iCs/>
      <w:lang w:val="en-US" w:eastAsia="en-US" w:bidi="ar-SA"/>
    </w:rPr>
  </w:style>
  <w:style w:type="paragraph" w:customStyle="1" w:styleId="messagebox">
    <w:name w:val="messagebox"/>
    <w:basedOn w:val="Standaard"/>
    <w:uiPriority w:val="99"/>
    <w:rsid w:val="006C1C1E"/>
    <w:pPr>
      <w:pBdr>
        <w:top w:val="single" w:sz="6" w:space="2" w:color="AAAAAA"/>
        <w:left w:val="single" w:sz="6" w:space="2" w:color="AAAAAA"/>
        <w:bottom w:val="single" w:sz="6" w:space="2" w:color="AAAAAA"/>
        <w:right w:val="single" w:sz="6" w:space="2" w:color="AAAAAA"/>
      </w:pBdr>
      <w:shd w:val="clear" w:color="auto" w:fill="F9F9F9"/>
      <w:spacing w:after="240"/>
    </w:pPr>
    <w:rPr>
      <w:rFonts w:cs="Times New Roman"/>
      <w:lang w:val="en-US" w:eastAsia="en-US" w:bidi="ar-SA"/>
    </w:rPr>
  </w:style>
  <w:style w:type="paragraph" w:customStyle="1" w:styleId="ipa">
    <w:name w:val="ipa"/>
    <w:basedOn w:val="Standaard"/>
    <w:uiPriority w:val="99"/>
    <w:rsid w:val="006C1C1E"/>
    <w:pPr>
      <w:spacing w:before="100" w:beforeAutospacing="1" w:after="100" w:afterAutospacing="1"/>
    </w:pPr>
    <w:rPr>
      <w:rFonts w:ascii="Arial Unicode MS" w:eastAsia="Arial Unicode MS" w:hAnsi="Arial Unicode MS" w:cs="Arial Unicode MS"/>
      <w:lang w:val="en-US" w:eastAsia="en-US" w:bidi="ar-SA"/>
    </w:rPr>
  </w:style>
  <w:style w:type="paragraph" w:customStyle="1" w:styleId="unicode">
    <w:name w:val="unicode"/>
    <w:basedOn w:val="Standaard"/>
    <w:uiPriority w:val="99"/>
    <w:rsid w:val="006C1C1E"/>
    <w:pPr>
      <w:spacing w:before="100" w:beforeAutospacing="1" w:after="100" w:afterAutospacing="1"/>
    </w:pPr>
    <w:rPr>
      <w:rFonts w:ascii="inherit" w:hAnsi="inherit" w:cs="Times New Roman"/>
      <w:lang w:val="en-US" w:eastAsia="en-US" w:bidi="ar-SA"/>
    </w:rPr>
  </w:style>
  <w:style w:type="paragraph" w:customStyle="1" w:styleId="polytonic">
    <w:name w:val="polytonic"/>
    <w:basedOn w:val="Standaard"/>
    <w:uiPriority w:val="99"/>
    <w:rsid w:val="006C1C1E"/>
    <w:pPr>
      <w:spacing w:before="100" w:beforeAutospacing="1" w:after="100" w:afterAutospacing="1"/>
    </w:pPr>
    <w:rPr>
      <w:rFonts w:ascii="inherit" w:hAnsi="inherit" w:cs="Times New Roman"/>
      <w:lang w:val="en-US" w:eastAsia="en-US" w:bidi="ar-SA"/>
    </w:rPr>
  </w:style>
  <w:style w:type="paragraph" w:customStyle="1" w:styleId="hiddenstructure">
    <w:name w:val="hiddenstructure"/>
    <w:basedOn w:val="Standaard"/>
    <w:uiPriority w:val="99"/>
    <w:rsid w:val="006C1C1E"/>
    <w:pPr>
      <w:shd w:val="clear" w:color="auto" w:fill="00FF00"/>
      <w:spacing w:before="100" w:beforeAutospacing="1" w:after="100" w:afterAutospacing="1"/>
    </w:pPr>
    <w:rPr>
      <w:rFonts w:cs="Times New Roman"/>
      <w:color w:val="FF0000"/>
      <w:lang w:val="en-US" w:eastAsia="en-US" w:bidi="ar-SA"/>
    </w:rPr>
  </w:style>
  <w:style w:type="paragraph" w:customStyle="1" w:styleId="rellink">
    <w:name w:val="rellink"/>
    <w:basedOn w:val="Standaard"/>
    <w:uiPriority w:val="99"/>
    <w:rsid w:val="006C1C1E"/>
    <w:pPr>
      <w:spacing w:before="100" w:beforeAutospacing="1" w:after="120"/>
    </w:pPr>
    <w:rPr>
      <w:rFonts w:cs="Times New Roman"/>
      <w:i/>
      <w:iCs/>
      <w:lang w:val="en-US" w:eastAsia="en-US" w:bidi="ar-SA"/>
    </w:rPr>
  </w:style>
  <w:style w:type="paragraph" w:customStyle="1" w:styleId="dablink">
    <w:name w:val="dablink"/>
    <w:basedOn w:val="Standaard"/>
    <w:uiPriority w:val="99"/>
    <w:rsid w:val="006C1C1E"/>
    <w:pPr>
      <w:spacing w:before="100" w:beforeAutospacing="1" w:after="120"/>
    </w:pPr>
    <w:rPr>
      <w:rFonts w:cs="Times New Roman"/>
      <w:i/>
      <w:iCs/>
      <w:lang w:val="en-US" w:eastAsia="en-US" w:bidi="ar-SA"/>
    </w:rPr>
  </w:style>
  <w:style w:type="paragraph" w:customStyle="1" w:styleId="geo-default">
    <w:name w:val="geo-default"/>
    <w:basedOn w:val="Standaard"/>
    <w:uiPriority w:val="99"/>
    <w:rsid w:val="006C1C1E"/>
    <w:pPr>
      <w:spacing w:before="100" w:beforeAutospacing="1" w:after="100" w:afterAutospacing="1"/>
    </w:pPr>
    <w:rPr>
      <w:rFonts w:cs="Times New Roman"/>
      <w:lang w:val="en-US" w:eastAsia="en-US" w:bidi="ar-SA"/>
    </w:rPr>
  </w:style>
  <w:style w:type="paragraph" w:customStyle="1" w:styleId="geo-dms">
    <w:name w:val="geo-dms"/>
    <w:basedOn w:val="Standaard"/>
    <w:uiPriority w:val="99"/>
    <w:rsid w:val="006C1C1E"/>
    <w:pPr>
      <w:spacing w:before="100" w:beforeAutospacing="1" w:after="100" w:afterAutospacing="1"/>
    </w:pPr>
    <w:rPr>
      <w:rFonts w:cs="Times New Roman"/>
      <w:lang w:val="en-US" w:eastAsia="en-US" w:bidi="ar-SA"/>
    </w:rPr>
  </w:style>
  <w:style w:type="paragraph" w:customStyle="1" w:styleId="geo-dec">
    <w:name w:val="geo-dec"/>
    <w:basedOn w:val="Standaard"/>
    <w:uiPriority w:val="99"/>
    <w:rsid w:val="006C1C1E"/>
    <w:pPr>
      <w:spacing w:before="100" w:beforeAutospacing="1" w:after="100" w:afterAutospacing="1"/>
    </w:pPr>
    <w:rPr>
      <w:rFonts w:cs="Times New Roman"/>
      <w:lang w:val="en-US" w:eastAsia="en-US" w:bidi="ar-SA"/>
    </w:rPr>
  </w:style>
  <w:style w:type="paragraph" w:customStyle="1" w:styleId="geo-nondefault">
    <w:name w:val="geo-nondefault"/>
    <w:basedOn w:val="Standaard"/>
    <w:uiPriority w:val="99"/>
    <w:rsid w:val="006C1C1E"/>
    <w:pPr>
      <w:spacing w:before="100" w:beforeAutospacing="1" w:after="100" w:afterAutospacing="1"/>
    </w:pPr>
    <w:rPr>
      <w:rFonts w:cs="Times New Roman"/>
      <w:vanish/>
      <w:lang w:val="en-US" w:eastAsia="en-US" w:bidi="ar-SA"/>
    </w:rPr>
  </w:style>
  <w:style w:type="paragraph" w:customStyle="1" w:styleId="geo-multi-punct">
    <w:name w:val="geo-multi-punct"/>
    <w:basedOn w:val="Standaard"/>
    <w:uiPriority w:val="99"/>
    <w:rsid w:val="006C1C1E"/>
    <w:pPr>
      <w:spacing w:before="100" w:beforeAutospacing="1" w:after="100" w:afterAutospacing="1"/>
    </w:pPr>
    <w:rPr>
      <w:rFonts w:cs="Times New Roman"/>
      <w:vanish/>
      <w:lang w:val="en-US" w:eastAsia="en-US" w:bidi="ar-SA"/>
    </w:rPr>
  </w:style>
  <w:style w:type="paragraph" w:customStyle="1" w:styleId="longitude">
    <w:name w:val="longitude"/>
    <w:basedOn w:val="Standaard"/>
    <w:uiPriority w:val="99"/>
    <w:rsid w:val="006C1C1E"/>
    <w:pPr>
      <w:spacing w:before="100" w:beforeAutospacing="1" w:after="100" w:afterAutospacing="1"/>
    </w:pPr>
    <w:rPr>
      <w:rFonts w:cs="Times New Roman"/>
      <w:lang w:val="en-US" w:eastAsia="en-US" w:bidi="ar-SA"/>
    </w:rPr>
  </w:style>
  <w:style w:type="paragraph" w:customStyle="1" w:styleId="latitude">
    <w:name w:val="latitude"/>
    <w:basedOn w:val="Standaard"/>
    <w:uiPriority w:val="99"/>
    <w:rsid w:val="006C1C1E"/>
    <w:pPr>
      <w:spacing w:before="100" w:beforeAutospacing="1" w:after="100" w:afterAutospacing="1"/>
    </w:pPr>
    <w:rPr>
      <w:rFonts w:cs="Times New Roman"/>
      <w:lang w:val="en-US" w:eastAsia="en-US" w:bidi="ar-SA"/>
    </w:rPr>
  </w:style>
  <w:style w:type="paragraph" w:customStyle="1" w:styleId="template-documentation">
    <w:name w:val="template-documentation"/>
    <w:basedOn w:val="Standaard"/>
    <w:uiPriority w:val="99"/>
    <w:rsid w:val="006C1C1E"/>
    <w:pPr>
      <w:pBdr>
        <w:top w:val="single" w:sz="6" w:space="12" w:color="AAAAAA"/>
        <w:left w:val="single" w:sz="6" w:space="12" w:color="AAAAAA"/>
        <w:bottom w:val="single" w:sz="6" w:space="12" w:color="AAAAAA"/>
        <w:right w:val="single" w:sz="6" w:space="12" w:color="AAAAAA"/>
      </w:pBdr>
      <w:shd w:val="clear" w:color="auto" w:fill="ECFCF4"/>
      <w:spacing w:before="240"/>
    </w:pPr>
    <w:rPr>
      <w:rFonts w:cs="Times New Roman"/>
      <w:lang w:val="en-US" w:eastAsia="en-US" w:bidi="ar-SA"/>
    </w:rPr>
  </w:style>
  <w:style w:type="paragraph" w:customStyle="1" w:styleId="mw-tag-markers">
    <w:name w:val="mw-tag-markers"/>
    <w:basedOn w:val="Standaard"/>
    <w:uiPriority w:val="99"/>
    <w:rsid w:val="006C1C1E"/>
    <w:pPr>
      <w:spacing w:before="100" w:beforeAutospacing="1" w:after="100" w:afterAutospacing="1"/>
    </w:pPr>
    <w:rPr>
      <w:rFonts w:ascii="Arial" w:hAnsi="Arial" w:cs="Arial"/>
      <w:i/>
      <w:iCs/>
      <w:sz w:val="22"/>
      <w:szCs w:val="22"/>
      <w:lang w:val="en-US" w:eastAsia="en-US" w:bidi="ar-SA"/>
    </w:rPr>
  </w:style>
  <w:style w:type="paragraph" w:customStyle="1" w:styleId="texhtml">
    <w:name w:val="texhtml"/>
    <w:basedOn w:val="Standaard"/>
    <w:uiPriority w:val="99"/>
    <w:rsid w:val="006C1C1E"/>
    <w:pPr>
      <w:spacing w:before="100" w:beforeAutospacing="1" w:after="100" w:afterAutospacing="1" w:line="360" w:lineRule="atLeast"/>
    </w:pPr>
    <w:rPr>
      <w:rFonts w:cs="Times New Roman"/>
      <w:sz w:val="30"/>
      <w:szCs w:val="30"/>
      <w:lang w:val="en-US" w:eastAsia="en-US" w:bidi="ar-SA"/>
    </w:rPr>
  </w:style>
  <w:style w:type="paragraph" w:customStyle="1" w:styleId="special-label">
    <w:name w:val="special-label"/>
    <w:basedOn w:val="Standaard"/>
    <w:uiPriority w:val="99"/>
    <w:rsid w:val="006C1C1E"/>
    <w:pPr>
      <w:spacing w:before="100" w:beforeAutospacing="1" w:after="100" w:afterAutospacing="1"/>
    </w:pPr>
    <w:rPr>
      <w:rFonts w:cs="Times New Roman"/>
      <w:lang w:val="en-US" w:eastAsia="en-US" w:bidi="ar-SA"/>
    </w:rPr>
  </w:style>
  <w:style w:type="paragraph" w:customStyle="1" w:styleId="special-query">
    <w:name w:val="special-query"/>
    <w:basedOn w:val="Standaard"/>
    <w:uiPriority w:val="99"/>
    <w:rsid w:val="006C1C1E"/>
    <w:pPr>
      <w:spacing w:before="100" w:beforeAutospacing="1" w:after="100" w:afterAutospacing="1"/>
    </w:pPr>
    <w:rPr>
      <w:rFonts w:cs="Times New Roman"/>
      <w:lang w:val="en-US" w:eastAsia="en-US" w:bidi="ar-SA"/>
    </w:rPr>
  </w:style>
  <w:style w:type="paragraph" w:customStyle="1" w:styleId="special-hover">
    <w:name w:val="special-hover"/>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text">
    <w:name w:val="wikieditor-ui-text"/>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top">
    <w:name w:val="wikieditor-ui-top"/>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left">
    <w:name w:val="wikieditor-ui-left"/>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right">
    <w:name w:val="wikieditor-ui-right"/>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bar-close">
    <w:name w:val="ui-dialog-titlebar-close"/>
    <w:basedOn w:val="Standaard"/>
    <w:uiPriority w:val="99"/>
    <w:rsid w:val="006C1C1E"/>
    <w:pPr>
      <w:spacing w:before="100" w:beforeAutospacing="1" w:after="100" w:afterAutospacing="1"/>
    </w:pPr>
    <w:rPr>
      <w:rFonts w:cs="Times New Roman"/>
      <w:lang w:val="en-US" w:eastAsia="en-US" w:bidi="ar-SA"/>
    </w:rPr>
  </w:style>
  <w:style w:type="paragraph" w:customStyle="1" w:styleId="wikieditor-template-dialog-field-wrapper">
    <w:name w:val="wikieditor-template-dialog-field-wrapper"/>
    <w:basedOn w:val="Standaard"/>
    <w:uiPriority w:val="99"/>
    <w:rsid w:val="006C1C1E"/>
    <w:pPr>
      <w:spacing w:before="100" w:beforeAutospacing="1" w:after="100" w:afterAutospacing="1"/>
    </w:pPr>
    <w:rPr>
      <w:rFonts w:cs="Times New Roman"/>
      <w:lang w:val="en-US" w:eastAsia="en-US" w:bidi="ar-SA"/>
    </w:rPr>
  </w:style>
  <w:style w:type="paragraph" w:customStyle="1" w:styleId="sections">
    <w:name w:val="sections"/>
    <w:basedOn w:val="Standaard"/>
    <w:uiPriority w:val="99"/>
    <w:rsid w:val="006C1C1E"/>
    <w:pPr>
      <w:spacing w:before="100" w:beforeAutospacing="1" w:after="100" w:afterAutospacing="1"/>
    </w:pPr>
    <w:rPr>
      <w:rFonts w:cs="Times New Roman"/>
      <w:lang w:val="en-US" w:eastAsia="en-US" w:bidi="ar-SA"/>
    </w:rPr>
  </w:style>
  <w:style w:type="paragraph" w:customStyle="1" w:styleId="tabs">
    <w:name w:val="tabs"/>
    <w:basedOn w:val="Standaard"/>
    <w:uiPriority w:val="99"/>
    <w:rsid w:val="006C1C1E"/>
    <w:pPr>
      <w:spacing w:before="100" w:beforeAutospacing="1" w:after="100" w:afterAutospacing="1"/>
    </w:pPr>
    <w:rPr>
      <w:rFonts w:cs="Times New Roman"/>
      <w:lang w:val="en-US" w:eastAsia="en-US" w:bidi="ar-SA"/>
    </w:rPr>
  </w:style>
  <w:style w:type="paragraph" w:customStyle="1" w:styleId="section-main">
    <w:name w:val="section-main"/>
    <w:basedOn w:val="Standaard"/>
    <w:uiPriority w:val="99"/>
    <w:rsid w:val="006C1C1E"/>
    <w:pPr>
      <w:spacing w:before="100" w:beforeAutospacing="1" w:after="100" w:afterAutospacing="1"/>
    </w:pPr>
    <w:rPr>
      <w:rFonts w:cs="Times New Roman"/>
      <w:lang w:val="en-US" w:eastAsia="en-US" w:bidi="ar-SA"/>
    </w:rPr>
  </w:style>
  <w:style w:type="paragraph" w:customStyle="1" w:styleId="group">
    <w:name w:val="group"/>
    <w:basedOn w:val="Standaard"/>
    <w:uiPriority w:val="99"/>
    <w:rsid w:val="006C1C1E"/>
    <w:pPr>
      <w:spacing w:before="100" w:beforeAutospacing="1" w:after="100" w:afterAutospacing="1"/>
    </w:pPr>
    <w:rPr>
      <w:rFonts w:cs="Times New Roman"/>
      <w:lang w:val="en-US" w:eastAsia="en-US" w:bidi="ar-SA"/>
    </w:rPr>
  </w:style>
  <w:style w:type="paragraph" w:customStyle="1" w:styleId="group-search">
    <w:name w:val="group-search"/>
    <w:basedOn w:val="Standaard"/>
    <w:uiPriority w:val="99"/>
    <w:rsid w:val="006C1C1E"/>
    <w:pPr>
      <w:spacing w:before="100" w:beforeAutospacing="1" w:after="100" w:afterAutospacing="1"/>
    </w:pPr>
    <w:rPr>
      <w:rFonts w:cs="Times New Roman"/>
      <w:lang w:val="en-US" w:eastAsia="en-US" w:bidi="ar-SA"/>
    </w:rPr>
  </w:style>
  <w:style w:type="paragraph" w:customStyle="1" w:styleId="group-insert">
    <w:name w:val="group-insert"/>
    <w:basedOn w:val="Standaard"/>
    <w:uiPriority w:val="99"/>
    <w:rsid w:val="006C1C1E"/>
    <w:pPr>
      <w:spacing w:before="100" w:beforeAutospacing="1" w:after="100" w:afterAutospacing="1"/>
    </w:pPr>
    <w:rPr>
      <w:rFonts w:cs="Times New Roman"/>
      <w:lang w:val="en-US" w:eastAsia="en-US" w:bidi="ar-SA"/>
    </w:rPr>
  </w:style>
  <w:style w:type="paragraph" w:customStyle="1" w:styleId="ui-accordion-header">
    <w:name w:val="ui-accordion-header"/>
    <w:basedOn w:val="Standaard"/>
    <w:uiPriority w:val="99"/>
    <w:rsid w:val="006C1C1E"/>
    <w:pPr>
      <w:spacing w:before="100" w:beforeAutospacing="1" w:after="100" w:afterAutospacing="1"/>
    </w:pPr>
    <w:rPr>
      <w:rFonts w:cs="Times New Roman"/>
      <w:lang w:val="en-US" w:eastAsia="en-US" w:bidi="ar-SA"/>
    </w:rPr>
  </w:style>
  <w:style w:type="paragraph" w:customStyle="1" w:styleId="ui-accordion-li-fix">
    <w:name w:val="ui-accordion-li-fix"/>
    <w:basedOn w:val="Standaard"/>
    <w:uiPriority w:val="99"/>
    <w:rsid w:val="006C1C1E"/>
    <w:pPr>
      <w:spacing w:before="100" w:beforeAutospacing="1" w:after="100" w:afterAutospacing="1"/>
    </w:pPr>
    <w:rPr>
      <w:rFonts w:cs="Times New Roman"/>
      <w:lang w:val="en-US" w:eastAsia="en-US" w:bidi="ar-SA"/>
    </w:rPr>
  </w:style>
  <w:style w:type="paragraph" w:customStyle="1" w:styleId="ui-accordion-content">
    <w:name w:val="ui-accordion-content"/>
    <w:basedOn w:val="Standaard"/>
    <w:uiPriority w:val="99"/>
    <w:rsid w:val="006C1C1E"/>
    <w:pPr>
      <w:spacing w:before="100" w:beforeAutospacing="1" w:after="100" w:afterAutospacing="1"/>
    </w:pPr>
    <w:rPr>
      <w:rFonts w:cs="Times New Roman"/>
      <w:lang w:val="en-US" w:eastAsia="en-US" w:bidi="ar-SA"/>
    </w:rPr>
  </w:style>
  <w:style w:type="paragraph" w:customStyle="1" w:styleId="ui-accordion-content-active">
    <w:name w:val="ui-accordion-content-active"/>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
    <w:name w:val="ui-datepicker-header"/>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prev">
    <w:name w:val="ui-datepicker-prev"/>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next">
    <w:name w:val="ui-datepicker-next"/>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title">
    <w:name w:val="ui-datepicker-title"/>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buttonpane">
    <w:name w:val="ui-datepicker-buttonpane"/>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group">
    <w:name w:val="ui-datepicker-group"/>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bar">
    <w:name w:val="ui-dialog-titlebar"/>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
    <w:name w:val="ui-dialog-title"/>
    <w:basedOn w:val="Standaard"/>
    <w:uiPriority w:val="99"/>
    <w:rsid w:val="006C1C1E"/>
    <w:pPr>
      <w:spacing w:before="100" w:beforeAutospacing="1" w:after="100" w:afterAutospacing="1"/>
    </w:pPr>
    <w:rPr>
      <w:rFonts w:cs="Times New Roman"/>
      <w:lang w:val="en-US" w:eastAsia="en-US" w:bidi="ar-SA"/>
    </w:rPr>
  </w:style>
  <w:style w:type="paragraph" w:customStyle="1" w:styleId="ui-dialog-content">
    <w:name w:val="ui-dialog-content"/>
    <w:basedOn w:val="Standaard"/>
    <w:uiPriority w:val="99"/>
    <w:rsid w:val="006C1C1E"/>
    <w:pPr>
      <w:spacing w:before="100" w:beforeAutospacing="1" w:after="100" w:afterAutospacing="1"/>
    </w:pPr>
    <w:rPr>
      <w:rFonts w:cs="Times New Roman"/>
      <w:lang w:val="en-US" w:eastAsia="en-US" w:bidi="ar-SA"/>
    </w:rPr>
  </w:style>
  <w:style w:type="paragraph" w:customStyle="1" w:styleId="ui-dialog-buttonpane">
    <w:name w:val="ui-dialog-buttonpane"/>
    <w:basedOn w:val="Standaard"/>
    <w:uiPriority w:val="99"/>
    <w:rsid w:val="006C1C1E"/>
    <w:pPr>
      <w:spacing w:before="100" w:beforeAutospacing="1" w:after="100" w:afterAutospacing="1"/>
    </w:pPr>
    <w:rPr>
      <w:rFonts w:cs="Times New Roman"/>
      <w:lang w:val="en-US" w:eastAsia="en-US" w:bidi="ar-SA"/>
    </w:rPr>
  </w:style>
  <w:style w:type="paragraph" w:customStyle="1" w:styleId="ui-progressbar-value">
    <w:name w:val="ui-progressbar-value"/>
    <w:basedOn w:val="Standaard"/>
    <w:uiPriority w:val="99"/>
    <w:rsid w:val="006C1C1E"/>
    <w:pPr>
      <w:spacing w:before="100" w:beforeAutospacing="1" w:after="100" w:afterAutospacing="1"/>
    </w:pPr>
    <w:rPr>
      <w:rFonts w:cs="Times New Roman"/>
      <w:lang w:val="en-US" w:eastAsia="en-US" w:bidi="ar-SA"/>
    </w:rPr>
  </w:style>
  <w:style w:type="paragraph" w:customStyle="1" w:styleId="ui-slider-handle">
    <w:name w:val="ui-slider-handle"/>
    <w:basedOn w:val="Standaard"/>
    <w:uiPriority w:val="99"/>
    <w:rsid w:val="006C1C1E"/>
    <w:pPr>
      <w:spacing w:before="100" w:beforeAutospacing="1" w:after="100" w:afterAutospacing="1"/>
    </w:pPr>
    <w:rPr>
      <w:rFonts w:cs="Times New Roman"/>
      <w:lang w:val="en-US" w:eastAsia="en-US" w:bidi="ar-SA"/>
    </w:rPr>
  </w:style>
  <w:style w:type="paragraph" w:customStyle="1" w:styleId="ui-slider-range">
    <w:name w:val="ui-slider-range"/>
    <w:basedOn w:val="Standaard"/>
    <w:uiPriority w:val="99"/>
    <w:rsid w:val="006C1C1E"/>
    <w:pPr>
      <w:spacing w:before="100" w:beforeAutospacing="1" w:after="100" w:afterAutospacing="1"/>
    </w:pPr>
    <w:rPr>
      <w:rFonts w:cs="Times New Roman"/>
      <w:lang w:val="en-US" w:eastAsia="en-US" w:bidi="ar-SA"/>
    </w:rPr>
  </w:style>
  <w:style w:type="paragraph" w:customStyle="1" w:styleId="ui-tabs-nav">
    <w:name w:val="ui-tabs-nav"/>
    <w:basedOn w:val="Standaard"/>
    <w:uiPriority w:val="99"/>
    <w:rsid w:val="006C1C1E"/>
    <w:pPr>
      <w:spacing w:before="100" w:beforeAutospacing="1" w:after="100" w:afterAutospacing="1"/>
    </w:pPr>
    <w:rPr>
      <w:rFonts w:cs="Times New Roman"/>
      <w:lang w:val="en-US" w:eastAsia="en-US" w:bidi="ar-SA"/>
    </w:rPr>
  </w:style>
  <w:style w:type="paragraph" w:customStyle="1" w:styleId="ui-tabs-panel">
    <w:name w:val="ui-tabs-panel"/>
    <w:basedOn w:val="Standaard"/>
    <w:uiPriority w:val="99"/>
    <w:rsid w:val="006C1C1E"/>
    <w:pPr>
      <w:spacing w:before="100" w:beforeAutospacing="1" w:after="100" w:afterAutospacing="1"/>
    </w:pPr>
    <w:rPr>
      <w:rFonts w:cs="Times New Roman"/>
      <w:lang w:val="en-US" w:eastAsia="en-US" w:bidi="ar-SA"/>
    </w:rPr>
  </w:style>
  <w:style w:type="paragraph" w:customStyle="1" w:styleId="imbox">
    <w:name w:val="imbox"/>
    <w:basedOn w:val="Standaard"/>
    <w:uiPriority w:val="99"/>
    <w:rsid w:val="006C1C1E"/>
    <w:pPr>
      <w:spacing w:before="100" w:beforeAutospacing="1" w:after="100" w:afterAutospacing="1"/>
    </w:pPr>
    <w:rPr>
      <w:rFonts w:cs="Times New Roman"/>
      <w:lang w:val="en-US" w:eastAsia="en-US" w:bidi="ar-SA"/>
    </w:rPr>
  </w:style>
  <w:style w:type="paragraph" w:customStyle="1" w:styleId="tocnumber">
    <w:name w:val="tocnumber"/>
    <w:basedOn w:val="Standaard"/>
    <w:uiPriority w:val="99"/>
    <w:rsid w:val="006C1C1E"/>
    <w:pPr>
      <w:spacing w:before="100" w:beforeAutospacing="1" w:after="100" w:afterAutospacing="1"/>
    </w:pPr>
    <w:rPr>
      <w:rFonts w:cs="Times New Roman"/>
      <w:lang w:val="en-US" w:eastAsia="en-US" w:bidi="ar-SA"/>
    </w:rPr>
  </w:style>
  <w:style w:type="paragraph" w:customStyle="1" w:styleId="selflink">
    <w:name w:val="selflink"/>
    <w:basedOn w:val="Standaard"/>
    <w:uiPriority w:val="99"/>
    <w:rsid w:val="006C1C1E"/>
    <w:pPr>
      <w:spacing w:before="100" w:beforeAutospacing="1" w:after="100" w:afterAutospacing="1"/>
    </w:pPr>
    <w:rPr>
      <w:rFonts w:cs="Times New Roman"/>
      <w:lang w:val="en-US" w:eastAsia="en-US" w:bidi="ar-SA"/>
    </w:rPr>
  </w:style>
  <w:style w:type="paragraph" w:customStyle="1" w:styleId="wpb-header">
    <w:name w:val="wpb-header"/>
    <w:basedOn w:val="Standaard"/>
    <w:uiPriority w:val="99"/>
    <w:rsid w:val="006C1C1E"/>
    <w:pPr>
      <w:spacing w:before="100" w:beforeAutospacing="1" w:after="100" w:afterAutospacing="1"/>
    </w:pPr>
    <w:rPr>
      <w:rFonts w:cs="Times New Roman"/>
      <w:lang w:val="en-US" w:eastAsia="en-US" w:bidi="ar-SA"/>
    </w:rPr>
  </w:style>
  <w:style w:type="paragraph" w:customStyle="1" w:styleId="wpb-outside">
    <w:name w:val="wpb-outside"/>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frame">
    <w:name w:val="wikieditor-toolbar-table-preview-frame"/>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content">
    <w:name w:val="wikieditor-toolbar-table-preview-content"/>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
    <w:name w:val="wikieditor-toolbar-table-preview"/>
    <w:basedOn w:val="Standaard"/>
    <w:uiPriority w:val="99"/>
    <w:rsid w:val="006C1C1E"/>
    <w:pPr>
      <w:spacing w:before="100" w:beforeAutospacing="1" w:after="100" w:afterAutospacing="1"/>
    </w:pPr>
    <w:rPr>
      <w:rFonts w:cs="Times New Roman"/>
      <w:lang w:val="en-US" w:eastAsia="en-US" w:bidi="ar-SA"/>
    </w:rPr>
  </w:style>
  <w:style w:type="paragraph" w:customStyle="1" w:styleId="section">
    <w:name w:val="section"/>
    <w:basedOn w:val="Standaard"/>
    <w:uiPriority w:val="99"/>
    <w:rsid w:val="006C1C1E"/>
    <w:pPr>
      <w:spacing w:before="100" w:beforeAutospacing="1" w:after="100" w:afterAutospacing="1"/>
    </w:pPr>
    <w:rPr>
      <w:rFonts w:cs="Times New Roman"/>
      <w:lang w:val="en-US" w:eastAsia="en-US" w:bidi="ar-SA"/>
    </w:rPr>
  </w:style>
  <w:style w:type="paragraph" w:customStyle="1" w:styleId="label">
    <w:name w:val="label"/>
    <w:basedOn w:val="Standaard"/>
    <w:uiPriority w:val="99"/>
    <w:rsid w:val="006C1C1E"/>
    <w:pPr>
      <w:spacing w:before="100" w:beforeAutospacing="1" w:after="100" w:afterAutospacing="1"/>
    </w:pPr>
    <w:rPr>
      <w:rFonts w:cs="Times New Roman"/>
      <w:lang w:val="en-US" w:eastAsia="en-US" w:bidi="ar-SA"/>
    </w:rPr>
  </w:style>
  <w:style w:type="paragraph" w:customStyle="1" w:styleId="tool-select">
    <w:name w:val="tool-select"/>
    <w:basedOn w:val="Standaard"/>
    <w:uiPriority w:val="99"/>
    <w:rsid w:val="006C1C1E"/>
    <w:pPr>
      <w:spacing w:before="100" w:beforeAutospacing="1" w:after="100" w:afterAutospacing="1"/>
    </w:pPr>
    <w:rPr>
      <w:rFonts w:cs="Times New Roman"/>
      <w:lang w:val="en-US" w:eastAsia="en-US" w:bidi="ar-SA"/>
    </w:rPr>
  </w:style>
  <w:style w:type="paragraph" w:customStyle="1" w:styleId="index">
    <w:name w:val="index"/>
    <w:basedOn w:val="Standaard"/>
    <w:uiPriority w:val="99"/>
    <w:rsid w:val="006C1C1E"/>
    <w:pPr>
      <w:spacing w:before="100" w:beforeAutospacing="1" w:after="100" w:afterAutospacing="1"/>
    </w:pPr>
    <w:rPr>
      <w:rFonts w:cs="Times New Roman"/>
      <w:lang w:val="en-US" w:eastAsia="en-US" w:bidi="ar-SA"/>
    </w:rPr>
  </w:style>
  <w:style w:type="paragraph" w:customStyle="1" w:styleId="pages">
    <w:name w:val="pages"/>
    <w:basedOn w:val="Standaard"/>
    <w:uiPriority w:val="99"/>
    <w:rsid w:val="006C1C1E"/>
    <w:pPr>
      <w:spacing w:before="100" w:beforeAutospacing="1" w:after="100" w:afterAutospacing="1"/>
    </w:pPr>
    <w:rPr>
      <w:rFonts w:cs="Times New Roman"/>
      <w:lang w:val="en-US" w:eastAsia="en-US" w:bidi="ar-SA"/>
    </w:rPr>
  </w:style>
  <w:style w:type="paragraph" w:customStyle="1" w:styleId="tmbox">
    <w:name w:val="tmbox"/>
    <w:basedOn w:val="Standaard"/>
    <w:uiPriority w:val="99"/>
    <w:rsid w:val="006C1C1E"/>
    <w:pPr>
      <w:spacing w:before="100" w:beforeAutospacing="1" w:after="100" w:afterAutospacing="1"/>
    </w:pPr>
    <w:rPr>
      <w:rFonts w:cs="Times New Roman"/>
      <w:lang w:val="en-US" w:eastAsia="en-US" w:bidi="ar-SA"/>
    </w:rPr>
  </w:style>
  <w:style w:type="paragraph" w:customStyle="1" w:styleId="spinner">
    <w:name w:val="spinner"/>
    <w:basedOn w:val="Standaard"/>
    <w:uiPriority w:val="99"/>
    <w:rsid w:val="006C1C1E"/>
    <w:pPr>
      <w:spacing w:before="100" w:beforeAutospacing="1" w:after="100" w:afterAutospacing="1"/>
    </w:pPr>
    <w:rPr>
      <w:rFonts w:cs="Times New Roman"/>
      <w:lang w:val="en-US" w:eastAsia="en-US" w:bidi="ar-SA"/>
    </w:rPr>
  </w:style>
  <w:style w:type="paragraph" w:customStyle="1" w:styleId="options">
    <w:name w:val="options"/>
    <w:basedOn w:val="Standaard"/>
    <w:uiPriority w:val="99"/>
    <w:rsid w:val="006C1C1E"/>
    <w:pPr>
      <w:spacing w:before="100" w:beforeAutospacing="1" w:after="100" w:afterAutospacing="1"/>
    </w:pPr>
    <w:rPr>
      <w:rFonts w:cs="Times New Roman"/>
      <w:lang w:val="en-US" w:eastAsia="en-US" w:bidi="ar-SA"/>
    </w:rPr>
  </w:style>
  <w:style w:type="paragraph" w:customStyle="1" w:styleId="current">
    <w:name w:val="current"/>
    <w:basedOn w:val="Standaard"/>
    <w:uiPriority w:val="99"/>
    <w:rsid w:val="006C1C1E"/>
    <w:pPr>
      <w:spacing w:before="100" w:beforeAutospacing="1" w:after="100" w:afterAutospacing="1"/>
    </w:pPr>
    <w:rPr>
      <w:rFonts w:cs="Times New Roman"/>
      <w:lang w:val="en-US" w:eastAsia="en-US" w:bidi="ar-SA"/>
    </w:rPr>
  </w:style>
  <w:style w:type="paragraph" w:customStyle="1" w:styleId="option">
    <w:name w:val="option"/>
    <w:basedOn w:val="Standaard"/>
    <w:uiPriority w:val="99"/>
    <w:rsid w:val="006C1C1E"/>
    <w:pPr>
      <w:spacing w:before="100" w:beforeAutospacing="1" w:after="100" w:afterAutospacing="1"/>
    </w:pPr>
    <w:rPr>
      <w:rFonts w:cs="Times New Roman"/>
      <w:lang w:val="en-US" w:eastAsia="en-US" w:bidi="ar-SA"/>
    </w:rPr>
  </w:style>
  <w:style w:type="paragraph" w:customStyle="1" w:styleId="optionrelheading-2">
    <w:name w:val="option[rel=heading-2]"/>
    <w:basedOn w:val="Standaard"/>
    <w:uiPriority w:val="99"/>
    <w:rsid w:val="006C1C1E"/>
    <w:pPr>
      <w:spacing w:before="100" w:beforeAutospacing="1" w:after="100" w:afterAutospacing="1"/>
    </w:pPr>
    <w:rPr>
      <w:rFonts w:cs="Times New Roman"/>
      <w:lang w:val="en-US" w:eastAsia="en-US" w:bidi="ar-SA"/>
    </w:rPr>
  </w:style>
  <w:style w:type="paragraph" w:customStyle="1" w:styleId="optionrelheading-3">
    <w:name w:val="option[rel=heading-3]"/>
    <w:basedOn w:val="Standaard"/>
    <w:uiPriority w:val="99"/>
    <w:rsid w:val="006C1C1E"/>
    <w:pPr>
      <w:spacing w:before="100" w:beforeAutospacing="1" w:after="100" w:afterAutospacing="1"/>
    </w:pPr>
    <w:rPr>
      <w:rFonts w:cs="Times New Roman"/>
      <w:lang w:val="en-US" w:eastAsia="en-US" w:bidi="ar-SA"/>
    </w:rPr>
  </w:style>
  <w:style w:type="paragraph" w:customStyle="1" w:styleId="optionrelheading-4">
    <w:name w:val="option[rel=heading-4]"/>
    <w:basedOn w:val="Standaard"/>
    <w:uiPriority w:val="99"/>
    <w:rsid w:val="006C1C1E"/>
    <w:pPr>
      <w:spacing w:before="100" w:beforeAutospacing="1" w:after="100" w:afterAutospacing="1"/>
    </w:pPr>
    <w:rPr>
      <w:rFonts w:cs="Times New Roman"/>
      <w:lang w:val="en-US" w:eastAsia="en-US" w:bidi="ar-SA"/>
    </w:rPr>
  </w:style>
  <w:style w:type="paragraph" w:customStyle="1" w:styleId="optionrelheading-5">
    <w:name w:val="option[rel=heading-5]"/>
    <w:basedOn w:val="Standaard"/>
    <w:uiPriority w:val="99"/>
    <w:rsid w:val="006C1C1E"/>
    <w:pPr>
      <w:spacing w:before="100" w:beforeAutospacing="1" w:after="100" w:afterAutospacing="1"/>
    </w:pPr>
    <w:rPr>
      <w:rFonts w:cs="Times New Roman"/>
      <w:lang w:val="en-US" w:eastAsia="en-US" w:bidi="ar-SA"/>
    </w:rPr>
  </w:style>
  <w:style w:type="paragraph" w:customStyle="1" w:styleId="menu">
    <w:name w:val="menu"/>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wrapper">
    <w:name w:val="wikieditor-toolbar-table-preview-wrapper"/>
    <w:basedOn w:val="Standaard"/>
    <w:uiPriority w:val="99"/>
    <w:rsid w:val="006C1C1E"/>
    <w:pPr>
      <w:spacing w:before="100" w:beforeAutospacing="1" w:after="100" w:afterAutospacing="1"/>
    </w:pPr>
    <w:rPr>
      <w:rFonts w:cs="Times New Roman"/>
      <w:lang w:val="en-US" w:eastAsia="en-US" w:bidi="ar-SA"/>
    </w:rPr>
  </w:style>
  <w:style w:type="paragraph" w:customStyle="1" w:styleId="sitenoticesmall">
    <w:name w:val="sitenoticesmall"/>
    <w:basedOn w:val="Standaard"/>
    <w:uiPriority w:val="99"/>
    <w:rsid w:val="006C1C1E"/>
    <w:pPr>
      <w:spacing w:before="100" w:beforeAutospacing="1" w:after="100" w:afterAutospacing="1"/>
    </w:pPr>
    <w:rPr>
      <w:rFonts w:cs="Times New Roman"/>
      <w:lang w:val="en-US" w:eastAsia="en-US" w:bidi="ar-SA"/>
    </w:rPr>
  </w:style>
  <w:style w:type="paragraph" w:customStyle="1" w:styleId="sitenoticesmallanon">
    <w:name w:val="sitenoticesmallanon"/>
    <w:basedOn w:val="Standaard"/>
    <w:uiPriority w:val="99"/>
    <w:rsid w:val="006C1C1E"/>
    <w:pPr>
      <w:spacing w:before="100" w:beforeAutospacing="1" w:after="100" w:afterAutospacing="1"/>
    </w:pPr>
    <w:rPr>
      <w:rFonts w:cs="Times New Roman"/>
      <w:lang w:val="en-US" w:eastAsia="en-US" w:bidi="ar-SA"/>
    </w:rPr>
  </w:style>
  <w:style w:type="paragraph" w:customStyle="1" w:styleId="sitenoticesmalluser">
    <w:name w:val="sitenoticesmalluser"/>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dialog">
    <w:name w:val="wikieditor-toolbar-dialog"/>
    <w:basedOn w:val="Standaard"/>
    <w:uiPriority w:val="99"/>
    <w:rsid w:val="006C1C1E"/>
    <w:pPr>
      <w:spacing w:before="100" w:beforeAutospacing="1" w:after="100" w:afterAutospacing="1"/>
    </w:pPr>
    <w:rPr>
      <w:rFonts w:cs="Times New Roman"/>
      <w:lang w:val="en-US" w:eastAsia="en-US" w:bidi="ar-SA"/>
    </w:rPr>
  </w:style>
  <w:style w:type="paragraph" w:customStyle="1" w:styleId="ui-icon-closethick">
    <w:name w:val="ui-icon-closethick"/>
    <w:basedOn w:val="Standaard"/>
    <w:uiPriority w:val="99"/>
    <w:rsid w:val="006C1C1E"/>
    <w:pPr>
      <w:spacing w:before="100" w:beforeAutospacing="1" w:after="100" w:afterAutospacing="1"/>
    </w:pPr>
    <w:rPr>
      <w:rFonts w:cs="Times New Roman"/>
      <w:lang w:val="en-US" w:eastAsia="en-US" w:bidi="ar-SA"/>
    </w:rPr>
  </w:style>
  <w:style w:type="paragraph" w:customStyle="1" w:styleId="ui-accordion-header-active">
    <w:name w:val="ui-accordion-header-active"/>
    <w:basedOn w:val="Standaard"/>
    <w:uiPriority w:val="99"/>
    <w:rsid w:val="006C1C1E"/>
    <w:pPr>
      <w:spacing w:before="100" w:beforeAutospacing="1" w:after="100" w:afterAutospacing="1"/>
    </w:pPr>
    <w:rPr>
      <w:rFonts w:cs="Times New Roman"/>
      <w:lang w:val="en-US" w:eastAsia="en-US" w:bidi="ar-SA"/>
    </w:rPr>
  </w:style>
  <w:style w:type="paragraph" w:customStyle="1" w:styleId="ui-tabs-hide">
    <w:name w:val="ui-tabs-hide"/>
    <w:basedOn w:val="Standaard"/>
    <w:uiPriority w:val="99"/>
    <w:rsid w:val="006C1C1E"/>
    <w:pPr>
      <w:spacing w:before="100" w:beforeAutospacing="1" w:after="100" w:afterAutospacing="1"/>
    </w:pPr>
    <w:rPr>
      <w:rFonts w:cs="Times New Roman"/>
      <w:lang w:val="en-US" w:eastAsia="en-US" w:bidi="ar-SA"/>
    </w:rPr>
  </w:style>
  <w:style w:type="paragraph" w:customStyle="1" w:styleId="notice-all">
    <w:name w:val="notice-all"/>
    <w:basedOn w:val="Standaard"/>
    <w:uiPriority w:val="99"/>
    <w:rsid w:val="006C1C1E"/>
    <w:pPr>
      <w:spacing w:before="100" w:beforeAutospacing="1" w:after="100" w:afterAutospacing="1"/>
    </w:pPr>
    <w:rPr>
      <w:rFonts w:cs="Times New Roman"/>
      <w:lang w:val="en-US" w:eastAsia="en-US" w:bidi="ar-SA"/>
    </w:rPr>
  </w:style>
  <w:style w:type="character" w:customStyle="1" w:styleId="citation">
    <w:name w:val="citation"/>
    <w:basedOn w:val="Standaardalinea-lettertype"/>
    <w:rsid w:val="006C1C1E"/>
    <w:rPr>
      <w:rFonts w:cs="Times New Roman"/>
    </w:rPr>
  </w:style>
  <w:style w:type="character" w:customStyle="1" w:styleId="tab">
    <w:name w:val="tab"/>
    <w:basedOn w:val="Standaardalinea-lettertype"/>
    <w:uiPriority w:val="99"/>
    <w:rsid w:val="006C1C1E"/>
    <w:rPr>
      <w:rFonts w:cs="Times New Roman"/>
    </w:rPr>
  </w:style>
  <w:style w:type="paragraph" w:customStyle="1" w:styleId="special-label1">
    <w:name w:val="special-label1"/>
    <w:basedOn w:val="Standaard"/>
    <w:uiPriority w:val="99"/>
    <w:rsid w:val="006C1C1E"/>
    <w:pPr>
      <w:spacing w:before="100" w:beforeAutospacing="1" w:after="100" w:afterAutospacing="1"/>
    </w:pPr>
    <w:rPr>
      <w:rFonts w:cs="Times New Roman"/>
      <w:color w:val="808080"/>
      <w:sz w:val="19"/>
      <w:szCs w:val="19"/>
      <w:lang w:val="en-US" w:eastAsia="en-US" w:bidi="ar-SA"/>
    </w:rPr>
  </w:style>
  <w:style w:type="paragraph" w:customStyle="1" w:styleId="special-query1">
    <w:name w:val="special-query1"/>
    <w:basedOn w:val="Standaard"/>
    <w:uiPriority w:val="99"/>
    <w:rsid w:val="006C1C1E"/>
    <w:pPr>
      <w:spacing w:before="100" w:beforeAutospacing="1" w:after="100" w:afterAutospacing="1"/>
    </w:pPr>
    <w:rPr>
      <w:rFonts w:cs="Times New Roman"/>
      <w:i/>
      <w:iCs/>
      <w:color w:val="000000"/>
      <w:lang w:val="en-US" w:eastAsia="en-US" w:bidi="ar-SA"/>
    </w:rPr>
  </w:style>
  <w:style w:type="paragraph" w:customStyle="1" w:styleId="special-hover1">
    <w:name w:val="special-hover1"/>
    <w:basedOn w:val="Standaard"/>
    <w:uiPriority w:val="99"/>
    <w:rsid w:val="006C1C1E"/>
    <w:pPr>
      <w:shd w:val="clear" w:color="auto" w:fill="C0C0C0"/>
      <w:spacing w:before="100" w:beforeAutospacing="1" w:after="100" w:afterAutospacing="1"/>
    </w:pPr>
    <w:rPr>
      <w:rFonts w:cs="Times New Roman"/>
      <w:lang w:val="en-US" w:eastAsia="en-US" w:bidi="ar-SA"/>
    </w:rPr>
  </w:style>
  <w:style w:type="paragraph" w:customStyle="1" w:styleId="special-label2">
    <w:name w:val="special-label2"/>
    <w:basedOn w:val="Standaard"/>
    <w:uiPriority w:val="99"/>
    <w:rsid w:val="006C1C1E"/>
    <w:pPr>
      <w:spacing w:before="100" w:beforeAutospacing="1" w:after="100" w:afterAutospacing="1"/>
    </w:pPr>
    <w:rPr>
      <w:rFonts w:cs="Times New Roman"/>
      <w:color w:val="FFFFFF"/>
      <w:lang w:val="en-US" w:eastAsia="en-US" w:bidi="ar-SA"/>
    </w:rPr>
  </w:style>
  <w:style w:type="paragraph" w:customStyle="1" w:styleId="special-query2">
    <w:name w:val="special-query2"/>
    <w:basedOn w:val="Standaard"/>
    <w:uiPriority w:val="99"/>
    <w:rsid w:val="006C1C1E"/>
    <w:pPr>
      <w:spacing w:before="100" w:beforeAutospacing="1" w:after="100" w:afterAutospacing="1"/>
    </w:pPr>
    <w:rPr>
      <w:rFonts w:cs="Times New Roman"/>
      <w:color w:val="FFFFFF"/>
      <w:lang w:val="en-US" w:eastAsia="en-US" w:bidi="ar-SA"/>
    </w:rPr>
  </w:style>
  <w:style w:type="paragraph" w:customStyle="1" w:styleId="wikieditor-ui-text1">
    <w:name w:val="wikieditor-ui-text1"/>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top1">
    <w:name w:val="wikieditor-ui-top1"/>
    <w:basedOn w:val="Standaard"/>
    <w:uiPriority w:val="99"/>
    <w:rsid w:val="006C1C1E"/>
    <w:pPr>
      <w:pBdr>
        <w:bottom w:val="single" w:sz="6" w:space="0" w:color="C0C0C0"/>
      </w:pBdr>
      <w:spacing w:before="100" w:beforeAutospacing="1" w:after="100" w:afterAutospacing="1"/>
    </w:pPr>
    <w:rPr>
      <w:rFonts w:cs="Times New Roman"/>
      <w:lang w:val="en-US" w:eastAsia="en-US" w:bidi="ar-SA"/>
    </w:rPr>
  </w:style>
  <w:style w:type="paragraph" w:customStyle="1" w:styleId="wikieditor-ui-left1">
    <w:name w:val="wikieditor-ui-left1"/>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right1">
    <w:name w:val="wikieditor-ui-right1"/>
    <w:basedOn w:val="Standaard"/>
    <w:uiPriority w:val="99"/>
    <w:rsid w:val="006C1C1E"/>
    <w:pPr>
      <w:shd w:val="clear" w:color="auto" w:fill="F3F3F3"/>
      <w:spacing w:before="100" w:beforeAutospacing="1" w:after="100" w:afterAutospacing="1"/>
    </w:pPr>
    <w:rPr>
      <w:rFonts w:cs="Times New Roman"/>
      <w:lang w:val="en-US" w:eastAsia="en-US" w:bidi="ar-SA"/>
    </w:rPr>
  </w:style>
  <w:style w:type="paragraph" w:customStyle="1" w:styleId="ui-dialog-titlebar1">
    <w:name w:val="ui-dialog-titlebar1"/>
    <w:basedOn w:val="Standaard"/>
    <w:uiPriority w:val="99"/>
    <w:rsid w:val="006C1C1E"/>
    <w:pPr>
      <w:spacing w:before="100" w:beforeAutospacing="1" w:after="100" w:afterAutospacing="1"/>
    </w:pPr>
    <w:rPr>
      <w:rFonts w:cs="Times New Roman"/>
      <w:lang w:val="en-US" w:eastAsia="en-US" w:bidi="ar-SA"/>
    </w:rPr>
  </w:style>
  <w:style w:type="paragraph" w:customStyle="1" w:styleId="ui-widget-header1">
    <w:name w:val="ui-widget-header1"/>
    <w:basedOn w:val="Standaard"/>
    <w:uiPriority w:val="99"/>
    <w:rsid w:val="006C1C1E"/>
    <w:pPr>
      <w:pBdr>
        <w:bottom w:val="single" w:sz="6" w:space="0" w:color="6BC8F3"/>
      </w:pBdr>
      <w:shd w:val="clear" w:color="auto" w:fill="F0F0F0"/>
      <w:spacing w:before="100" w:beforeAutospacing="1" w:after="100" w:afterAutospacing="1" w:line="240" w:lineRule="atLeast"/>
    </w:pPr>
    <w:rPr>
      <w:rFonts w:cs="Times New Roman"/>
      <w:b/>
      <w:bCs/>
      <w:color w:val="333333"/>
      <w:lang w:val="en-US" w:eastAsia="en-US" w:bidi="ar-SA"/>
    </w:rPr>
  </w:style>
  <w:style w:type="paragraph" w:customStyle="1" w:styleId="ui-icon-closethick1">
    <w:name w:val="ui-icon-closethick1"/>
    <w:basedOn w:val="Standaard"/>
    <w:uiPriority w:val="99"/>
    <w:rsid w:val="006C1C1E"/>
    <w:pPr>
      <w:spacing w:before="100" w:beforeAutospacing="1" w:after="100" w:afterAutospacing="1"/>
    </w:pPr>
    <w:rPr>
      <w:rFonts w:cs="Times New Roman"/>
      <w:lang w:val="en-US" w:eastAsia="en-US" w:bidi="ar-SA"/>
    </w:rPr>
  </w:style>
  <w:style w:type="paragraph" w:customStyle="1" w:styleId="ui-dialog-buttonpane1">
    <w:name w:val="ui-dialog-buttonpane1"/>
    <w:basedOn w:val="Standaard"/>
    <w:uiPriority w:val="99"/>
    <w:rsid w:val="006C1C1E"/>
    <w:pPr>
      <w:pBdr>
        <w:top w:val="single" w:sz="6" w:space="0" w:color="CCCCCC"/>
      </w:pBdr>
      <w:spacing w:after="100" w:afterAutospacing="1"/>
    </w:pPr>
    <w:rPr>
      <w:rFonts w:cs="Times New Roman"/>
      <w:lang w:val="en-US" w:eastAsia="en-US" w:bidi="ar-SA"/>
    </w:rPr>
  </w:style>
  <w:style w:type="paragraph" w:customStyle="1" w:styleId="ui-dialog-titlebar-close1">
    <w:name w:val="ui-dialog-titlebar-close1"/>
    <w:basedOn w:val="Standaard"/>
    <w:uiPriority w:val="99"/>
    <w:rsid w:val="006C1C1E"/>
    <w:pPr>
      <w:spacing w:before="100" w:beforeAutospacing="1" w:after="100" w:afterAutospacing="1"/>
    </w:pPr>
    <w:rPr>
      <w:rFonts w:cs="Times New Roman"/>
      <w:lang w:val="en-US" w:eastAsia="en-US" w:bidi="ar-SA"/>
    </w:rPr>
  </w:style>
  <w:style w:type="paragraph" w:customStyle="1" w:styleId="ui-widget-content1">
    <w:name w:val="ui-widget-content1"/>
    <w:basedOn w:val="Standaard"/>
    <w:uiPriority w:val="99"/>
    <w:rsid w:val="006C1C1E"/>
    <w:pPr>
      <w:shd w:val="clear" w:color="auto" w:fill="FFFFFF"/>
      <w:spacing w:before="100" w:beforeAutospacing="1" w:after="100" w:afterAutospacing="1"/>
    </w:pPr>
    <w:rPr>
      <w:rFonts w:cs="Times New Roman"/>
      <w:color w:val="000000"/>
      <w:lang w:val="en-US" w:eastAsia="en-US" w:bidi="ar-SA"/>
    </w:rPr>
  </w:style>
  <w:style w:type="paragraph" w:customStyle="1" w:styleId="wikieditor-toolbar-table-preview-wrapper1">
    <w:name w:val="wikieditor-toolbar-table-preview-wrapper1"/>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field-wrapper1">
    <w:name w:val="wikieditor-toolbar-field-wrapper1"/>
    <w:basedOn w:val="Standaard"/>
    <w:uiPriority w:val="99"/>
    <w:rsid w:val="006C1C1E"/>
    <w:pPr>
      <w:spacing w:before="100" w:beforeAutospacing="1" w:after="100" w:afterAutospacing="1"/>
      <w:ind w:right="300"/>
      <w:textAlignment w:val="bottom"/>
    </w:pPr>
    <w:rPr>
      <w:rFonts w:cs="Times New Roman"/>
      <w:lang w:val="en-US" w:eastAsia="en-US" w:bidi="ar-SA"/>
    </w:rPr>
  </w:style>
  <w:style w:type="paragraph" w:customStyle="1" w:styleId="wikieditor-toolbar-field-wrapper2">
    <w:name w:val="wikieditor-toolbar-field-wrapper2"/>
    <w:basedOn w:val="Standaard"/>
    <w:uiPriority w:val="99"/>
    <w:rsid w:val="006C1C1E"/>
    <w:pPr>
      <w:spacing w:before="100" w:beforeAutospacing="1" w:after="100" w:afterAutospacing="1"/>
      <w:ind w:left="300"/>
      <w:textAlignment w:val="bottom"/>
    </w:pPr>
    <w:rPr>
      <w:rFonts w:cs="Times New Roman"/>
      <w:lang w:val="en-US" w:eastAsia="en-US" w:bidi="ar-SA"/>
    </w:rPr>
  </w:style>
  <w:style w:type="paragraph" w:customStyle="1" w:styleId="ui-dialog-content1">
    <w:name w:val="ui-dialog-content1"/>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floated-field-wrapper1">
    <w:name w:val="wikieditor-toolbar-floated-field-wrapper1"/>
    <w:basedOn w:val="Standaard"/>
    <w:uiPriority w:val="99"/>
    <w:rsid w:val="006C1C1E"/>
    <w:pPr>
      <w:spacing w:before="100" w:beforeAutospacing="1" w:after="100" w:afterAutospacing="1"/>
      <w:ind w:left="480"/>
    </w:pPr>
    <w:rPr>
      <w:rFonts w:cs="Times New Roman"/>
      <w:lang w:val="en-US" w:eastAsia="en-US" w:bidi="ar-SA"/>
    </w:rPr>
  </w:style>
  <w:style w:type="paragraph" w:customStyle="1" w:styleId="wikieditor-template-dialog-field-wrapper1">
    <w:name w:val="wikieditor-template-dialog-field-wrapper1"/>
    <w:basedOn w:val="Standaard"/>
    <w:uiPriority w:val="99"/>
    <w:rsid w:val="006C1C1E"/>
    <w:pPr>
      <w:pBdr>
        <w:bottom w:val="dashed" w:sz="6" w:space="9" w:color="C0C0C0"/>
      </w:pBdr>
      <w:spacing w:before="100" w:beforeAutospacing="1" w:after="100" w:afterAutospacing="1"/>
    </w:pPr>
    <w:rPr>
      <w:rFonts w:cs="Times New Roman"/>
      <w:lang w:val="en-US" w:eastAsia="en-US" w:bidi="ar-SA"/>
    </w:rPr>
  </w:style>
  <w:style w:type="paragraph" w:customStyle="1" w:styleId="sections1">
    <w:name w:val="sections1"/>
    <w:basedOn w:val="Standaard"/>
    <w:uiPriority w:val="99"/>
    <w:rsid w:val="006C1C1E"/>
    <w:pPr>
      <w:spacing w:before="100" w:beforeAutospacing="1" w:after="100" w:afterAutospacing="1"/>
    </w:pPr>
    <w:rPr>
      <w:rFonts w:cs="Times New Roman"/>
      <w:lang w:val="en-US" w:eastAsia="en-US" w:bidi="ar-SA"/>
    </w:rPr>
  </w:style>
  <w:style w:type="paragraph" w:customStyle="1" w:styleId="section1">
    <w:name w:val="section1"/>
    <w:basedOn w:val="Standaard"/>
    <w:uiPriority w:val="99"/>
    <w:rsid w:val="006C1C1E"/>
    <w:pPr>
      <w:pBdr>
        <w:top w:val="single" w:sz="6" w:space="0" w:color="DDDDDD"/>
      </w:pBdr>
      <w:shd w:val="clear" w:color="auto" w:fill="E0EEF7"/>
      <w:spacing w:before="100" w:beforeAutospacing="1" w:after="100" w:afterAutospacing="1"/>
    </w:pPr>
    <w:rPr>
      <w:rFonts w:cs="Times New Roman"/>
      <w:vanish/>
      <w:lang w:val="en-US" w:eastAsia="en-US" w:bidi="ar-SA"/>
    </w:rPr>
  </w:style>
  <w:style w:type="paragraph" w:customStyle="1" w:styleId="spinner1">
    <w:name w:val="spinner1"/>
    <w:basedOn w:val="Standaard"/>
    <w:uiPriority w:val="99"/>
    <w:rsid w:val="006C1C1E"/>
    <w:pPr>
      <w:spacing w:before="100" w:beforeAutospacing="1" w:after="100" w:afterAutospacing="1"/>
    </w:pPr>
    <w:rPr>
      <w:rFonts w:cs="Times New Roman"/>
      <w:vanish/>
      <w:lang w:val="en-US" w:eastAsia="en-US" w:bidi="ar-SA"/>
    </w:rPr>
  </w:style>
  <w:style w:type="paragraph" w:customStyle="1" w:styleId="spinner2">
    <w:name w:val="spinner2"/>
    <w:basedOn w:val="Standaard"/>
    <w:uiPriority w:val="99"/>
    <w:rsid w:val="006C1C1E"/>
    <w:pPr>
      <w:spacing w:before="100" w:beforeAutospacing="1" w:after="100" w:afterAutospacing="1"/>
      <w:ind w:left="120"/>
    </w:pPr>
    <w:rPr>
      <w:rFonts w:cs="Times New Roman"/>
      <w:color w:val="666666"/>
      <w:lang w:val="en-US" w:eastAsia="en-US" w:bidi="ar-SA"/>
    </w:rPr>
  </w:style>
  <w:style w:type="paragraph" w:customStyle="1" w:styleId="spinner3">
    <w:name w:val="spinner3"/>
    <w:basedOn w:val="Standaard"/>
    <w:uiPriority w:val="99"/>
    <w:rsid w:val="006C1C1E"/>
    <w:pPr>
      <w:spacing w:before="100" w:beforeAutospacing="1" w:after="100" w:afterAutospacing="1"/>
      <w:ind w:right="120"/>
    </w:pPr>
    <w:rPr>
      <w:rFonts w:cs="Times New Roman"/>
      <w:color w:val="666666"/>
      <w:lang w:val="en-US" w:eastAsia="en-US" w:bidi="ar-SA"/>
    </w:rPr>
  </w:style>
  <w:style w:type="paragraph" w:customStyle="1" w:styleId="tabs1">
    <w:name w:val="tabs1"/>
    <w:basedOn w:val="Standaard"/>
    <w:uiPriority w:val="99"/>
    <w:rsid w:val="006C1C1E"/>
    <w:pPr>
      <w:spacing w:before="45" w:after="45"/>
      <w:ind w:left="45" w:right="45"/>
    </w:pPr>
    <w:rPr>
      <w:rFonts w:cs="Times New Roman"/>
      <w:lang w:val="en-US" w:eastAsia="en-US" w:bidi="ar-SA"/>
    </w:rPr>
  </w:style>
  <w:style w:type="paragraph" w:customStyle="1" w:styleId="section-main1">
    <w:name w:val="section-main1"/>
    <w:basedOn w:val="Standaard"/>
    <w:uiPriority w:val="99"/>
    <w:rsid w:val="006C1C1E"/>
    <w:pPr>
      <w:spacing w:before="100" w:beforeAutospacing="1" w:after="100" w:afterAutospacing="1"/>
    </w:pPr>
    <w:rPr>
      <w:rFonts w:cs="Times New Roman"/>
      <w:lang w:val="en-US" w:eastAsia="en-US" w:bidi="ar-SA"/>
    </w:rPr>
  </w:style>
  <w:style w:type="paragraph" w:customStyle="1" w:styleId="group1">
    <w:name w:val="group1"/>
    <w:basedOn w:val="Standaard"/>
    <w:uiPriority w:val="99"/>
    <w:rsid w:val="006C1C1E"/>
    <w:pPr>
      <w:pBdr>
        <w:right w:val="single" w:sz="6" w:space="5" w:color="DDDDDD"/>
      </w:pBdr>
      <w:spacing w:before="45" w:after="45"/>
      <w:ind w:left="45" w:right="45"/>
    </w:pPr>
    <w:rPr>
      <w:rFonts w:cs="Times New Roman"/>
      <w:lang w:val="en-US" w:eastAsia="en-US" w:bidi="ar-SA"/>
    </w:rPr>
  </w:style>
  <w:style w:type="paragraph" w:customStyle="1" w:styleId="group2">
    <w:name w:val="group2"/>
    <w:basedOn w:val="Standaard"/>
    <w:uiPriority w:val="99"/>
    <w:rsid w:val="006C1C1E"/>
    <w:pPr>
      <w:pBdr>
        <w:left w:val="single" w:sz="6" w:space="5" w:color="DDDDDD"/>
      </w:pBdr>
      <w:spacing w:before="45" w:after="45"/>
      <w:ind w:left="45" w:right="45"/>
    </w:pPr>
    <w:rPr>
      <w:rFonts w:cs="Times New Roman"/>
      <w:lang w:val="en-US" w:eastAsia="en-US" w:bidi="ar-SA"/>
    </w:rPr>
  </w:style>
  <w:style w:type="paragraph" w:customStyle="1" w:styleId="group-search1">
    <w:name w:val="group-search1"/>
    <w:basedOn w:val="Standaard"/>
    <w:uiPriority w:val="99"/>
    <w:rsid w:val="006C1C1E"/>
    <w:pPr>
      <w:pBdr>
        <w:left w:val="single" w:sz="6" w:space="5" w:color="DDDDDD"/>
      </w:pBdr>
      <w:spacing w:before="100" w:beforeAutospacing="1" w:after="100" w:afterAutospacing="1"/>
    </w:pPr>
    <w:rPr>
      <w:rFonts w:cs="Times New Roman"/>
      <w:lang w:val="en-US" w:eastAsia="en-US" w:bidi="ar-SA"/>
    </w:rPr>
  </w:style>
  <w:style w:type="paragraph" w:customStyle="1" w:styleId="group-insert1">
    <w:name w:val="group-insert1"/>
    <w:basedOn w:val="Standaard"/>
    <w:uiPriority w:val="99"/>
    <w:rsid w:val="006C1C1E"/>
    <w:pPr>
      <w:spacing w:before="100" w:beforeAutospacing="1" w:after="100" w:afterAutospacing="1"/>
    </w:pPr>
    <w:rPr>
      <w:rFonts w:cs="Times New Roman"/>
      <w:lang w:val="en-US" w:eastAsia="en-US" w:bidi="ar-SA"/>
    </w:rPr>
  </w:style>
  <w:style w:type="paragraph" w:customStyle="1" w:styleId="group-search2">
    <w:name w:val="group-search2"/>
    <w:basedOn w:val="Standaard"/>
    <w:uiPriority w:val="99"/>
    <w:rsid w:val="006C1C1E"/>
    <w:pPr>
      <w:pBdr>
        <w:right w:val="single" w:sz="6" w:space="5" w:color="DDDDDD"/>
      </w:pBdr>
      <w:spacing w:before="100" w:beforeAutospacing="1" w:after="100" w:afterAutospacing="1"/>
    </w:pPr>
    <w:rPr>
      <w:rFonts w:cs="Times New Roman"/>
      <w:lang w:val="en-US" w:eastAsia="en-US" w:bidi="ar-SA"/>
    </w:rPr>
  </w:style>
  <w:style w:type="paragraph" w:customStyle="1" w:styleId="group-insert2">
    <w:name w:val="group-insert2"/>
    <w:basedOn w:val="Standaard"/>
    <w:uiPriority w:val="99"/>
    <w:rsid w:val="006C1C1E"/>
    <w:pPr>
      <w:spacing w:before="100" w:beforeAutospacing="1" w:after="100" w:afterAutospacing="1"/>
    </w:pPr>
    <w:rPr>
      <w:rFonts w:cs="Times New Roman"/>
      <w:lang w:val="en-US" w:eastAsia="en-US" w:bidi="ar-SA"/>
    </w:rPr>
  </w:style>
  <w:style w:type="character" w:customStyle="1" w:styleId="tab1">
    <w:name w:val="tab1"/>
    <w:basedOn w:val="Standaardalinea-lettertype"/>
    <w:uiPriority w:val="99"/>
    <w:rsid w:val="006C1C1E"/>
    <w:rPr>
      <w:rFonts w:cs="Times New Roman"/>
    </w:rPr>
  </w:style>
  <w:style w:type="paragraph" w:customStyle="1" w:styleId="label1">
    <w:name w:val="label1"/>
    <w:basedOn w:val="Standaard"/>
    <w:uiPriority w:val="99"/>
    <w:rsid w:val="006C1C1E"/>
    <w:pPr>
      <w:spacing w:before="30" w:after="30" w:line="330" w:lineRule="atLeast"/>
      <w:ind w:left="75" w:right="120"/>
    </w:pPr>
    <w:rPr>
      <w:rFonts w:cs="Times New Roman"/>
      <w:color w:val="777777"/>
      <w:lang w:val="en-US" w:eastAsia="en-US" w:bidi="ar-SA"/>
    </w:rPr>
  </w:style>
  <w:style w:type="paragraph" w:customStyle="1" w:styleId="tool-select1">
    <w:name w:val="tool-select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30" w:after="30"/>
      <w:ind w:left="30"/>
    </w:pPr>
    <w:rPr>
      <w:rFonts w:cs="Times New Roman"/>
      <w:lang w:val="en-US" w:eastAsia="en-US" w:bidi="ar-SA"/>
    </w:rPr>
  </w:style>
  <w:style w:type="paragraph" w:customStyle="1" w:styleId="label2">
    <w:name w:val="label2"/>
    <w:basedOn w:val="Standaard"/>
    <w:uiPriority w:val="99"/>
    <w:rsid w:val="006C1C1E"/>
    <w:pPr>
      <w:spacing w:line="330" w:lineRule="atLeast"/>
      <w:ind w:right="60"/>
    </w:pPr>
    <w:rPr>
      <w:rFonts w:cs="Times New Roman"/>
      <w:color w:val="333333"/>
      <w:lang w:val="en-US" w:eastAsia="en-US" w:bidi="ar-SA"/>
    </w:rPr>
  </w:style>
  <w:style w:type="paragraph" w:customStyle="1" w:styleId="label3">
    <w:name w:val="label3"/>
    <w:basedOn w:val="Standaard"/>
    <w:uiPriority w:val="99"/>
    <w:rsid w:val="006C1C1E"/>
    <w:pPr>
      <w:spacing w:line="330" w:lineRule="atLeast"/>
      <w:ind w:left="60"/>
    </w:pPr>
    <w:rPr>
      <w:rFonts w:cs="Times New Roman"/>
      <w:color w:val="333333"/>
      <w:lang w:val="en-US" w:eastAsia="en-US" w:bidi="ar-SA"/>
    </w:rPr>
  </w:style>
  <w:style w:type="paragraph" w:customStyle="1" w:styleId="menu1">
    <w:name w:val="menu1"/>
    <w:basedOn w:val="Standaard"/>
    <w:uiPriority w:val="99"/>
    <w:rsid w:val="006C1C1E"/>
    <w:pPr>
      <w:spacing w:before="100" w:beforeAutospacing="1" w:after="100" w:afterAutospacing="1"/>
      <w:ind w:left="-15" w:right="-15"/>
    </w:pPr>
    <w:rPr>
      <w:rFonts w:cs="Times New Roman"/>
      <w:lang w:val="en-US" w:eastAsia="en-US" w:bidi="ar-SA"/>
    </w:rPr>
  </w:style>
  <w:style w:type="paragraph" w:customStyle="1" w:styleId="options1">
    <w:name w:val="options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ind w:left="-15"/>
    </w:pPr>
    <w:rPr>
      <w:rFonts w:cs="Times New Roman"/>
      <w:vanish/>
      <w:lang w:val="en-US" w:eastAsia="en-US" w:bidi="ar-SA"/>
    </w:rPr>
  </w:style>
  <w:style w:type="paragraph" w:customStyle="1" w:styleId="options2">
    <w:name w:val="options2"/>
    <w:basedOn w:val="Standaard"/>
    <w:uiPriority w:val="99"/>
    <w:rsid w:val="006C1C1E"/>
    <w:pPr>
      <w:spacing w:before="330" w:after="100" w:afterAutospacing="1"/>
    </w:pPr>
    <w:rPr>
      <w:rFonts w:cs="Times New Roman"/>
      <w:lang w:val="en-US" w:eastAsia="en-US" w:bidi="ar-SA"/>
    </w:rPr>
  </w:style>
  <w:style w:type="paragraph" w:customStyle="1" w:styleId="option1">
    <w:name w:val="option1"/>
    <w:basedOn w:val="Standaard"/>
    <w:uiPriority w:val="99"/>
    <w:rsid w:val="006C1C1E"/>
    <w:pPr>
      <w:spacing w:before="100" w:beforeAutospacing="1" w:after="100" w:afterAutospacing="1"/>
    </w:pPr>
    <w:rPr>
      <w:rFonts w:cs="Times New Roman"/>
      <w:color w:val="000000"/>
      <w:lang w:val="en-US" w:eastAsia="en-US" w:bidi="ar-SA"/>
    </w:rPr>
  </w:style>
  <w:style w:type="paragraph" w:customStyle="1" w:styleId="optionrelheading-21">
    <w:name w:val="option[rel=heading-2]1"/>
    <w:basedOn w:val="Standaard"/>
    <w:uiPriority w:val="99"/>
    <w:rsid w:val="006C1C1E"/>
    <w:pPr>
      <w:spacing w:before="100" w:beforeAutospacing="1" w:after="100" w:afterAutospacing="1"/>
    </w:pPr>
    <w:rPr>
      <w:rFonts w:cs="Times New Roman"/>
      <w:sz w:val="36"/>
      <w:szCs w:val="36"/>
      <w:lang w:val="en-US" w:eastAsia="en-US" w:bidi="ar-SA"/>
    </w:rPr>
  </w:style>
  <w:style w:type="paragraph" w:customStyle="1" w:styleId="optionrelheading-31">
    <w:name w:val="option[rel=heading-3]1"/>
    <w:basedOn w:val="Standaard"/>
    <w:uiPriority w:val="99"/>
    <w:rsid w:val="006C1C1E"/>
    <w:pPr>
      <w:spacing w:before="100" w:beforeAutospacing="1" w:after="100" w:afterAutospacing="1"/>
    </w:pPr>
    <w:rPr>
      <w:rFonts w:cs="Times New Roman"/>
      <w:sz w:val="32"/>
      <w:szCs w:val="32"/>
      <w:lang w:val="en-US" w:eastAsia="en-US" w:bidi="ar-SA"/>
    </w:rPr>
  </w:style>
  <w:style w:type="paragraph" w:customStyle="1" w:styleId="optionrelheading-41">
    <w:name w:val="option[rel=heading-4]1"/>
    <w:basedOn w:val="Standaard"/>
    <w:uiPriority w:val="99"/>
    <w:rsid w:val="006C1C1E"/>
    <w:pPr>
      <w:spacing w:before="100" w:beforeAutospacing="1" w:after="100" w:afterAutospacing="1"/>
    </w:pPr>
    <w:rPr>
      <w:rFonts w:cs="Times New Roman"/>
      <w:sz w:val="28"/>
      <w:szCs w:val="28"/>
      <w:lang w:val="en-US" w:eastAsia="en-US" w:bidi="ar-SA"/>
    </w:rPr>
  </w:style>
  <w:style w:type="paragraph" w:customStyle="1" w:styleId="optionrelheading-51">
    <w:name w:val="option[rel=heading-5]1"/>
    <w:basedOn w:val="Standaard"/>
    <w:uiPriority w:val="99"/>
    <w:rsid w:val="006C1C1E"/>
    <w:pPr>
      <w:spacing w:before="100" w:beforeAutospacing="1" w:after="100" w:afterAutospacing="1"/>
    </w:pPr>
    <w:rPr>
      <w:rFonts w:cs="Times New Roman"/>
      <w:b/>
      <w:bCs/>
      <w:lang w:val="en-US" w:eastAsia="en-US" w:bidi="ar-SA"/>
    </w:rPr>
  </w:style>
  <w:style w:type="paragraph" w:customStyle="1" w:styleId="index1">
    <w:name w:val="index1"/>
    <w:basedOn w:val="Standaard"/>
    <w:uiPriority w:val="99"/>
    <w:rsid w:val="006C1C1E"/>
    <w:pPr>
      <w:spacing w:before="100" w:beforeAutospacing="1" w:after="100" w:afterAutospacing="1"/>
    </w:pPr>
    <w:rPr>
      <w:rFonts w:cs="Times New Roman"/>
      <w:lang w:val="en-US" w:eastAsia="en-US" w:bidi="ar-SA"/>
    </w:rPr>
  </w:style>
  <w:style w:type="paragraph" w:customStyle="1" w:styleId="current1">
    <w:name w:val="current1"/>
    <w:basedOn w:val="Standaard"/>
    <w:uiPriority w:val="99"/>
    <w:rsid w:val="006C1C1E"/>
    <w:pPr>
      <w:shd w:val="clear" w:color="auto" w:fill="FAFAFA"/>
      <w:spacing w:before="100" w:beforeAutospacing="1" w:after="100" w:afterAutospacing="1"/>
    </w:pPr>
    <w:rPr>
      <w:rFonts w:cs="Times New Roman"/>
      <w:color w:val="333333"/>
      <w:lang w:val="en-US" w:eastAsia="en-US" w:bidi="ar-SA"/>
    </w:rPr>
  </w:style>
  <w:style w:type="paragraph" w:customStyle="1" w:styleId="pages1">
    <w:name w:val="pages1"/>
    <w:basedOn w:val="Standaard"/>
    <w:uiPriority w:val="99"/>
    <w:rsid w:val="006C1C1E"/>
    <w:pPr>
      <w:shd w:val="clear" w:color="auto" w:fill="FAFAFA"/>
      <w:spacing w:before="100" w:beforeAutospacing="1" w:after="100" w:afterAutospacing="1"/>
    </w:pPr>
    <w:rPr>
      <w:rFonts w:cs="Times New Roman"/>
      <w:lang w:val="en-US" w:eastAsia="en-US" w:bidi="ar-SA"/>
    </w:rPr>
  </w:style>
  <w:style w:type="paragraph" w:customStyle="1" w:styleId="wikieditor-toolbar-table-preview-frame1">
    <w:name w:val="wikieditor-toolbar-table-preview-frame1"/>
    <w:basedOn w:val="Standaard"/>
    <w:uiPriority w:val="99"/>
    <w:rsid w:val="006C1C1E"/>
    <w:pPr>
      <w:shd w:val="clear" w:color="auto" w:fill="FFFFFF"/>
      <w:spacing w:before="100" w:beforeAutospacing="1" w:after="100" w:afterAutospacing="1"/>
    </w:pPr>
    <w:rPr>
      <w:rFonts w:cs="Times New Roman"/>
      <w:lang w:val="en-US" w:eastAsia="en-US" w:bidi="ar-SA"/>
    </w:rPr>
  </w:style>
  <w:style w:type="paragraph" w:customStyle="1" w:styleId="wikieditor-toolbar-table-preview-content1">
    <w:name w:val="wikieditor-toolbar-table-preview-content1"/>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1">
    <w:name w:val="wikieditor-toolbar-table-preview1"/>
    <w:basedOn w:val="Standaard"/>
    <w:uiPriority w:val="99"/>
    <w:rsid w:val="006C1C1E"/>
    <w:pPr>
      <w:spacing w:before="100" w:beforeAutospacing="1" w:after="100" w:afterAutospacing="1"/>
    </w:pPr>
    <w:rPr>
      <w:rFonts w:cs="Times New Roman"/>
      <w:lang w:val="en-US" w:eastAsia="en-US" w:bidi="ar-SA"/>
    </w:rPr>
  </w:style>
  <w:style w:type="paragraph" w:customStyle="1" w:styleId="ui-state-default1">
    <w:name w:val="ui-state-default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rFonts w:cs="Times New Roman"/>
      <w:color w:val="333333"/>
      <w:lang w:val="en-US" w:eastAsia="en-US" w:bidi="ar-SA"/>
    </w:rPr>
  </w:style>
  <w:style w:type="paragraph" w:customStyle="1" w:styleId="ui-state-hover1">
    <w:name w:val="ui-state-hover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focus1">
    <w:name w:val="ui-state-focus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active1">
    <w:name w:val="ui-state-active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highlight1">
    <w:name w:val="ui-state-highlight1"/>
    <w:basedOn w:val="Standaard"/>
    <w:uiPriority w:val="99"/>
    <w:rsid w:val="006C1C1E"/>
    <w:pPr>
      <w:pBdr>
        <w:top w:val="single" w:sz="6" w:space="0" w:color="FCEFA1"/>
        <w:left w:val="single" w:sz="6" w:space="0" w:color="FCEFA1"/>
        <w:bottom w:val="single" w:sz="6" w:space="0" w:color="FCEFA1"/>
        <w:right w:val="single" w:sz="6" w:space="0" w:color="FCEFA1"/>
      </w:pBdr>
      <w:spacing w:before="100" w:beforeAutospacing="1" w:after="100" w:afterAutospacing="1"/>
    </w:pPr>
    <w:rPr>
      <w:rFonts w:cs="Times New Roman"/>
      <w:color w:val="363636"/>
      <w:lang w:val="en-US" w:eastAsia="en-US" w:bidi="ar-SA"/>
    </w:rPr>
  </w:style>
  <w:style w:type="paragraph" w:customStyle="1" w:styleId="ui-state-error1">
    <w:name w:val="ui-state-error1"/>
    <w:basedOn w:val="Standaard"/>
    <w:uiPriority w:val="99"/>
    <w:rsid w:val="006C1C1E"/>
    <w:pPr>
      <w:pBdr>
        <w:top w:val="single" w:sz="6" w:space="0" w:color="CD0A0A"/>
        <w:left w:val="single" w:sz="6" w:space="0" w:color="CD0A0A"/>
        <w:bottom w:val="single" w:sz="6" w:space="0" w:color="CD0A0A"/>
        <w:right w:val="single" w:sz="6" w:space="0" w:color="CD0A0A"/>
      </w:pBdr>
      <w:spacing w:before="100" w:beforeAutospacing="1" w:after="100" w:afterAutospacing="1"/>
    </w:pPr>
    <w:rPr>
      <w:rFonts w:cs="Times New Roman"/>
      <w:color w:val="CD0A0A"/>
      <w:lang w:val="en-US" w:eastAsia="en-US" w:bidi="ar-SA"/>
    </w:rPr>
  </w:style>
  <w:style w:type="paragraph" w:customStyle="1" w:styleId="ui-state-error-text1">
    <w:name w:val="ui-state-error-text1"/>
    <w:basedOn w:val="Standaard"/>
    <w:uiPriority w:val="99"/>
    <w:rsid w:val="006C1C1E"/>
    <w:pPr>
      <w:spacing w:before="100" w:beforeAutospacing="1" w:after="100" w:afterAutospacing="1"/>
    </w:pPr>
    <w:rPr>
      <w:rFonts w:cs="Times New Roman"/>
      <w:color w:val="CD0A0A"/>
      <w:lang w:val="en-US" w:eastAsia="en-US" w:bidi="ar-SA"/>
    </w:rPr>
  </w:style>
  <w:style w:type="paragraph" w:customStyle="1" w:styleId="ui-state-disabled1">
    <w:name w:val="ui-state-disabled1"/>
    <w:basedOn w:val="Standaard"/>
    <w:uiPriority w:val="99"/>
    <w:rsid w:val="006C1C1E"/>
    <w:pPr>
      <w:spacing w:before="100" w:beforeAutospacing="1" w:after="100" w:afterAutospacing="1"/>
    </w:pPr>
    <w:rPr>
      <w:rFonts w:cs="Times New Roman"/>
      <w:lang w:val="en-US" w:eastAsia="en-US" w:bidi="ar-SA"/>
    </w:rPr>
  </w:style>
  <w:style w:type="paragraph" w:customStyle="1" w:styleId="ui-priority-primary1">
    <w:name w:val="ui-priority-primary1"/>
    <w:basedOn w:val="Standaard"/>
    <w:uiPriority w:val="99"/>
    <w:rsid w:val="006C1C1E"/>
    <w:pPr>
      <w:spacing w:before="100" w:beforeAutospacing="1" w:after="100" w:afterAutospacing="1"/>
    </w:pPr>
    <w:rPr>
      <w:rFonts w:cs="Times New Roman"/>
      <w:b/>
      <w:bCs/>
      <w:lang w:val="en-US" w:eastAsia="en-US" w:bidi="ar-SA"/>
    </w:rPr>
  </w:style>
  <w:style w:type="paragraph" w:customStyle="1" w:styleId="ui-priority-secondary1">
    <w:name w:val="ui-priority-secondary1"/>
    <w:basedOn w:val="Standaard"/>
    <w:uiPriority w:val="99"/>
    <w:rsid w:val="006C1C1E"/>
    <w:pPr>
      <w:spacing w:before="100" w:beforeAutospacing="1" w:after="100" w:afterAutospacing="1"/>
    </w:pPr>
    <w:rPr>
      <w:rFonts w:cs="Times New Roman"/>
      <w:lang w:val="en-US" w:eastAsia="en-US" w:bidi="ar-SA"/>
    </w:rPr>
  </w:style>
  <w:style w:type="paragraph" w:customStyle="1" w:styleId="ui-icon1">
    <w:name w:val="ui-icon1"/>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2">
    <w:name w:val="ui-icon2"/>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3">
    <w:name w:val="ui-icon3"/>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4">
    <w:name w:val="ui-icon4"/>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5">
    <w:name w:val="ui-icon5"/>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6">
    <w:name w:val="ui-icon6"/>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7">
    <w:name w:val="ui-icon7"/>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8">
    <w:name w:val="ui-icon8"/>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9">
    <w:name w:val="ui-icon9"/>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accordion-header1">
    <w:name w:val="ui-accordion-header1"/>
    <w:basedOn w:val="Standaard"/>
    <w:uiPriority w:val="99"/>
    <w:rsid w:val="006C1C1E"/>
    <w:pPr>
      <w:spacing w:before="15" w:after="100" w:afterAutospacing="1"/>
    </w:pPr>
    <w:rPr>
      <w:rFonts w:cs="Times New Roman"/>
      <w:lang w:val="en-US" w:eastAsia="en-US" w:bidi="ar-SA"/>
    </w:rPr>
  </w:style>
  <w:style w:type="paragraph" w:customStyle="1" w:styleId="ui-accordion-li-fix1">
    <w:name w:val="ui-accordion-li-fix1"/>
    <w:basedOn w:val="Standaard"/>
    <w:uiPriority w:val="99"/>
    <w:rsid w:val="006C1C1E"/>
    <w:pPr>
      <w:spacing w:before="100" w:beforeAutospacing="1" w:after="100" w:afterAutospacing="1"/>
    </w:pPr>
    <w:rPr>
      <w:rFonts w:cs="Times New Roman"/>
      <w:lang w:val="en-US" w:eastAsia="en-US" w:bidi="ar-SA"/>
    </w:rPr>
  </w:style>
  <w:style w:type="paragraph" w:customStyle="1" w:styleId="ui-accordion-header-active1">
    <w:name w:val="ui-accordion-header-active1"/>
    <w:basedOn w:val="Standaard"/>
    <w:uiPriority w:val="99"/>
    <w:rsid w:val="006C1C1E"/>
    <w:pPr>
      <w:spacing w:before="100" w:beforeAutospacing="1" w:after="100" w:afterAutospacing="1"/>
    </w:pPr>
    <w:rPr>
      <w:rFonts w:cs="Times New Roman"/>
      <w:lang w:val="en-US" w:eastAsia="en-US" w:bidi="ar-SA"/>
    </w:rPr>
  </w:style>
  <w:style w:type="paragraph" w:customStyle="1" w:styleId="ui-icon10">
    <w:name w:val="ui-icon10"/>
    <w:basedOn w:val="Standaard"/>
    <w:uiPriority w:val="99"/>
    <w:rsid w:val="006C1C1E"/>
    <w:pPr>
      <w:spacing w:after="100" w:afterAutospacing="1"/>
      <w:ind w:firstLine="7343"/>
    </w:pPr>
    <w:rPr>
      <w:rFonts w:cs="Times New Roman"/>
      <w:lang w:val="en-US" w:eastAsia="en-US" w:bidi="ar-SA"/>
    </w:rPr>
  </w:style>
  <w:style w:type="paragraph" w:customStyle="1" w:styleId="ui-accordion-content1">
    <w:name w:val="ui-accordion-content1"/>
    <w:basedOn w:val="Standaard"/>
    <w:uiPriority w:val="99"/>
    <w:rsid w:val="006C1C1E"/>
    <w:pPr>
      <w:spacing w:after="30"/>
    </w:pPr>
    <w:rPr>
      <w:rFonts w:cs="Times New Roman"/>
      <w:vanish/>
      <w:lang w:val="en-US" w:eastAsia="en-US" w:bidi="ar-SA"/>
    </w:rPr>
  </w:style>
  <w:style w:type="paragraph" w:customStyle="1" w:styleId="ui-accordion-content-active1">
    <w:name w:val="ui-accordion-content-active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1">
    <w:name w:val="ui-datepicker-header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prev1">
    <w:name w:val="ui-datepicker-prev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next1">
    <w:name w:val="ui-datepicker-next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title1">
    <w:name w:val="ui-datepicker-title1"/>
    <w:basedOn w:val="Standaard"/>
    <w:uiPriority w:val="99"/>
    <w:rsid w:val="006C1C1E"/>
    <w:pPr>
      <w:spacing w:line="432" w:lineRule="atLeast"/>
      <w:ind w:left="552" w:right="552"/>
      <w:jc w:val="center"/>
    </w:pPr>
    <w:rPr>
      <w:rFonts w:cs="Times New Roman"/>
      <w:lang w:val="en-US" w:eastAsia="en-US" w:bidi="ar-SA"/>
    </w:rPr>
  </w:style>
  <w:style w:type="paragraph" w:customStyle="1" w:styleId="ui-datepicker-buttonpane1">
    <w:name w:val="ui-datepicker-buttonpane1"/>
    <w:basedOn w:val="Standaard"/>
    <w:uiPriority w:val="99"/>
    <w:rsid w:val="006C1C1E"/>
    <w:pPr>
      <w:spacing w:before="168"/>
    </w:pPr>
    <w:rPr>
      <w:rFonts w:cs="Times New Roman"/>
      <w:lang w:val="en-US" w:eastAsia="en-US" w:bidi="ar-SA"/>
    </w:rPr>
  </w:style>
  <w:style w:type="paragraph" w:customStyle="1" w:styleId="ui-datepicker-group1">
    <w:name w:val="ui-datepicker-group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group2">
    <w:name w:val="ui-datepicker-group2"/>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group3">
    <w:name w:val="ui-datepicker-group3"/>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2">
    <w:name w:val="ui-datepicker-header2"/>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3">
    <w:name w:val="ui-datepicker-header3"/>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buttonpane2">
    <w:name w:val="ui-datepicker-buttonpane2"/>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buttonpane3">
    <w:name w:val="ui-datepicker-buttonpane3"/>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4">
    <w:name w:val="ui-datepicker-header4"/>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5">
    <w:name w:val="ui-datepicker-header5"/>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bar2">
    <w:name w:val="ui-dialog-titlebar2"/>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1">
    <w:name w:val="ui-dialog-title1"/>
    <w:basedOn w:val="Standaard"/>
    <w:uiPriority w:val="99"/>
    <w:rsid w:val="006C1C1E"/>
    <w:rPr>
      <w:rFonts w:cs="Times New Roman"/>
      <w:lang w:val="en-US" w:eastAsia="en-US" w:bidi="ar-SA"/>
    </w:rPr>
  </w:style>
  <w:style w:type="paragraph" w:customStyle="1" w:styleId="ui-dialog-titlebar-close2">
    <w:name w:val="ui-dialog-titlebar-close2"/>
    <w:basedOn w:val="Standaard"/>
    <w:uiPriority w:val="99"/>
    <w:rsid w:val="006C1C1E"/>
    <w:rPr>
      <w:rFonts w:cs="Times New Roman"/>
      <w:lang w:val="en-US" w:eastAsia="en-US" w:bidi="ar-SA"/>
    </w:rPr>
  </w:style>
  <w:style w:type="paragraph" w:customStyle="1" w:styleId="ui-dialog-content2">
    <w:name w:val="ui-dialog-content2"/>
    <w:basedOn w:val="Standaard"/>
    <w:uiPriority w:val="99"/>
    <w:rsid w:val="006C1C1E"/>
    <w:pPr>
      <w:spacing w:before="100" w:beforeAutospacing="1" w:after="100" w:afterAutospacing="1"/>
    </w:pPr>
    <w:rPr>
      <w:rFonts w:cs="Times New Roman"/>
      <w:lang w:val="en-US" w:eastAsia="en-US" w:bidi="ar-SA"/>
    </w:rPr>
  </w:style>
  <w:style w:type="paragraph" w:customStyle="1" w:styleId="ui-dialog-buttonpane2">
    <w:name w:val="ui-dialog-buttonpane2"/>
    <w:basedOn w:val="Standaard"/>
    <w:uiPriority w:val="99"/>
    <w:rsid w:val="006C1C1E"/>
    <w:pPr>
      <w:spacing w:before="120"/>
    </w:pPr>
    <w:rPr>
      <w:rFonts w:cs="Times New Roman"/>
      <w:lang w:val="en-US" w:eastAsia="en-US" w:bidi="ar-SA"/>
    </w:rPr>
  </w:style>
  <w:style w:type="paragraph" w:customStyle="1" w:styleId="ui-resizable-se1">
    <w:name w:val="ui-resizable-se1"/>
    <w:basedOn w:val="Standaard"/>
    <w:uiPriority w:val="99"/>
    <w:rsid w:val="006C1C1E"/>
    <w:pPr>
      <w:spacing w:before="100" w:beforeAutospacing="1" w:after="100" w:afterAutospacing="1"/>
    </w:pPr>
    <w:rPr>
      <w:rFonts w:cs="Times New Roman"/>
      <w:lang w:val="en-US" w:eastAsia="en-US" w:bidi="ar-SA"/>
    </w:rPr>
  </w:style>
  <w:style w:type="paragraph" w:customStyle="1" w:styleId="ui-progressbar-value1">
    <w:name w:val="ui-progressbar-value1"/>
    <w:basedOn w:val="Standaard"/>
    <w:uiPriority w:val="99"/>
    <w:rsid w:val="006C1C1E"/>
    <w:pPr>
      <w:ind w:left="-15" w:right="-15"/>
    </w:pPr>
    <w:rPr>
      <w:rFonts w:cs="Times New Roman"/>
      <w:lang w:val="en-US" w:eastAsia="en-US" w:bidi="ar-SA"/>
    </w:rPr>
  </w:style>
  <w:style w:type="paragraph" w:customStyle="1" w:styleId="ui-resizable-handle1">
    <w:name w:val="ui-resizable-handle1"/>
    <w:basedOn w:val="Standaard"/>
    <w:uiPriority w:val="99"/>
    <w:rsid w:val="006C1C1E"/>
    <w:pPr>
      <w:spacing w:before="100" w:beforeAutospacing="1" w:after="100" w:afterAutospacing="1"/>
    </w:pPr>
    <w:rPr>
      <w:rFonts w:cs="Times New Roman"/>
      <w:vanish/>
      <w:sz w:val="2"/>
      <w:szCs w:val="2"/>
      <w:lang w:val="en-US" w:eastAsia="en-US" w:bidi="ar-SA"/>
    </w:rPr>
  </w:style>
  <w:style w:type="paragraph" w:customStyle="1" w:styleId="ui-resizable-handle2">
    <w:name w:val="ui-resizable-handle2"/>
    <w:basedOn w:val="Standaard"/>
    <w:uiPriority w:val="99"/>
    <w:rsid w:val="006C1C1E"/>
    <w:pPr>
      <w:spacing w:before="100" w:beforeAutospacing="1" w:after="100" w:afterAutospacing="1"/>
    </w:pPr>
    <w:rPr>
      <w:rFonts w:cs="Times New Roman"/>
      <w:vanish/>
      <w:sz w:val="2"/>
      <w:szCs w:val="2"/>
      <w:lang w:val="en-US" w:eastAsia="en-US" w:bidi="ar-SA"/>
    </w:rPr>
  </w:style>
  <w:style w:type="paragraph" w:customStyle="1" w:styleId="ui-slider-handle1">
    <w:name w:val="ui-slider-handle1"/>
    <w:basedOn w:val="Standaard"/>
    <w:uiPriority w:val="99"/>
    <w:rsid w:val="006C1C1E"/>
    <w:pPr>
      <w:spacing w:before="100" w:beforeAutospacing="1" w:after="100" w:afterAutospacing="1"/>
    </w:pPr>
    <w:rPr>
      <w:rFonts w:cs="Times New Roman"/>
      <w:lang w:val="en-US" w:eastAsia="en-US" w:bidi="ar-SA"/>
    </w:rPr>
  </w:style>
  <w:style w:type="paragraph" w:customStyle="1" w:styleId="ui-slider-range1">
    <w:name w:val="ui-slider-range1"/>
    <w:basedOn w:val="Standaard"/>
    <w:uiPriority w:val="99"/>
    <w:rsid w:val="006C1C1E"/>
    <w:pPr>
      <w:spacing w:before="100" w:beforeAutospacing="1" w:after="100" w:afterAutospacing="1"/>
    </w:pPr>
    <w:rPr>
      <w:rFonts w:cs="Times New Roman"/>
      <w:sz w:val="17"/>
      <w:szCs w:val="17"/>
      <w:lang w:val="en-US" w:eastAsia="en-US" w:bidi="ar-SA"/>
    </w:rPr>
  </w:style>
  <w:style w:type="paragraph" w:customStyle="1" w:styleId="ui-slider-handle2">
    <w:name w:val="ui-slider-handle2"/>
    <w:basedOn w:val="Standaard"/>
    <w:uiPriority w:val="99"/>
    <w:rsid w:val="006C1C1E"/>
    <w:pPr>
      <w:spacing w:before="100" w:beforeAutospacing="1" w:after="100" w:afterAutospacing="1"/>
      <w:ind w:left="-144"/>
    </w:pPr>
    <w:rPr>
      <w:rFonts w:cs="Times New Roman"/>
      <w:lang w:val="en-US" w:eastAsia="en-US" w:bidi="ar-SA"/>
    </w:rPr>
  </w:style>
  <w:style w:type="paragraph" w:customStyle="1" w:styleId="ui-slider-range2">
    <w:name w:val="ui-slider-range2"/>
    <w:basedOn w:val="Standaard"/>
    <w:uiPriority w:val="99"/>
    <w:rsid w:val="006C1C1E"/>
    <w:pPr>
      <w:spacing w:before="100" w:beforeAutospacing="1" w:after="100" w:afterAutospacing="1"/>
    </w:pPr>
    <w:rPr>
      <w:rFonts w:cs="Times New Roman"/>
      <w:lang w:val="en-US" w:eastAsia="en-US" w:bidi="ar-SA"/>
    </w:rPr>
  </w:style>
  <w:style w:type="paragraph" w:customStyle="1" w:styleId="ui-slider-handle3">
    <w:name w:val="ui-slider-handle3"/>
    <w:basedOn w:val="Standaard"/>
    <w:uiPriority w:val="99"/>
    <w:rsid w:val="006C1C1E"/>
    <w:pPr>
      <w:spacing w:before="100" w:beforeAutospacing="1"/>
    </w:pPr>
    <w:rPr>
      <w:rFonts w:cs="Times New Roman"/>
      <w:lang w:val="en-US" w:eastAsia="en-US" w:bidi="ar-SA"/>
    </w:rPr>
  </w:style>
  <w:style w:type="paragraph" w:customStyle="1" w:styleId="ui-slider-range3">
    <w:name w:val="ui-slider-range3"/>
    <w:basedOn w:val="Standaard"/>
    <w:uiPriority w:val="99"/>
    <w:rsid w:val="006C1C1E"/>
    <w:pPr>
      <w:spacing w:before="100" w:beforeAutospacing="1" w:after="100" w:afterAutospacing="1"/>
    </w:pPr>
    <w:rPr>
      <w:rFonts w:cs="Times New Roman"/>
      <w:lang w:val="en-US" w:eastAsia="en-US" w:bidi="ar-SA"/>
    </w:rPr>
  </w:style>
  <w:style w:type="paragraph" w:customStyle="1" w:styleId="ui-tabs-nav1">
    <w:name w:val="ui-tabs-nav1"/>
    <w:basedOn w:val="Standaard"/>
    <w:uiPriority w:val="99"/>
    <w:rsid w:val="006C1C1E"/>
    <w:pPr>
      <w:spacing w:before="100" w:beforeAutospacing="1" w:after="100" w:afterAutospacing="1"/>
    </w:pPr>
    <w:rPr>
      <w:rFonts w:cs="Times New Roman"/>
      <w:lang w:val="en-US" w:eastAsia="en-US" w:bidi="ar-SA"/>
    </w:rPr>
  </w:style>
  <w:style w:type="paragraph" w:customStyle="1" w:styleId="ui-tabs-panel1">
    <w:name w:val="ui-tabs-panel1"/>
    <w:basedOn w:val="Standaard"/>
    <w:uiPriority w:val="99"/>
    <w:rsid w:val="006C1C1E"/>
    <w:pPr>
      <w:spacing w:before="100" w:beforeAutospacing="1" w:after="100" w:afterAutospacing="1"/>
    </w:pPr>
    <w:rPr>
      <w:rFonts w:cs="Times New Roman"/>
      <w:lang w:val="en-US" w:eastAsia="en-US" w:bidi="ar-SA"/>
    </w:rPr>
  </w:style>
  <w:style w:type="paragraph" w:customStyle="1" w:styleId="ui-tabs-hide1">
    <w:name w:val="ui-tabs-hide1"/>
    <w:basedOn w:val="Standaard"/>
    <w:uiPriority w:val="99"/>
    <w:rsid w:val="006C1C1E"/>
    <w:pPr>
      <w:spacing w:before="100" w:beforeAutospacing="1" w:after="100" w:afterAutospacing="1"/>
    </w:pPr>
    <w:rPr>
      <w:rFonts w:cs="Times New Roman"/>
      <w:vanish/>
      <w:lang w:val="en-US" w:eastAsia="en-US" w:bidi="ar-SA"/>
    </w:rPr>
  </w:style>
  <w:style w:type="paragraph" w:customStyle="1" w:styleId="navbox-title1">
    <w:name w:val="navbox-title1"/>
    <w:basedOn w:val="Standaard"/>
    <w:uiPriority w:val="99"/>
    <w:rsid w:val="006C1C1E"/>
    <w:pPr>
      <w:shd w:val="clear" w:color="auto" w:fill="DDDDFF"/>
      <w:spacing w:before="100" w:beforeAutospacing="1" w:after="100" w:afterAutospacing="1"/>
      <w:jc w:val="center"/>
    </w:pPr>
    <w:rPr>
      <w:rFonts w:cs="Times New Roman"/>
      <w:lang w:val="en-US" w:eastAsia="en-US" w:bidi="ar-SA"/>
    </w:rPr>
  </w:style>
  <w:style w:type="paragraph" w:customStyle="1" w:styleId="navbox-group1">
    <w:name w:val="navbox-group1"/>
    <w:basedOn w:val="Standaard"/>
    <w:uiPriority w:val="99"/>
    <w:rsid w:val="006C1C1E"/>
    <w:pPr>
      <w:shd w:val="clear" w:color="auto" w:fill="E6E6FF"/>
      <w:spacing w:before="100" w:beforeAutospacing="1" w:after="100" w:afterAutospacing="1"/>
      <w:jc w:val="right"/>
    </w:pPr>
    <w:rPr>
      <w:rFonts w:cs="Times New Roman"/>
      <w:b/>
      <w:bCs/>
      <w:lang w:val="en-US" w:eastAsia="en-US" w:bidi="ar-SA"/>
    </w:rPr>
  </w:style>
  <w:style w:type="paragraph" w:customStyle="1" w:styleId="navbox-abovebelow1">
    <w:name w:val="navbox-abovebelow1"/>
    <w:basedOn w:val="Standaard"/>
    <w:uiPriority w:val="99"/>
    <w:rsid w:val="006C1C1E"/>
    <w:pPr>
      <w:shd w:val="clear" w:color="auto" w:fill="E6E6FF"/>
      <w:spacing w:before="100" w:beforeAutospacing="1" w:after="100" w:afterAutospacing="1"/>
      <w:jc w:val="center"/>
    </w:pPr>
    <w:rPr>
      <w:rFonts w:cs="Times New Roman"/>
      <w:lang w:val="en-US" w:eastAsia="en-US" w:bidi="ar-SA"/>
    </w:rPr>
  </w:style>
  <w:style w:type="paragraph" w:customStyle="1" w:styleId="collapsebutton1">
    <w:name w:val="collapsebutton1"/>
    <w:basedOn w:val="Standaard"/>
    <w:uiPriority w:val="99"/>
    <w:rsid w:val="006C1C1E"/>
    <w:pPr>
      <w:spacing w:before="100" w:beforeAutospacing="1" w:after="100" w:afterAutospacing="1"/>
      <w:jc w:val="right"/>
    </w:pPr>
    <w:rPr>
      <w:rFonts w:cs="Times New Roman"/>
      <w:lang w:val="en-US" w:eastAsia="en-US" w:bidi="ar-SA"/>
    </w:rPr>
  </w:style>
  <w:style w:type="paragraph" w:customStyle="1" w:styleId="imbox1">
    <w:name w:val="imbox1"/>
    <w:basedOn w:val="Standaard"/>
    <w:uiPriority w:val="99"/>
    <w:rsid w:val="006C1C1E"/>
    <w:pPr>
      <w:ind w:left="-120" w:right="-120"/>
    </w:pPr>
    <w:rPr>
      <w:rFonts w:cs="Times New Roman"/>
      <w:lang w:val="en-US" w:eastAsia="en-US" w:bidi="ar-SA"/>
    </w:rPr>
  </w:style>
  <w:style w:type="paragraph" w:customStyle="1" w:styleId="imbox2">
    <w:name w:val="imbox2"/>
    <w:basedOn w:val="Standaard"/>
    <w:uiPriority w:val="99"/>
    <w:rsid w:val="006C1C1E"/>
    <w:pPr>
      <w:spacing w:before="60" w:after="60"/>
      <w:ind w:left="60" w:right="60"/>
    </w:pPr>
    <w:rPr>
      <w:rFonts w:cs="Times New Roman"/>
      <w:lang w:val="en-US" w:eastAsia="en-US" w:bidi="ar-SA"/>
    </w:rPr>
  </w:style>
  <w:style w:type="paragraph" w:customStyle="1" w:styleId="tmbox1">
    <w:name w:val="tmbox1"/>
    <w:basedOn w:val="Standaard"/>
    <w:uiPriority w:val="99"/>
    <w:rsid w:val="006C1C1E"/>
    <w:pPr>
      <w:spacing w:before="30" w:after="30"/>
    </w:pPr>
    <w:rPr>
      <w:rFonts w:cs="Times New Roman"/>
      <w:lang w:val="en-US" w:eastAsia="en-US" w:bidi="ar-SA"/>
    </w:rPr>
  </w:style>
  <w:style w:type="paragraph" w:customStyle="1" w:styleId="tocnumber1">
    <w:name w:val="tocnumber1"/>
    <w:basedOn w:val="Standaard"/>
    <w:uiPriority w:val="99"/>
    <w:rsid w:val="006C1C1E"/>
    <w:pPr>
      <w:spacing w:before="100" w:beforeAutospacing="1" w:after="100" w:afterAutospacing="1"/>
    </w:pPr>
    <w:rPr>
      <w:rFonts w:cs="Times New Roman"/>
      <w:vanish/>
      <w:lang w:val="en-US" w:eastAsia="en-US" w:bidi="ar-SA"/>
    </w:rPr>
  </w:style>
  <w:style w:type="paragraph" w:customStyle="1" w:styleId="selflink1">
    <w:name w:val="selflink1"/>
    <w:basedOn w:val="Standaard"/>
    <w:uiPriority w:val="99"/>
    <w:rsid w:val="006C1C1E"/>
    <w:pPr>
      <w:spacing w:before="100" w:beforeAutospacing="1" w:after="100" w:afterAutospacing="1"/>
    </w:pPr>
    <w:rPr>
      <w:rFonts w:cs="Times New Roman"/>
      <w:lang w:val="en-US" w:eastAsia="en-US" w:bidi="ar-SA"/>
    </w:rPr>
  </w:style>
  <w:style w:type="paragraph" w:customStyle="1" w:styleId="wpb-header1">
    <w:name w:val="wpb-header1"/>
    <w:basedOn w:val="Standaard"/>
    <w:uiPriority w:val="99"/>
    <w:rsid w:val="006C1C1E"/>
    <w:pPr>
      <w:spacing w:before="100" w:beforeAutospacing="1" w:after="100" w:afterAutospacing="1"/>
    </w:pPr>
    <w:rPr>
      <w:rFonts w:cs="Times New Roman"/>
      <w:vanish/>
      <w:lang w:val="en-US" w:eastAsia="en-US" w:bidi="ar-SA"/>
    </w:rPr>
  </w:style>
  <w:style w:type="paragraph" w:customStyle="1" w:styleId="wpb-header2">
    <w:name w:val="wpb-header2"/>
    <w:basedOn w:val="Standaard"/>
    <w:uiPriority w:val="99"/>
    <w:rsid w:val="006C1C1E"/>
    <w:pPr>
      <w:spacing w:before="100" w:beforeAutospacing="1" w:after="100" w:afterAutospacing="1"/>
    </w:pPr>
    <w:rPr>
      <w:rFonts w:cs="Times New Roman"/>
      <w:lang w:val="en-US" w:eastAsia="en-US" w:bidi="ar-SA"/>
    </w:rPr>
  </w:style>
  <w:style w:type="paragraph" w:customStyle="1" w:styleId="wpb-outside1">
    <w:name w:val="wpb-outside1"/>
    <w:basedOn w:val="Standaard"/>
    <w:uiPriority w:val="99"/>
    <w:rsid w:val="006C1C1E"/>
    <w:pPr>
      <w:spacing w:before="100" w:beforeAutospacing="1" w:after="100" w:afterAutospacing="1"/>
    </w:pPr>
    <w:rPr>
      <w:rFonts w:cs="Times New Roman"/>
      <w:vanish/>
      <w:lang w:val="en-US" w:eastAsia="en-US" w:bidi="ar-SA"/>
    </w:rPr>
  </w:style>
  <w:style w:type="paragraph" w:customStyle="1" w:styleId="notice-all1">
    <w:name w:val="notice-all1"/>
    <w:basedOn w:val="Standaard"/>
    <w:uiPriority w:val="99"/>
    <w:rsid w:val="006C1C1E"/>
    <w:pPr>
      <w:spacing w:before="100" w:beforeAutospacing="1" w:after="240"/>
      <w:ind w:right="30"/>
    </w:pPr>
    <w:rPr>
      <w:rFonts w:cs="Times New Roman"/>
      <w:lang w:val="en-US" w:eastAsia="en-US" w:bidi="ar-SA"/>
    </w:rPr>
  </w:style>
  <w:style w:type="paragraph" w:customStyle="1" w:styleId="sitenoticesmall1">
    <w:name w:val="sitenoticesmall1"/>
    <w:basedOn w:val="Standaard"/>
    <w:uiPriority w:val="99"/>
    <w:rsid w:val="006C1C1E"/>
    <w:pPr>
      <w:spacing w:before="100" w:beforeAutospacing="1" w:after="100" w:afterAutospacing="1"/>
    </w:pPr>
    <w:rPr>
      <w:rFonts w:cs="Times New Roman"/>
      <w:vanish/>
      <w:lang w:val="en-US" w:eastAsia="en-US" w:bidi="ar-SA"/>
    </w:rPr>
  </w:style>
  <w:style w:type="paragraph" w:customStyle="1" w:styleId="sitenoticesmallanon1">
    <w:name w:val="sitenoticesmallanon1"/>
    <w:basedOn w:val="Standaard"/>
    <w:uiPriority w:val="99"/>
    <w:rsid w:val="006C1C1E"/>
    <w:pPr>
      <w:spacing w:before="100" w:beforeAutospacing="1" w:after="100" w:afterAutospacing="1"/>
    </w:pPr>
    <w:rPr>
      <w:rFonts w:cs="Times New Roman"/>
      <w:vanish/>
      <w:lang w:val="en-US" w:eastAsia="en-US" w:bidi="ar-SA"/>
    </w:rPr>
  </w:style>
  <w:style w:type="paragraph" w:customStyle="1" w:styleId="sitenoticesmalluser1">
    <w:name w:val="sitenoticesmalluser1"/>
    <w:basedOn w:val="Standaard"/>
    <w:uiPriority w:val="99"/>
    <w:rsid w:val="006C1C1E"/>
    <w:pPr>
      <w:spacing w:before="100" w:beforeAutospacing="1" w:after="100" w:afterAutospacing="1"/>
    </w:pPr>
    <w:rPr>
      <w:rFonts w:cs="Times New Roman"/>
      <w:vanish/>
      <w:lang w:val="en-US" w:eastAsia="en-US" w:bidi="ar-SA"/>
    </w:rPr>
  </w:style>
  <w:style w:type="character" w:customStyle="1" w:styleId="country-name">
    <w:name w:val="country-name"/>
    <w:basedOn w:val="Standaardalinea-lettertype"/>
    <w:uiPriority w:val="99"/>
    <w:rsid w:val="006C1C1E"/>
    <w:rPr>
      <w:rFonts w:cs="Times New Roman"/>
    </w:rPr>
  </w:style>
  <w:style w:type="character" w:customStyle="1" w:styleId="toctoggle">
    <w:name w:val="toctoggle"/>
    <w:basedOn w:val="Standaardalinea-lettertype"/>
    <w:uiPriority w:val="99"/>
    <w:rsid w:val="006C1C1E"/>
    <w:rPr>
      <w:rFonts w:cs="Times New Roman"/>
    </w:rPr>
  </w:style>
  <w:style w:type="character" w:customStyle="1" w:styleId="tocnumber2">
    <w:name w:val="tocnumber2"/>
    <w:basedOn w:val="Standaardalinea-lettertype"/>
    <w:uiPriority w:val="99"/>
    <w:rsid w:val="006C1C1E"/>
    <w:rPr>
      <w:rFonts w:cs="Times New Roman"/>
    </w:rPr>
  </w:style>
  <w:style w:type="character" w:customStyle="1" w:styleId="toctext">
    <w:name w:val="toctext"/>
    <w:basedOn w:val="Standaardalinea-lettertype"/>
    <w:uiPriority w:val="99"/>
    <w:rsid w:val="006C1C1E"/>
    <w:rPr>
      <w:rFonts w:cs="Times New Roman"/>
    </w:rPr>
  </w:style>
  <w:style w:type="character" w:customStyle="1" w:styleId="editsection">
    <w:name w:val="editsection"/>
    <w:basedOn w:val="Standaardalinea-lettertype"/>
    <w:uiPriority w:val="99"/>
    <w:rsid w:val="006C1C1E"/>
    <w:rPr>
      <w:rFonts w:cs="Times New Roman"/>
    </w:rPr>
  </w:style>
  <w:style w:type="character" w:customStyle="1" w:styleId="mw-headline">
    <w:name w:val="mw-headline"/>
    <w:basedOn w:val="Standaardalinea-lettertype"/>
    <w:uiPriority w:val="99"/>
    <w:rsid w:val="006C1C1E"/>
    <w:rPr>
      <w:rFonts w:cs="Times New Roman"/>
    </w:rPr>
  </w:style>
  <w:style w:type="character" w:customStyle="1" w:styleId="z3988">
    <w:name w:val="z3988"/>
    <w:basedOn w:val="Standaardalinea-lettertype"/>
    <w:uiPriority w:val="99"/>
    <w:rsid w:val="006C1C1E"/>
    <w:rPr>
      <w:rFonts w:cs="Times New Roman"/>
    </w:rPr>
  </w:style>
  <w:style w:type="character" w:customStyle="1" w:styleId="languageicon">
    <w:name w:val="languageicon"/>
    <w:basedOn w:val="Standaardalinea-lettertype"/>
    <w:uiPriority w:val="99"/>
    <w:rsid w:val="006C1C1E"/>
    <w:rPr>
      <w:rFonts w:cs="Times New Roman"/>
    </w:rPr>
  </w:style>
  <w:style w:type="character" w:styleId="Zwaar">
    <w:name w:val="Strong"/>
    <w:basedOn w:val="Standaardalinea-lettertype"/>
    <w:uiPriority w:val="99"/>
    <w:qFormat/>
    <w:locked/>
    <w:rsid w:val="006C1C1E"/>
    <w:rPr>
      <w:rFonts w:cs="Times New Roman"/>
      <w:b/>
      <w:bCs/>
    </w:rPr>
  </w:style>
  <w:style w:type="paragraph" w:customStyle="1" w:styleId="oecdtitle5">
    <w:name w:val="oecdtitle5"/>
    <w:basedOn w:val="Standaard"/>
    <w:uiPriority w:val="99"/>
    <w:rsid w:val="00605AE0"/>
    <w:pPr>
      <w:spacing w:before="75" w:after="75"/>
    </w:pPr>
    <w:rPr>
      <w:rFonts w:cs="Times New Roman"/>
      <w:lang w:val="en-US" w:eastAsia="en-US" w:bidi="ar-SA"/>
    </w:rPr>
  </w:style>
  <w:style w:type="paragraph" w:styleId="Bovenkantformulier">
    <w:name w:val="HTML Top of Form"/>
    <w:basedOn w:val="Standaard"/>
    <w:next w:val="Standaard"/>
    <w:link w:val="BovenkantformulierChar"/>
    <w:hidden/>
    <w:uiPriority w:val="99"/>
    <w:rsid w:val="00F03E07"/>
    <w:pPr>
      <w:pBdr>
        <w:bottom w:val="single" w:sz="6" w:space="1" w:color="auto"/>
      </w:pBdr>
      <w:jc w:val="center"/>
    </w:pPr>
    <w:rPr>
      <w:rFonts w:ascii="Arial" w:hAnsi="Arial" w:cs="Arial"/>
      <w:vanish/>
      <w:sz w:val="16"/>
      <w:szCs w:val="16"/>
      <w:lang w:val="en-US" w:eastAsia="en-US" w:bidi="ar-SA"/>
    </w:rPr>
  </w:style>
  <w:style w:type="character" w:customStyle="1" w:styleId="BovenkantformulierChar">
    <w:name w:val="Bovenkant formulier Char"/>
    <w:basedOn w:val="Standaardalinea-lettertype"/>
    <w:link w:val="Bovenkantformulier"/>
    <w:uiPriority w:val="99"/>
    <w:semiHidden/>
    <w:locked/>
    <w:rsid w:val="00555D25"/>
    <w:rPr>
      <w:rFonts w:ascii="Arial" w:hAnsi="Arial" w:cs="Cordia New"/>
      <w:vanish/>
      <w:sz w:val="20"/>
      <w:szCs w:val="20"/>
      <w:lang w:val="en-AU" w:eastAsia="en-AU" w:bidi="th-TH"/>
    </w:rPr>
  </w:style>
  <w:style w:type="paragraph" w:styleId="Onderkantformulier">
    <w:name w:val="HTML Bottom of Form"/>
    <w:basedOn w:val="Standaard"/>
    <w:next w:val="Standaard"/>
    <w:link w:val="OnderkantformulierChar"/>
    <w:hidden/>
    <w:uiPriority w:val="99"/>
    <w:rsid w:val="00F03E07"/>
    <w:pPr>
      <w:pBdr>
        <w:top w:val="single" w:sz="6" w:space="1" w:color="auto"/>
      </w:pBdr>
      <w:jc w:val="center"/>
    </w:pPr>
    <w:rPr>
      <w:rFonts w:ascii="Arial" w:hAnsi="Arial" w:cs="Arial"/>
      <w:vanish/>
      <w:sz w:val="16"/>
      <w:szCs w:val="16"/>
      <w:lang w:val="en-US" w:eastAsia="en-US" w:bidi="ar-SA"/>
    </w:rPr>
  </w:style>
  <w:style w:type="character" w:customStyle="1" w:styleId="OnderkantformulierChar">
    <w:name w:val="Onderkant formulier Char"/>
    <w:basedOn w:val="Standaardalinea-lettertype"/>
    <w:link w:val="Onderkantformulier"/>
    <w:uiPriority w:val="99"/>
    <w:semiHidden/>
    <w:locked/>
    <w:rsid w:val="00555D25"/>
    <w:rPr>
      <w:rFonts w:ascii="Arial" w:hAnsi="Arial" w:cs="Cordia New"/>
      <w:vanish/>
      <w:sz w:val="20"/>
      <w:szCs w:val="20"/>
      <w:lang w:val="en-AU" w:eastAsia="en-AU" w:bidi="th-TH"/>
    </w:rPr>
  </w:style>
  <w:style w:type="paragraph" w:styleId="Subtitel">
    <w:name w:val="Subtitle"/>
    <w:basedOn w:val="Standaard"/>
    <w:next w:val="Standaard"/>
    <w:link w:val="SubtitelChar"/>
    <w:uiPriority w:val="99"/>
    <w:qFormat/>
    <w:locked/>
    <w:rsid w:val="008A1A67"/>
    <w:pPr>
      <w:numPr>
        <w:ilvl w:val="1"/>
      </w:numPr>
    </w:pPr>
    <w:rPr>
      <w:rFonts w:ascii="Cambria" w:hAnsi="Cambria"/>
      <w:i/>
      <w:iCs/>
      <w:color w:val="4F81BD"/>
      <w:spacing w:val="15"/>
      <w:szCs w:val="30"/>
    </w:rPr>
  </w:style>
  <w:style w:type="character" w:customStyle="1" w:styleId="SubtitelChar">
    <w:name w:val="Subtitel Char"/>
    <w:basedOn w:val="Standaardalinea-lettertype"/>
    <w:link w:val="Subtitel"/>
    <w:uiPriority w:val="99"/>
    <w:locked/>
    <w:rsid w:val="008A1A67"/>
    <w:rPr>
      <w:rFonts w:ascii="Cambria" w:hAnsi="Cambria" w:cs="Angsana New"/>
      <w:i/>
      <w:iCs/>
      <w:color w:val="4F81BD"/>
      <w:spacing w:val="15"/>
      <w:sz w:val="30"/>
      <w:szCs w:val="30"/>
      <w:lang w:val="en-AU" w:eastAsia="en-AU" w:bidi="th-TH"/>
    </w:rPr>
  </w:style>
  <w:style w:type="table" w:customStyle="1" w:styleId="Lichtearcering3">
    <w:name w:val="Lichte arcering3"/>
    <w:uiPriority w:val="99"/>
    <w:rsid w:val="00764632"/>
    <w:rPr>
      <w:color w:val="000000"/>
      <w:lang w:val="nl-NL"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chtearcering4">
    <w:name w:val="Lichte arcering4"/>
    <w:uiPriority w:val="99"/>
    <w:rsid w:val="003D077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ijschrift">
    <w:name w:val="caption"/>
    <w:basedOn w:val="Standaard"/>
    <w:next w:val="Standaard"/>
    <w:uiPriority w:val="99"/>
    <w:qFormat/>
    <w:locked/>
    <w:rsid w:val="00E911D6"/>
    <w:pPr>
      <w:spacing w:after="200"/>
    </w:pPr>
    <w:rPr>
      <w:b/>
      <w:bCs/>
      <w:color w:val="4F81BD"/>
      <w:sz w:val="18"/>
      <w:szCs w:val="22"/>
    </w:rPr>
  </w:style>
  <w:style w:type="table" w:customStyle="1" w:styleId="Lichtearcering5">
    <w:name w:val="Lichte arcering5"/>
    <w:uiPriority w:val="99"/>
    <w:rsid w:val="00144AC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1">
    <w:name w:val="Style1"/>
    <w:basedOn w:val="Kop2"/>
    <w:uiPriority w:val="99"/>
    <w:rsid w:val="00431643"/>
    <w:pPr>
      <w:numPr>
        <w:numId w:val="1"/>
      </w:numPr>
      <w:jc w:val="both"/>
    </w:pPr>
    <w:rPr>
      <w:rFonts w:ascii="Times New Roman" w:hAnsi="Times New Roman"/>
      <w:sz w:val="24"/>
      <w:szCs w:val="24"/>
    </w:rPr>
  </w:style>
  <w:style w:type="paragraph" w:styleId="Inhopg2">
    <w:name w:val="toc 2"/>
    <w:basedOn w:val="Standaard"/>
    <w:next w:val="Standaard"/>
    <w:autoRedefine/>
    <w:uiPriority w:val="39"/>
    <w:rsid w:val="001B3BEA"/>
    <w:pPr>
      <w:ind w:left="240"/>
    </w:pPr>
  </w:style>
  <w:style w:type="paragraph" w:styleId="Geenafstand">
    <w:name w:val="No Spacing"/>
    <w:link w:val="GeenafstandChar"/>
    <w:uiPriority w:val="99"/>
    <w:qFormat/>
    <w:rsid w:val="000D7E12"/>
    <w:rPr>
      <w:rFonts w:ascii="Calibri" w:hAnsi="Calibri" w:cs="Arial"/>
      <w:sz w:val="22"/>
      <w:szCs w:val="22"/>
      <w:lang w:val="nl-NL"/>
    </w:rPr>
  </w:style>
  <w:style w:type="character" w:customStyle="1" w:styleId="GeenafstandChar">
    <w:name w:val="Geen afstand Char"/>
    <w:basedOn w:val="Standaardalinea-lettertype"/>
    <w:link w:val="Geenafstand"/>
    <w:uiPriority w:val="99"/>
    <w:locked/>
    <w:rsid w:val="000D7E12"/>
    <w:rPr>
      <w:rFonts w:ascii="Calibri" w:hAnsi="Calibri" w:cs="Arial"/>
      <w:sz w:val="22"/>
      <w:szCs w:val="22"/>
      <w:lang w:val="nl-NL" w:eastAsia="en-US" w:bidi="ar-SA"/>
    </w:rPr>
  </w:style>
  <w:style w:type="table" w:customStyle="1" w:styleId="Lichtearcering6">
    <w:name w:val="Lichte arcering6"/>
    <w:uiPriority w:val="99"/>
    <w:rsid w:val="004B643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
    <w:name w:val="Light List1"/>
    <w:uiPriority w:val="99"/>
    <w:rsid w:val="001A2E6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Shading2">
    <w:name w:val="Light Shading2"/>
    <w:uiPriority w:val="99"/>
    <w:rsid w:val="00FC36E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9D40A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9D40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Grid1">
    <w:name w:val="Light Grid1"/>
    <w:uiPriority w:val="99"/>
    <w:rsid w:val="009D40A0"/>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MediumList21">
    <w:name w:val="Medium List 21"/>
    <w:uiPriority w:val="99"/>
    <w:rsid w:val="00492EA4"/>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fn">
    <w:name w:val="fn"/>
    <w:basedOn w:val="Standaardalinea-lettertype"/>
    <w:uiPriority w:val="99"/>
    <w:rsid w:val="005E7860"/>
    <w:rPr>
      <w:rFonts w:cs="Times New Roman"/>
    </w:rPr>
  </w:style>
  <w:style w:type="character" w:customStyle="1" w:styleId="author-title">
    <w:name w:val="author-title"/>
    <w:basedOn w:val="Standaardalinea-lettertype"/>
    <w:uiPriority w:val="99"/>
    <w:rsid w:val="005E7860"/>
    <w:rPr>
      <w:rFonts w:cs="Times New Roman"/>
    </w:rPr>
  </w:style>
  <w:style w:type="character" w:customStyle="1" w:styleId="author-attribution">
    <w:name w:val="author-attribution"/>
    <w:basedOn w:val="Standaardalinea-lettertype"/>
    <w:uiPriority w:val="99"/>
    <w:rsid w:val="005E7860"/>
    <w:rPr>
      <w:rFonts w:cs="Times New Roman"/>
    </w:rPr>
  </w:style>
  <w:style w:type="table" w:customStyle="1" w:styleId="LightList-Accent11">
    <w:name w:val="Light List - Accent 11"/>
    <w:basedOn w:val="Standaardtabel"/>
    <w:uiPriority w:val="99"/>
    <w:rsid w:val="0078079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chtelijst-accent6">
    <w:name w:val="Light List Accent 6"/>
    <w:basedOn w:val="Standaardtabel"/>
    <w:uiPriority w:val="99"/>
    <w:rsid w:val="0078079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11">
    <w:name w:val="Medium List 1 - Accent 11"/>
    <w:basedOn w:val="Standaardtabel"/>
    <w:uiPriority w:val="99"/>
    <w:rsid w:val="0078079E"/>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Gemiddeldelijst2-accent1">
    <w:name w:val="Medium List 2 Accent 1"/>
    <w:basedOn w:val="Standaardtabel"/>
    <w:uiPriority w:val="99"/>
    <w:rsid w:val="0078079E"/>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Inhopg3">
    <w:name w:val="toc 3"/>
    <w:basedOn w:val="Standaard"/>
    <w:next w:val="Standaard"/>
    <w:autoRedefine/>
    <w:uiPriority w:val="39"/>
    <w:locked/>
    <w:rsid w:val="00A84EFB"/>
    <w:pPr>
      <w:ind w:left="480"/>
    </w:pPr>
  </w:style>
  <w:style w:type="paragraph" w:styleId="Inhopg4">
    <w:name w:val="toc 4"/>
    <w:basedOn w:val="Standaard"/>
    <w:next w:val="Standaard"/>
    <w:autoRedefine/>
    <w:uiPriority w:val="39"/>
    <w:locked/>
    <w:rsid w:val="001E6773"/>
    <w:pPr>
      <w:ind w:left="720"/>
    </w:pPr>
    <w:rPr>
      <w:rFonts w:cs="Times New Roman"/>
      <w:lang w:val="en-US" w:eastAsia="en-US" w:bidi="ar-SA"/>
    </w:rPr>
  </w:style>
  <w:style w:type="paragraph" w:styleId="Inhopg5">
    <w:name w:val="toc 5"/>
    <w:basedOn w:val="Standaard"/>
    <w:next w:val="Standaard"/>
    <w:autoRedefine/>
    <w:uiPriority w:val="39"/>
    <w:locked/>
    <w:rsid w:val="001E6773"/>
    <w:pPr>
      <w:ind w:left="960"/>
    </w:pPr>
    <w:rPr>
      <w:rFonts w:cs="Times New Roman"/>
      <w:lang w:val="en-US" w:eastAsia="en-US" w:bidi="ar-SA"/>
    </w:rPr>
  </w:style>
  <w:style w:type="paragraph" w:styleId="Inhopg6">
    <w:name w:val="toc 6"/>
    <w:basedOn w:val="Standaard"/>
    <w:next w:val="Standaard"/>
    <w:autoRedefine/>
    <w:uiPriority w:val="39"/>
    <w:locked/>
    <w:rsid w:val="001E6773"/>
    <w:pPr>
      <w:ind w:left="1200"/>
    </w:pPr>
    <w:rPr>
      <w:rFonts w:cs="Times New Roman"/>
      <w:lang w:val="en-US" w:eastAsia="en-US" w:bidi="ar-SA"/>
    </w:rPr>
  </w:style>
  <w:style w:type="paragraph" w:styleId="Inhopg7">
    <w:name w:val="toc 7"/>
    <w:basedOn w:val="Standaard"/>
    <w:next w:val="Standaard"/>
    <w:autoRedefine/>
    <w:uiPriority w:val="39"/>
    <w:locked/>
    <w:rsid w:val="001E6773"/>
    <w:pPr>
      <w:ind w:left="1440"/>
    </w:pPr>
    <w:rPr>
      <w:rFonts w:cs="Times New Roman"/>
      <w:lang w:val="en-US" w:eastAsia="en-US" w:bidi="ar-SA"/>
    </w:rPr>
  </w:style>
  <w:style w:type="paragraph" w:styleId="Inhopg8">
    <w:name w:val="toc 8"/>
    <w:basedOn w:val="Standaard"/>
    <w:next w:val="Standaard"/>
    <w:autoRedefine/>
    <w:uiPriority w:val="39"/>
    <w:locked/>
    <w:rsid w:val="001E6773"/>
    <w:pPr>
      <w:ind w:left="1680"/>
    </w:pPr>
    <w:rPr>
      <w:rFonts w:cs="Times New Roman"/>
      <w:lang w:val="en-US" w:eastAsia="en-US" w:bidi="ar-SA"/>
    </w:rPr>
  </w:style>
  <w:style w:type="paragraph" w:styleId="Inhopg9">
    <w:name w:val="toc 9"/>
    <w:basedOn w:val="Standaard"/>
    <w:next w:val="Standaard"/>
    <w:autoRedefine/>
    <w:uiPriority w:val="39"/>
    <w:locked/>
    <w:rsid w:val="001E6773"/>
    <w:pPr>
      <w:ind w:left="1920"/>
    </w:pPr>
    <w:rPr>
      <w:rFonts w:cs="Times New Roman"/>
      <w:lang w:val="en-US" w:eastAsia="en-US" w:bidi="ar-SA"/>
    </w:rPr>
  </w:style>
  <w:style w:type="character" w:styleId="Regelnummer">
    <w:name w:val="line number"/>
    <w:basedOn w:val="Standaardalinea-lettertype"/>
    <w:uiPriority w:val="99"/>
    <w:semiHidden/>
    <w:unhideWhenUsed/>
    <w:locked/>
    <w:rsid w:val="00667F7B"/>
  </w:style>
  <w:style w:type="table" w:customStyle="1" w:styleId="MediumList22">
    <w:name w:val="Medium List 22"/>
    <w:basedOn w:val="Standaardtabel"/>
    <w:uiPriority w:val="66"/>
    <w:rsid w:val="00F851A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Kop4Char">
    <w:name w:val="Kop 4 Char"/>
    <w:basedOn w:val="Standaardalinea-lettertype"/>
    <w:link w:val="Kop4"/>
    <w:semiHidden/>
    <w:rsid w:val="00535AD3"/>
    <w:rPr>
      <w:rFonts w:asciiTheme="majorHAnsi" w:eastAsiaTheme="majorEastAsia" w:hAnsiTheme="majorHAnsi" w:cs="Angsana New"/>
      <w:b/>
      <w:bCs/>
      <w:i/>
      <w:iCs/>
      <w:color w:val="4F81BD" w:themeColor="accent1"/>
      <w:sz w:val="24"/>
      <w:szCs w:val="30"/>
      <w:lang w:val="en-AU" w:eastAsia="en-AU" w:bidi="th-TH"/>
    </w:rPr>
  </w:style>
  <w:style w:type="character" w:customStyle="1" w:styleId="Kop6Char">
    <w:name w:val="Kop 6 Char"/>
    <w:basedOn w:val="Standaardalinea-lettertype"/>
    <w:link w:val="Kop6"/>
    <w:semiHidden/>
    <w:rsid w:val="00535AD3"/>
    <w:rPr>
      <w:rFonts w:asciiTheme="majorHAnsi" w:eastAsiaTheme="majorEastAsia" w:hAnsiTheme="majorHAnsi" w:cs="Angsana New"/>
      <w:i/>
      <w:iCs/>
      <w:color w:val="243F60" w:themeColor="accent1" w:themeShade="7F"/>
      <w:sz w:val="24"/>
      <w:szCs w:val="30"/>
      <w:lang w:val="en-AU" w:eastAsia="en-AU" w:bidi="th-TH"/>
    </w:rPr>
  </w:style>
  <w:style w:type="character" w:customStyle="1" w:styleId="Kop7Char">
    <w:name w:val="Kop 7 Char"/>
    <w:basedOn w:val="Standaardalinea-lettertype"/>
    <w:link w:val="Kop7"/>
    <w:semiHidden/>
    <w:rsid w:val="00535AD3"/>
    <w:rPr>
      <w:rFonts w:asciiTheme="majorHAnsi" w:eastAsiaTheme="majorEastAsia" w:hAnsiTheme="majorHAnsi" w:cs="Angsana New"/>
      <w:i/>
      <w:iCs/>
      <w:color w:val="404040" w:themeColor="text1" w:themeTint="BF"/>
      <w:sz w:val="24"/>
      <w:szCs w:val="30"/>
      <w:lang w:val="en-AU" w:eastAsia="en-AU" w:bidi="th-TH"/>
    </w:rPr>
  </w:style>
  <w:style w:type="character" w:customStyle="1" w:styleId="Kop8Char">
    <w:name w:val="Kop 8 Char"/>
    <w:basedOn w:val="Standaardalinea-lettertype"/>
    <w:link w:val="Kop8"/>
    <w:semiHidden/>
    <w:rsid w:val="00535AD3"/>
    <w:rPr>
      <w:rFonts w:asciiTheme="majorHAnsi" w:eastAsiaTheme="majorEastAsia" w:hAnsiTheme="majorHAnsi" w:cs="Angsana New"/>
      <w:color w:val="404040" w:themeColor="text1" w:themeTint="BF"/>
      <w:szCs w:val="25"/>
      <w:lang w:val="en-AU" w:eastAsia="en-AU" w:bidi="th-TH"/>
    </w:rPr>
  </w:style>
  <w:style w:type="character" w:customStyle="1" w:styleId="Kop9Char">
    <w:name w:val="Kop 9 Char"/>
    <w:basedOn w:val="Standaardalinea-lettertype"/>
    <w:link w:val="Kop9"/>
    <w:semiHidden/>
    <w:rsid w:val="00535AD3"/>
    <w:rPr>
      <w:rFonts w:asciiTheme="majorHAnsi" w:eastAsiaTheme="majorEastAsia" w:hAnsiTheme="majorHAnsi" w:cs="Angsana New"/>
      <w:i/>
      <w:iCs/>
      <w:color w:val="404040" w:themeColor="text1" w:themeTint="BF"/>
      <w:szCs w:val="25"/>
      <w:lang w:val="en-AU" w:eastAsia="en-AU" w:bidi="th-TH"/>
    </w:rPr>
  </w:style>
  <w:style w:type="paragraph" w:styleId="Revisie">
    <w:name w:val="Revision"/>
    <w:hidden/>
    <w:uiPriority w:val="99"/>
    <w:semiHidden/>
    <w:rsid w:val="008D6AEC"/>
    <w:rPr>
      <w:rFonts w:cs="Angsana New"/>
      <w:sz w:val="24"/>
      <w:szCs w:val="30"/>
      <w:lang w:val="en-AU" w:eastAsia="en-AU" w:bidi="th-TH"/>
    </w:rPr>
  </w:style>
  <w:style w:type="character" w:customStyle="1" w:styleId="st1">
    <w:name w:val="st1"/>
    <w:basedOn w:val="Standaardalinea-lettertype"/>
    <w:rsid w:val="002554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0" w:qFormat="1"/>
    <w:lsdException w:name="heading 5" w:semiHidden="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5702DD"/>
    <w:rPr>
      <w:rFonts w:cs="Angsana New"/>
      <w:sz w:val="24"/>
      <w:szCs w:val="24"/>
      <w:lang w:val="en-AU" w:eastAsia="en-AU" w:bidi="th-TH"/>
    </w:rPr>
  </w:style>
  <w:style w:type="paragraph" w:styleId="Kop1">
    <w:name w:val="heading 1"/>
    <w:basedOn w:val="Standaard"/>
    <w:next w:val="Standaard"/>
    <w:link w:val="Kop1Char"/>
    <w:uiPriority w:val="99"/>
    <w:qFormat/>
    <w:rsid w:val="00F7375E"/>
    <w:pPr>
      <w:keepNext/>
      <w:spacing w:before="240" w:after="60"/>
      <w:ind w:left="432" w:hanging="432"/>
      <w:outlineLvl w:val="0"/>
    </w:pPr>
    <w:rPr>
      <w:b/>
      <w:bCs/>
      <w:kern w:val="32"/>
      <w:sz w:val="28"/>
      <w:szCs w:val="40"/>
    </w:rPr>
  </w:style>
  <w:style w:type="paragraph" w:styleId="Kop2">
    <w:name w:val="heading 2"/>
    <w:basedOn w:val="Standaard"/>
    <w:next w:val="Standaard"/>
    <w:link w:val="Kop2Char"/>
    <w:uiPriority w:val="99"/>
    <w:qFormat/>
    <w:locked/>
    <w:rsid w:val="006C1C1E"/>
    <w:pPr>
      <w:keepNext/>
      <w:spacing w:before="240" w:after="60"/>
      <w:ind w:left="576" w:hanging="576"/>
      <w:outlineLvl w:val="1"/>
    </w:pPr>
    <w:rPr>
      <w:rFonts w:ascii="Arial" w:hAnsi="Arial" w:cs="Arial"/>
      <w:b/>
      <w:bCs/>
      <w:i/>
      <w:iCs/>
      <w:sz w:val="28"/>
      <w:szCs w:val="28"/>
    </w:rPr>
  </w:style>
  <w:style w:type="paragraph" w:styleId="Kop3">
    <w:name w:val="heading 3"/>
    <w:basedOn w:val="Standaard"/>
    <w:next w:val="Standaard"/>
    <w:link w:val="Kop3Char"/>
    <w:uiPriority w:val="99"/>
    <w:qFormat/>
    <w:rsid w:val="00A41B0D"/>
    <w:pPr>
      <w:keepNext/>
      <w:keepLines/>
      <w:spacing w:before="200"/>
      <w:ind w:left="720" w:hanging="720"/>
      <w:outlineLvl w:val="2"/>
    </w:pPr>
    <w:rPr>
      <w:rFonts w:ascii="Cambria" w:hAnsi="Cambria"/>
      <w:b/>
      <w:bCs/>
      <w:color w:val="4F81BD"/>
      <w:szCs w:val="30"/>
    </w:rPr>
  </w:style>
  <w:style w:type="paragraph" w:styleId="Kop4">
    <w:name w:val="heading 4"/>
    <w:basedOn w:val="Standaard"/>
    <w:next w:val="Standaard"/>
    <w:link w:val="Kop4Char"/>
    <w:semiHidden/>
    <w:unhideWhenUsed/>
    <w:qFormat/>
    <w:rsid w:val="00535AD3"/>
    <w:pPr>
      <w:keepNext/>
      <w:keepLines/>
      <w:spacing w:before="200"/>
      <w:ind w:left="864" w:hanging="864"/>
      <w:outlineLvl w:val="3"/>
    </w:pPr>
    <w:rPr>
      <w:rFonts w:asciiTheme="majorHAnsi" w:eastAsiaTheme="majorEastAsia" w:hAnsiTheme="majorHAnsi"/>
      <w:b/>
      <w:bCs/>
      <w:i/>
      <w:iCs/>
      <w:color w:val="4F81BD" w:themeColor="accent1"/>
      <w:szCs w:val="30"/>
    </w:rPr>
  </w:style>
  <w:style w:type="paragraph" w:styleId="Kop5">
    <w:name w:val="heading 5"/>
    <w:basedOn w:val="Standaard"/>
    <w:link w:val="Kop5Char"/>
    <w:uiPriority w:val="99"/>
    <w:qFormat/>
    <w:locked/>
    <w:rsid w:val="00F03E07"/>
    <w:pPr>
      <w:spacing w:before="100" w:beforeAutospacing="1" w:after="100" w:afterAutospacing="1"/>
      <w:ind w:left="1008" w:hanging="1008"/>
      <w:outlineLvl w:val="4"/>
    </w:pPr>
    <w:rPr>
      <w:rFonts w:cs="Times New Roman"/>
      <w:b/>
      <w:bCs/>
      <w:sz w:val="20"/>
      <w:szCs w:val="20"/>
      <w:lang w:val="en-US" w:eastAsia="en-US" w:bidi="ar-SA"/>
    </w:rPr>
  </w:style>
  <w:style w:type="paragraph" w:styleId="Kop6">
    <w:name w:val="heading 6"/>
    <w:basedOn w:val="Standaard"/>
    <w:next w:val="Standaard"/>
    <w:link w:val="Kop6Char"/>
    <w:semiHidden/>
    <w:unhideWhenUsed/>
    <w:qFormat/>
    <w:rsid w:val="00535AD3"/>
    <w:pPr>
      <w:keepNext/>
      <w:keepLines/>
      <w:spacing w:before="200"/>
      <w:ind w:left="1152" w:hanging="1152"/>
      <w:outlineLvl w:val="5"/>
    </w:pPr>
    <w:rPr>
      <w:rFonts w:asciiTheme="majorHAnsi" w:eastAsiaTheme="majorEastAsia" w:hAnsiTheme="majorHAnsi"/>
      <w:i/>
      <w:iCs/>
      <w:color w:val="243F60" w:themeColor="accent1" w:themeShade="7F"/>
      <w:szCs w:val="30"/>
    </w:rPr>
  </w:style>
  <w:style w:type="paragraph" w:styleId="Kop7">
    <w:name w:val="heading 7"/>
    <w:basedOn w:val="Standaard"/>
    <w:next w:val="Standaard"/>
    <w:link w:val="Kop7Char"/>
    <w:semiHidden/>
    <w:unhideWhenUsed/>
    <w:qFormat/>
    <w:rsid w:val="00535AD3"/>
    <w:pPr>
      <w:keepNext/>
      <w:keepLines/>
      <w:spacing w:before="200"/>
      <w:ind w:left="1296" w:hanging="1296"/>
      <w:outlineLvl w:val="6"/>
    </w:pPr>
    <w:rPr>
      <w:rFonts w:asciiTheme="majorHAnsi" w:eastAsiaTheme="majorEastAsia" w:hAnsiTheme="majorHAnsi"/>
      <w:i/>
      <w:iCs/>
      <w:color w:val="404040" w:themeColor="text1" w:themeTint="BF"/>
      <w:szCs w:val="30"/>
    </w:rPr>
  </w:style>
  <w:style w:type="paragraph" w:styleId="Kop8">
    <w:name w:val="heading 8"/>
    <w:basedOn w:val="Standaard"/>
    <w:next w:val="Standaard"/>
    <w:link w:val="Kop8Char"/>
    <w:semiHidden/>
    <w:unhideWhenUsed/>
    <w:qFormat/>
    <w:rsid w:val="00535AD3"/>
    <w:pPr>
      <w:keepNext/>
      <w:keepLines/>
      <w:spacing w:before="200"/>
      <w:ind w:left="1440" w:hanging="1440"/>
      <w:outlineLvl w:val="7"/>
    </w:pPr>
    <w:rPr>
      <w:rFonts w:asciiTheme="majorHAnsi" w:eastAsiaTheme="majorEastAsia" w:hAnsiTheme="majorHAnsi"/>
      <w:color w:val="404040" w:themeColor="text1" w:themeTint="BF"/>
      <w:sz w:val="20"/>
      <w:szCs w:val="25"/>
    </w:rPr>
  </w:style>
  <w:style w:type="paragraph" w:styleId="Kop9">
    <w:name w:val="heading 9"/>
    <w:basedOn w:val="Standaard"/>
    <w:next w:val="Standaard"/>
    <w:link w:val="Kop9Char"/>
    <w:semiHidden/>
    <w:unhideWhenUsed/>
    <w:qFormat/>
    <w:rsid w:val="00535AD3"/>
    <w:pPr>
      <w:keepNext/>
      <w:keepLines/>
      <w:spacing w:before="200"/>
      <w:ind w:left="1584" w:hanging="1584"/>
      <w:outlineLvl w:val="8"/>
    </w:pPr>
    <w:rPr>
      <w:rFonts w:asciiTheme="majorHAnsi" w:eastAsiaTheme="majorEastAsia" w:hAnsiTheme="majorHAnsi"/>
      <w:i/>
      <w:iCs/>
      <w:color w:val="404040" w:themeColor="text1" w:themeTint="BF"/>
      <w:sz w:val="20"/>
      <w:szCs w:val="2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F7375E"/>
    <w:rPr>
      <w:rFonts w:cs="Angsana New"/>
      <w:b/>
      <w:bCs/>
      <w:kern w:val="32"/>
      <w:sz w:val="28"/>
      <w:szCs w:val="40"/>
      <w:lang w:val="en-AU" w:eastAsia="en-AU" w:bidi="th-TH"/>
    </w:rPr>
  </w:style>
  <w:style w:type="character" w:customStyle="1" w:styleId="Kop2Char">
    <w:name w:val="Kop 2 Char"/>
    <w:basedOn w:val="Standaardalinea-lettertype"/>
    <w:link w:val="Kop2"/>
    <w:uiPriority w:val="99"/>
    <w:locked/>
    <w:rsid w:val="001A5065"/>
    <w:rPr>
      <w:rFonts w:ascii="Arial" w:hAnsi="Arial" w:cs="Arial"/>
      <w:b/>
      <w:bCs/>
      <w:i/>
      <w:iCs/>
      <w:sz w:val="28"/>
      <w:szCs w:val="28"/>
      <w:lang w:val="en-AU" w:eastAsia="en-AU" w:bidi="th-TH"/>
    </w:rPr>
  </w:style>
  <w:style w:type="character" w:customStyle="1" w:styleId="Kop3Char">
    <w:name w:val="Kop 3 Char"/>
    <w:basedOn w:val="Standaardalinea-lettertype"/>
    <w:link w:val="Kop3"/>
    <w:uiPriority w:val="99"/>
    <w:locked/>
    <w:rsid w:val="00A41B0D"/>
    <w:rPr>
      <w:rFonts w:ascii="Cambria" w:hAnsi="Cambria" w:cs="Angsana New"/>
      <w:b/>
      <w:bCs/>
      <w:color w:val="4F81BD"/>
      <w:sz w:val="24"/>
      <w:szCs w:val="30"/>
      <w:lang w:val="en-AU" w:eastAsia="en-AU" w:bidi="th-TH"/>
    </w:rPr>
  </w:style>
  <w:style w:type="character" w:customStyle="1" w:styleId="Kop5Char">
    <w:name w:val="Kop 5 Char"/>
    <w:basedOn w:val="Standaardalinea-lettertype"/>
    <w:link w:val="Kop5"/>
    <w:uiPriority w:val="99"/>
    <w:locked/>
    <w:rsid w:val="00555D25"/>
    <w:rPr>
      <w:b/>
      <w:bCs/>
    </w:rPr>
  </w:style>
  <w:style w:type="table" w:styleId="Tabelraster">
    <w:name w:val="Table Grid"/>
    <w:basedOn w:val="Standaardtabel"/>
    <w:uiPriority w:val="99"/>
    <w:rsid w:val="00CC1F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rsid w:val="007A01C2"/>
    <w:rPr>
      <w:sz w:val="20"/>
      <w:szCs w:val="20"/>
    </w:rPr>
  </w:style>
  <w:style w:type="character" w:customStyle="1" w:styleId="VoetnoottekstChar">
    <w:name w:val="Voetnoottekst Char"/>
    <w:basedOn w:val="Standaardalinea-lettertype"/>
    <w:link w:val="Voetnoottekst"/>
    <w:uiPriority w:val="99"/>
    <w:semiHidden/>
    <w:locked/>
    <w:rsid w:val="007C47CA"/>
    <w:rPr>
      <w:rFonts w:cs="Angsana New"/>
      <w:sz w:val="25"/>
      <w:szCs w:val="25"/>
      <w:lang w:val="en-AU" w:eastAsia="en-AU" w:bidi="th-TH"/>
    </w:rPr>
  </w:style>
  <w:style w:type="character" w:styleId="Voetnootmarkering">
    <w:name w:val="footnote reference"/>
    <w:basedOn w:val="Standaardalinea-lettertype"/>
    <w:uiPriority w:val="99"/>
    <w:semiHidden/>
    <w:rsid w:val="007A01C2"/>
    <w:rPr>
      <w:rFonts w:cs="Times New Roman"/>
      <w:vertAlign w:val="superscript"/>
    </w:rPr>
  </w:style>
  <w:style w:type="character" w:styleId="Hyperlink">
    <w:name w:val="Hyperlink"/>
    <w:basedOn w:val="Standaardalinea-lettertype"/>
    <w:uiPriority w:val="99"/>
    <w:rsid w:val="007A01C2"/>
    <w:rPr>
      <w:rFonts w:cs="Times New Roman"/>
      <w:color w:val="0000FF"/>
      <w:u w:val="single"/>
    </w:rPr>
  </w:style>
  <w:style w:type="character" w:customStyle="1" w:styleId="citationspeech">
    <w:name w:val="citation speech"/>
    <w:basedOn w:val="Standaardalinea-lettertype"/>
    <w:uiPriority w:val="99"/>
    <w:rsid w:val="007A01C2"/>
    <w:rPr>
      <w:rFonts w:cs="Times New Roman"/>
    </w:rPr>
  </w:style>
  <w:style w:type="paragraph" w:styleId="Voettekst">
    <w:name w:val="footer"/>
    <w:basedOn w:val="Standaard"/>
    <w:link w:val="VoettekstChar"/>
    <w:uiPriority w:val="99"/>
    <w:rsid w:val="00A11D53"/>
    <w:pPr>
      <w:tabs>
        <w:tab w:val="center" w:pos="4153"/>
        <w:tab w:val="right" w:pos="8306"/>
      </w:tabs>
    </w:pPr>
  </w:style>
  <w:style w:type="character" w:customStyle="1" w:styleId="VoettekstChar">
    <w:name w:val="Voettekst Char"/>
    <w:basedOn w:val="Standaardalinea-lettertype"/>
    <w:link w:val="Voettekst"/>
    <w:uiPriority w:val="99"/>
    <w:locked/>
    <w:rsid w:val="00F8175B"/>
    <w:rPr>
      <w:rFonts w:cs="Angsana New"/>
      <w:sz w:val="24"/>
      <w:szCs w:val="24"/>
      <w:lang w:val="en-AU" w:eastAsia="en-AU" w:bidi="th-TH"/>
    </w:rPr>
  </w:style>
  <w:style w:type="character" w:styleId="Paginanummer">
    <w:name w:val="page number"/>
    <w:basedOn w:val="Standaardalinea-lettertype"/>
    <w:uiPriority w:val="99"/>
    <w:rsid w:val="00A11D53"/>
    <w:rPr>
      <w:rFonts w:cs="Times New Roman"/>
    </w:rPr>
  </w:style>
  <w:style w:type="character" w:customStyle="1" w:styleId="citationnews">
    <w:name w:val="citation news"/>
    <w:basedOn w:val="Standaardalinea-lettertype"/>
    <w:uiPriority w:val="99"/>
    <w:rsid w:val="003B508A"/>
    <w:rPr>
      <w:rFonts w:cs="Times New Roman"/>
    </w:rPr>
  </w:style>
  <w:style w:type="character" w:customStyle="1" w:styleId="printonly">
    <w:name w:val="printonly"/>
    <w:basedOn w:val="Standaardalinea-lettertype"/>
    <w:rsid w:val="003B508A"/>
    <w:rPr>
      <w:rFonts w:cs="Times New Roman"/>
    </w:rPr>
  </w:style>
  <w:style w:type="character" w:customStyle="1" w:styleId="reference-accessdate">
    <w:name w:val="reference-accessdate"/>
    <w:basedOn w:val="Standaardalinea-lettertype"/>
    <w:rsid w:val="003729A6"/>
    <w:rPr>
      <w:rFonts w:cs="Times New Roman"/>
    </w:rPr>
  </w:style>
  <w:style w:type="character" w:customStyle="1" w:styleId="citationweb">
    <w:name w:val="citation web"/>
    <w:basedOn w:val="Standaardalinea-lettertype"/>
    <w:uiPriority w:val="99"/>
    <w:rsid w:val="00F15FF1"/>
    <w:rPr>
      <w:rFonts w:cs="Times New Roman"/>
    </w:rPr>
  </w:style>
  <w:style w:type="paragraph" w:styleId="Kopvaninhoudsopgave">
    <w:name w:val="TOC Heading"/>
    <w:basedOn w:val="Kop1"/>
    <w:next w:val="Standaard"/>
    <w:uiPriority w:val="99"/>
    <w:qFormat/>
    <w:rsid w:val="00A54FD7"/>
    <w:pPr>
      <w:keepLines/>
      <w:spacing w:before="480" w:after="0" w:line="276" w:lineRule="auto"/>
      <w:outlineLvl w:val="9"/>
    </w:pPr>
    <w:rPr>
      <w:rFonts w:cs="Times New Roman"/>
      <w:color w:val="365F91"/>
      <w:kern w:val="0"/>
      <w:szCs w:val="28"/>
      <w:lang w:val="nl-NL" w:eastAsia="en-US" w:bidi="ar-SA"/>
    </w:rPr>
  </w:style>
  <w:style w:type="paragraph" w:styleId="Inhopg1">
    <w:name w:val="toc 1"/>
    <w:basedOn w:val="Standaard"/>
    <w:next w:val="Standaard"/>
    <w:autoRedefine/>
    <w:uiPriority w:val="39"/>
    <w:rsid w:val="006B0BC9"/>
    <w:pPr>
      <w:tabs>
        <w:tab w:val="right" w:leader="dot" w:pos="9060"/>
      </w:tabs>
      <w:spacing w:line="360" w:lineRule="auto"/>
    </w:pPr>
    <w:rPr>
      <w:b/>
      <w:bCs/>
      <w:noProof/>
      <w:szCs w:val="30"/>
    </w:rPr>
  </w:style>
  <w:style w:type="character" w:styleId="Nadruk">
    <w:name w:val="Emphasis"/>
    <w:basedOn w:val="Standaardalinea-lettertype"/>
    <w:uiPriority w:val="99"/>
    <w:qFormat/>
    <w:rsid w:val="00101481"/>
    <w:rPr>
      <w:rFonts w:cs="Times New Roman"/>
      <w:b/>
      <w:i/>
      <w:iCs/>
    </w:rPr>
  </w:style>
  <w:style w:type="paragraph" w:styleId="Lijstalinea">
    <w:name w:val="List Paragraph"/>
    <w:basedOn w:val="Standaard"/>
    <w:uiPriority w:val="34"/>
    <w:qFormat/>
    <w:rsid w:val="005C1511"/>
    <w:pPr>
      <w:ind w:left="720"/>
      <w:contextualSpacing/>
    </w:pPr>
    <w:rPr>
      <w:szCs w:val="30"/>
    </w:rPr>
  </w:style>
  <w:style w:type="paragraph" w:styleId="Koptekst">
    <w:name w:val="header"/>
    <w:basedOn w:val="Standaard"/>
    <w:link w:val="KoptekstChar"/>
    <w:uiPriority w:val="99"/>
    <w:rsid w:val="00F8175B"/>
    <w:pPr>
      <w:tabs>
        <w:tab w:val="center" w:pos="4536"/>
        <w:tab w:val="right" w:pos="9072"/>
      </w:tabs>
    </w:pPr>
    <w:rPr>
      <w:szCs w:val="30"/>
    </w:rPr>
  </w:style>
  <w:style w:type="character" w:customStyle="1" w:styleId="KoptekstChar">
    <w:name w:val="Koptekst Char"/>
    <w:basedOn w:val="Standaardalinea-lettertype"/>
    <w:link w:val="Koptekst"/>
    <w:uiPriority w:val="99"/>
    <w:locked/>
    <w:rsid w:val="00F8175B"/>
    <w:rPr>
      <w:rFonts w:cs="Angsana New"/>
      <w:sz w:val="30"/>
      <w:szCs w:val="30"/>
      <w:lang w:val="en-AU" w:eastAsia="en-AU" w:bidi="th-TH"/>
    </w:rPr>
  </w:style>
  <w:style w:type="paragraph" w:styleId="Ballontekst">
    <w:name w:val="Balloon Text"/>
    <w:basedOn w:val="Standaard"/>
    <w:link w:val="BallontekstChar"/>
    <w:uiPriority w:val="99"/>
    <w:rsid w:val="00F8175B"/>
    <w:rPr>
      <w:rFonts w:ascii="Tahoma" w:hAnsi="Tahoma"/>
      <w:sz w:val="16"/>
      <w:szCs w:val="20"/>
    </w:rPr>
  </w:style>
  <w:style w:type="character" w:customStyle="1" w:styleId="BallontekstChar">
    <w:name w:val="Ballontekst Char"/>
    <w:basedOn w:val="Standaardalinea-lettertype"/>
    <w:link w:val="Ballontekst"/>
    <w:uiPriority w:val="99"/>
    <w:locked/>
    <w:rsid w:val="00F8175B"/>
    <w:rPr>
      <w:rFonts w:ascii="Tahoma" w:hAnsi="Tahoma" w:cs="Angsana New"/>
      <w:sz w:val="16"/>
      <w:lang w:val="en-AU" w:eastAsia="en-AU" w:bidi="th-TH"/>
    </w:rPr>
  </w:style>
  <w:style w:type="paragraph" w:customStyle="1" w:styleId="Lijstalinea1">
    <w:name w:val="Lijstalinea1"/>
    <w:basedOn w:val="Standaard"/>
    <w:uiPriority w:val="99"/>
    <w:rsid w:val="00EF0A81"/>
    <w:pPr>
      <w:widowControl w:val="0"/>
      <w:suppressAutoHyphens/>
      <w:ind w:left="720"/>
    </w:pPr>
    <w:rPr>
      <w:rFonts w:cs="Times New Roman"/>
      <w:kern w:val="1"/>
      <w:szCs w:val="30"/>
      <w:lang w:val="nl-NL" w:bidi="ar-SA"/>
    </w:rPr>
  </w:style>
  <w:style w:type="character" w:customStyle="1" w:styleId="texhtml1">
    <w:name w:val="texhtml1"/>
    <w:basedOn w:val="Standaardalinea-lettertype"/>
    <w:uiPriority w:val="99"/>
    <w:rsid w:val="00491645"/>
    <w:rPr>
      <w:rFonts w:cs="Times New Roman"/>
      <w:sz w:val="30"/>
      <w:szCs w:val="30"/>
    </w:rPr>
  </w:style>
  <w:style w:type="paragraph" w:customStyle="1" w:styleId="Default">
    <w:name w:val="Default"/>
    <w:uiPriority w:val="99"/>
    <w:rsid w:val="00352E14"/>
    <w:pPr>
      <w:autoSpaceDE w:val="0"/>
      <w:autoSpaceDN w:val="0"/>
      <w:adjustRightInd w:val="0"/>
    </w:pPr>
    <w:rPr>
      <w:color w:val="000000"/>
      <w:sz w:val="24"/>
      <w:szCs w:val="24"/>
      <w:lang w:val="nl-NL" w:eastAsia="nl-NL"/>
    </w:rPr>
  </w:style>
  <w:style w:type="paragraph" w:customStyle="1" w:styleId="000">
    <w:name w:val="000"/>
    <w:aliases w:val="standaard"/>
    <w:basedOn w:val="Standaard"/>
    <w:uiPriority w:val="99"/>
    <w:rsid w:val="00414864"/>
    <w:pPr>
      <w:overflowPunct w:val="0"/>
      <w:autoSpaceDE w:val="0"/>
      <w:autoSpaceDN w:val="0"/>
      <w:adjustRightInd w:val="0"/>
      <w:spacing w:line="260" w:lineRule="atLeast"/>
      <w:textAlignment w:val="baseline"/>
    </w:pPr>
    <w:rPr>
      <w:rFonts w:ascii="EYInterstate Light" w:hAnsi="EYInterstate Light" w:cs="Times New Roman"/>
      <w:sz w:val="22"/>
      <w:szCs w:val="20"/>
      <w:lang w:val="nl-NL" w:eastAsia="en-US" w:bidi="ar-SA"/>
    </w:rPr>
  </w:style>
  <w:style w:type="character" w:styleId="Tekstvantijdelijkeaanduiding">
    <w:name w:val="Placeholder Text"/>
    <w:basedOn w:val="Standaardalinea-lettertype"/>
    <w:uiPriority w:val="99"/>
    <w:semiHidden/>
    <w:rsid w:val="00C21FC9"/>
    <w:rPr>
      <w:rFonts w:cs="Times New Roman"/>
      <w:color w:val="808080"/>
    </w:rPr>
  </w:style>
  <w:style w:type="character" w:styleId="Verwijzingopmerking">
    <w:name w:val="annotation reference"/>
    <w:basedOn w:val="Standaardalinea-lettertype"/>
    <w:uiPriority w:val="99"/>
    <w:semiHidden/>
    <w:rsid w:val="00E76B91"/>
    <w:rPr>
      <w:rFonts w:cs="Times New Roman"/>
      <w:sz w:val="16"/>
      <w:szCs w:val="16"/>
    </w:rPr>
  </w:style>
  <w:style w:type="paragraph" w:styleId="Tekstopmerking">
    <w:name w:val="annotation text"/>
    <w:basedOn w:val="Standaard"/>
    <w:link w:val="TekstopmerkingChar"/>
    <w:uiPriority w:val="99"/>
    <w:semiHidden/>
    <w:rsid w:val="00E76B91"/>
    <w:rPr>
      <w:sz w:val="20"/>
      <w:szCs w:val="20"/>
    </w:rPr>
  </w:style>
  <w:style w:type="character" w:customStyle="1" w:styleId="TekstopmerkingChar">
    <w:name w:val="Tekst opmerking Char"/>
    <w:basedOn w:val="Standaardalinea-lettertype"/>
    <w:link w:val="Tekstopmerking"/>
    <w:uiPriority w:val="99"/>
    <w:semiHidden/>
    <w:locked/>
    <w:rsid w:val="004B6290"/>
    <w:rPr>
      <w:rFonts w:cs="Angsana New"/>
      <w:sz w:val="25"/>
      <w:szCs w:val="25"/>
      <w:lang w:val="en-AU" w:eastAsia="en-AU" w:bidi="th-TH"/>
    </w:rPr>
  </w:style>
  <w:style w:type="paragraph" w:styleId="Onderwerpvanopmerking">
    <w:name w:val="annotation subject"/>
    <w:basedOn w:val="Tekstopmerking"/>
    <w:next w:val="Tekstopmerking"/>
    <w:link w:val="OnderwerpvanopmerkingChar"/>
    <w:uiPriority w:val="99"/>
    <w:semiHidden/>
    <w:rsid w:val="00E76B91"/>
    <w:rPr>
      <w:b/>
      <w:bCs/>
    </w:rPr>
  </w:style>
  <w:style w:type="character" w:customStyle="1" w:styleId="OnderwerpvanopmerkingChar">
    <w:name w:val="Onderwerp van opmerking Char"/>
    <w:basedOn w:val="TekstopmerkingChar"/>
    <w:link w:val="Onderwerpvanopmerking"/>
    <w:uiPriority w:val="99"/>
    <w:semiHidden/>
    <w:locked/>
    <w:rsid w:val="004B6290"/>
    <w:rPr>
      <w:rFonts w:cs="Angsana New"/>
      <w:b/>
      <w:bCs/>
      <w:sz w:val="25"/>
      <w:szCs w:val="25"/>
      <w:lang w:val="en-AU" w:eastAsia="en-AU" w:bidi="th-TH"/>
    </w:rPr>
  </w:style>
  <w:style w:type="table" w:customStyle="1" w:styleId="Lichtearcering1">
    <w:name w:val="Lichte arcering1"/>
    <w:uiPriority w:val="99"/>
    <w:rsid w:val="00284B9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chtearcering-accent11">
    <w:name w:val="Lichte arcering - accent 11"/>
    <w:uiPriority w:val="99"/>
    <w:rsid w:val="00284B9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Gemiddeldraster11">
    <w:name w:val="Gemiddeld raster 11"/>
    <w:uiPriority w:val="99"/>
    <w:rsid w:val="00284B9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Lichtearcering-accent2">
    <w:name w:val="Light Shading Accent 2"/>
    <w:basedOn w:val="Standaardtabel"/>
    <w:uiPriority w:val="99"/>
    <w:rsid w:val="00BE096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Gemiddeldearcering21">
    <w:name w:val="Gemiddelde arcering 21"/>
    <w:uiPriority w:val="99"/>
    <w:rsid w:val="00BE09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Gemiddeldearcering2-accent2">
    <w:name w:val="Medium Shading 2 Accent 2"/>
    <w:basedOn w:val="Standaardtabel"/>
    <w:uiPriority w:val="99"/>
    <w:rsid w:val="00BE09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1">
    <w:name w:val="Gemiddelde arcering 2 - accent 11"/>
    <w:uiPriority w:val="99"/>
    <w:rsid w:val="00BE09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Gemiddeldearcering1-accent6">
    <w:name w:val="Medium Shading 1 Accent 6"/>
    <w:basedOn w:val="Standaardtabel"/>
    <w:uiPriority w:val="99"/>
    <w:rsid w:val="00BE096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Gemiddeldelijst21">
    <w:name w:val="Gemiddelde lijst 21"/>
    <w:uiPriority w:val="99"/>
    <w:rsid w:val="00BE096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chtearcering2">
    <w:name w:val="Lichte arcering2"/>
    <w:uiPriority w:val="99"/>
    <w:rsid w:val="00241C0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Gemiddeldelijst11">
    <w:name w:val="Gemiddelde lijst 11"/>
    <w:uiPriority w:val="99"/>
    <w:rsid w:val="001B37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Gemiddeldearcering2-accent6">
    <w:name w:val="Medium Shading 2 Accent 6"/>
    <w:basedOn w:val="Standaardtabel"/>
    <w:uiPriority w:val="99"/>
    <w:rsid w:val="001B37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99"/>
    <w:rsid w:val="001B37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99"/>
    <w:rsid w:val="001B37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99"/>
    <w:rsid w:val="001B379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1-accent5">
    <w:name w:val="Medium Shading 1 Accent 5"/>
    <w:basedOn w:val="Standaardtabel"/>
    <w:uiPriority w:val="99"/>
    <w:rsid w:val="001B379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Lichtearcering-accent12">
    <w:name w:val="Lichte arcering - accent 12"/>
    <w:uiPriority w:val="99"/>
    <w:rsid w:val="00BD3A8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raster1">
    <w:name w:val="Licht raster1"/>
    <w:uiPriority w:val="99"/>
    <w:rsid w:val="005D57C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B75B6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GevolgdeHyperlink">
    <w:name w:val="FollowedHyperlink"/>
    <w:basedOn w:val="Standaardalinea-lettertype"/>
    <w:uiPriority w:val="99"/>
    <w:rsid w:val="006C1C1E"/>
    <w:rPr>
      <w:rFonts w:cs="Times New Roman"/>
      <w:color w:val="0000FF"/>
      <w:u w:val="single"/>
    </w:rPr>
  </w:style>
  <w:style w:type="character" w:styleId="HTML-citaat">
    <w:name w:val="HTML Cite"/>
    <w:basedOn w:val="Standaardalinea-lettertype"/>
    <w:uiPriority w:val="99"/>
    <w:rsid w:val="006C1C1E"/>
    <w:rPr>
      <w:rFonts w:cs="Times New Roman"/>
    </w:rPr>
  </w:style>
  <w:style w:type="character" w:styleId="HTMLCode">
    <w:name w:val="HTML Code"/>
    <w:basedOn w:val="Standaardalinea-lettertype"/>
    <w:uiPriority w:val="99"/>
    <w:rsid w:val="006C1C1E"/>
    <w:rPr>
      <w:rFonts w:ascii="Courier New" w:hAnsi="Courier New" w:cs="Courier New"/>
      <w:sz w:val="20"/>
      <w:szCs w:val="20"/>
    </w:rPr>
  </w:style>
  <w:style w:type="paragraph" w:styleId="HTML-voorafopgemaakt">
    <w:name w:val="HTML Preformatted"/>
    <w:basedOn w:val="Standaard"/>
    <w:link w:val="HTML-voorafopgemaaktChar"/>
    <w:uiPriority w:val="99"/>
    <w:rsid w:val="006C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voorafopgemaaktChar">
    <w:name w:val="HTML - vooraf opgemaakt Char"/>
    <w:basedOn w:val="Standaardalinea-lettertype"/>
    <w:link w:val="HTML-voorafopgemaakt"/>
    <w:uiPriority w:val="99"/>
    <w:semiHidden/>
    <w:locked/>
    <w:rsid w:val="001A5065"/>
    <w:rPr>
      <w:rFonts w:ascii="Courier New" w:hAnsi="Courier New" w:cs="Angsana New"/>
      <w:sz w:val="25"/>
      <w:szCs w:val="25"/>
      <w:lang w:val="en-AU" w:eastAsia="en-AU" w:bidi="th-TH"/>
    </w:rPr>
  </w:style>
  <w:style w:type="character" w:styleId="HTML-schrijfmachine">
    <w:name w:val="HTML Typewriter"/>
    <w:basedOn w:val="Standaardalinea-lettertype"/>
    <w:uiPriority w:val="99"/>
    <w:rsid w:val="006C1C1E"/>
    <w:rPr>
      <w:rFonts w:ascii="Courier New" w:hAnsi="Courier New" w:cs="Courier New"/>
      <w:sz w:val="20"/>
      <w:szCs w:val="20"/>
    </w:rPr>
  </w:style>
  <w:style w:type="paragraph" w:styleId="Normaalweb">
    <w:name w:val="Normal (Web)"/>
    <w:basedOn w:val="Standaard"/>
    <w:uiPriority w:val="99"/>
    <w:rsid w:val="006C1C1E"/>
    <w:pPr>
      <w:spacing w:before="100" w:beforeAutospacing="1" w:after="100" w:afterAutospacing="1"/>
    </w:pPr>
    <w:rPr>
      <w:rFonts w:cs="Times New Roman"/>
      <w:lang w:val="en-US" w:eastAsia="en-US" w:bidi="ar-SA"/>
    </w:rPr>
  </w:style>
  <w:style w:type="paragraph" w:customStyle="1" w:styleId="suggestions">
    <w:name w:val="suggestions"/>
    <w:basedOn w:val="Standaard"/>
    <w:uiPriority w:val="99"/>
    <w:rsid w:val="006C1C1E"/>
    <w:rPr>
      <w:rFonts w:cs="Times New Roman"/>
      <w:lang w:val="en-US" w:eastAsia="en-US" w:bidi="ar-SA"/>
    </w:rPr>
  </w:style>
  <w:style w:type="paragraph" w:customStyle="1" w:styleId="suggestions-special">
    <w:name w:val="suggestions-special"/>
    <w:basedOn w:val="Standaard"/>
    <w:uiPriority w:val="99"/>
    <w:rsid w:val="006C1C1E"/>
    <w:pPr>
      <w:pBdr>
        <w:top w:val="single" w:sz="6" w:space="3" w:color="AAAAAA"/>
        <w:left w:val="single" w:sz="6" w:space="3" w:color="AAAAAA"/>
        <w:bottom w:val="single" w:sz="6" w:space="3" w:color="AAAAAA"/>
        <w:right w:val="single" w:sz="6" w:space="3" w:color="AAAAAA"/>
      </w:pBdr>
      <w:spacing w:line="300" w:lineRule="atLeast"/>
    </w:pPr>
    <w:rPr>
      <w:rFonts w:cs="Times New Roman"/>
      <w:vanish/>
      <w:sz w:val="19"/>
      <w:szCs w:val="19"/>
      <w:lang w:val="en-US" w:eastAsia="en-US" w:bidi="ar-SA"/>
    </w:rPr>
  </w:style>
  <w:style w:type="paragraph" w:customStyle="1" w:styleId="suggestions-results">
    <w:name w:val="suggestions-results"/>
    <w:basedOn w:val="Standaard"/>
    <w:uiPriority w:val="99"/>
    <w:rsid w:val="006C1C1E"/>
    <w:pPr>
      <w:pBdr>
        <w:top w:val="single" w:sz="6" w:space="0" w:color="AAAAAA"/>
        <w:left w:val="single" w:sz="6" w:space="0" w:color="AAAAAA"/>
        <w:bottom w:val="single" w:sz="6" w:space="0" w:color="AAAAAA"/>
        <w:right w:val="single" w:sz="6" w:space="0" w:color="AAAAAA"/>
      </w:pBdr>
      <w:shd w:val="clear" w:color="auto" w:fill="FFFFFF"/>
    </w:pPr>
    <w:rPr>
      <w:rFonts w:cs="Times New Roman"/>
      <w:sz w:val="19"/>
      <w:szCs w:val="19"/>
      <w:lang w:val="en-US" w:eastAsia="en-US" w:bidi="ar-SA"/>
    </w:rPr>
  </w:style>
  <w:style w:type="paragraph" w:customStyle="1" w:styleId="suggestions-result">
    <w:name w:val="suggestions-result"/>
    <w:basedOn w:val="Standaard"/>
    <w:uiPriority w:val="99"/>
    <w:rsid w:val="006C1C1E"/>
    <w:pPr>
      <w:spacing w:line="360" w:lineRule="atLeast"/>
    </w:pPr>
    <w:rPr>
      <w:rFonts w:cs="Times New Roman"/>
      <w:lang w:val="en-US" w:eastAsia="en-US" w:bidi="ar-SA"/>
    </w:rPr>
  </w:style>
  <w:style w:type="paragraph" w:customStyle="1" w:styleId="suggestions-result-current">
    <w:name w:val="suggestions-result-current"/>
    <w:basedOn w:val="Standaard"/>
    <w:uiPriority w:val="99"/>
    <w:rsid w:val="006C1C1E"/>
    <w:pPr>
      <w:shd w:val="clear" w:color="auto" w:fill="4C59A6"/>
      <w:spacing w:before="100" w:beforeAutospacing="1" w:after="100" w:afterAutospacing="1"/>
    </w:pPr>
    <w:rPr>
      <w:rFonts w:cs="Times New Roman"/>
      <w:color w:val="FFFFFF"/>
      <w:lang w:val="en-US" w:eastAsia="en-US" w:bidi="ar-SA"/>
    </w:rPr>
  </w:style>
  <w:style w:type="paragraph" w:customStyle="1" w:styleId="autoellipsis-matched">
    <w:name w:val="autoellipsis-matched"/>
    <w:basedOn w:val="Standaard"/>
    <w:uiPriority w:val="99"/>
    <w:rsid w:val="006C1C1E"/>
    <w:pPr>
      <w:spacing w:before="100" w:beforeAutospacing="1" w:after="100" w:afterAutospacing="1"/>
    </w:pPr>
    <w:rPr>
      <w:rFonts w:cs="Times New Roman"/>
      <w:b/>
      <w:bCs/>
      <w:lang w:val="en-US" w:eastAsia="en-US" w:bidi="ar-SA"/>
    </w:rPr>
  </w:style>
  <w:style w:type="paragraph" w:customStyle="1" w:styleId="wikieditor-ui">
    <w:name w:val="wikieditor-ui"/>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rPr>
      <w:rFonts w:cs="Times New Roman"/>
      <w:lang w:val="en-US" w:eastAsia="en-US" w:bidi="ar-SA"/>
    </w:rPr>
  </w:style>
  <w:style w:type="paragraph" w:customStyle="1" w:styleId="wikieditor-wikitext">
    <w:name w:val="wikieditor-wikitext"/>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controls">
    <w:name w:val="wikieditor-ui-controls"/>
    <w:basedOn w:val="Standaard"/>
    <w:uiPriority w:val="99"/>
    <w:rsid w:val="006C1C1E"/>
    <w:pPr>
      <w:pBdr>
        <w:bottom w:val="single" w:sz="6" w:space="0" w:color="C0C0C0"/>
      </w:pBdr>
      <w:shd w:val="clear" w:color="auto" w:fill="FFFFFF"/>
      <w:spacing w:after="100" w:afterAutospacing="1"/>
    </w:pPr>
    <w:rPr>
      <w:rFonts w:cs="Times New Roman"/>
      <w:lang w:val="en-US" w:eastAsia="en-US" w:bidi="ar-SA"/>
    </w:rPr>
  </w:style>
  <w:style w:type="paragraph" w:customStyle="1" w:styleId="wikieditor-ui-tabs">
    <w:name w:val="wikieditor-ui-tabs"/>
    <w:basedOn w:val="Standaard"/>
    <w:uiPriority w:val="99"/>
    <w:rsid w:val="006C1C1E"/>
    <w:pPr>
      <w:pBdr>
        <w:top w:val="single" w:sz="6" w:space="0" w:color="C0C0C0"/>
        <w:left w:val="single" w:sz="6" w:space="0" w:color="C0C0C0"/>
      </w:pBdr>
      <w:shd w:val="clear" w:color="auto" w:fill="FFFFFF"/>
      <w:spacing w:before="100" w:beforeAutospacing="1" w:after="100" w:afterAutospacing="1"/>
      <w:ind w:left="-15"/>
    </w:pPr>
    <w:rPr>
      <w:rFonts w:cs="Times New Roman"/>
      <w:lang w:val="en-US" w:eastAsia="en-US" w:bidi="ar-SA"/>
    </w:rPr>
  </w:style>
  <w:style w:type="paragraph" w:customStyle="1" w:styleId="wikieditor-ui-buttons">
    <w:name w:val="wikieditor-ui-buttons"/>
    <w:basedOn w:val="Standaard"/>
    <w:uiPriority w:val="99"/>
    <w:rsid w:val="006C1C1E"/>
    <w:pPr>
      <w:pBdr>
        <w:top w:val="single" w:sz="6" w:space="0" w:color="FFFFFF"/>
      </w:pBdr>
      <w:shd w:val="clear" w:color="auto" w:fill="FFFFFF"/>
      <w:spacing w:before="100" w:beforeAutospacing="1" w:after="100" w:afterAutospacing="1"/>
      <w:ind w:right="-15"/>
    </w:pPr>
    <w:rPr>
      <w:rFonts w:cs="Times New Roman"/>
      <w:lang w:val="en-US" w:eastAsia="en-US" w:bidi="ar-SA"/>
    </w:rPr>
  </w:style>
  <w:style w:type="paragraph" w:customStyle="1" w:styleId="wikieditor-view-wikitext">
    <w:name w:val="wikieditor-view-wikitext"/>
    <w:basedOn w:val="Standaard"/>
    <w:uiPriority w:val="99"/>
    <w:rsid w:val="006C1C1E"/>
    <w:pPr>
      <w:spacing w:before="100" w:beforeAutospacing="1" w:after="100" w:afterAutospacing="1" w:line="240" w:lineRule="atLeast"/>
    </w:pPr>
    <w:rPr>
      <w:rFonts w:cs="Times New Roman"/>
      <w:lang w:val="en-US" w:eastAsia="en-US" w:bidi="ar-SA"/>
    </w:rPr>
  </w:style>
  <w:style w:type="paragraph" w:customStyle="1" w:styleId="wikieditor-ui-loading">
    <w:name w:val="wikieditor-ui-loading"/>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3F3F3"/>
      <w:ind w:left="-15" w:right="-15"/>
      <w:jc w:val="center"/>
    </w:pPr>
    <w:rPr>
      <w:rFonts w:cs="Times New Roman"/>
      <w:lang w:val="en-US" w:eastAsia="en-US" w:bidi="ar-SA"/>
    </w:rPr>
  </w:style>
  <w:style w:type="paragraph" w:customStyle="1" w:styleId="wikieditor-toolbar-field-wrapper">
    <w:name w:val="wikieditor-toolbar-field-wrapper"/>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floated-field-wrapper">
    <w:name w:val="wikieditor-toolbar-floated-field-wrapper"/>
    <w:basedOn w:val="Standaard"/>
    <w:uiPriority w:val="99"/>
    <w:rsid w:val="006C1C1E"/>
    <w:pPr>
      <w:spacing w:before="100" w:beforeAutospacing="1" w:after="100" w:afterAutospacing="1"/>
      <w:ind w:right="480"/>
    </w:pPr>
    <w:rPr>
      <w:rFonts w:cs="Times New Roman"/>
      <w:lang w:val="en-US" w:eastAsia="en-US" w:bidi="ar-SA"/>
    </w:rPr>
  </w:style>
  <w:style w:type="paragraph" w:customStyle="1" w:styleId="wikieditor-toolbar-dialog-hint">
    <w:name w:val="wikieditor-toolbar-dialog-hint"/>
    <w:basedOn w:val="Standaard"/>
    <w:uiPriority w:val="99"/>
    <w:rsid w:val="006C1C1E"/>
    <w:pPr>
      <w:spacing w:before="100" w:beforeAutospacing="1" w:after="100" w:afterAutospacing="1"/>
    </w:pPr>
    <w:rPr>
      <w:rFonts w:cs="Times New Roman"/>
      <w:color w:val="999999"/>
      <w:lang w:val="en-US" w:eastAsia="en-US" w:bidi="ar-SA"/>
    </w:rPr>
  </w:style>
  <w:style w:type="paragraph" w:customStyle="1" w:styleId="wikieditor-toolbar-dialog-wrapper">
    <w:name w:val="wikieditor-toolbar-dialog-wrapper"/>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dimension-fields">
    <w:name w:val="wikieditor-toolbar-table-dimension-fields"/>
    <w:basedOn w:val="Standaard"/>
    <w:uiPriority w:val="99"/>
    <w:rsid w:val="006C1C1E"/>
    <w:pPr>
      <w:spacing w:before="100" w:beforeAutospacing="1" w:after="100" w:afterAutospacing="1"/>
    </w:pPr>
    <w:rPr>
      <w:rFonts w:cs="Times New Roman"/>
      <w:lang w:val="en-US" w:eastAsia="en-US" w:bidi="ar-SA"/>
    </w:rPr>
  </w:style>
  <w:style w:type="paragraph" w:customStyle="1" w:styleId="wikieditor-dialog-editoptions">
    <w:name w:val="wikieditor-dialog-editoptions"/>
    <w:basedOn w:val="Standaard"/>
    <w:uiPriority w:val="99"/>
    <w:rsid w:val="006C1C1E"/>
    <w:pPr>
      <w:spacing w:before="225" w:after="100" w:afterAutospacing="1"/>
    </w:pPr>
    <w:rPr>
      <w:rFonts w:cs="Times New Roman"/>
      <w:lang w:val="en-US" w:eastAsia="en-US" w:bidi="ar-SA"/>
    </w:rPr>
  </w:style>
  <w:style w:type="paragraph" w:customStyle="1" w:styleId="wikieditor-publish-dialog-copywarn">
    <w:name w:val="wikieditor-publish-dialog-copywarn"/>
    <w:basedOn w:val="Standaard"/>
    <w:uiPriority w:val="99"/>
    <w:rsid w:val="006C1C1E"/>
    <w:pPr>
      <w:spacing w:before="120" w:after="100" w:afterAutospacing="1"/>
    </w:pPr>
    <w:rPr>
      <w:rFonts w:cs="Times New Roman"/>
      <w:lang w:val="en-US" w:eastAsia="en-US" w:bidi="ar-SA"/>
    </w:rPr>
  </w:style>
  <w:style w:type="paragraph" w:customStyle="1" w:styleId="wikieditor-publish-dialog-summary">
    <w:name w:val="wikieditor-publish-dialog-summary"/>
    <w:basedOn w:val="Standaard"/>
    <w:uiPriority w:val="99"/>
    <w:rsid w:val="006C1C1E"/>
    <w:pPr>
      <w:spacing w:before="360" w:after="100" w:afterAutospacing="1"/>
    </w:pPr>
    <w:rPr>
      <w:rFonts w:cs="Times New Roman"/>
      <w:lang w:val="en-US" w:eastAsia="en-US" w:bidi="ar-SA"/>
    </w:rPr>
  </w:style>
  <w:style w:type="paragraph" w:customStyle="1" w:styleId="wikieditor-publish-dialog-options">
    <w:name w:val="wikieditor-publish-dialog-options"/>
    <w:basedOn w:val="Standaard"/>
    <w:uiPriority w:val="99"/>
    <w:rsid w:val="006C1C1E"/>
    <w:pPr>
      <w:spacing w:before="360" w:after="100" w:afterAutospacing="1"/>
    </w:pPr>
    <w:rPr>
      <w:rFonts w:cs="Times New Roman"/>
      <w:lang w:val="en-US" w:eastAsia="en-US" w:bidi="ar-SA"/>
    </w:rPr>
  </w:style>
  <w:style w:type="paragraph" w:customStyle="1" w:styleId="wikieditor-ui-toolbar">
    <w:name w:val="wikieditor-ui-toolbar"/>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spritedbutton">
    <w:name w:val="wikieditor-toolbar-spritedbutton"/>
    <w:basedOn w:val="Standaard"/>
    <w:uiPriority w:val="99"/>
    <w:rsid w:val="006C1C1E"/>
    <w:pPr>
      <w:spacing w:before="100" w:beforeAutospacing="1" w:after="100" w:afterAutospacing="1"/>
      <w:ind w:hanging="18913"/>
    </w:pPr>
    <w:rPr>
      <w:rFonts w:cs="Times New Roman"/>
      <w:lang w:val="en-US" w:eastAsia="en-US" w:bidi="ar-SA"/>
    </w:rPr>
  </w:style>
  <w:style w:type="paragraph" w:customStyle="1" w:styleId="ui-helper-hidden">
    <w:name w:val="ui-helper-hidden"/>
    <w:basedOn w:val="Standaard"/>
    <w:uiPriority w:val="99"/>
    <w:rsid w:val="006C1C1E"/>
    <w:pPr>
      <w:spacing w:before="100" w:beforeAutospacing="1" w:after="100" w:afterAutospacing="1"/>
    </w:pPr>
    <w:rPr>
      <w:rFonts w:cs="Times New Roman"/>
      <w:vanish/>
      <w:lang w:val="en-US" w:eastAsia="en-US" w:bidi="ar-SA"/>
    </w:rPr>
  </w:style>
  <w:style w:type="paragraph" w:customStyle="1" w:styleId="ui-helper-reset">
    <w:name w:val="ui-helper-reset"/>
    <w:basedOn w:val="Standaard"/>
    <w:uiPriority w:val="99"/>
    <w:rsid w:val="006C1C1E"/>
    <w:rPr>
      <w:rFonts w:cs="Times New Roman"/>
      <w:lang w:val="en-US" w:eastAsia="en-US" w:bidi="ar-SA"/>
    </w:rPr>
  </w:style>
  <w:style w:type="paragraph" w:customStyle="1" w:styleId="ui-helper-clearfix">
    <w:name w:val="ui-helper-clearfix"/>
    <w:basedOn w:val="Standaard"/>
    <w:uiPriority w:val="99"/>
    <w:rsid w:val="006C1C1E"/>
    <w:pPr>
      <w:spacing w:before="100" w:beforeAutospacing="1" w:after="100" w:afterAutospacing="1"/>
    </w:pPr>
    <w:rPr>
      <w:rFonts w:cs="Times New Roman"/>
      <w:lang w:val="en-US" w:eastAsia="en-US" w:bidi="ar-SA"/>
    </w:rPr>
  </w:style>
  <w:style w:type="paragraph" w:customStyle="1" w:styleId="ui-helper-zfix">
    <w:name w:val="ui-helper-zfix"/>
    <w:basedOn w:val="Standaard"/>
    <w:uiPriority w:val="99"/>
    <w:rsid w:val="006C1C1E"/>
    <w:pPr>
      <w:spacing w:before="100" w:beforeAutospacing="1" w:after="100" w:afterAutospacing="1"/>
    </w:pPr>
    <w:rPr>
      <w:rFonts w:cs="Times New Roman"/>
      <w:lang w:val="en-US" w:eastAsia="en-US" w:bidi="ar-SA"/>
    </w:rPr>
  </w:style>
  <w:style w:type="paragraph" w:customStyle="1" w:styleId="ui-icon">
    <w:name w:val="ui-icon"/>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widget-overlay">
    <w:name w:val="ui-widget-overlay"/>
    <w:basedOn w:val="Standaard"/>
    <w:uiPriority w:val="99"/>
    <w:rsid w:val="006C1C1E"/>
    <w:pPr>
      <w:shd w:val="clear" w:color="auto" w:fill="000000"/>
      <w:spacing w:before="100" w:beforeAutospacing="1" w:after="100" w:afterAutospacing="1"/>
    </w:pPr>
    <w:rPr>
      <w:rFonts w:cs="Times New Roman"/>
      <w:lang w:val="en-US" w:eastAsia="en-US" w:bidi="ar-SA"/>
    </w:rPr>
  </w:style>
  <w:style w:type="paragraph" w:customStyle="1" w:styleId="ui-widget">
    <w:name w:val="ui-widget"/>
    <w:basedOn w:val="Standaard"/>
    <w:uiPriority w:val="99"/>
    <w:rsid w:val="006C1C1E"/>
    <w:pPr>
      <w:spacing w:before="100" w:beforeAutospacing="1" w:after="100" w:afterAutospacing="1"/>
    </w:pPr>
    <w:rPr>
      <w:rFonts w:ascii="Arial" w:hAnsi="Arial" w:cs="Arial"/>
      <w:sz w:val="22"/>
      <w:szCs w:val="22"/>
      <w:lang w:val="en-US" w:eastAsia="en-US" w:bidi="ar-SA"/>
    </w:rPr>
  </w:style>
  <w:style w:type="paragraph" w:customStyle="1" w:styleId="ui-widget-content">
    <w:name w:val="ui-widget-content"/>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000000"/>
      <w:lang w:val="en-US" w:eastAsia="en-US" w:bidi="ar-SA"/>
    </w:rPr>
  </w:style>
  <w:style w:type="paragraph" w:customStyle="1" w:styleId="ui-widget-header">
    <w:name w:val="ui-widget-header"/>
    <w:basedOn w:val="Standaard"/>
    <w:uiPriority w:val="99"/>
    <w:rsid w:val="006C1C1E"/>
    <w:pPr>
      <w:pBdr>
        <w:bottom w:val="single" w:sz="6" w:space="0" w:color="C0C0C0"/>
      </w:pBdr>
      <w:shd w:val="clear" w:color="auto" w:fill="E2EEF6"/>
      <w:spacing w:before="100" w:beforeAutospacing="1" w:after="100" w:afterAutospacing="1" w:line="240" w:lineRule="atLeast"/>
    </w:pPr>
    <w:rPr>
      <w:rFonts w:cs="Times New Roman"/>
      <w:b/>
      <w:bCs/>
      <w:color w:val="333333"/>
      <w:lang w:val="en-US" w:eastAsia="en-US" w:bidi="ar-SA"/>
    </w:rPr>
  </w:style>
  <w:style w:type="paragraph" w:customStyle="1" w:styleId="ui-state-default">
    <w:name w:val="ui-state-default"/>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rFonts w:cs="Times New Roman"/>
      <w:color w:val="333333"/>
      <w:lang w:val="en-US" w:eastAsia="en-US" w:bidi="ar-SA"/>
    </w:rPr>
  </w:style>
  <w:style w:type="paragraph" w:customStyle="1" w:styleId="ui-state-hover">
    <w:name w:val="ui-state-hover"/>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focus">
    <w:name w:val="ui-state-focus"/>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active">
    <w:name w:val="ui-state-active"/>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highlight">
    <w:name w:val="ui-state-highlight"/>
    <w:basedOn w:val="Standaard"/>
    <w:uiPriority w:val="99"/>
    <w:rsid w:val="006C1C1E"/>
    <w:pPr>
      <w:pBdr>
        <w:top w:val="single" w:sz="6" w:space="0" w:color="FCEFA1"/>
        <w:left w:val="single" w:sz="6" w:space="0" w:color="FCEFA1"/>
        <w:bottom w:val="single" w:sz="6" w:space="0" w:color="FCEFA1"/>
        <w:right w:val="single" w:sz="6" w:space="0" w:color="FCEFA1"/>
      </w:pBdr>
      <w:spacing w:before="100" w:beforeAutospacing="1" w:after="100" w:afterAutospacing="1"/>
    </w:pPr>
    <w:rPr>
      <w:rFonts w:cs="Times New Roman"/>
      <w:color w:val="363636"/>
      <w:lang w:val="en-US" w:eastAsia="en-US" w:bidi="ar-SA"/>
    </w:rPr>
  </w:style>
  <w:style w:type="paragraph" w:customStyle="1" w:styleId="ui-state-error">
    <w:name w:val="ui-state-error"/>
    <w:basedOn w:val="Standaard"/>
    <w:uiPriority w:val="99"/>
    <w:rsid w:val="006C1C1E"/>
    <w:pPr>
      <w:pBdr>
        <w:top w:val="single" w:sz="6" w:space="0" w:color="CD0A0A"/>
        <w:left w:val="single" w:sz="6" w:space="0" w:color="CD0A0A"/>
        <w:bottom w:val="single" w:sz="6" w:space="0" w:color="CD0A0A"/>
        <w:right w:val="single" w:sz="6" w:space="0" w:color="CD0A0A"/>
      </w:pBdr>
      <w:spacing w:before="100" w:beforeAutospacing="1" w:after="100" w:afterAutospacing="1"/>
    </w:pPr>
    <w:rPr>
      <w:rFonts w:cs="Times New Roman"/>
      <w:color w:val="CD0A0A"/>
      <w:lang w:val="en-US" w:eastAsia="en-US" w:bidi="ar-SA"/>
    </w:rPr>
  </w:style>
  <w:style w:type="paragraph" w:customStyle="1" w:styleId="ui-state-error-text">
    <w:name w:val="ui-state-error-text"/>
    <w:basedOn w:val="Standaard"/>
    <w:uiPriority w:val="99"/>
    <w:rsid w:val="006C1C1E"/>
    <w:pPr>
      <w:spacing w:before="100" w:beforeAutospacing="1" w:after="100" w:afterAutospacing="1"/>
    </w:pPr>
    <w:rPr>
      <w:rFonts w:cs="Times New Roman"/>
      <w:color w:val="CD0A0A"/>
      <w:lang w:val="en-US" w:eastAsia="en-US" w:bidi="ar-SA"/>
    </w:rPr>
  </w:style>
  <w:style w:type="paragraph" w:customStyle="1" w:styleId="ui-state-disabled">
    <w:name w:val="ui-state-disabled"/>
    <w:basedOn w:val="Standaard"/>
    <w:uiPriority w:val="99"/>
    <w:rsid w:val="006C1C1E"/>
    <w:pPr>
      <w:spacing w:before="100" w:beforeAutospacing="1" w:after="100" w:afterAutospacing="1"/>
    </w:pPr>
    <w:rPr>
      <w:rFonts w:cs="Times New Roman"/>
      <w:lang w:val="en-US" w:eastAsia="en-US" w:bidi="ar-SA"/>
    </w:rPr>
  </w:style>
  <w:style w:type="paragraph" w:customStyle="1" w:styleId="ui-priority-primary">
    <w:name w:val="ui-priority-primary"/>
    <w:basedOn w:val="Standaard"/>
    <w:uiPriority w:val="99"/>
    <w:rsid w:val="006C1C1E"/>
    <w:pPr>
      <w:spacing w:before="100" w:beforeAutospacing="1" w:after="100" w:afterAutospacing="1"/>
    </w:pPr>
    <w:rPr>
      <w:rFonts w:cs="Times New Roman"/>
      <w:b/>
      <w:bCs/>
      <w:lang w:val="en-US" w:eastAsia="en-US" w:bidi="ar-SA"/>
    </w:rPr>
  </w:style>
  <w:style w:type="paragraph" w:customStyle="1" w:styleId="ui-priority-secondary">
    <w:name w:val="ui-priority-secondary"/>
    <w:basedOn w:val="Standaard"/>
    <w:uiPriority w:val="99"/>
    <w:rsid w:val="006C1C1E"/>
    <w:pPr>
      <w:spacing w:before="100" w:beforeAutospacing="1" w:after="100" w:afterAutospacing="1"/>
    </w:pPr>
    <w:rPr>
      <w:rFonts w:cs="Times New Roman"/>
      <w:lang w:val="en-US" w:eastAsia="en-US" w:bidi="ar-SA"/>
    </w:rPr>
  </w:style>
  <w:style w:type="paragraph" w:customStyle="1" w:styleId="ui-widget-shadow">
    <w:name w:val="ui-widget-shadow"/>
    <w:basedOn w:val="Standaard"/>
    <w:uiPriority w:val="99"/>
    <w:rsid w:val="006C1C1E"/>
    <w:pPr>
      <w:shd w:val="clear" w:color="auto" w:fill="000000"/>
      <w:ind w:left="-120"/>
    </w:pPr>
    <w:rPr>
      <w:rFonts w:cs="Times New Roman"/>
      <w:lang w:val="en-US" w:eastAsia="en-US" w:bidi="ar-SA"/>
    </w:rPr>
  </w:style>
  <w:style w:type="paragraph" w:customStyle="1" w:styleId="ui-datepicker">
    <w:name w:val="ui-datepicker"/>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row-break">
    <w:name w:val="ui-datepicker-row-break"/>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rtl">
    <w:name w:val="ui-datepicker-rtl"/>
    <w:basedOn w:val="Standaard"/>
    <w:uiPriority w:val="99"/>
    <w:rsid w:val="006C1C1E"/>
    <w:pPr>
      <w:bidi/>
      <w:spacing w:before="100" w:beforeAutospacing="1" w:after="100" w:afterAutospacing="1"/>
    </w:pPr>
    <w:rPr>
      <w:rFonts w:cs="Times New Roman"/>
      <w:lang w:val="en-US" w:eastAsia="en-US" w:bidi="ar-SA"/>
    </w:rPr>
  </w:style>
  <w:style w:type="paragraph" w:customStyle="1" w:styleId="ui-datepicker-cover">
    <w:name w:val="ui-datepicker-cover"/>
    <w:basedOn w:val="Standaard"/>
    <w:uiPriority w:val="99"/>
    <w:rsid w:val="006C1C1E"/>
    <w:pPr>
      <w:spacing w:before="100" w:beforeAutospacing="1" w:after="100" w:afterAutospacing="1"/>
    </w:pPr>
    <w:rPr>
      <w:rFonts w:cs="Times New Roman"/>
      <w:lang w:val="en-US" w:eastAsia="en-US" w:bidi="ar-SA"/>
    </w:rPr>
  </w:style>
  <w:style w:type="paragraph" w:customStyle="1" w:styleId="ui-dialog">
    <w:name w:val="ui-dialog"/>
    <w:basedOn w:val="Standaard"/>
    <w:uiPriority w:val="99"/>
    <w:rsid w:val="006C1C1E"/>
    <w:pPr>
      <w:spacing w:before="100" w:beforeAutospacing="1" w:after="100" w:afterAutospacing="1"/>
    </w:pPr>
    <w:rPr>
      <w:rFonts w:cs="Times New Roman"/>
      <w:lang w:val="en-US" w:eastAsia="en-US" w:bidi="ar-SA"/>
    </w:rPr>
  </w:style>
  <w:style w:type="paragraph" w:customStyle="1" w:styleId="ui-progressbar">
    <w:name w:val="ui-progressbar"/>
    <w:basedOn w:val="Standaard"/>
    <w:uiPriority w:val="99"/>
    <w:rsid w:val="006C1C1E"/>
    <w:pPr>
      <w:spacing w:before="100" w:beforeAutospacing="1" w:after="100" w:afterAutospacing="1"/>
    </w:pPr>
    <w:rPr>
      <w:rFonts w:cs="Times New Roman"/>
      <w:lang w:val="en-US" w:eastAsia="en-US" w:bidi="ar-SA"/>
    </w:rPr>
  </w:style>
  <w:style w:type="paragraph" w:customStyle="1" w:styleId="ui-resizable-handle">
    <w:name w:val="ui-resizable-handle"/>
    <w:basedOn w:val="Standaard"/>
    <w:uiPriority w:val="99"/>
    <w:rsid w:val="006C1C1E"/>
    <w:pPr>
      <w:spacing w:before="100" w:beforeAutospacing="1" w:after="100" w:afterAutospacing="1"/>
    </w:pPr>
    <w:rPr>
      <w:rFonts w:cs="Times New Roman"/>
      <w:sz w:val="2"/>
      <w:szCs w:val="2"/>
      <w:lang w:val="en-US" w:eastAsia="en-US" w:bidi="ar-SA"/>
    </w:rPr>
  </w:style>
  <w:style w:type="paragraph" w:customStyle="1" w:styleId="ui-resizable-n">
    <w:name w:val="ui-resizable-n"/>
    <w:basedOn w:val="Standaard"/>
    <w:uiPriority w:val="99"/>
    <w:rsid w:val="006C1C1E"/>
    <w:pPr>
      <w:spacing w:before="100" w:beforeAutospacing="1" w:after="100" w:afterAutospacing="1"/>
    </w:pPr>
    <w:rPr>
      <w:rFonts w:cs="Times New Roman"/>
      <w:lang w:val="en-US" w:eastAsia="en-US" w:bidi="ar-SA"/>
    </w:rPr>
  </w:style>
  <w:style w:type="paragraph" w:customStyle="1" w:styleId="ui-resizable-s">
    <w:name w:val="ui-resizable-s"/>
    <w:basedOn w:val="Standaard"/>
    <w:uiPriority w:val="99"/>
    <w:rsid w:val="006C1C1E"/>
    <w:pPr>
      <w:spacing w:before="100" w:beforeAutospacing="1" w:after="100" w:afterAutospacing="1"/>
    </w:pPr>
    <w:rPr>
      <w:rFonts w:cs="Times New Roman"/>
      <w:lang w:val="en-US" w:eastAsia="en-US" w:bidi="ar-SA"/>
    </w:rPr>
  </w:style>
  <w:style w:type="paragraph" w:customStyle="1" w:styleId="ui-resizable-e">
    <w:name w:val="ui-resizable-e"/>
    <w:basedOn w:val="Standaard"/>
    <w:uiPriority w:val="99"/>
    <w:rsid w:val="006C1C1E"/>
    <w:pPr>
      <w:spacing w:before="100" w:beforeAutospacing="1" w:after="100" w:afterAutospacing="1"/>
    </w:pPr>
    <w:rPr>
      <w:rFonts w:cs="Times New Roman"/>
      <w:lang w:val="en-US" w:eastAsia="en-US" w:bidi="ar-SA"/>
    </w:rPr>
  </w:style>
  <w:style w:type="paragraph" w:customStyle="1" w:styleId="ui-resizable-w">
    <w:name w:val="ui-resizable-w"/>
    <w:basedOn w:val="Standaard"/>
    <w:uiPriority w:val="99"/>
    <w:rsid w:val="006C1C1E"/>
    <w:pPr>
      <w:spacing w:before="100" w:beforeAutospacing="1" w:after="100" w:afterAutospacing="1"/>
    </w:pPr>
    <w:rPr>
      <w:rFonts w:cs="Times New Roman"/>
      <w:lang w:val="en-US" w:eastAsia="en-US" w:bidi="ar-SA"/>
    </w:rPr>
  </w:style>
  <w:style w:type="paragraph" w:customStyle="1" w:styleId="ui-resizable-se">
    <w:name w:val="ui-resizable-se"/>
    <w:basedOn w:val="Standaard"/>
    <w:uiPriority w:val="99"/>
    <w:rsid w:val="006C1C1E"/>
    <w:pPr>
      <w:spacing w:before="100" w:beforeAutospacing="1" w:after="100" w:afterAutospacing="1"/>
    </w:pPr>
    <w:rPr>
      <w:rFonts w:cs="Times New Roman"/>
      <w:lang w:val="en-US" w:eastAsia="en-US" w:bidi="ar-SA"/>
    </w:rPr>
  </w:style>
  <w:style w:type="paragraph" w:customStyle="1" w:styleId="ui-resizable-sw">
    <w:name w:val="ui-resizable-sw"/>
    <w:basedOn w:val="Standaard"/>
    <w:uiPriority w:val="99"/>
    <w:rsid w:val="006C1C1E"/>
    <w:pPr>
      <w:spacing w:before="100" w:beforeAutospacing="1" w:after="100" w:afterAutospacing="1"/>
    </w:pPr>
    <w:rPr>
      <w:rFonts w:cs="Times New Roman"/>
      <w:lang w:val="en-US" w:eastAsia="en-US" w:bidi="ar-SA"/>
    </w:rPr>
  </w:style>
  <w:style w:type="paragraph" w:customStyle="1" w:styleId="ui-resizable-nw">
    <w:name w:val="ui-resizable-nw"/>
    <w:basedOn w:val="Standaard"/>
    <w:uiPriority w:val="99"/>
    <w:rsid w:val="006C1C1E"/>
    <w:pPr>
      <w:spacing w:before="100" w:beforeAutospacing="1" w:after="100" w:afterAutospacing="1"/>
    </w:pPr>
    <w:rPr>
      <w:rFonts w:cs="Times New Roman"/>
      <w:lang w:val="en-US" w:eastAsia="en-US" w:bidi="ar-SA"/>
    </w:rPr>
  </w:style>
  <w:style w:type="paragraph" w:customStyle="1" w:styleId="ui-resizable-ne">
    <w:name w:val="ui-resizable-ne"/>
    <w:basedOn w:val="Standaard"/>
    <w:uiPriority w:val="99"/>
    <w:rsid w:val="006C1C1E"/>
    <w:pPr>
      <w:spacing w:before="100" w:beforeAutospacing="1" w:after="100" w:afterAutospacing="1"/>
    </w:pPr>
    <w:rPr>
      <w:rFonts w:cs="Times New Roman"/>
      <w:lang w:val="en-US" w:eastAsia="en-US" w:bidi="ar-SA"/>
    </w:rPr>
  </w:style>
  <w:style w:type="paragraph" w:customStyle="1" w:styleId="ui-slider">
    <w:name w:val="ui-slider"/>
    <w:basedOn w:val="Standaard"/>
    <w:uiPriority w:val="99"/>
    <w:rsid w:val="006C1C1E"/>
    <w:pPr>
      <w:spacing w:before="100" w:beforeAutospacing="1" w:after="100" w:afterAutospacing="1"/>
    </w:pPr>
    <w:rPr>
      <w:rFonts w:cs="Times New Roman"/>
      <w:lang w:val="en-US" w:eastAsia="en-US" w:bidi="ar-SA"/>
    </w:rPr>
  </w:style>
  <w:style w:type="paragraph" w:customStyle="1" w:styleId="ui-slider-horizontal">
    <w:name w:val="ui-slider-horizontal"/>
    <w:basedOn w:val="Standaard"/>
    <w:uiPriority w:val="99"/>
    <w:rsid w:val="006C1C1E"/>
    <w:pPr>
      <w:spacing w:before="100" w:beforeAutospacing="1" w:after="100" w:afterAutospacing="1"/>
    </w:pPr>
    <w:rPr>
      <w:rFonts w:cs="Times New Roman"/>
      <w:lang w:val="en-US" w:eastAsia="en-US" w:bidi="ar-SA"/>
    </w:rPr>
  </w:style>
  <w:style w:type="paragraph" w:customStyle="1" w:styleId="ui-slider-vertical">
    <w:name w:val="ui-slider-vertical"/>
    <w:basedOn w:val="Standaard"/>
    <w:uiPriority w:val="99"/>
    <w:rsid w:val="006C1C1E"/>
    <w:pPr>
      <w:spacing w:before="100" w:beforeAutospacing="1" w:after="100" w:afterAutospacing="1"/>
    </w:pPr>
    <w:rPr>
      <w:rFonts w:cs="Times New Roman"/>
      <w:lang w:val="en-US" w:eastAsia="en-US" w:bidi="ar-SA"/>
    </w:rPr>
  </w:style>
  <w:style w:type="paragraph" w:customStyle="1" w:styleId="ui-tabs">
    <w:name w:val="ui-tabs"/>
    <w:basedOn w:val="Standaard"/>
    <w:uiPriority w:val="99"/>
    <w:rsid w:val="006C1C1E"/>
    <w:pPr>
      <w:spacing w:before="100" w:beforeAutospacing="1" w:after="100" w:afterAutospacing="1"/>
    </w:pPr>
    <w:rPr>
      <w:rFonts w:cs="Times New Roman"/>
      <w:lang w:val="en-US" w:eastAsia="en-US" w:bidi="ar-SA"/>
    </w:rPr>
  </w:style>
  <w:style w:type="paragraph" w:customStyle="1" w:styleId="references-small">
    <w:name w:val="references-small"/>
    <w:basedOn w:val="Standaard"/>
    <w:uiPriority w:val="99"/>
    <w:rsid w:val="006C1C1E"/>
    <w:pPr>
      <w:spacing w:before="100" w:beforeAutospacing="1" w:after="100" w:afterAutospacing="1"/>
    </w:pPr>
    <w:rPr>
      <w:rFonts w:cs="Times New Roman"/>
      <w:sz w:val="22"/>
      <w:szCs w:val="22"/>
      <w:lang w:val="en-US" w:eastAsia="en-US" w:bidi="ar-SA"/>
    </w:rPr>
  </w:style>
  <w:style w:type="paragraph" w:customStyle="1" w:styleId="navbox-title">
    <w:name w:val="navbox-title"/>
    <w:basedOn w:val="Standaard"/>
    <w:uiPriority w:val="99"/>
    <w:rsid w:val="006C1C1E"/>
    <w:pPr>
      <w:shd w:val="clear" w:color="auto" w:fill="CCCCFF"/>
      <w:spacing w:before="100" w:beforeAutospacing="1" w:after="100" w:afterAutospacing="1"/>
      <w:jc w:val="center"/>
    </w:pPr>
    <w:rPr>
      <w:rFonts w:cs="Times New Roman"/>
      <w:lang w:val="en-US" w:eastAsia="en-US" w:bidi="ar-SA"/>
    </w:rPr>
  </w:style>
  <w:style w:type="paragraph" w:customStyle="1" w:styleId="navbox-abovebelow">
    <w:name w:val="navbox-abovebelow"/>
    <w:basedOn w:val="Standaard"/>
    <w:uiPriority w:val="99"/>
    <w:rsid w:val="006C1C1E"/>
    <w:pPr>
      <w:shd w:val="clear" w:color="auto" w:fill="DDDDFF"/>
      <w:spacing w:before="100" w:beforeAutospacing="1" w:after="100" w:afterAutospacing="1"/>
      <w:jc w:val="center"/>
    </w:pPr>
    <w:rPr>
      <w:rFonts w:cs="Times New Roman"/>
      <w:lang w:val="en-US" w:eastAsia="en-US" w:bidi="ar-SA"/>
    </w:rPr>
  </w:style>
  <w:style w:type="paragraph" w:customStyle="1" w:styleId="navbox-group">
    <w:name w:val="navbox-group"/>
    <w:basedOn w:val="Standaard"/>
    <w:uiPriority w:val="99"/>
    <w:rsid w:val="006C1C1E"/>
    <w:pPr>
      <w:shd w:val="clear" w:color="auto" w:fill="DDDDFF"/>
      <w:spacing w:before="100" w:beforeAutospacing="1" w:after="100" w:afterAutospacing="1"/>
      <w:jc w:val="right"/>
    </w:pPr>
    <w:rPr>
      <w:rFonts w:cs="Times New Roman"/>
      <w:b/>
      <w:bCs/>
      <w:lang w:val="en-US" w:eastAsia="en-US" w:bidi="ar-SA"/>
    </w:rPr>
  </w:style>
  <w:style w:type="paragraph" w:customStyle="1" w:styleId="navbox">
    <w:name w:val="navbox"/>
    <w:basedOn w:val="Standaard"/>
    <w:uiPriority w:val="99"/>
    <w:rsid w:val="006C1C1E"/>
    <w:pPr>
      <w:shd w:val="clear" w:color="auto" w:fill="FDFDFD"/>
      <w:spacing w:before="100" w:beforeAutospacing="1" w:after="100" w:afterAutospacing="1"/>
    </w:pPr>
    <w:rPr>
      <w:rFonts w:cs="Times New Roman"/>
      <w:lang w:val="en-US" w:eastAsia="en-US" w:bidi="ar-SA"/>
    </w:rPr>
  </w:style>
  <w:style w:type="paragraph" w:customStyle="1" w:styleId="navbox-subgroup">
    <w:name w:val="navbox-subgroup"/>
    <w:basedOn w:val="Standaard"/>
    <w:uiPriority w:val="99"/>
    <w:rsid w:val="006C1C1E"/>
    <w:pPr>
      <w:shd w:val="clear" w:color="auto" w:fill="FDFDFD"/>
      <w:spacing w:before="100" w:beforeAutospacing="1" w:after="100" w:afterAutospacing="1"/>
    </w:pPr>
    <w:rPr>
      <w:rFonts w:cs="Times New Roman"/>
      <w:lang w:val="en-US" w:eastAsia="en-US" w:bidi="ar-SA"/>
    </w:rPr>
  </w:style>
  <w:style w:type="paragraph" w:customStyle="1" w:styleId="navbox-list">
    <w:name w:val="navbox-list"/>
    <w:basedOn w:val="Standaard"/>
    <w:uiPriority w:val="99"/>
    <w:rsid w:val="006C1C1E"/>
    <w:pPr>
      <w:spacing w:before="100" w:beforeAutospacing="1" w:after="100" w:afterAutospacing="1"/>
    </w:pPr>
    <w:rPr>
      <w:rFonts w:cs="Times New Roman"/>
      <w:lang w:val="en-US" w:eastAsia="en-US" w:bidi="ar-SA"/>
    </w:rPr>
  </w:style>
  <w:style w:type="paragraph" w:customStyle="1" w:styleId="navbox-even">
    <w:name w:val="navbox-even"/>
    <w:basedOn w:val="Standaard"/>
    <w:uiPriority w:val="99"/>
    <w:rsid w:val="006C1C1E"/>
    <w:pPr>
      <w:shd w:val="clear" w:color="auto" w:fill="F7F7F7"/>
      <w:spacing w:before="100" w:beforeAutospacing="1" w:after="100" w:afterAutospacing="1"/>
    </w:pPr>
    <w:rPr>
      <w:rFonts w:cs="Times New Roman"/>
      <w:lang w:val="en-US" w:eastAsia="en-US" w:bidi="ar-SA"/>
    </w:rPr>
  </w:style>
  <w:style w:type="paragraph" w:customStyle="1" w:styleId="navbox-odd">
    <w:name w:val="navbox-odd"/>
    <w:basedOn w:val="Standaard"/>
    <w:uiPriority w:val="99"/>
    <w:rsid w:val="006C1C1E"/>
    <w:pPr>
      <w:spacing w:before="100" w:beforeAutospacing="1" w:after="100" w:afterAutospacing="1"/>
    </w:pPr>
    <w:rPr>
      <w:rFonts w:cs="Times New Roman"/>
      <w:lang w:val="en-US" w:eastAsia="en-US" w:bidi="ar-SA"/>
    </w:rPr>
  </w:style>
  <w:style w:type="paragraph" w:customStyle="1" w:styleId="collapsebutton">
    <w:name w:val="collapsebutton"/>
    <w:basedOn w:val="Standaard"/>
    <w:uiPriority w:val="99"/>
    <w:rsid w:val="006C1C1E"/>
    <w:pPr>
      <w:spacing w:before="100" w:beforeAutospacing="1" w:after="100" w:afterAutospacing="1"/>
      <w:jc w:val="right"/>
    </w:pPr>
    <w:rPr>
      <w:rFonts w:cs="Times New Roman"/>
      <w:lang w:val="en-US" w:eastAsia="en-US" w:bidi="ar-SA"/>
    </w:rPr>
  </w:style>
  <w:style w:type="paragraph" w:customStyle="1" w:styleId="infobox">
    <w:name w:val="infobox"/>
    <w:basedOn w:val="Standaard"/>
    <w:uiPriority w:val="99"/>
    <w:rsid w:val="006C1C1E"/>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rFonts w:cs="Times New Roman"/>
      <w:color w:val="000000"/>
      <w:lang w:val="en-US" w:eastAsia="en-US" w:bidi="ar-SA"/>
    </w:rPr>
  </w:style>
  <w:style w:type="paragraph" w:customStyle="1" w:styleId="redirect-in-category">
    <w:name w:val="redirect-in-category"/>
    <w:basedOn w:val="Standaard"/>
    <w:uiPriority w:val="99"/>
    <w:rsid w:val="006C1C1E"/>
    <w:pPr>
      <w:spacing w:before="100" w:beforeAutospacing="1" w:after="100" w:afterAutospacing="1"/>
    </w:pPr>
    <w:rPr>
      <w:rFonts w:cs="Times New Roman"/>
      <w:i/>
      <w:iCs/>
      <w:lang w:val="en-US" w:eastAsia="en-US" w:bidi="ar-SA"/>
    </w:rPr>
  </w:style>
  <w:style w:type="paragraph" w:customStyle="1" w:styleId="allpagesredirect">
    <w:name w:val="allpagesredirect"/>
    <w:basedOn w:val="Standaard"/>
    <w:uiPriority w:val="99"/>
    <w:rsid w:val="006C1C1E"/>
    <w:pPr>
      <w:spacing w:before="100" w:beforeAutospacing="1" w:after="100" w:afterAutospacing="1"/>
    </w:pPr>
    <w:rPr>
      <w:rFonts w:cs="Times New Roman"/>
      <w:i/>
      <w:iCs/>
      <w:lang w:val="en-US" w:eastAsia="en-US" w:bidi="ar-SA"/>
    </w:rPr>
  </w:style>
  <w:style w:type="paragraph" w:customStyle="1" w:styleId="messagebox">
    <w:name w:val="messagebox"/>
    <w:basedOn w:val="Standaard"/>
    <w:uiPriority w:val="99"/>
    <w:rsid w:val="006C1C1E"/>
    <w:pPr>
      <w:pBdr>
        <w:top w:val="single" w:sz="6" w:space="2" w:color="AAAAAA"/>
        <w:left w:val="single" w:sz="6" w:space="2" w:color="AAAAAA"/>
        <w:bottom w:val="single" w:sz="6" w:space="2" w:color="AAAAAA"/>
        <w:right w:val="single" w:sz="6" w:space="2" w:color="AAAAAA"/>
      </w:pBdr>
      <w:shd w:val="clear" w:color="auto" w:fill="F9F9F9"/>
      <w:spacing w:after="240"/>
    </w:pPr>
    <w:rPr>
      <w:rFonts w:cs="Times New Roman"/>
      <w:lang w:val="en-US" w:eastAsia="en-US" w:bidi="ar-SA"/>
    </w:rPr>
  </w:style>
  <w:style w:type="paragraph" w:customStyle="1" w:styleId="ipa">
    <w:name w:val="ipa"/>
    <w:basedOn w:val="Standaard"/>
    <w:uiPriority w:val="99"/>
    <w:rsid w:val="006C1C1E"/>
    <w:pPr>
      <w:spacing w:before="100" w:beforeAutospacing="1" w:after="100" w:afterAutospacing="1"/>
    </w:pPr>
    <w:rPr>
      <w:rFonts w:ascii="Arial Unicode MS" w:eastAsia="Arial Unicode MS" w:hAnsi="Arial Unicode MS" w:cs="Arial Unicode MS"/>
      <w:lang w:val="en-US" w:eastAsia="en-US" w:bidi="ar-SA"/>
    </w:rPr>
  </w:style>
  <w:style w:type="paragraph" w:customStyle="1" w:styleId="unicode">
    <w:name w:val="unicode"/>
    <w:basedOn w:val="Standaard"/>
    <w:uiPriority w:val="99"/>
    <w:rsid w:val="006C1C1E"/>
    <w:pPr>
      <w:spacing w:before="100" w:beforeAutospacing="1" w:after="100" w:afterAutospacing="1"/>
    </w:pPr>
    <w:rPr>
      <w:rFonts w:ascii="inherit" w:hAnsi="inherit" w:cs="Times New Roman"/>
      <w:lang w:val="en-US" w:eastAsia="en-US" w:bidi="ar-SA"/>
    </w:rPr>
  </w:style>
  <w:style w:type="paragraph" w:customStyle="1" w:styleId="polytonic">
    <w:name w:val="polytonic"/>
    <w:basedOn w:val="Standaard"/>
    <w:uiPriority w:val="99"/>
    <w:rsid w:val="006C1C1E"/>
    <w:pPr>
      <w:spacing w:before="100" w:beforeAutospacing="1" w:after="100" w:afterAutospacing="1"/>
    </w:pPr>
    <w:rPr>
      <w:rFonts w:ascii="inherit" w:hAnsi="inherit" w:cs="Times New Roman"/>
      <w:lang w:val="en-US" w:eastAsia="en-US" w:bidi="ar-SA"/>
    </w:rPr>
  </w:style>
  <w:style w:type="paragraph" w:customStyle="1" w:styleId="hiddenstructure">
    <w:name w:val="hiddenstructure"/>
    <w:basedOn w:val="Standaard"/>
    <w:uiPriority w:val="99"/>
    <w:rsid w:val="006C1C1E"/>
    <w:pPr>
      <w:shd w:val="clear" w:color="auto" w:fill="00FF00"/>
      <w:spacing w:before="100" w:beforeAutospacing="1" w:after="100" w:afterAutospacing="1"/>
    </w:pPr>
    <w:rPr>
      <w:rFonts w:cs="Times New Roman"/>
      <w:color w:val="FF0000"/>
      <w:lang w:val="en-US" w:eastAsia="en-US" w:bidi="ar-SA"/>
    </w:rPr>
  </w:style>
  <w:style w:type="paragraph" w:customStyle="1" w:styleId="rellink">
    <w:name w:val="rellink"/>
    <w:basedOn w:val="Standaard"/>
    <w:uiPriority w:val="99"/>
    <w:rsid w:val="006C1C1E"/>
    <w:pPr>
      <w:spacing w:before="100" w:beforeAutospacing="1" w:after="120"/>
    </w:pPr>
    <w:rPr>
      <w:rFonts w:cs="Times New Roman"/>
      <w:i/>
      <w:iCs/>
      <w:lang w:val="en-US" w:eastAsia="en-US" w:bidi="ar-SA"/>
    </w:rPr>
  </w:style>
  <w:style w:type="paragraph" w:customStyle="1" w:styleId="dablink">
    <w:name w:val="dablink"/>
    <w:basedOn w:val="Standaard"/>
    <w:uiPriority w:val="99"/>
    <w:rsid w:val="006C1C1E"/>
    <w:pPr>
      <w:spacing w:before="100" w:beforeAutospacing="1" w:after="120"/>
    </w:pPr>
    <w:rPr>
      <w:rFonts w:cs="Times New Roman"/>
      <w:i/>
      <w:iCs/>
      <w:lang w:val="en-US" w:eastAsia="en-US" w:bidi="ar-SA"/>
    </w:rPr>
  </w:style>
  <w:style w:type="paragraph" w:customStyle="1" w:styleId="geo-default">
    <w:name w:val="geo-default"/>
    <w:basedOn w:val="Standaard"/>
    <w:uiPriority w:val="99"/>
    <w:rsid w:val="006C1C1E"/>
    <w:pPr>
      <w:spacing w:before="100" w:beforeAutospacing="1" w:after="100" w:afterAutospacing="1"/>
    </w:pPr>
    <w:rPr>
      <w:rFonts w:cs="Times New Roman"/>
      <w:lang w:val="en-US" w:eastAsia="en-US" w:bidi="ar-SA"/>
    </w:rPr>
  </w:style>
  <w:style w:type="paragraph" w:customStyle="1" w:styleId="geo-dms">
    <w:name w:val="geo-dms"/>
    <w:basedOn w:val="Standaard"/>
    <w:uiPriority w:val="99"/>
    <w:rsid w:val="006C1C1E"/>
    <w:pPr>
      <w:spacing w:before="100" w:beforeAutospacing="1" w:after="100" w:afterAutospacing="1"/>
    </w:pPr>
    <w:rPr>
      <w:rFonts w:cs="Times New Roman"/>
      <w:lang w:val="en-US" w:eastAsia="en-US" w:bidi="ar-SA"/>
    </w:rPr>
  </w:style>
  <w:style w:type="paragraph" w:customStyle="1" w:styleId="geo-dec">
    <w:name w:val="geo-dec"/>
    <w:basedOn w:val="Standaard"/>
    <w:uiPriority w:val="99"/>
    <w:rsid w:val="006C1C1E"/>
    <w:pPr>
      <w:spacing w:before="100" w:beforeAutospacing="1" w:after="100" w:afterAutospacing="1"/>
    </w:pPr>
    <w:rPr>
      <w:rFonts w:cs="Times New Roman"/>
      <w:lang w:val="en-US" w:eastAsia="en-US" w:bidi="ar-SA"/>
    </w:rPr>
  </w:style>
  <w:style w:type="paragraph" w:customStyle="1" w:styleId="geo-nondefault">
    <w:name w:val="geo-nondefault"/>
    <w:basedOn w:val="Standaard"/>
    <w:uiPriority w:val="99"/>
    <w:rsid w:val="006C1C1E"/>
    <w:pPr>
      <w:spacing w:before="100" w:beforeAutospacing="1" w:after="100" w:afterAutospacing="1"/>
    </w:pPr>
    <w:rPr>
      <w:rFonts w:cs="Times New Roman"/>
      <w:vanish/>
      <w:lang w:val="en-US" w:eastAsia="en-US" w:bidi="ar-SA"/>
    </w:rPr>
  </w:style>
  <w:style w:type="paragraph" w:customStyle="1" w:styleId="geo-multi-punct">
    <w:name w:val="geo-multi-punct"/>
    <w:basedOn w:val="Standaard"/>
    <w:uiPriority w:val="99"/>
    <w:rsid w:val="006C1C1E"/>
    <w:pPr>
      <w:spacing w:before="100" w:beforeAutospacing="1" w:after="100" w:afterAutospacing="1"/>
    </w:pPr>
    <w:rPr>
      <w:rFonts w:cs="Times New Roman"/>
      <w:vanish/>
      <w:lang w:val="en-US" w:eastAsia="en-US" w:bidi="ar-SA"/>
    </w:rPr>
  </w:style>
  <w:style w:type="paragraph" w:customStyle="1" w:styleId="longitude">
    <w:name w:val="longitude"/>
    <w:basedOn w:val="Standaard"/>
    <w:uiPriority w:val="99"/>
    <w:rsid w:val="006C1C1E"/>
    <w:pPr>
      <w:spacing w:before="100" w:beforeAutospacing="1" w:after="100" w:afterAutospacing="1"/>
    </w:pPr>
    <w:rPr>
      <w:rFonts w:cs="Times New Roman"/>
      <w:lang w:val="en-US" w:eastAsia="en-US" w:bidi="ar-SA"/>
    </w:rPr>
  </w:style>
  <w:style w:type="paragraph" w:customStyle="1" w:styleId="latitude">
    <w:name w:val="latitude"/>
    <w:basedOn w:val="Standaard"/>
    <w:uiPriority w:val="99"/>
    <w:rsid w:val="006C1C1E"/>
    <w:pPr>
      <w:spacing w:before="100" w:beforeAutospacing="1" w:after="100" w:afterAutospacing="1"/>
    </w:pPr>
    <w:rPr>
      <w:rFonts w:cs="Times New Roman"/>
      <w:lang w:val="en-US" w:eastAsia="en-US" w:bidi="ar-SA"/>
    </w:rPr>
  </w:style>
  <w:style w:type="paragraph" w:customStyle="1" w:styleId="template-documentation">
    <w:name w:val="template-documentation"/>
    <w:basedOn w:val="Standaard"/>
    <w:uiPriority w:val="99"/>
    <w:rsid w:val="006C1C1E"/>
    <w:pPr>
      <w:pBdr>
        <w:top w:val="single" w:sz="6" w:space="12" w:color="AAAAAA"/>
        <w:left w:val="single" w:sz="6" w:space="12" w:color="AAAAAA"/>
        <w:bottom w:val="single" w:sz="6" w:space="12" w:color="AAAAAA"/>
        <w:right w:val="single" w:sz="6" w:space="12" w:color="AAAAAA"/>
      </w:pBdr>
      <w:shd w:val="clear" w:color="auto" w:fill="ECFCF4"/>
      <w:spacing w:before="240"/>
    </w:pPr>
    <w:rPr>
      <w:rFonts w:cs="Times New Roman"/>
      <w:lang w:val="en-US" w:eastAsia="en-US" w:bidi="ar-SA"/>
    </w:rPr>
  </w:style>
  <w:style w:type="paragraph" w:customStyle="1" w:styleId="mw-tag-markers">
    <w:name w:val="mw-tag-markers"/>
    <w:basedOn w:val="Standaard"/>
    <w:uiPriority w:val="99"/>
    <w:rsid w:val="006C1C1E"/>
    <w:pPr>
      <w:spacing w:before="100" w:beforeAutospacing="1" w:after="100" w:afterAutospacing="1"/>
    </w:pPr>
    <w:rPr>
      <w:rFonts w:ascii="Arial" w:hAnsi="Arial" w:cs="Arial"/>
      <w:i/>
      <w:iCs/>
      <w:sz w:val="22"/>
      <w:szCs w:val="22"/>
      <w:lang w:val="en-US" w:eastAsia="en-US" w:bidi="ar-SA"/>
    </w:rPr>
  </w:style>
  <w:style w:type="paragraph" w:customStyle="1" w:styleId="texhtml">
    <w:name w:val="texhtml"/>
    <w:basedOn w:val="Standaard"/>
    <w:uiPriority w:val="99"/>
    <w:rsid w:val="006C1C1E"/>
    <w:pPr>
      <w:spacing w:before="100" w:beforeAutospacing="1" w:after="100" w:afterAutospacing="1" w:line="360" w:lineRule="atLeast"/>
    </w:pPr>
    <w:rPr>
      <w:rFonts w:cs="Times New Roman"/>
      <w:sz w:val="30"/>
      <w:szCs w:val="30"/>
      <w:lang w:val="en-US" w:eastAsia="en-US" w:bidi="ar-SA"/>
    </w:rPr>
  </w:style>
  <w:style w:type="paragraph" w:customStyle="1" w:styleId="special-label">
    <w:name w:val="special-label"/>
    <w:basedOn w:val="Standaard"/>
    <w:uiPriority w:val="99"/>
    <w:rsid w:val="006C1C1E"/>
    <w:pPr>
      <w:spacing w:before="100" w:beforeAutospacing="1" w:after="100" w:afterAutospacing="1"/>
    </w:pPr>
    <w:rPr>
      <w:rFonts w:cs="Times New Roman"/>
      <w:lang w:val="en-US" w:eastAsia="en-US" w:bidi="ar-SA"/>
    </w:rPr>
  </w:style>
  <w:style w:type="paragraph" w:customStyle="1" w:styleId="special-query">
    <w:name w:val="special-query"/>
    <w:basedOn w:val="Standaard"/>
    <w:uiPriority w:val="99"/>
    <w:rsid w:val="006C1C1E"/>
    <w:pPr>
      <w:spacing w:before="100" w:beforeAutospacing="1" w:after="100" w:afterAutospacing="1"/>
    </w:pPr>
    <w:rPr>
      <w:rFonts w:cs="Times New Roman"/>
      <w:lang w:val="en-US" w:eastAsia="en-US" w:bidi="ar-SA"/>
    </w:rPr>
  </w:style>
  <w:style w:type="paragraph" w:customStyle="1" w:styleId="special-hover">
    <w:name w:val="special-hover"/>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text">
    <w:name w:val="wikieditor-ui-text"/>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top">
    <w:name w:val="wikieditor-ui-top"/>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left">
    <w:name w:val="wikieditor-ui-left"/>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right">
    <w:name w:val="wikieditor-ui-right"/>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bar-close">
    <w:name w:val="ui-dialog-titlebar-close"/>
    <w:basedOn w:val="Standaard"/>
    <w:uiPriority w:val="99"/>
    <w:rsid w:val="006C1C1E"/>
    <w:pPr>
      <w:spacing w:before="100" w:beforeAutospacing="1" w:after="100" w:afterAutospacing="1"/>
    </w:pPr>
    <w:rPr>
      <w:rFonts w:cs="Times New Roman"/>
      <w:lang w:val="en-US" w:eastAsia="en-US" w:bidi="ar-SA"/>
    </w:rPr>
  </w:style>
  <w:style w:type="paragraph" w:customStyle="1" w:styleId="wikieditor-template-dialog-field-wrapper">
    <w:name w:val="wikieditor-template-dialog-field-wrapper"/>
    <w:basedOn w:val="Standaard"/>
    <w:uiPriority w:val="99"/>
    <w:rsid w:val="006C1C1E"/>
    <w:pPr>
      <w:spacing w:before="100" w:beforeAutospacing="1" w:after="100" w:afterAutospacing="1"/>
    </w:pPr>
    <w:rPr>
      <w:rFonts w:cs="Times New Roman"/>
      <w:lang w:val="en-US" w:eastAsia="en-US" w:bidi="ar-SA"/>
    </w:rPr>
  </w:style>
  <w:style w:type="paragraph" w:customStyle="1" w:styleId="sections">
    <w:name w:val="sections"/>
    <w:basedOn w:val="Standaard"/>
    <w:uiPriority w:val="99"/>
    <w:rsid w:val="006C1C1E"/>
    <w:pPr>
      <w:spacing w:before="100" w:beforeAutospacing="1" w:after="100" w:afterAutospacing="1"/>
    </w:pPr>
    <w:rPr>
      <w:rFonts w:cs="Times New Roman"/>
      <w:lang w:val="en-US" w:eastAsia="en-US" w:bidi="ar-SA"/>
    </w:rPr>
  </w:style>
  <w:style w:type="paragraph" w:customStyle="1" w:styleId="tabs">
    <w:name w:val="tabs"/>
    <w:basedOn w:val="Standaard"/>
    <w:uiPriority w:val="99"/>
    <w:rsid w:val="006C1C1E"/>
    <w:pPr>
      <w:spacing w:before="100" w:beforeAutospacing="1" w:after="100" w:afterAutospacing="1"/>
    </w:pPr>
    <w:rPr>
      <w:rFonts w:cs="Times New Roman"/>
      <w:lang w:val="en-US" w:eastAsia="en-US" w:bidi="ar-SA"/>
    </w:rPr>
  </w:style>
  <w:style w:type="paragraph" w:customStyle="1" w:styleId="section-main">
    <w:name w:val="section-main"/>
    <w:basedOn w:val="Standaard"/>
    <w:uiPriority w:val="99"/>
    <w:rsid w:val="006C1C1E"/>
    <w:pPr>
      <w:spacing w:before="100" w:beforeAutospacing="1" w:after="100" w:afterAutospacing="1"/>
    </w:pPr>
    <w:rPr>
      <w:rFonts w:cs="Times New Roman"/>
      <w:lang w:val="en-US" w:eastAsia="en-US" w:bidi="ar-SA"/>
    </w:rPr>
  </w:style>
  <w:style w:type="paragraph" w:customStyle="1" w:styleId="group">
    <w:name w:val="group"/>
    <w:basedOn w:val="Standaard"/>
    <w:uiPriority w:val="99"/>
    <w:rsid w:val="006C1C1E"/>
    <w:pPr>
      <w:spacing w:before="100" w:beforeAutospacing="1" w:after="100" w:afterAutospacing="1"/>
    </w:pPr>
    <w:rPr>
      <w:rFonts w:cs="Times New Roman"/>
      <w:lang w:val="en-US" w:eastAsia="en-US" w:bidi="ar-SA"/>
    </w:rPr>
  </w:style>
  <w:style w:type="paragraph" w:customStyle="1" w:styleId="group-search">
    <w:name w:val="group-search"/>
    <w:basedOn w:val="Standaard"/>
    <w:uiPriority w:val="99"/>
    <w:rsid w:val="006C1C1E"/>
    <w:pPr>
      <w:spacing w:before="100" w:beforeAutospacing="1" w:after="100" w:afterAutospacing="1"/>
    </w:pPr>
    <w:rPr>
      <w:rFonts w:cs="Times New Roman"/>
      <w:lang w:val="en-US" w:eastAsia="en-US" w:bidi="ar-SA"/>
    </w:rPr>
  </w:style>
  <w:style w:type="paragraph" w:customStyle="1" w:styleId="group-insert">
    <w:name w:val="group-insert"/>
    <w:basedOn w:val="Standaard"/>
    <w:uiPriority w:val="99"/>
    <w:rsid w:val="006C1C1E"/>
    <w:pPr>
      <w:spacing w:before="100" w:beforeAutospacing="1" w:after="100" w:afterAutospacing="1"/>
    </w:pPr>
    <w:rPr>
      <w:rFonts w:cs="Times New Roman"/>
      <w:lang w:val="en-US" w:eastAsia="en-US" w:bidi="ar-SA"/>
    </w:rPr>
  </w:style>
  <w:style w:type="paragraph" w:customStyle="1" w:styleId="ui-accordion-header">
    <w:name w:val="ui-accordion-header"/>
    <w:basedOn w:val="Standaard"/>
    <w:uiPriority w:val="99"/>
    <w:rsid w:val="006C1C1E"/>
    <w:pPr>
      <w:spacing w:before="100" w:beforeAutospacing="1" w:after="100" w:afterAutospacing="1"/>
    </w:pPr>
    <w:rPr>
      <w:rFonts w:cs="Times New Roman"/>
      <w:lang w:val="en-US" w:eastAsia="en-US" w:bidi="ar-SA"/>
    </w:rPr>
  </w:style>
  <w:style w:type="paragraph" w:customStyle="1" w:styleId="ui-accordion-li-fix">
    <w:name w:val="ui-accordion-li-fix"/>
    <w:basedOn w:val="Standaard"/>
    <w:uiPriority w:val="99"/>
    <w:rsid w:val="006C1C1E"/>
    <w:pPr>
      <w:spacing w:before="100" w:beforeAutospacing="1" w:after="100" w:afterAutospacing="1"/>
    </w:pPr>
    <w:rPr>
      <w:rFonts w:cs="Times New Roman"/>
      <w:lang w:val="en-US" w:eastAsia="en-US" w:bidi="ar-SA"/>
    </w:rPr>
  </w:style>
  <w:style w:type="paragraph" w:customStyle="1" w:styleId="ui-accordion-content">
    <w:name w:val="ui-accordion-content"/>
    <w:basedOn w:val="Standaard"/>
    <w:uiPriority w:val="99"/>
    <w:rsid w:val="006C1C1E"/>
    <w:pPr>
      <w:spacing w:before="100" w:beforeAutospacing="1" w:after="100" w:afterAutospacing="1"/>
    </w:pPr>
    <w:rPr>
      <w:rFonts w:cs="Times New Roman"/>
      <w:lang w:val="en-US" w:eastAsia="en-US" w:bidi="ar-SA"/>
    </w:rPr>
  </w:style>
  <w:style w:type="paragraph" w:customStyle="1" w:styleId="ui-accordion-content-active">
    <w:name w:val="ui-accordion-content-active"/>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
    <w:name w:val="ui-datepicker-header"/>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prev">
    <w:name w:val="ui-datepicker-prev"/>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next">
    <w:name w:val="ui-datepicker-next"/>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title">
    <w:name w:val="ui-datepicker-title"/>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buttonpane">
    <w:name w:val="ui-datepicker-buttonpane"/>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group">
    <w:name w:val="ui-datepicker-group"/>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bar">
    <w:name w:val="ui-dialog-titlebar"/>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
    <w:name w:val="ui-dialog-title"/>
    <w:basedOn w:val="Standaard"/>
    <w:uiPriority w:val="99"/>
    <w:rsid w:val="006C1C1E"/>
    <w:pPr>
      <w:spacing w:before="100" w:beforeAutospacing="1" w:after="100" w:afterAutospacing="1"/>
    </w:pPr>
    <w:rPr>
      <w:rFonts w:cs="Times New Roman"/>
      <w:lang w:val="en-US" w:eastAsia="en-US" w:bidi="ar-SA"/>
    </w:rPr>
  </w:style>
  <w:style w:type="paragraph" w:customStyle="1" w:styleId="ui-dialog-content">
    <w:name w:val="ui-dialog-content"/>
    <w:basedOn w:val="Standaard"/>
    <w:uiPriority w:val="99"/>
    <w:rsid w:val="006C1C1E"/>
    <w:pPr>
      <w:spacing w:before="100" w:beforeAutospacing="1" w:after="100" w:afterAutospacing="1"/>
    </w:pPr>
    <w:rPr>
      <w:rFonts w:cs="Times New Roman"/>
      <w:lang w:val="en-US" w:eastAsia="en-US" w:bidi="ar-SA"/>
    </w:rPr>
  </w:style>
  <w:style w:type="paragraph" w:customStyle="1" w:styleId="ui-dialog-buttonpane">
    <w:name w:val="ui-dialog-buttonpane"/>
    <w:basedOn w:val="Standaard"/>
    <w:uiPriority w:val="99"/>
    <w:rsid w:val="006C1C1E"/>
    <w:pPr>
      <w:spacing w:before="100" w:beforeAutospacing="1" w:after="100" w:afterAutospacing="1"/>
    </w:pPr>
    <w:rPr>
      <w:rFonts w:cs="Times New Roman"/>
      <w:lang w:val="en-US" w:eastAsia="en-US" w:bidi="ar-SA"/>
    </w:rPr>
  </w:style>
  <w:style w:type="paragraph" w:customStyle="1" w:styleId="ui-progressbar-value">
    <w:name w:val="ui-progressbar-value"/>
    <w:basedOn w:val="Standaard"/>
    <w:uiPriority w:val="99"/>
    <w:rsid w:val="006C1C1E"/>
    <w:pPr>
      <w:spacing w:before="100" w:beforeAutospacing="1" w:after="100" w:afterAutospacing="1"/>
    </w:pPr>
    <w:rPr>
      <w:rFonts w:cs="Times New Roman"/>
      <w:lang w:val="en-US" w:eastAsia="en-US" w:bidi="ar-SA"/>
    </w:rPr>
  </w:style>
  <w:style w:type="paragraph" w:customStyle="1" w:styleId="ui-slider-handle">
    <w:name w:val="ui-slider-handle"/>
    <w:basedOn w:val="Standaard"/>
    <w:uiPriority w:val="99"/>
    <w:rsid w:val="006C1C1E"/>
    <w:pPr>
      <w:spacing w:before="100" w:beforeAutospacing="1" w:after="100" w:afterAutospacing="1"/>
    </w:pPr>
    <w:rPr>
      <w:rFonts w:cs="Times New Roman"/>
      <w:lang w:val="en-US" w:eastAsia="en-US" w:bidi="ar-SA"/>
    </w:rPr>
  </w:style>
  <w:style w:type="paragraph" w:customStyle="1" w:styleId="ui-slider-range">
    <w:name w:val="ui-slider-range"/>
    <w:basedOn w:val="Standaard"/>
    <w:uiPriority w:val="99"/>
    <w:rsid w:val="006C1C1E"/>
    <w:pPr>
      <w:spacing w:before="100" w:beforeAutospacing="1" w:after="100" w:afterAutospacing="1"/>
    </w:pPr>
    <w:rPr>
      <w:rFonts w:cs="Times New Roman"/>
      <w:lang w:val="en-US" w:eastAsia="en-US" w:bidi="ar-SA"/>
    </w:rPr>
  </w:style>
  <w:style w:type="paragraph" w:customStyle="1" w:styleId="ui-tabs-nav">
    <w:name w:val="ui-tabs-nav"/>
    <w:basedOn w:val="Standaard"/>
    <w:uiPriority w:val="99"/>
    <w:rsid w:val="006C1C1E"/>
    <w:pPr>
      <w:spacing w:before="100" w:beforeAutospacing="1" w:after="100" w:afterAutospacing="1"/>
    </w:pPr>
    <w:rPr>
      <w:rFonts w:cs="Times New Roman"/>
      <w:lang w:val="en-US" w:eastAsia="en-US" w:bidi="ar-SA"/>
    </w:rPr>
  </w:style>
  <w:style w:type="paragraph" w:customStyle="1" w:styleId="ui-tabs-panel">
    <w:name w:val="ui-tabs-panel"/>
    <w:basedOn w:val="Standaard"/>
    <w:uiPriority w:val="99"/>
    <w:rsid w:val="006C1C1E"/>
    <w:pPr>
      <w:spacing w:before="100" w:beforeAutospacing="1" w:after="100" w:afterAutospacing="1"/>
    </w:pPr>
    <w:rPr>
      <w:rFonts w:cs="Times New Roman"/>
      <w:lang w:val="en-US" w:eastAsia="en-US" w:bidi="ar-SA"/>
    </w:rPr>
  </w:style>
  <w:style w:type="paragraph" w:customStyle="1" w:styleId="imbox">
    <w:name w:val="imbox"/>
    <w:basedOn w:val="Standaard"/>
    <w:uiPriority w:val="99"/>
    <w:rsid w:val="006C1C1E"/>
    <w:pPr>
      <w:spacing w:before="100" w:beforeAutospacing="1" w:after="100" w:afterAutospacing="1"/>
    </w:pPr>
    <w:rPr>
      <w:rFonts w:cs="Times New Roman"/>
      <w:lang w:val="en-US" w:eastAsia="en-US" w:bidi="ar-SA"/>
    </w:rPr>
  </w:style>
  <w:style w:type="paragraph" w:customStyle="1" w:styleId="tocnumber">
    <w:name w:val="tocnumber"/>
    <w:basedOn w:val="Standaard"/>
    <w:uiPriority w:val="99"/>
    <w:rsid w:val="006C1C1E"/>
    <w:pPr>
      <w:spacing w:before="100" w:beforeAutospacing="1" w:after="100" w:afterAutospacing="1"/>
    </w:pPr>
    <w:rPr>
      <w:rFonts w:cs="Times New Roman"/>
      <w:lang w:val="en-US" w:eastAsia="en-US" w:bidi="ar-SA"/>
    </w:rPr>
  </w:style>
  <w:style w:type="paragraph" w:customStyle="1" w:styleId="selflink">
    <w:name w:val="selflink"/>
    <w:basedOn w:val="Standaard"/>
    <w:uiPriority w:val="99"/>
    <w:rsid w:val="006C1C1E"/>
    <w:pPr>
      <w:spacing w:before="100" w:beforeAutospacing="1" w:after="100" w:afterAutospacing="1"/>
    </w:pPr>
    <w:rPr>
      <w:rFonts w:cs="Times New Roman"/>
      <w:lang w:val="en-US" w:eastAsia="en-US" w:bidi="ar-SA"/>
    </w:rPr>
  </w:style>
  <w:style w:type="paragraph" w:customStyle="1" w:styleId="wpb-header">
    <w:name w:val="wpb-header"/>
    <w:basedOn w:val="Standaard"/>
    <w:uiPriority w:val="99"/>
    <w:rsid w:val="006C1C1E"/>
    <w:pPr>
      <w:spacing w:before="100" w:beforeAutospacing="1" w:after="100" w:afterAutospacing="1"/>
    </w:pPr>
    <w:rPr>
      <w:rFonts w:cs="Times New Roman"/>
      <w:lang w:val="en-US" w:eastAsia="en-US" w:bidi="ar-SA"/>
    </w:rPr>
  </w:style>
  <w:style w:type="paragraph" w:customStyle="1" w:styleId="wpb-outside">
    <w:name w:val="wpb-outside"/>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frame">
    <w:name w:val="wikieditor-toolbar-table-preview-frame"/>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content">
    <w:name w:val="wikieditor-toolbar-table-preview-content"/>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
    <w:name w:val="wikieditor-toolbar-table-preview"/>
    <w:basedOn w:val="Standaard"/>
    <w:uiPriority w:val="99"/>
    <w:rsid w:val="006C1C1E"/>
    <w:pPr>
      <w:spacing w:before="100" w:beforeAutospacing="1" w:after="100" w:afterAutospacing="1"/>
    </w:pPr>
    <w:rPr>
      <w:rFonts w:cs="Times New Roman"/>
      <w:lang w:val="en-US" w:eastAsia="en-US" w:bidi="ar-SA"/>
    </w:rPr>
  </w:style>
  <w:style w:type="paragraph" w:customStyle="1" w:styleId="section">
    <w:name w:val="section"/>
    <w:basedOn w:val="Standaard"/>
    <w:uiPriority w:val="99"/>
    <w:rsid w:val="006C1C1E"/>
    <w:pPr>
      <w:spacing w:before="100" w:beforeAutospacing="1" w:after="100" w:afterAutospacing="1"/>
    </w:pPr>
    <w:rPr>
      <w:rFonts w:cs="Times New Roman"/>
      <w:lang w:val="en-US" w:eastAsia="en-US" w:bidi="ar-SA"/>
    </w:rPr>
  </w:style>
  <w:style w:type="paragraph" w:customStyle="1" w:styleId="label">
    <w:name w:val="label"/>
    <w:basedOn w:val="Standaard"/>
    <w:uiPriority w:val="99"/>
    <w:rsid w:val="006C1C1E"/>
    <w:pPr>
      <w:spacing w:before="100" w:beforeAutospacing="1" w:after="100" w:afterAutospacing="1"/>
    </w:pPr>
    <w:rPr>
      <w:rFonts w:cs="Times New Roman"/>
      <w:lang w:val="en-US" w:eastAsia="en-US" w:bidi="ar-SA"/>
    </w:rPr>
  </w:style>
  <w:style w:type="paragraph" w:customStyle="1" w:styleId="tool-select">
    <w:name w:val="tool-select"/>
    <w:basedOn w:val="Standaard"/>
    <w:uiPriority w:val="99"/>
    <w:rsid w:val="006C1C1E"/>
    <w:pPr>
      <w:spacing w:before="100" w:beforeAutospacing="1" w:after="100" w:afterAutospacing="1"/>
    </w:pPr>
    <w:rPr>
      <w:rFonts w:cs="Times New Roman"/>
      <w:lang w:val="en-US" w:eastAsia="en-US" w:bidi="ar-SA"/>
    </w:rPr>
  </w:style>
  <w:style w:type="paragraph" w:customStyle="1" w:styleId="index">
    <w:name w:val="index"/>
    <w:basedOn w:val="Standaard"/>
    <w:uiPriority w:val="99"/>
    <w:rsid w:val="006C1C1E"/>
    <w:pPr>
      <w:spacing w:before="100" w:beforeAutospacing="1" w:after="100" w:afterAutospacing="1"/>
    </w:pPr>
    <w:rPr>
      <w:rFonts w:cs="Times New Roman"/>
      <w:lang w:val="en-US" w:eastAsia="en-US" w:bidi="ar-SA"/>
    </w:rPr>
  </w:style>
  <w:style w:type="paragraph" w:customStyle="1" w:styleId="pages">
    <w:name w:val="pages"/>
    <w:basedOn w:val="Standaard"/>
    <w:uiPriority w:val="99"/>
    <w:rsid w:val="006C1C1E"/>
    <w:pPr>
      <w:spacing w:before="100" w:beforeAutospacing="1" w:after="100" w:afterAutospacing="1"/>
    </w:pPr>
    <w:rPr>
      <w:rFonts w:cs="Times New Roman"/>
      <w:lang w:val="en-US" w:eastAsia="en-US" w:bidi="ar-SA"/>
    </w:rPr>
  </w:style>
  <w:style w:type="paragraph" w:customStyle="1" w:styleId="tmbox">
    <w:name w:val="tmbox"/>
    <w:basedOn w:val="Standaard"/>
    <w:uiPriority w:val="99"/>
    <w:rsid w:val="006C1C1E"/>
    <w:pPr>
      <w:spacing w:before="100" w:beforeAutospacing="1" w:after="100" w:afterAutospacing="1"/>
    </w:pPr>
    <w:rPr>
      <w:rFonts w:cs="Times New Roman"/>
      <w:lang w:val="en-US" w:eastAsia="en-US" w:bidi="ar-SA"/>
    </w:rPr>
  </w:style>
  <w:style w:type="paragraph" w:customStyle="1" w:styleId="spinner">
    <w:name w:val="spinner"/>
    <w:basedOn w:val="Standaard"/>
    <w:uiPriority w:val="99"/>
    <w:rsid w:val="006C1C1E"/>
    <w:pPr>
      <w:spacing w:before="100" w:beforeAutospacing="1" w:after="100" w:afterAutospacing="1"/>
    </w:pPr>
    <w:rPr>
      <w:rFonts w:cs="Times New Roman"/>
      <w:lang w:val="en-US" w:eastAsia="en-US" w:bidi="ar-SA"/>
    </w:rPr>
  </w:style>
  <w:style w:type="paragraph" w:customStyle="1" w:styleId="options">
    <w:name w:val="options"/>
    <w:basedOn w:val="Standaard"/>
    <w:uiPriority w:val="99"/>
    <w:rsid w:val="006C1C1E"/>
    <w:pPr>
      <w:spacing w:before="100" w:beforeAutospacing="1" w:after="100" w:afterAutospacing="1"/>
    </w:pPr>
    <w:rPr>
      <w:rFonts w:cs="Times New Roman"/>
      <w:lang w:val="en-US" w:eastAsia="en-US" w:bidi="ar-SA"/>
    </w:rPr>
  </w:style>
  <w:style w:type="paragraph" w:customStyle="1" w:styleId="current">
    <w:name w:val="current"/>
    <w:basedOn w:val="Standaard"/>
    <w:uiPriority w:val="99"/>
    <w:rsid w:val="006C1C1E"/>
    <w:pPr>
      <w:spacing w:before="100" w:beforeAutospacing="1" w:after="100" w:afterAutospacing="1"/>
    </w:pPr>
    <w:rPr>
      <w:rFonts w:cs="Times New Roman"/>
      <w:lang w:val="en-US" w:eastAsia="en-US" w:bidi="ar-SA"/>
    </w:rPr>
  </w:style>
  <w:style w:type="paragraph" w:customStyle="1" w:styleId="option">
    <w:name w:val="option"/>
    <w:basedOn w:val="Standaard"/>
    <w:uiPriority w:val="99"/>
    <w:rsid w:val="006C1C1E"/>
    <w:pPr>
      <w:spacing w:before="100" w:beforeAutospacing="1" w:after="100" w:afterAutospacing="1"/>
    </w:pPr>
    <w:rPr>
      <w:rFonts w:cs="Times New Roman"/>
      <w:lang w:val="en-US" w:eastAsia="en-US" w:bidi="ar-SA"/>
    </w:rPr>
  </w:style>
  <w:style w:type="paragraph" w:customStyle="1" w:styleId="optionrelheading-2">
    <w:name w:val="option[rel=heading-2]"/>
    <w:basedOn w:val="Standaard"/>
    <w:uiPriority w:val="99"/>
    <w:rsid w:val="006C1C1E"/>
    <w:pPr>
      <w:spacing w:before="100" w:beforeAutospacing="1" w:after="100" w:afterAutospacing="1"/>
    </w:pPr>
    <w:rPr>
      <w:rFonts w:cs="Times New Roman"/>
      <w:lang w:val="en-US" w:eastAsia="en-US" w:bidi="ar-SA"/>
    </w:rPr>
  </w:style>
  <w:style w:type="paragraph" w:customStyle="1" w:styleId="optionrelheading-3">
    <w:name w:val="option[rel=heading-3]"/>
    <w:basedOn w:val="Standaard"/>
    <w:uiPriority w:val="99"/>
    <w:rsid w:val="006C1C1E"/>
    <w:pPr>
      <w:spacing w:before="100" w:beforeAutospacing="1" w:after="100" w:afterAutospacing="1"/>
    </w:pPr>
    <w:rPr>
      <w:rFonts w:cs="Times New Roman"/>
      <w:lang w:val="en-US" w:eastAsia="en-US" w:bidi="ar-SA"/>
    </w:rPr>
  </w:style>
  <w:style w:type="paragraph" w:customStyle="1" w:styleId="optionrelheading-4">
    <w:name w:val="option[rel=heading-4]"/>
    <w:basedOn w:val="Standaard"/>
    <w:uiPriority w:val="99"/>
    <w:rsid w:val="006C1C1E"/>
    <w:pPr>
      <w:spacing w:before="100" w:beforeAutospacing="1" w:after="100" w:afterAutospacing="1"/>
    </w:pPr>
    <w:rPr>
      <w:rFonts w:cs="Times New Roman"/>
      <w:lang w:val="en-US" w:eastAsia="en-US" w:bidi="ar-SA"/>
    </w:rPr>
  </w:style>
  <w:style w:type="paragraph" w:customStyle="1" w:styleId="optionrelheading-5">
    <w:name w:val="option[rel=heading-5]"/>
    <w:basedOn w:val="Standaard"/>
    <w:uiPriority w:val="99"/>
    <w:rsid w:val="006C1C1E"/>
    <w:pPr>
      <w:spacing w:before="100" w:beforeAutospacing="1" w:after="100" w:afterAutospacing="1"/>
    </w:pPr>
    <w:rPr>
      <w:rFonts w:cs="Times New Roman"/>
      <w:lang w:val="en-US" w:eastAsia="en-US" w:bidi="ar-SA"/>
    </w:rPr>
  </w:style>
  <w:style w:type="paragraph" w:customStyle="1" w:styleId="menu">
    <w:name w:val="menu"/>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wrapper">
    <w:name w:val="wikieditor-toolbar-table-preview-wrapper"/>
    <w:basedOn w:val="Standaard"/>
    <w:uiPriority w:val="99"/>
    <w:rsid w:val="006C1C1E"/>
    <w:pPr>
      <w:spacing w:before="100" w:beforeAutospacing="1" w:after="100" w:afterAutospacing="1"/>
    </w:pPr>
    <w:rPr>
      <w:rFonts w:cs="Times New Roman"/>
      <w:lang w:val="en-US" w:eastAsia="en-US" w:bidi="ar-SA"/>
    </w:rPr>
  </w:style>
  <w:style w:type="paragraph" w:customStyle="1" w:styleId="sitenoticesmall">
    <w:name w:val="sitenoticesmall"/>
    <w:basedOn w:val="Standaard"/>
    <w:uiPriority w:val="99"/>
    <w:rsid w:val="006C1C1E"/>
    <w:pPr>
      <w:spacing w:before="100" w:beforeAutospacing="1" w:after="100" w:afterAutospacing="1"/>
    </w:pPr>
    <w:rPr>
      <w:rFonts w:cs="Times New Roman"/>
      <w:lang w:val="en-US" w:eastAsia="en-US" w:bidi="ar-SA"/>
    </w:rPr>
  </w:style>
  <w:style w:type="paragraph" w:customStyle="1" w:styleId="sitenoticesmallanon">
    <w:name w:val="sitenoticesmallanon"/>
    <w:basedOn w:val="Standaard"/>
    <w:uiPriority w:val="99"/>
    <w:rsid w:val="006C1C1E"/>
    <w:pPr>
      <w:spacing w:before="100" w:beforeAutospacing="1" w:after="100" w:afterAutospacing="1"/>
    </w:pPr>
    <w:rPr>
      <w:rFonts w:cs="Times New Roman"/>
      <w:lang w:val="en-US" w:eastAsia="en-US" w:bidi="ar-SA"/>
    </w:rPr>
  </w:style>
  <w:style w:type="paragraph" w:customStyle="1" w:styleId="sitenoticesmalluser">
    <w:name w:val="sitenoticesmalluser"/>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dialog">
    <w:name w:val="wikieditor-toolbar-dialog"/>
    <w:basedOn w:val="Standaard"/>
    <w:uiPriority w:val="99"/>
    <w:rsid w:val="006C1C1E"/>
    <w:pPr>
      <w:spacing w:before="100" w:beforeAutospacing="1" w:after="100" w:afterAutospacing="1"/>
    </w:pPr>
    <w:rPr>
      <w:rFonts w:cs="Times New Roman"/>
      <w:lang w:val="en-US" w:eastAsia="en-US" w:bidi="ar-SA"/>
    </w:rPr>
  </w:style>
  <w:style w:type="paragraph" w:customStyle="1" w:styleId="ui-icon-closethick">
    <w:name w:val="ui-icon-closethick"/>
    <w:basedOn w:val="Standaard"/>
    <w:uiPriority w:val="99"/>
    <w:rsid w:val="006C1C1E"/>
    <w:pPr>
      <w:spacing w:before="100" w:beforeAutospacing="1" w:after="100" w:afterAutospacing="1"/>
    </w:pPr>
    <w:rPr>
      <w:rFonts w:cs="Times New Roman"/>
      <w:lang w:val="en-US" w:eastAsia="en-US" w:bidi="ar-SA"/>
    </w:rPr>
  </w:style>
  <w:style w:type="paragraph" w:customStyle="1" w:styleId="ui-accordion-header-active">
    <w:name w:val="ui-accordion-header-active"/>
    <w:basedOn w:val="Standaard"/>
    <w:uiPriority w:val="99"/>
    <w:rsid w:val="006C1C1E"/>
    <w:pPr>
      <w:spacing w:before="100" w:beforeAutospacing="1" w:after="100" w:afterAutospacing="1"/>
    </w:pPr>
    <w:rPr>
      <w:rFonts w:cs="Times New Roman"/>
      <w:lang w:val="en-US" w:eastAsia="en-US" w:bidi="ar-SA"/>
    </w:rPr>
  </w:style>
  <w:style w:type="paragraph" w:customStyle="1" w:styleId="ui-tabs-hide">
    <w:name w:val="ui-tabs-hide"/>
    <w:basedOn w:val="Standaard"/>
    <w:uiPriority w:val="99"/>
    <w:rsid w:val="006C1C1E"/>
    <w:pPr>
      <w:spacing w:before="100" w:beforeAutospacing="1" w:after="100" w:afterAutospacing="1"/>
    </w:pPr>
    <w:rPr>
      <w:rFonts w:cs="Times New Roman"/>
      <w:lang w:val="en-US" w:eastAsia="en-US" w:bidi="ar-SA"/>
    </w:rPr>
  </w:style>
  <w:style w:type="paragraph" w:customStyle="1" w:styleId="notice-all">
    <w:name w:val="notice-all"/>
    <w:basedOn w:val="Standaard"/>
    <w:uiPriority w:val="99"/>
    <w:rsid w:val="006C1C1E"/>
    <w:pPr>
      <w:spacing w:before="100" w:beforeAutospacing="1" w:after="100" w:afterAutospacing="1"/>
    </w:pPr>
    <w:rPr>
      <w:rFonts w:cs="Times New Roman"/>
      <w:lang w:val="en-US" w:eastAsia="en-US" w:bidi="ar-SA"/>
    </w:rPr>
  </w:style>
  <w:style w:type="character" w:customStyle="1" w:styleId="citation">
    <w:name w:val="citation"/>
    <w:basedOn w:val="Standaardalinea-lettertype"/>
    <w:rsid w:val="006C1C1E"/>
    <w:rPr>
      <w:rFonts w:cs="Times New Roman"/>
    </w:rPr>
  </w:style>
  <w:style w:type="character" w:customStyle="1" w:styleId="tab">
    <w:name w:val="tab"/>
    <w:basedOn w:val="Standaardalinea-lettertype"/>
    <w:uiPriority w:val="99"/>
    <w:rsid w:val="006C1C1E"/>
    <w:rPr>
      <w:rFonts w:cs="Times New Roman"/>
    </w:rPr>
  </w:style>
  <w:style w:type="paragraph" w:customStyle="1" w:styleId="special-label1">
    <w:name w:val="special-label1"/>
    <w:basedOn w:val="Standaard"/>
    <w:uiPriority w:val="99"/>
    <w:rsid w:val="006C1C1E"/>
    <w:pPr>
      <w:spacing w:before="100" w:beforeAutospacing="1" w:after="100" w:afterAutospacing="1"/>
    </w:pPr>
    <w:rPr>
      <w:rFonts w:cs="Times New Roman"/>
      <w:color w:val="808080"/>
      <w:sz w:val="19"/>
      <w:szCs w:val="19"/>
      <w:lang w:val="en-US" w:eastAsia="en-US" w:bidi="ar-SA"/>
    </w:rPr>
  </w:style>
  <w:style w:type="paragraph" w:customStyle="1" w:styleId="special-query1">
    <w:name w:val="special-query1"/>
    <w:basedOn w:val="Standaard"/>
    <w:uiPriority w:val="99"/>
    <w:rsid w:val="006C1C1E"/>
    <w:pPr>
      <w:spacing w:before="100" w:beforeAutospacing="1" w:after="100" w:afterAutospacing="1"/>
    </w:pPr>
    <w:rPr>
      <w:rFonts w:cs="Times New Roman"/>
      <w:i/>
      <w:iCs/>
      <w:color w:val="000000"/>
      <w:lang w:val="en-US" w:eastAsia="en-US" w:bidi="ar-SA"/>
    </w:rPr>
  </w:style>
  <w:style w:type="paragraph" w:customStyle="1" w:styleId="special-hover1">
    <w:name w:val="special-hover1"/>
    <w:basedOn w:val="Standaard"/>
    <w:uiPriority w:val="99"/>
    <w:rsid w:val="006C1C1E"/>
    <w:pPr>
      <w:shd w:val="clear" w:color="auto" w:fill="C0C0C0"/>
      <w:spacing w:before="100" w:beforeAutospacing="1" w:after="100" w:afterAutospacing="1"/>
    </w:pPr>
    <w:rPr>
      <w:rFonts w:cs="Times New Roman"/>
      <w:lang w:val="en-US" w:eastAsia="en-US" w:bidi="ar-SA"/>
    </w:rPr>
  </w:style>
  <w:style w:type="paragraph" w:customStyle="1" w:styleId="special-label2">
    <w:name w:val="special-label2"/>
    <w:basedOn w:val="Standaard"/>
    <w:uiPriority w:val="99"/>
    <w:rsid w:val="006C1C1E"/>
    <w:pPr>
      <w:spacing w:before="100" w:beforeAutospacing="1" w:after="100" w:afterAutospacing="1"/>
    </w:pPr>
    <w:rPr>
      <w:rFonts w:cs="Times New Roman"/>
      <w:color w:val="FFFFFF"/>
      <w:lang w:val="en-US" w:eastAsia="en-US" w:bidi="ar-SA"/>
    </w:rPr>
  </w:style>
  <w:style w:type="paragraph" w:customStyle="1" w:styleId="special-query2">
    <w:name w:val="special-query2"/>
    <w:basedOn w:val="Standaard"/>
    <w:uiPriority w:val="99"/>
    <w:rsid w:val="006C1C1E"/>
    <w:pPr>
      <w:spacing w:before="100" w:beforeAutospacing="1" w:after="100" w:afterAutospacing="1"/>
    </w:pPr>
    <w:rPr>
      <w:rFonts w:cs="Times New Roman"/>
      <w:color w:val="FFFFFF"/>
      <w:lang w:val="en-US" w:eastAsia="en-US" w:bidi="ar-SA"/>
    </w:rPr>
  </w:style>
  <w:style w:type="paragraph" w:customStyle="1" w:styleId="wikieditor-ui-text1">
    <w:name w:val="wikieditor-ui-text1"/>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top1">
    <w:name w:val="wikieditor-ui-top1"/>
    <w:basedOn w:val="Standaard"/>
    <w:uiPriority w:val="99"/>
    <w:rsid w:val="006C1C1E"/>
    <w:pPr>
      <w:pBdr>
        <w:bottom w:val="single" w:sz="6" w:space="0" w:color="C0C0C0"/>
      </w:pBdr>
      <w:spacing w:before="100" w:beforeAutospacing="1" w:after="100" w:afterAutospacing="1"/>
    </w:pPr>
    <w:rPr>
      <w:rFonts w:cs="Times New Roman"/>
      <w:lang w:val="en-US" w:eastAsia="en-US" w:bidi="ar-SA"/>
    </w:rPr>
  </w:style>
  <w:style w:type="paragraph" w:customStyle="1" w:styleId="wikieditor-ui-left1">
    <w:name w:val="wikieditor-ui-left1"/>
    <w:basedOn w:val="Standaard"/>
    <w:uiPriority w:val="99"/>
    <w:rsid w:val="006C1C1E"/>
    <w:pPr>
      <w:spacing w:before="100" w:beforeAutospacing="1" w:after="100" w:afterAutospacing="1"/>
    </w:pPr>
    <w:rPr>
      <w:rFonts w:cs="Times New Roman"/>
      <w:lang w:val="en-US" w:eastAsia="en-US" w:bidi="ar-SA"/>
    </w:rPr>
  </w:style>
  <w:style w:type="paragraph" w:customStyle="1" w:styleId="wikieditor-ui-right1">
    <w:name w:val="wikieditor-ui-right1"/>
    <w:basedOn w:val="Standaard"/>
    <w:uiPriority w:val="99"/>
    <w:rsid w:val="006C1C1E"/>
    <w:pPr>
      <w:shd w:val="clear" w:color="auto" w:fill="F3F3F3"/>
      <w:spacing w:before="100" w:beforeAutospacing="1" w:after="100" w:afterAutospacing="1"/>
    </w:pPr>
    <w:rPr>
      <w:rFonts w:cs="Times New Roman"/>
      <w:lang w:val="en-US" w:eastAsia="en-US" w:bidi="ar-SA"/>
    </w:rPr>
  </w:style>
  <w:style w:type="paragraph" w:customStyle="1" w:styleId="ui-dialog-titlebar1">
    <w:name w:val="ui-dialog-titlebar1"/>
    <w:basedOn w:val="Standaard"/>
    <w:uiPriority w:val="99"/>
    <w:rsid w:val="006C1C1E"/>
    <w:pPr>
      <w:spacing w:before="100" w:beforeAutospacing="1" w:after="100" w:afterAutospacing="1"/>
    </w:pPr>
    <w:rPr>
      <w:rFonts w:cs="Times New Roman"/>
      <w:lang w:val="en-US" w:eastAsia="en-US" w:bidi="ar-SA"/>
    </w:rPr>
  </w:style>
  <w:style w:type="paragraph" w:customStyle="1" w:styleId="ui-widget-header1">
    <w:name w:val="ui-widget-header1"/>
    <w:basedOn w:val="Standaard"/>
    <w:uiPriority w:val="99"/>
    <w:rsid w:val="006C1C1E"/>
    <w:pPr>
      <w:pBdr>
        <w:bottom w:val="single" w:sz="6" w:space="0" w:color="6BC8F3"/>
      </w:pBdr>
      <w:shd w:val="clear" w:color="auto" w:fill="F0F0F0"/>
      <w:spacing w:before="100" w:beforeAutospacing="1" w:after="100" w:afterAutospacing="1" w:line="240" w:lineRule="atLeast"/>
    </w:pPr>
    <w:rPr>
      <w:rFonts w:cs="Times New Roman"/>
      <w:b/>
      <w:bCs/>
      <w:color w:val="333333"/>
      <w:lang w:val="en-US" w:eastAsia="en-US" w:bidi="ar-SA"/>
    </w:rPr>
  </w:style>
  <w:style w:type="paragraph" w:customStyle="1" w:styleId="ui-icon-closethick1">
    <w:name w:val="ui-icon-closethick1"/>
    <w:basedOn w:val="Standaard"/>
    <w:uiPriority w:val="99"/>
    <w:rsid w:val="006C1C1E"/>
    <w:pPr>
      <w:spacing w:before="100" w:beforeAutospacing="1" w:after="100" w:afterAutospacing="1"/>
    </w:pPr>
    <w:rPr>
      <w:rFonts w:cs="Times New Roman"/>
      <w:lang w:val="en-US" w:eastAsia="en-US" w:bidi="ar-SA"/>
    </w:rPr>
  </w:style>
  <w:style w:type="paragraph" w:customStyle="1" w:styleId="ui-dialog-buttonpane1">
    <w:name w:val="ui-dialog-buttonpane1"/>
    <w:basedOn w:val="Standaard"/>
    <w:uiPriority w:val="99"/>
    <w:rsid w:val="006C1C1E"/>
    <w:pPr>
      <w:pBdr>
        <w:top w:val="single" w:sz="6" w:space="0" w:color="CCCCCC"/>
      </w:pBdr>
      <w:spacing w:after="100" w:afterAutospacing="1"/>
    </w:pPr>
    <w:rPr>
      <w:rFonts w:cs="Times New Roman"/>
      <w:lang w:val="en-US" w:eastAsia="en-US" w:bidi="ar-SA"/>
    </w:rPr>
  </w:style>
  <w:style w:type="paragraph" w:customStyle="1" w:styleId="ui-dialog-titlebar-close1">
    <w:name w:val="ui-dialog-titlebar-close1"/>
    <w:basedOn w:val="Standaard"/>
    <w:uiPriority w:val="99"/>
    <w:rsid w:val="006C1C1E"/>
    <w:pPr>
      <w:spacing w:before="100" w:beforeAutospacing="1" w:after="100" w:afterAutospacing="1"/>
    </w:pPr>
    <w:rPr>
      <w:rFonts w:cs="Times New Roman"/>
      <w:lang w:val="en-US" w:eastAsia="en-US" w:bidi="ar-SA"/>
    </w:rPr>
  </w:style>
  <w:style w:type="paragraph" w:customStyle="1" w:styleId="ui-widget-content1">
    <w:name w:val="ui-widget-content1"/>
    <w:basedOn w:val="Standaard"/>
    <w:uiPriority w:val="99"/>
    <w:rsid w:val="006C1C1E"/>
    <w:pPr>
      <w:shd w:val="clear" w:color="auto" w:fill="FFFFFF"/>
      <w:spacing w:before="100" w:beforeAutospacing="1" w:after="100" w:afterAutospacing="1"/>
    </w:pPr>
    <w:rPr>
      <w:rFonts w:cs="Times New Roman"/>
      <w:color w:val="000000"/>
      <w:lang w:val="en-US" w:eastAsia="en-US" w:bidi="ar-SA"/>
    </w:rPr>
  </w:style>
  <w:style w:type="paragraph" w:customStyle="1" w:styleId="wikieditor-toolbar-table-preview-wrapper1">
    <w:name w:val="wikieditor-toolbar-table-preview-wrapper1"/>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field-wrapper1">
    <w:name w:val="wikieditor-toolbar-field-wrapper1"/>
    <w:basedOn w:val="Standaard"/>
    <w:uiPriority w:val="99"/>
    <w:rsid w:val="006C1C1E"/>
    <w:pPr>
      <w:spacing w:before="100" w:beforeAutospacing="1" w:after="100" w:afterAutospacing="1"/>
      <w:ind w:right="300"/>
      <w:textAlignment w:val="bottom"/>
    </w:pPr>
    <w:rPr>
      <w:rFonts w:cs="Times New Roman"/>
      <w:lang w:val="en-US" w:eastAsia="en-US" w:bidi="ar-SA"/>
    </w:rPr>
  </w:style>
  <w:style w:type="paragraph" w:customStyle="1" w:styleId="wikieditor-toolbar-field-wrapper2">
    <w:name w:val="wikieditor-toolbar-field-wrapper2"/>
    <w:basedOn w:val="Standaard"/>
    <w:uiPriority w:val="99"/>
    <w:rsid w:val="006C1C1E"/>
    <w:pPr>
      <w:spacing w:before="100" w:beforeAutospacing="1" w:after="100" w:afterAutospacing="1"/>
      <w:ind w:left="300"/>
      <w:textAlignment w:val="bottom"/>
    </w:pPr>
    <w:rPr>
      <w:rFonts w:cs="Times New Roman"/>
      <w:lang w:val="en-US" w:eastAsia="en-US" w:bidi="ar-SA"/>
    </w:rPr>
  </w:style>
  <w:style w:type="paragraph" w:customStyle="1" w:styleId="ui-dialog-content1">
    <w:name w:val="ui-dialog-content1"/>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floated-field-wrapper1">
    <w:name w:val="wikieditor-toolbar-floated-field-wrapper1"/>
    <w:basedOn w:val="Standaard"/>
    <w:uiPriority w:val="99"/>
    <w:rsid w:val="006C1C1E"/>
    <w:pPr>
      <w:spacing w:before="100" w:beforeAutospacing="1" w:after="100" w:afterAutospacing="1"/>
      <w:ind w:left="480"/>
    </w:pPr>
    <w:rPr>
      <w:rFonts w:cs="Times New Roman"/>
      <w:lang w:val="en-US" w:eastAsia="en-US" w:bidi="ar-SA"/>
    </w:rPr>
  </w:style>
  <w:style w:type="paragraph" w:customStyle="1" w:styleId="wikieditor-template-dialog-field-wrapper1">
    <w:name w:val="wikieditor-template-dialog-field-wrapper1"/>
    <w:basedOn w:val="Standaard"/>
    <w:uiPriority w:val="99"/>
    <w:rsid w:val="006C1C1E"/>
    <w:pPr>
      <w:pBdr>
        <w:bottom w:val="dashed" w:sz="6" w:space="9" w:color="C0C0C0"/>
      </w:pBdr>
      <w:spacing w:before="100" w:beforeAutospacing="1" w:after="100" w:afterAutospacing="1"/>
    </w:pPr>
    <w:rPr>
      <w:rFonts w:cs="Times New Roman"/>
      <w:lang w:val="en-US" w:eastAsia="en-US" w:bidi="ar-SA"/>
    </w:rPr>
  </w:style>
  <w:style w:type="paragraph" w:customStyle="1" w:styleId="sections1">
    <w:name w:val="sections1"/>
    <w:basedOn w:val="Standaard"/>
    <w:uiPriority w:val="99"/>
    <w:rsid w:val="006C1C1E"/>
    <w:pPr>
      <w:spacing w:before="100" w:beforeAutospacing="1" w:after="100" w:afterAutospacing="1"/>
    </w:pPr>
    <w:rPr>
      <w:rFonts w:cs="Times New Roman"/>
      <w:lang w:val="en-US" w:eastAsia="en-US" w:bidi="ar-SA"/>
    </w:rPr>
  </w:style>
  <w:style w:type="paragraph" w:customStyle="1" w:styleId="section1">
    <w:name w:val="section1"/>
    <w:basedOn w:val="Standaard"/>
    <w:uiPriority w:val="99"/>
    <w:rsid w:val="006C1C1E"/>
    <w:pPr>
      <w:pBdr>
        <w:top w:val="single" w:sz="6" w:space="0" w:color="DDDDDD"/>
      </w:pBdr>
      <w:shd w:val="clear" w:color="auto" w:fill="E0EEF7"/>
      <w:spacing w:before="100" w:beforeAutospacing="1" w:after="100" w:afterAutospacing="1"/>
    </w:pPr>
    <w:rPr>
      <w:rFonts w:cs="Times New Roman"/>
      <w:vanish/>
      <w:lang w:val="en-US" w:eastAsia="en-US" w:bidi="ar-SA"/>
    </w:rPr>
  </w:style>
  <w:style w:type="paragraph" w:customStyle="1" w:styleId="spinner1">
    <w:name w:val="spinner1"/>
    <w:basedOn w:val="Standaard"/>
    <w:uiPriority w:val="99"/>
    <w:rsid w:val="006C1C1E"/>
    <w:pPr>
      <w:spacing w:before="100" w:beforeAutospacing="1" w:after="100" w:afterAutospacing="1"/>
    </w:pPr>
    <w:rPr>
      <w:rFonts w:cs="Times New Roman"/>
      <w:vanish/>
      <w:lang w:val="en-US" w:eastAsia="en-US" w:bidi="ar-SA"/>
    </w:rPr>
  </w:style>
  <w:style w:type="paragraph" w:customStyle="1" w:styleId="spinner2">
    <w:name w:val="spinner2"/>
    <w:basedOn w:val="Standaard"/>
    <w:uiPriority w:val="99"/>
    <w:rsid w:val="006C1C1E"/>
    <w:pPr>
      <w:spacing w:before="100" w:beforeAutospacing="1" w:after="100" w:afterAutospacing="1"/>
      <w:ind w:left="120"/>
    </w:pPr>
    <w:rPr>
      <w:rFonts w:cs="Times New Roman"/>
      <w:color w:val="666666"/>
      <w:lang w:val="en-US" w:eastAsia="en-US" w:bidi="ar-SA"/>
    </w:rPr>
  </w:style>
  <w:style w:type="paragraph" w:customStyle="1" w:styleId="spinner3">
    <w:name w:val="spinner3"/>
    <w:basedOn w:val="Standaard"/>
    <w:uiPriority w:val="99"/>
    <w:rsid w:val="006C1C1E"/>
    <w:pPr>
      <w:spacing w:before="100" w:beforeAutospacing="1" w:after="100" w:afterAutospacing="1"/>
      <w:ind w:right="120"/>
    </w:pPr>
    <w:rPr>
      <w:rFonts w:cs="Times New Roman"/>
      <w:color w:val="666666"/>
      <w:lang w:val="en-US" w:eastAsia="en-US" w:bidi="ar-SA"/>
    </w:rPr>
  </w:style>
  <w:style w:type="paragraph" w:customStyle="1" w:styleId="tabs1">
    <w:name w:val="tabs1"/>
    <w:basedOn w:val="Standaard"/>
    <w:uiPriority w:val="99"/>
    <w:rsid w:val="006C1C1E"/>
    <w:pPr>
      <w:spacing w:before="45" w:after="45"/>
      <w:ind w:left="45" w:right="45"/>
    </w:pPr>
    <w:rPr>
      <w:rFonts w:cs="Times New Roman"/>
      <w:lang w:val="en-US" w:eastAsia="en-US" w:bidi="ar-SA"/>
    </w:rPr>
  </w:style>
  <w:style w:type="paragraph" w:customStyle="1" w:styleId="section-main1">
    <w:name w:val="section-main1"/>
    <w:basedOn w:val="Standaard"/>
    <w:uiPriority w:val="99"/>
    <w:rsid w:val="006C1C1E"/>
    <w:pPr>
      <w:spacing w:before="100" w:beforeAutospacing="1" w:after="100" w:afterAutospacing="1"/>
    </w:pPr>
    <w:rPr>
      <w:rFonts w:cs="Times New Roman"/>
      <w:lang w:val="en-US" w:eastAsia="en-US" w:bidi="ar-SA"/>
    </w:rPr>
  </w:style>
  <w:style w:type="paragraph" w:customStyle="1" w:styleId="group1">
    <w:name w:val="group1"/>
    <w:basedOn w:val="Standaard"/>
    <w:uiPriority w:val="99"/>
    <w:rsid w:val="006C1C1E"/>
    <w:pPr>
      <w:pBdr>
        <w:right w:val="single" w:sz="6" w:space="5" w:color="DDDDDD"/>
      </w:pBdr>
      <w:spacing w:before="45" w:after="45"/>
      <w:ind w:left="45" w:right="45"/>
    </w:pPr>
    <w:rPr>
      <w:rFonts w:cs="Times New Roman"/>
      <w:lang w:val="en-US" w:eastAsia="en-US" w:bidi="ar-SA"/>
    </w:rPr>
  </w:style>
  <w:style w:type="paragraph" w:customStyle="1" w:styleId="group2">
    <w:name w:val="group2"/>
    <w:basedOn w:val="Standaard"/>
    <w:uiPriority w:val="99"/>
    <w:rsid w:val="006C1C1E"/>
    <w:pPr>
      <w:pBdr>
        <w:left w:val="single" w:sz="6" w:space="5" w:color="DDDDDD"/>
      </w:pBdr>
      <w:spacing w:before="45" w:after="45"/>
      <w:ind w:left="45" w:right="45"/>
    </w:pPr>
    <w:rPr>
      <w:rFonts w:cs="Times New Roman"/>
      <w:lang w:val="en-US" w:eastAsia="en-US" w:bidi="ar-SA"/>
    </w:rPr>
  </w:style>
  <w:style w:type="paragraph" w:customStyle="1" w:styleId="group-search1">
    <w:name w:val="group-search1"/>
    <w:basedOn w:val="Standaard"/>
    <w:uiPriority w:val="99"/>
    <w:rsid w:val="006C1C1E"/>
    <w:pPr>
      <w:pBdr>
        <w:left w:val="single" w:sz="6" w:space="5" w:color="DDDDDD"/>
      </w:pBdr>
      <w:spacing w:before="100" w:beforeAutospacing="1" w:after="100" w:afterAutospacing="1"/>
    </w:pPr>
    <w:rPr>
      <w:rFonts w:cs="Times New Roman"/>
      <w:lang w:val="en-US" w:eastAsia="en-US" w:bidi="ar-SA"/>
    </w:rPr>
  </w:style>
  <w:style w:type="paragraph" w:customStyle="1" w:styleId="group-insert1">
    <w:name w:val="group-insert1"/>
    <w:basedOn w:val="Standaard"/>
    <w:uiPriority w:val="99"/>
    <w:rsid w:val="006C1C1E"/>
    <w:pPr>
      <w:spacing w:before="100" w:beforeAutospacing="1" w:after="100" w:afterAutospacing="1"/>
    </w:pPr>
    <w:rPr>
      <w:rFonts w:cs="Times New Roman"/>
      <w:lang w:val="en-US" w:eastAsia="en-US" w:bidi="ar-SA"/>
    </w:rPr>
  </w:style>
  <w:style w:type="paragraph" w:customStyle="1" w:styleId="group-search2">
    <w:name w:val="group-search2"/>
    <w:basedOn w:val="Standaard"/>
    <w:uiPriority w:val="99"/>
    <w:rsid w:val="006C1C1E"/>
    <w:pPr>
      <w:pBdr>
        <w:right w:val="single" w:sz="6" w:space="5" w:color="DDDDDD"/>
      </w:pBdr>
      <w:spacing w:before="100" w:beforeAutospacing="1" w:after="100" w:afterAutospacing="1"/>
    </w:pPr>
    <w:rPr>
      <w:rFonts w:cs="Times New Roman"/>
      <w:lang w:val="en-US" w:eastAsia="en-US" w:bidi="ar-SA"/>
    </w:rPr>
  </w:style>
  <w:style w:type="paragraph" w:customStyle="1" w:styleId="group-insert2">
    <w:name w:val="group-insert2"/>
    <w:basedOn w:val="Standaard"/>
    <w:uiPriority w:val="99"/>
    <w:rsid w:val="006C1C1E"/>
    <w:pPr>
      <w:spacing w:before="100" w:beforeAutospacing="1" w:after="100" w:afterAutospacing="1"/>
    </w:pPr>
    <w:rPr>
      <w:rFonts w:cs="Times New Roman"/>
      <w:lang w:val="en-US" w:eastAsia="en-US" w:bidi="ar-SA"/>
    </w:rPr>
  </w:style>
  <w:style w:type="character" w:customStyle="1" w:styleId="tab1">
    <w:name w:val="tab1"/>
    <w:basedOn w:val="Standaardalinea-lettertype"/>
    <w:uiPriority w:val="99"/>
    <w:rsid w:val="006C1C1E"/>
    <w:rPr>
      <w:rFonts w:cs="Times New Roman"/>
    </w:rPr>
  </w:style>
  <w:style w:type="paragraph" w:customStyle="1" w:styleId="label1">
    <w:name w:val="label1"/>
    <w:basedOn w:val="Standaard"/>
    <w:uiPriority w:val="99"/>
    <w:rsid w:val="006C1C1E"/>
    <w:pPr>
      <w:spacing w:before="30" w:after="30" w:line="330" w:lineRule="atLeast"/>
      <w:ind w:left="75" w:right="120"/>
    </w:pPr>
    <w:rPr>
      <w:rFonts w:cs="Times New Roman"/>
      <w:color w:val="777777"/>
      <w:lang w:val="en-US" w:eastAsia="en-US" w:bidi="ar-SA"/>
    </w:rPr>
  </w:style>
  <w:style w:type="paragraph" w:customStyle="1" w:styleId="tool-select1">
    <w:name w:val="tool-select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30" w:after="30"/>
      <w:ind w:left="30"/>
    </w:pPr>
    <w:rPr>
      <w:rFonts w:cs="Times New Roman"/>
      <w:lang w:val="en-US" w:eastAsia="en-US" w:bidi="ar-SA"/>
    </w:rPr>
  </w:style>
  <w:style w:type="paragraph" w:customStyle="1" w:styleId="label2">
    <w:name w:val="label2"/>
    <w:basedOn w:val="Standaard"/>
    <w:uiPriority w:val="99"/>
    <w:rsid w:val="006C1C1E"/>
    <w:pPr>
      <w:spacing w:line="330" w:lineRule="atLeast"/>
      <w:ind w:right="60"/>
    </w:pPr>
    <w:rPr>
      <w:rFonts w:cs="Times New Roman"/>
      <w:color w:val="333333"/>
      <w:lang w:val="en-US" w:eastAsia="en-US" w:bidi="ar-SA"/>
    </w:rPr>
  </w:style>
  <w:style w:type="paragraph" w:customStyle="1" w:styleId="label3">
    <w:name w:val="label3"/>
    <w:basedOn w:val="Standaard"/>
    <w:uiPriority w:val="99"/>
    <w:rsid w:val="006C1C1E"/>
    <w:pPr>
      <w:spacing w:line="330" w:lineRule="atLeast"/>
      <w:ind w:left="60"/>
    </w:pPr>
    <w:rPr>
      <w:rFonts w:cs="Times New Roman"/>
      <w:color w:val="333333"/>
      <w:lang w:val="en-US" w:eastAsia="en-US" w:bidi="ar-SA"/>
    </w:rPr>
  </w:style>
  <w:style w:type="paragraph" w:customStyle="1" w:styleId="menu1">
    <w:name w:val="menu1"/>
    <w:basedOn w:val="Standaard"/>
    <w:uiPriority w:val="99"/>
    <w:rsid w:val="006C1C1E"/>
    <w:pPr>
      <w:spacing w:before="100" w:beforeAutospacing="1" w:after="100" w:afterAutospacing="1"/>
      <w:ind w:left="-15" w:right="-15"/>
    </w:pPr>
    <w:rPr>
      <w:rFonts w:cs="Times New Roman"/>
      <w:lang w:val="en-US" w:eastAsia="en-US" w:bidi="ar-SA"/>
    </w:rPr>
  </w:style>
  <w:style w:type="paragraph" w:customStyle="1" w:styleId="options1">
    <w:name w:val="options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ind w:left="-15"/>
    </w:pPr>
    <w:rPr>
      <w:rFonts w:cs="Times New Roman"/>
      <w:vanish/>
      <w:lang w:val="en-US" w:eastAsia="en-US" w:bidi="ar-SA"/>
    </w:rPr>
  </w:style>
  <w:style w:type="paragraph" w:customStyle="1" w:styleId="options2">
    <w:name w:val="options2"/>
    <w:basedOn w:val="Standaard"/>
    <w:uiPriority w:val="99"/>
    <w:rsid w:val="006C1C1E"/>
    <w:pPr>
      <w:spacing w:before="330" w:after="100" w:afterAutospacing="1"/>
    </w:pPr>
    <w:rPr>
      <w:rFonts w:cs="Times New Roman"/>
      <w:lang w:val="en-US" w:eastAsia="en-US" w:bidi="ar-SA"/>
    </w:rPr>
  </w:style>
  <w:style w:type="paragraph" w:customStyle="1" w:styleId="option1">
    <w:name w:val="option1"/>
    <w:basedOn w:val="Standaard"/>
    <w:uiPriority w:val="99"/>
    <w:rsid w:val="006C1C1E"/>
    <w:pPr>
      <w:spacing w:before="100" w:beforeAutospacing="1" w:after="100" w:afterAutospacing="1"/>
    </w:pPr>
    <w:rPr>
      <w:rFonts w:cs="Times New Roman"/>
      <w:color w:val="000000"/>
      <w:lang w:val="en-US" w:eastAsia="en-US" w:bidi="ar-SA"/>
    </w:rPr>
  </w:style>
  <w:style w:type="paragraph" w:customStyle="1" w:styleId="optionrelheading-21">
    <w:name w:val="option[rel=heading-2]1"/>
    <w:basedOn w:val="Standaard"/>
    <w:uiPriority w:val="99"/>
    <w:rsid w:val="006C1C1E"/>
    <w:pPr>
      <w:spacing w:before="100" w:beforeAutospacing="1" w:after="100" w:afterAutospacing="1"/>
    </w:pPr>
    <w:rPr>
      <w:rFonts w:cs="Times New Roman"/>
      <w:sz w:val="36"/>
      <w:szCs w:val="36"/>
      <w:lang w:val="en-US" w:eastAsia="en-US" w:bidi="ar-SA"/>
    </w:rPr>
  </w:style>
  <w:style w:type="paragraph" w:customStyle="1" w:styleId="optionrelheading-31">
    <w:name w:val="option[rel=heading-3]1"/>
    <w:basedOn w:val="Standaard"/>
    <w:uiPriority w:val="99"/>
    <w:rsid w:val="006C1C1E"/>
    <w:pPr>
      <w:spacing w:before="100" w:beforeAutospacing="1" w:after="100" w:afterAutospacing="1"/>
    </w:pPr>
    <w:rPr>
      <w:rFonts w:cs="Times New Roman"/>
      <w:sz w:val="32"/>
      <w:szCs w:val="32"/>
      <w:lang w:val="en-US" w:eastAsia="en-US" w:bidi="ar-SA"/>
    </w:rPr>
  </w:style>
  <w:style w:type="paragraph" w:customStyle="1" w:styleId="optionrelheading-41">
    <w:name w:val="option[rel=heading-4]1"/>
    <w:basedOn w:val="Standaard"/>
    <w:uiPriority w:val="99"/>
    <w:rsid w:val="006C1C1E"/>
    <w:pPr>
      <w:spacing w:before="100" w:beforeAutospacing="1" w:after="100" w:afterAutospacing="1"/>
    </w:pPr>
    <w:rPr>
      <w:rFonts w:cs="Times New Roman"/>
      <w:sz w:val="28"/>
      <w:szCs w:val="28"/>
      <w:lang w:val="en-US" w:eastAsia="en-US" w:bidi="ar-SA"/>
    </w:rPr>
  </w:style>
  <w:style w:type="paragraph" w:customStyle="1" w:styleId="optionrelheading-51">
    <w:name w:val="option[rel=heading-5]1"/>
    <w:basedOn w:val="Standaard"/>
    <w:uiPriority w:val="99"/>
    <w:rsid w:val="006C1C1E"/>
    <w:pPr>
      <w:spacing w:before="100" w:beforeAutospacing="1" w:after="100" w:afterAutospacing="1"/>
    </w:pPr>
    <w:rPr>
      <w:rFonts w:cs="Times New Roman"/>
      <w:b/>
      <w:bCs/>
      <w:lang w:val="en-US" w:eastAsia="en-US" w:bidi="ar-SA"/>
    </w:rPr>
  </w:style>
  <w:style w:type="paragraph" w:customStyle="1" w:styleId="index1">
    <w:name w:val="index1"/>
    <w:basedOn w:val="Standaard"/>
    <w:uiPriority w:val="99"/>
    <w:rsid w:val="006C1C1E"/>
    <w:pPr>
      <w:spacing w:before="100" w:beforeAutospacing="1" w:after="100" w:afterAutospacing="1"/>
    </w:pPr>
    <w:rPr>
      <w:rFonts w:cs="Times New Roman"/>
      <w:lang w:val="en-US" w:eastAsia="en-US" w:bidi="ar-SA"/>
    </w:rPr>
  </w:style>
  <w:style w:type="paragraph" w:customStyle="1" w:styleId="current1">
    <w:name w:val="current1"/>
    <w:basedOn w:val="Standaard"/>
    <w:uiPriority w:val="99"/>
    <w:rsid w:val="006C1C1E"/>
    <w:pPr>
      <w:shd w:val="clear" w:color="auto" w:fill="FAFAFA"/>
      <w:spacing w:before="100" w:beforeAutospacing="1" w:after="100" w:afterAutospacing="1"/>
    </w:pPr>
    <w:rPr>
      <w:rFonts w:cs="Times New Roman"/>
      <w:color w:val="333333"/>
      <w:lang w:val="en-US" w:eastAsia="en-US" w:bidi="ar-SA"/>
    </w:rPr>
  </w:style>
  <w:style w:type="paragraph" w:customStyle="1" w:styleId="pages1">
    <w:name w:val="pages1"/>
    <w:basedOn w:val="Standaard"/>
    <w:uiPriority w:val="99"/>
    <w:rsid w:val="006C1C1E"/>
    <w:pPr>
      <w:shd w:val="clear" w:color="auto" w:fill="FAFAFA"/>
      <w:spacing w:before="100" w:beforeAutospacing="1" w:after="100" w:afterAutospacing="1"/>
    </w:pPr>
    <w:rPr>
      <w:rFonts w:cs="Times New Roman"/>
      <w:lang w:val="en-US" w:eastAsia="en-US" w:bidi="ar-SA"/>
    </w:rPr>
  </w:style>
  <w:style w:type="paragraph" w:customStyle="1" w:styleId="wikieditor-toolbar-table-preview-frame1">
    <w:name w:val="wikieditor-toolbar-table-preview-frame1"/>
    <w:basedOn w:val="Standaard"/>
    <w:uiPriority w:val="99"/>
    <w:rsid w:val="006C1C1E"/>
    <w:pPr>
      <w:shd w:val="clear" w:color="auto" w:fill="FFFFFF"/>
      <w:spacing w:before="100" w:beforeAutospacing="1" w:after="100" w:afterAutospacing="1"/>
    </w:pPr>
    <w:rPr>
      <w:rFonts w:cs="Times New Roman"/>
      <w:lang w:val="en-US" w:eastAsia="en-US" w:bidi="ar-SA"/>
    </w:rPr>
  </w:style>
  <w:style w:type="paragraph" w:customStyle="1" w:styleId="wikieditor-toolbar-table-preview-content1">
    <w:name w:val="wikieditor-toolbar-table-preview-content1"/>
    <w:basedOn w:val="Standaard"/>
    <w:uiPriority w:val="99"/>
    <w:rsid w:val="006C1C1E"/>
    <w:pPr>
      <w:spacing w:before="100" w:beforeAutospacing="1" w:after="100" w:afterAutospacing="1"/>
    </w:pPr>
    <w:rPr>
      <w:rFonts w:cs="Times New Roman"/>
      <w:lang w:val="en-US" w:eastAsia="en-US" w:bidi="ar-SA"/>
    </w:rPr>
  </w:style>
  <w:style w:type="paragraph" w:customStyle="1" w:styleId="wikieditor-toolbar-table-preview1">
    <w:name w:val="wikieditor-toolbar-table-preview1"/>
    <w:basedOn w:val="Standaard"/>
    <w:uiPriority w:val="99"/>
    <w:rsid w:val="006C1C1E"/>
    <w:pPr>
      <w:spacing w:before="100" w:beforeAutospacing="1" w:after="100" w:afterAutospacing="1"/>
    </w:pPr>
    <w:rPr>
      <w:rFonts w:cs="Times New Roman"/>
      <w:lang w:val="en-US" w:eastAsia="en-US" w:bidi="ar-SA"/>
    </w:rPr>
  </w:style>
  <w:style w:type="paragraph" w:customStyle="1" w:styleId="ui-state-default1">
    <w:name w:val="ui-state-default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rFonts w:cs="Times New Roman"/>
      <w:color w:val="333333"/>
      <w:lang w:val="en-US" w:eastAsia="en-US" w:bidi="ar-SA"/>
    </w:rPr>
  </w:style>
  <w:style w:type="paragraph" w:customStyle="1" w:styleId="ui-state-hover1">
    <w:name w:val="ui-state-hover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focus1">
    <w:name w:val="ui-state-focus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active1">
    <w:name w:val="ui-state-active1"/>
    <w:basedOn w:val="Standaard"/>
    <w:uiPriority w:val="99"/>
    <w:rsid w:val="006C1C1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cs="Times New Roman"/>
      <w:color w:val="333333"/>
      <w:lang w:val="en-US" w:eastAsia="en-US" w:bidi="ar-SA"/>
    </w:rPr>
  </w:style>
  <w:style w:type="paragraph" w:customStyle="1" w:styleId="ui-state-highlight1">
    <w:name w:val="ui-state-highlight1"/>
    <w:basedOn w:val="Standaard"/>
    <w:uiPriority w:val="99"/>
    <w:rsid w:val="006C1C1E"/>
    <w:pPr>
      <w:pBdr>
        <w:top w:val="single" w:sz="6" w:space="0" w:color="FCEFA1"/>
        <w:left w:val="single" w:sz="6" w:space="0" w:color="FCEFA1"/>
        <w:bottom w:val="single" w:sz="6" w:space="0" w:color="FCEFA1"/>
        <w:right w:val="single" w:sz="6" w:space="0" w:color="FCEFA1"/>
      </w:pBdr>
      <w:spacing w:before="100" w:beforeAutospacing="1" w:after="100" w:afterAutospacing="1"/>
    </w:pPr>
    <w:rPr>
      <w:rFonts w:cs="Times New Roman"/>
      <w:color w:val="363636"/>
      <w:lang w:val="en-US" w:eastAsia="en-US" w:bidi="ar-SA"/>
    </w:rPr>
  </w:style>
  <w:style w:type="paragraph" w:customStyle="1" w:styleId="ui-state-error1">
    <w:name w:val="ui-state-error1"/>
    <w:basedOn w:val="Standaard"/>
    <w:uiPriority w:val="99"/>
    <w:rsid w:val="006C1C1E"/>
    <w:pPr>
      <w:pBdr>
        <w:top w:val="single" w:sz="6" w:space="0" w:color="CD0A0A"/>
        <w:left w:val="single" w:sz="6" w:space="0" w:color="CD0A0A"/>
        <w:bottom w:val="single" w:sz="6" w:space="0" w:color="CD0A0A"/>
        <w:right w:val="single" w:sz="6" w:space="0" w:color="CD0A0A"/>
      </w:pBdr>
      <w:spacing w:before="100" w:beforeAutospacing="1" w:after="100" w:afterAutospacing="1"/>
    </w:pPr>
    <w:rPr>
      <w:rFonts w:cs="Times New Roman"/>
      <w:color w:val="CD0A0A"/>
      <w:lang w:val="en-US" w:eastAsia="en-US" w:bidi="ar-SA"/>
    </w:rPr>
  </w:style>
  <w:style w:type="paragraph" w:customStyle="1" w:styleId="ui-state-error-text1">
    <w:name w:val="ui-state-error-text1"/>
    <w:basedOn w:val="Standaard"/>
    <w:uiPriority w:val="99"/>
    <w:rsid w:val="006C1C1E"/>
    <w:pPr>
      <w:spacing w:before="100" w:beforeAutospacing="1" w:after="100" w:afterAutospacing="1"/>
    </w:pPr>
    <w:rPr>
      <w:rFonts w:cs="Times New Roman"/>
      <w:color w:val="CD0A0A"/>
      <w:lang w:val="en-US" w:eastAsia="en-US" w:bidi="ar-SA"/>
    </w:rPr>
  </w:style>
  <w:style w:type="paragraph" w:customStyle="1" w:styleId="ui-state-disabled1">
    <w:name w:val="ui-state-disabled1"/>
    <w:basedOn w:val="Standaard"/>
    <w:uiPriority w:val="99"/>
    <w:rsid w:val="006C1C1E"/>
    <w:pPr>
      <w:spacing w:before="100" w:beforeAutospacing="1" w:after="100" w:afterAutospacing="1"/>
    </w:pPr>
    <w:rPr>
      <w:rFonts w:cs="Times New Roman"/>
      <w:lang w:val="en-US" w:eastAsia="en-US" w:bidi="ar-SA"/>
    </w:rPr>
  </w:style>
  <w:style w:type="paragraph" w:customStyle="1" w:styleId="ui-priority-primary1">
    <w:name w:val="ui-priority-primary1"/>
    <w:basedOn w:val="Standaard"/>
    <w:uiPriority w:val="99"/>
    <w:rsid w:val="006C1C1E"/>
    <w:pPr>
      <w:spacing w:before="100" w:beforeAutospacing="1" w:after="100" w:afterAutospacing="1"/>
    </w:pPr>
    <w:rPr>
      <w:rFonts w:cs="Times New Roman"/>
      <w:b/>
      <w:bCs/>
      <w:lang w:val="en-US" w:eastAsia="en-US" w:bidi="ar-SA"/>
    </w:rPr>
  </w:style>
  <w:style w:type="paragraph" w:customStyle="1" w:styleId="ui-priority-secondary1">
    <w:name w:val="ui-priority-secondary1"/>
    <w:basedOn w:val="Standaard"/>
    <w:uiPriority w:val="99"/>
    <w:rsid w:val="006C1C1E"/>
    <w:pPr>
      <w:spacing w:before="100" w:beforeAutospacing="1" w:after="100" w:afterAutospacing="1"/>
    </w:pPr>
    <w:rPr>
      <w:rFonts w:cs="Times New Roman"/>
      <w:lang w:val="en-US" w:eastAsia="en-US" w:bidi="ar-SA"/>
    </w:rPr>
  </w:style>
  <w:style w:type="paragraph" w:customStyle="1" w:styleId="ui-icon1">
    <w:name w:val="ui-icon1"/>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2">
    <w:name w:val="ui-icon2"/>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3">
    <w:name w:val="ui-icon3"/>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4">
    <w:name w:val="ui-icon4"/>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5">
    <w:name w:val="ui-icon5"/>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6">
    <w:name w:val="ui-icon6"/>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7">
    <w:name w:val="ui-icon7"/>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8">
    <w:name w:val="ui-icon8"/>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icon9">
    <w:name w:val="ui-icon9"/>
    <w:basedOn w:val="Standaard"/>
    <w:uiPriority w:val="99"/>
    <w:rsid w:val="006C1C1E"/>
    <w:pPr>
      <w:spacing w:before="100" w:beforeAutospacing="1" w:after="100" w:afterAutospacing="1"/>
      <w:ind w:firstLine="7343"/>
    </w:pPr>
    <w:rPr>
      <w:rFonts w:cs="Times New Roman"/>
      <w:lang w:val="en-US" w:eastAsia="en-US" w:bidi="ar-SA"/>
    </w:rPr>
  </w:style>
  <w:style w:type="paragraph" w:customStyle="1" w:styleId="ui-accordion-header1">
    <w:name w:val="ui-accordion-header1"/>
    <w:basedOn w:val="Standaard"/>
    <w:uiPriority w:val="99"/>
    <w:rsid w:val="006C1C1E"/>
    <w:pPr>
      <w:spacing w:before="15" w:after="100" w:afterAutospacing="1"/>
    </w:pPr>
    <w:rPr>
      <w:rFonts w:cs="Times New Roman"/>
      <w:lang w:val="en-US" w:eastAsia="en-US" w:bidi="ar-SA"/>
    </w:rPr>
  </w:style>
  <w:style w:type="paragraph" w:customStyle="1" w:styleId="ui-accordion-li-fix1">
    <w:name w:val="ui-accordion-li-fix1"/>
    <w:basedOn w:val="Standaard"/>
    <w:uiPriority w:val="99"/>
    <w:rsid w:val="006C1C1E"/>
    <w:pPr>
      <w:spacing w:before="100" w:beforeAutospacing="1" w:after="100" w:afterAutospacing="1"/>
    </w:pPr>
    <w:rPr>
      <w:rFonts w:cs="Times New Roman"/>
      <w:lang w:val="en-US" w:eastAsia="en-US" w:bidi="ar-SA"/>
    </w:rPr>
  </w:style>
  <w:style w:type="paragraph" w:customStyle="1" w:styleId="ui-accordion-header-active1">
    <w:name w:val="ui-accordion-header-active1"/>
    <w:basedOn w:val="Standaard"/>
    <w:uiPriority w:val="99"/>
    <w:rsid w:val="006C1C1E"/>
    <w:pPr>
      <w:spacing w:before="100" w:beforeAutospacing="1" w:after="100" w:afterAutospacing="1"/>
    </w:pPr>
    <w:rPr>
      <w:rFonts w:cs="Times New Roman"/>
      <w:lang w:val="en-US" w:eastAsia="en-US" w:bidi="ar-SA"/>
    </w:rPr>
  </w:style>
  <w:style w:type="paragraph" w:customStyle="1" w:styleId="ui-icon10">
    <w:name w:val="ui-icon10"/>
    <w:basedOn w:val="Standaard"/>
    <w:uiPriority w:val="99"/>
    <w:rsid w:val="006C1C1E"/>
    <w:pPr>
      <w:spacing w:after="100" w:afterAutospacing="1"/>
      <w:ind w:firstLine="7343"/>
    </w:pPr>
    <w:rPr>
      <w:rFonts w:cs="Times New Roman"/>
      <w:lang w:val="en-US" w:eastAsia="en-US" w:bidi="ar-SA"/>
    </w:rPr>
  </w:style>
  <w:style w:type="paragraph" w:customStyle="1" w:styleId="ui-accordion-content1">
    <w:name w:val="ui-accordion-content1"/>
    <w:basedOn w:val="Standaard"/>
    <w:uiPriority w:val="99"/>
    <w:rsid w:val="006C1C1E"/>
    <w:pPr>
      <w:spacing w:after="30"/>
    </w:pPr>
    <w:rPr>
      <w:rFonts w:cs="Times New Roman"/>
      <w:vanish/>
      <w:lang w:val="en-US" w:eastAsia="en-US" w:bidi="ar-SA"/>
    </w:rPr>
  </w:style>
  <w:style w:type="paragraph" w:customStyle="1" w:styleId="ui-accordion-content-active1">
    <w:name w:val="ui-accordion-content-active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1">
    <w:name w:val="ui-datepicker-header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prev1">
    <w:name w:val="ui-datepicker-prev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next1">
    <w:name w:val="ui-datepicker-next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title1">
    <w:name w:val="ui-datepicker-title1"/>
    <w:basedOn w:val="Standaard"/>
    <w:uiPriority w:val="99"/>
    <w:rsid w:val="006C1C1E"/>
    <w:pPr>
      <w:spacing w:line="432" w:lineRule="atLeast"/>
      <w:ind w:left="552" w:right="552"/>
      <w:jc w:val="center"/>
    </w:pPr>
    <w:rPr>
      <w:rFonts w:cs="Times New Roman"/>
      <w:lang w:val="en-US" w:eastAsia="en-US" w:bidi="ar-SA"/>
    </w:rPr>
  </w:style>
  <w:style w:type="paragraph" w:customStyle="1" w:styleId="ui-datepicker-buttonpane1">
    <w:name w:val="ui-datepicker-buttonpane1"/>
    <w:basedOn w:val="Standaard"/>
    <w:uiPriority w:val="99"/>
    <w:rsid w:val="006C1C1E"/>
    <w:pPr>
      <w:spacing w:before="168"/>
    </w:pPr>
    <w:rPr>
      <w:rFonts w:cs="Times New Roman"/>
      <w:lang w:val="en-US" w:eastAsia="en-US" w:bidi="ar-SA"/>
    </w:rPr>
  </w:style>
  <w:style w:type="paragraph" w:customStyle="1" w:styleId="ui-datepicker-group1">
    <w:name w:val="ui-datepicker-group1"/>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group2">
    <w:name w:val="ui-datepicker-group2"/>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group3">
    <w:name w:val="ui-datepicker-group3"/>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2">
    <w:name w:val="ui-datepicker-header2"/>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3">
    <w:name w:val="ui-datepicker-header3"/>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buttonpane2">
    <w:name w:val="ui-datepicker-buttonpane2"/>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buttonpane3">
    <w:name w:val="ui-datepicker-buttonpane3"/>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4">
    <w:name w:val="ui-datepicker-header4"/>
    <w:basedOn w:val="Standaard"/>
    <w:uiPriority w:val="99"/>
    <w:rsid w:val="006C1C1E"/>
    <w:pPr>
      <w:spacing w:before="100" w:beforeAutospacing="1" w:after="100" w:afterAutospacing="1"/>
    </w:pPr>
    <w:rPr>
      <w:rFonts w:cs="Times New Roman"/>
      <w:lang w:val="en-US" w:eastAsia="en-US" w:bidi="ar-SA"/>
    </w:rPr>
  </w:style>
  <w:style w:type="paragraph" w:customStyle="1" w:styleId="ui-datepicker-header5">
    <w:name w:val="ui-datepicker-header5"/>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bar2">
    <w:name w:val="ui-dialog-titlebar2"/>
    <w:basedOn w:val="Standaard"/>
    <w:uiPriority w:val="99"/>
    <w:rsid w:val="006C1C1E"/>
    <w:pPr>
      <w:spacing w:before="100" w:beforeAutospacing="1" w:after="100" w:afterAutospacing="1"/>
    </w:pPr>
    <w:rPr>
      <w:rFonts w:cs="Times New Roman"/>
      <w:lang w:val="en-US" w:eastAsia="en-US" w:bidi="ar-SA"/>
    </w:rPr>
  </w:style>
  <w:style w:type="paragraph" w:customStyle="1" w:styleId="ui-dialog-title1">
    <w:name w:val="ui-dialog-title1"/>
    <w:basedOn w:val="Standaard"/>
    <w:uiPriority w:val="99"/>
    <w:rsid w:val="006C1C1E"/>
    <w:rPr>
      <w:rFonts w:cs="Times New Roman"/>
      <w:lang w:val="en-US" w:eastAsia="en-US" w:bidi="ar-SA"/>
    </w:rPr>
  </w:style>
  <w:style w:type="paragraph" w:customStyle="1" w:styleId="ui-dialog-titlebar-close2">
    <w:name w:val="ui-dialog-titlebar-close2"/>
    <w:basedOn w:val="Standaard"/>
    <w:uiPriority w:val="99"/>
    <w:rsid w:val="006C1C1E"/>
    <w:rPr>
      <w:rFonts w:cs="Times New Roman"/>
      <w:lang w:val="en-US" w:eastAsia="en-US" w:bidi="ar-SA"/>
    </w:rPr>
  </w:style>
  <w:style w:type="paragraph" w:customStyle="1" w:styleId="ui-dialog-content2">
    <w:name w:val="ui-dialog-content2"/>
    <w:basedOn w:val="Standaard"/>
    <w:uiPriority w:val="99"/>
    <w:rsid w:val="006C1C1E"/>
    <w:pPr>
      <w:spacing w:before="100" w:beforeAutospacing="1" w:after="100" w:afterAutospacing="1"/>
    </w:pPr>
    <w:rPr>
      <w:rFonts w:cs="Times New Roman"/>
      <w:lang w:val="en-US" w:eastAsia="en-US" w:bidi="ar-SA"/>
    </w:rPr>
  </w:style>
  <w:style w:type="paragraph" w:customStyle="1" w:styleId="ui-dialog-buttonpane2">
    <w:name w:val="ui-dialog-buttonpane2"/>
    <w:basedOn w:val="Standaard"/>
    <w:uiPriority w:val="99"/>
    <w:rsid w:val="006C1C1E"/>
    <w:pPr>
      <w:spacing w:before="120"/>
    </w:pPr>
    <w:rPr>
      <w:rFonts w:cs="Times New Roman"/>
      <w:lang w:val="en-US" w:eastAsia="en-US" w:bidi="ar-SA"/>
    </w:rPr>
  </w:style>
  <w:style w:type="paragraph" w:customStyle="1" w:styleId="ui-resizable-se1">
    <w:name w:val="ui-resizable-se1"/>
    <w:basedOn w:val="Standaard"/>
    <w:uiPriority w:val="99"/>
    <w:rsid w:val="006C1C1E"/>
    <w:pPr>
      <w:spacing w:before="100" w:beforeAutospacing="1" w:after="100" w:afterAutospacing="1"/>
    </w:pPr>
    <w:rPr>
      <w:rFonts w:cs="Times New Roman"/>
      <w:lang w:val="en-US" w:eastAsia="en-US" w:bidi="ar-SA"/>
    </w:rPr>
  </w:style>
  <w:style w:type="paragraph" w:customStyle="1" w:styleId="ui-progressbar-value1">
    <w:name w:val="ui-progressbar-value1"/>
    <w:basedOn w:val="Standaard"/>
    <w:uiPriority w:val="99"/>
    <w:rsid w:val="006C1C1E"/>
    <w:pPr>
      <w:ind w:left="-15" w:right="-15"/>
    </w:pPr>
    <w:rPr>
      <w:rFonts w:cs="Times New Roman"/>
      <w:lang w:val="en-US" w:eastAsia="en-US" w:bidi="ar-SA"/>
    </w:rPr>
  </w:style>
  <w:style w:type="paragraph" w:customStyle="1" w:styleId="ui-resizable-handle1">
    <w:name w:val="ui-resizable-handle1"/>
    <w:basedOn w:val="Standaard"/>
    <w:uiPriority w:val="99"/>
    <w:rsid w:val="006C1C1E"/>
    <w:pPr>
      <w:spacing w:before="100" w:beforeAutospacing="1" w:after="100" w:afterAutospacing="1"/>
    </w:pPr>
    <w:rPr>
      <w:rFonts w:cs="Times New Roman"/>
      <w:vanish/>
      <w:sz w:val="2"/>
      <w:szCs w:val="2"/>
      <w:lang w:val="en-US" w:eastAsia="en-US" w:bidi="ar-SA"/>
    </w:rPr>
  </w:style>
  <w:style w:type="paragraph" w:customStyle="1" w:styleId="ui-resizable-handle2">
    <w:name w:val="ui-resizable-handle2"/>
    <w:basedOn w:val="Standaard"/>
    <w:uiPriority w:val="99"/>
    <w:rsid w:val="006C1C1E"/>
    <w:pPr>
      <w:spacing w:before="100" w:beforeAutospacing="1" w:after="100" w:afterAutospacing="1"/>
    </w:pPr>
    <w:rPr>
      <w:rFonts w:cs="Times New Roman"/>
      <w:vanish/>
      <w:sz w:val="2"/>
      <w:szCs w:val="2"/>
      <w:lang w:val="en-US" w:eastAsia="en-US" w:bidi="ar-SA"/>
    </w:rPr>
  </w:style>
  <w:style w:type="paragraph" w:customStyle="1" w:styleId="ui-slider-handle1">
    <w:name w:val="ui-slider-handle1"/>
    <w:basedOn w:val="Standaard"/>
    <w:uiPriority w:val="99"/>
    <w:rsid w:val="006C1C1E"/>
    <w:pPr>
      <w:spacing w:before="100" w:beforeAutospacing="1" w:after="100" w:afterAutospacing="1"/>
    </w:pPr>
    <w:rPr>
      <w:rFonts w:cs="Times New Roman"/>
      <w:lang w:val="en-US" w:eastAsia="en-US" w:bidi="ar-SA"/>
    </w:rPr>
  </w:style>
  <w:style w:type="paragraph" w:customStyle="1" w:styleId="ui-slider-range1">
    <w:name w:val="ui-slider-range1"/>
    <w:basedOn w:val="Standaard"/>
    <w:uiPriority w:val="99"/>
    <w:rsid w:val="006C1C1E"/>
    <w:pPr>
      <w:spacing w:before="100" w:beforeAutospacing="1" w:after="100" w:afterAutospacing="1"/>
    </w:pPr>
    <w:rPr>
      <w:rFonts w:cs="Times New Roman"/>
      <w:sz w:val="17"/>
      <w:szCs w:val="17"/>
      <w:lang w:val="en-US" w:eastAsia="en-US" w:bidi="ar-SA"/>
    </w:rPr>
  </w:style>
  <w:style w:type="paragraph" w:customStyle="1" w:styleId="ui-slider-handle2">
    <w:name w:val="ui-slider-handle2"/>
    <w:basedOn w:val="Standaard"/>
    <w:uiPriority w:val="99"/>
    <w:rsid w:val="006C1C1E"/>
    <w:pPr>
      <w:spacing w:before="100" w:beforeAutospacing="1" w:after="100" w:afterAutospacing="1"/>
      <w:ind w:left="-144"/>
    </w:pPr>
    <w:rPr>
      <w:rFonts w:cs="Times New Roman"/>
      <w:lang w:val="en-US" w:eastAsia="en-US" w:bidi="ar-SA"/>
    </w:rPr>
  </w:style>
  <w:style w:type="paragraph" w:customStyle="1" w:styleId="ui-slider-range2">
    <w:name w:val="ui-slider-range2"/>
    <w:basedOn w:val="Standaard"/>
    <w:uiPriority w:val="99"/>
    <w:rsid w:val="006C1C1E"/>
    <w:pPr>
      <w:spacing w:before="100" w:beforeAutospacing="1" w:after="100" w:afterAutospacing="1"/>
    </w:pPr>
    <w:rPr>
      <w:rFonts w:cs="Times New Roman"/>
      <w:lang w:val="en-US" w:eastAsia="en-US" w:bidi="ar-SA"/>
    </w:rPr>
  </w:style>
  <w:style w:type="paragraph" w:customStyle="1" w:styleId="ui-slider-handle3">
    <w:name w:val="ui-slider-handle3"/>
    <w:basedOn w:val="Standaard"/>
    <w:uiPriority w:val="99"/>
    <w:rsid w:val="006C1C1E"/>
    <w:pPr>
      <w:spacing w:before="100" w:beforeAutospacing="1"/>
    </w:pPr>
    <w:rPr>
      <w:rFonts w:cs="Times New Roman"/>
      <w:lang w:val="en-US" w:eastAsia="en-US" w:bidi="ar-SA"/>
    </w:rPr>
  </w:style>
  <w:style w:type="paragraph" w:customStyle="1" w:styleId="ui-slider-range3">
    <w:name w:val="ui-slider-range3"/>
    <w:basedOn w:val="Standaard"/>
    <w:uiPriority w:val="99"/>
    <w:rsid w:val="006C1C1E"/>
    <w:pPr>
      <w:spacing w:before="100" w:beforeAutospacing="1" w:after="100" w:afterAutospacing="1"/>
    </w:pPr>
    <w:rPr>
      <w:rFonts w:cs="Times New Roman"/>
      <w:lang w:val="en-US" w:eastAsia="en-US" w:bidi="ar-SA"/>
    </w:rPr>
  </w:style>
  <w:style w:type="paragraph" w:customStyle="1" w:styleId="ui-tabs-nav1">
    <w:name w:val="ui-tabs-nav1"/>
    <w:basedOn w:val="Standaard"/>
    <w:uiPriority w:val="99"/>
    <w:rsid w:val="006C1C1E"/>
    <w:pPr>
      <w:spacing w:before="100" w:beforeAutospacing="1" w:after="100" w:afterAutospacing="1"/>
    </w:pPr>
    <w:rPr>
      <w:rFonts w:cs="Times New Roman"/>
      <w:lang w:val="en-US" w:eastAsia="en-US" w:bidi="ar-SA"/>
    </w:rPr>
  </w:style>
  <w:style w:type="paragraph" w:customStyle="1" w:styleId="ui-tabs-panel1">
    <w:name w:val="ui-tabs-panel1"/>
    <w:basedOn w:val="Standaard"/>
    <w:uiPriority w:val="99"/>
    <w:rsid w:val="006C1C1E"/>
    <w:pPr>
      <w:spacing w:before="100" w:beforeAutospacing="1" w:after="100" w:afterAutospacing="1"/>
    </w:pPr>
    <w:rPr>
      <w:rFonts w:cs="Times New Roman"/>
      <w:lang w:val="en-US" w:eastAsia="en-US" w:bidi="ar-SA"/>
    </w:rPr>
  </w:style>
  <w:style w:type="paragraph" w:customStyle="1" w:styleId="ui-tabs-hide1">
    <w:name w:val="ui-tabs-hide1"/>
    <w:basedOn w:val="Standaard"/>
    <w:uiPriority w:val="99"/>
    <w:rsid w:val="006C1C1E"/>
    <w:pPr>
      <w:spacing w:before="100" w:beforeAutospacing="1" w:after="100" w:afterAutospacing="1"/>
    </w:pPr>
    <w:rPr>
      <w:rFonts w:cs="Times New Roman"/>
      <w:vanish/>
      <w:lang w:val="en-US" w:eastAsia="en-US" w:bidi="ar-SA"/>
    </w:rPr>
  </w:style>
  <w:style w:type="paragraph" w:customStyle="1" w:styleId="navbox-title1">
    <w:name w:val="navbox-title1"/>
    <w:basedOn w:val="Standaard"/>
    <w:uiPriority w:val="99"/>
    <w:rsid w:val="006C1C1E"/>
    <w:pPr>
      <w:shd w:val="clear" w:color="auto" w:fill="DDDDFF"/>
      <w:spacing w:before="100" w:beforeAutospacing="1" w:after="100" w:afterAutospacing="1"/>
      <w:jc w:val="center"/>
    </w:pPr>
    <w:rPr>
      <w:rFonts w:cs="Times New Roman"/>
      <w:lang w:val="en-US" w:eastAsia="en-US" w:bidi="ar-SA"/>
    </w:rPr>
  </w:style>
  <w:style w:type="paragraph" w:customStyle="1" w:styleId="navbox-group1">
    <w:name w:val="navbox-group1"/>
    <w:basedOn w:val="Standaard"/>
    <w:uiPriority w:val="99"/>
    <w:rsid w:val="006C1C1E"/>
    <w:pPr>
      <w:shd w:val="clear" w:color="auto" w:fill="E6E6FF"/>
      <w:spacing w:before="100" w:beforeAutospacing="1" w:after="100" w:afterAutospacing="1"/>
      <w:jc w:val="right"/>
    </w:pPr>
    <w:rPr>
      <w:rFonts w:cs="Times New Roman"/>
      <w:b/>
      <w:bCs/>
      <w:lang w:val="en-US" w:eastAsia="en-US" w:bidi="ar-SA"/>
    </w:rPr>
  </w:style>
  <w:style w:type="paragraph" w:customStyle="1" w:styleId="navbox-abovebelow1">
    <w:name w:val="navbox-abovebelow1"/>
    <w:basedOn w:val="Standaard"/>
    <w:uiPriority w:val="99"/>
    <w:rsid w:val="006C1C1E"/>
    <w:pPr>
      <w:shd w:val="clear" w:color="auto" w:fill="E6E6FF"/>
      <w:spacing w:before="100" w:beforeAutospacing="1" w:after="100" w:afterAutospacing="1"/>
      <w:jc w:val="center"/>
    </w:pPr>
    <w:rPr>
      <w:rFonts w:cs="Times New Roman"/>
      <w:lang w:val="en-US" w:eastAsia="en-US" w:bidi="ar-SA"/>
    </w:rPr>
  </w:style>
  <w:style w:type="paragraph" w:customStyle="1" w:styleId="collapsebutton1">
    <w:name w:val="collapsebutton1"/>
    <w:basedOn w:val="Standaard"/>
    <w:uiPriority w:val="99"/>
    <w:rsid w:val="006C1C1E"/>
    <w:pPr>
      <w:spacing w:before="100" w:beforeAutospacing="1" w:after="100" w:afterAutospacing="1"/>
      <w:jc w:val="right"/>
    </w:pPr>
    <w:rPr>
      <w:rFonts w:cs="Times New Roman"/>
      <w:lang w:val="en-US" w:eastAsia="en-US" w:bidi="ar-SA"/>
    </w:rPr>
  </w:style>
  <w:style w:type="paragraph" w:customStyle="1" w:styleId="imbox1">
    <w:name w:val="imbox1"/>
    <w:basedOn w:val="Standaard"/>
    <w:uiPriority w:val="99"/>
    <w:rsid w:val="006C1C1E"/>
    <w:pPr>
      <w:ind w:left="-120" w:right="-120"/>
    </w:pPr>
    <w:rPr>
      <w:rFonts w:cs="Times New Roman"/>
      <w:lang w:val="en-US" w:eastAsia="en-US" w:bidi="ar-SA"/>
    </w:rPr>
  </w:style>
  <w:style w:type="paragraph" w:customStyle="1" w:styleId="imbox2">
    <w:name w:val="imbox2"/>
    <w:basedOn w:val="Standaard"/>
    <w:uiPriority w:val="99"/>
    <w:rsid w:val="006C1C1E"/>
    <w:pPr>
      <w:spacing w:before="60" w:after="60"/>
      <w:ind w:left="60" w:right="60"/>
    </w:pPr>
    <w:rPr>
      <w:rFonts w:cs="Times New Roman"/>
      <w:lang w:val="en-US" w:eastAsia="en-US" w:bidi="ar-SA"/>
    </w:rPr>
  </w:style>
  <w:style w:type="paragraph" w:customStyle="1" w:styleId="tmbox1">
    <w:name w:val="tmbox1"/>
    <w:basedOn w:val="Standaard"/>
    <w:uiPriority w:val="99"/>
    <w:rsid w:val="006C1C1E"/>
    <w:pPr>
      <w:spacing w:before="30" w:after="30"/>
    </w:pPr>
    <w:rPr>
      <w:rFonts w:cs="Times New Roman"/>
      <w:lang w:val="en-US" w:eastAsia="en-US" w:bidi="ar-SA"/>
    </w:rPr>
  </w:style>
  <w:style w:type="paragraph" w:customStyle="1" w:styleId="tocnumber1">
    <w:name w:val="tocnumber1"/>
    <w:basedOn w:val="Standaard"/>
    <w:uiPriority w:val="99"/>
    <w:rsid w:val="006C1C1E"/>
    <w:pPr>
      <w:spacing w:before="100" w:beforeAutospacing="1" w:after="100" w:afterAutospacing="1"/>
    </w:pPr>
    <w:rPr>
      <w:rFonts w:cs="Times New Roman"/>
      <w:vanish/>
      <w:lang w:val="en-US" w:eastAsia="en-US" w:bidi="ar-SA"/>
    </w:rPr>
  </w:style>
  <w:style w:type="paragraph" w:customStyle="1" w:styleId="selflink1">
    <w:name w:val="selflink1"/>
    <w:basedOn w:val="Standaard"/>
    <w:uiPriority w:val="99"/>
    <w:rsid w:val="006C1C1E"/>
    <w:pPr>
      <w:spacing w:before="100" w:beforeAutospacing="1" w:after="100" w:afterAutospacing="1"/>
    </w:pPr>
    <w:rPr>
      <w:rFonts w:cs="Times New Roman"/>
      <w:lang w:val="en-US" w:eastAsia="en-US" w:bidi="ar-SA"/>
    </w:rPr>
  </w:style>
  <w:style w:type="paragraph" w:customStyle="1" w:styleId="wpb-header1">
    <w:name w:val="wpb-header1"/>
    <w:basedOn w:val="Standaard"/>
    <w:uiPriority w:val="99"/>
    <w:rsid w:val="006C1C1E"/>
    <w:pPr>
      <w:spacing w:before="100" w:beforeAutospacing="1" w:after="100" w:afterAutospacing="1"/>
    </w:pPr>
    <w:rPr>
      <w:rFonts w:cs="Times New Roman"/>
      <w:vanish/>
      <w:lang w:val="en-US" w:eastAsia="en-US" w:bidi="ar-SA"/>
    </w:rPr>
  </w:style>
  <w:style w:type="paragraph" w:customStyle="1" w:styleId="wpb-header2">
    <w:name w:val="wpb-header2"/>
    <w:basedOn w:val="Standaard"/>
    <w:uiPriority w:val="99"/>
    <w:rsid w:val="006C1C1E"/>
    <w:pPr>
      <w:spacing w:before="100" w:beforeAutospacing="1" w:after="100" w:afterAutospacing="1"/>
    </w:pPr>
    <w:rPr>
      <w:rFonts w:cs="Times New Roman"/>
      <w:lang w:val="en-US" w:eastAsia="en-US" w:bidi="ar-SA"/>
    </w:rPr>
  </w:style>
  <w:style w:type="paragraph" w:customStyle="1" w:styleId="wpb-outside1">
    <w:name w:val="wpb-outside1"/>
    <w:basedOn w:val="Standaard"/>
    <w:uiPriority w:val="99"/>
    <w:rsid w:val="006C1C1E"/>
    <w:pPr>
      <w:spacing w:before="100" w:beforeAutospacing="1" w:after="100" w:afterAutospacing="1"/>
    </w:pPr>
    <w:rPr>
      <w:rFonts w:cs="Times New Roman"/>
      <w:vanish/>
      <w:lang w:val="en-US" w:eastAsia="en-US" w:bidi="ar-SA"/>
    </w:rPr>
  </w:style>
  <w:style w:type="paragraph" w:customStyle="1" w:styleId="notice-all1">
    <w:name w:val="notice-all1"/>
    <w:basedOn w:val="Standaard"/>
    <w:uiPriority w:val="99"/>
    <w:rsid w:val="006C1C1E"/>
    <w:pPr>
      <w:spacing w:before="100" w:beforeAutospacing="1" w:after="240"/>
      <w:ind w:right="30"/>
    </w:pPr>
    <w:rPr>
      <w:rFonts w:cs="Times New Roman"/>
      <w:lang w:val="en-US" w:eastAsia="en-US" w:bidi="ar-SA"/>
    </w:rPr>
  </w:style>
  <w:style w:type="paragraph" w:customStyle="1" w:styleId="sitenoticesmall1">
    <w:name w:val="sitenoticesmall1"/>
    <w:basedOn w:val="Standaard"/>
    <w:uiPriority w:val="99"/>
    <w:rsid w:val="006C1C1E"/>
    <w:pPr>
      <w:spacing w:before="100" w:beforeAutospacing="1" w:after="100" w:afterAutospacing="1"/>
    </w:pPr>
    <w:rPr>
      <w:rFonts w:cs="Times New Roman"/>
      <w:vanish/>
      <w:lang w:val="en-US" w:eastAsia="en-US" w:bidi="ar-SA"/>
    </w:rPr>
  </w:style>
  <w:style w:type="paragraph" w:customStyle="1" w:styleId="sitenoticesmallanon1">
    <w:name w:val="sitenoticesmallanon1"/>
    <w:basedOn w:val="Standaard"/>
    <w:uiPriority w:val="99"/>
    <w:rsid w:val="006C1C1E"/>
    <w:pPr>
      <w:spacing w:before="100" w:beforeAutospacing="1" w:after="100" w:afterAutospacing="1"/>
    </w:pPr>
    <w:rPr>
      <w:rFonts w:cs="Times New Roman"/>
      <w:vanish/>
      <w:lang w:val="en-US" w:eastAsia="en-US" w:bidi="ar-SA"/>
    </w:rPr>
  </w:style>
  <w:style w:type="paragraph" w:customStyle="1" w:styleId="sitenoticesmalluser1">
    <w:name w:val="sitenoticesmalluser1"/>
    <w:basedOn w:val="Standaard"/>
    <w:uiPriority w:val="99"/>
    <w:rsid w:val="006C1C1E"/>
    <w:pPr>
      <w:spacing w:before="100" w:beforeAutospacing="1" w:after="100" w:afterAutospacing="1"/>
    </w:pPr>
    <w:rPr>
      <w:rFonts w:cs="Times New Roman"/>
      <w:vanish/>
      <w:lang w:val="en-US" w:eastAsia="en-US" w:bidi="ar-SA"/>
    </w:rPr>
  </w:style>
  <w:style w:type="character" w:customStyle="1" w:styleId="country-name">
    <w:name w:val="country-name"/>
    <w:basedOn w:val="Standaardalinea-lettertype"/>
    <w:uiPriority w:val="99"/>
    <w:rsid w:val="006C1C1E"/>
    <w:rPr>
      <w:rFonts w:cs="Times New Roman"/>
    </w:rPr>
  </w:style>
  <w:style w:type="character" w:customStyle="1" w:styleId="toctoggle">
    <w:name w:val="toctoggle"/>
    <w:basedOn w:val="Standaardalinea-lettertype"/>
    <w:uiPriority w:val="99"/>
    <w:rsid w:val="006C1C1E"/>
    <w:rPr>
      <w:rFonts w:cs="Times New Roman"/>
    </w:rPr>
  </w:style>
  <w:style w:type="character" w:customStyle="1" w:styleId="tocnumber2">
    <w:name w:val="tocnumber2"/>
    <w:basedOn w:val="Standaardalinea-lettertype"/>
    <w:uiPriority w:val="99"/>
    <w:rsid w:val="006C1C1E"/>
    <w:rPr>
      <w:rFonts w:cs="Times New Roman"/>
    </w:rPr>
  </w:style>
  <w:style w:type="character" w:customStyle="1" w:styleId="toctext">
    <w:name w:val="toctext"/>
    <w:basedOn w:val="Standaardalinea-lettertype"/>
    <w:uiPriority w:val="99"/>
    <w:rsid w:val="006C1C1E"/>
    <w:rPr>
      <w:rFonts w:cs="Times New Roman"/>
    </w:rPr>
  </w:style>
  <w:style w:type="character" w:customStyle="1" w:styleId="editsection">
    <w:name w:val="editsection"/>
    <w:basedOn w:val="Standaardalinea-lettertype"/>
    <w:uiPriority w:val="99"/>
    <w:rsid w:val="006C1C1E"/>
    <w:rPr>
      <w:rFonts w:cs="Times New Roman"/>
    </w:rPr>
  </w:style>
  <w:style w:type="character" w:customStyle="1" w:styleId="mw-headline">
    <w:name w:val="mw-headline"/>
    <w:basedOn w:val="Standaardalinea-lettertype"/>
    <w:uiPriority w:val="99"/>
    <w:rsid w:val="006C1C1E"/>
    <w:rPr>
      <w:rFonts w:cs="Times New Roman"/>
    </w:rPr>
  </w:style>
  <w:style w:type="character" w:customStyle="1" w:styleId="z3988">
    <w:name w:val="z3988"/>
    <w:basedOn w:val="Standaardalinea-lettertype"/>
    <w:uiPriority w:val="99"/>
    <w:rsid w:val="006C1C1E"/>
    <w:rPr>
      <w:rFonts w:cs="Times New Roman"/>
    </w:rPr>
  </w:style>
  <w:style w:type="character" w:customStyle="1" w:styleId="languageicon">
    <w:name w:val="languageicon"/>
    <w:basedOn w:val="Standaardalinea-lettertype"/>
    <w:uiPriority w:val="99"/>
    <w:rsid w:val="006C1C1E"/>
    <w:rPr>
      <w:rFonts w:cs="Times New Roman"/>
    </w:rPr>
  </w:style>
  <w:style w:type="character" w:styleId="Zwaar">
    <w:name w:val="Strong"/>
    <w:basedOn w:val="Standaardalinea-lettertype"/>
    <w:uiPriority w:val="99"/>
    <w:qFormat/>
    <w:locked/>
    <w:rsid w:val="006C1C1E"/>
    <w:rPr>
      <w:rFonts w:cs="Times New Roman"/>
      <w:b/>
      <w:bCs/>
    </w:rPr>
  </w:style>
  <w:style w:type="paragraph" w:customStyle="1" w:styleId="oecdtitle5">
    <w:name w:val="oecdtitle5"/>
    <w:basedOn w:val="Standaard"/>
    <w:uiPriority w:val="99"/>
    <w:rsid w:val="00605AE0"/>
    <w:pPr>
      <w:spacing w:before="75" w:after="75"/>
    </w:pPr>
    <w:rPr>
      <w:rFonts w:cs="Times New Roman"/>
      <w:lang w:val="en-US" w:eastAsia="en-US" w:bidi="ar-SA"/>
    </w:rPr>
  </w:style>
  <w:style w:type="paragraph" w:styleId="Bovenkantformulier">
    <w:name w:val="HTML Top of Form"/>
    <w:basedOn w:val="Standaard"/>
    <w:next w:val="Standaard"/>
    <w:link w:val="BovenkantformulierChar"/>
    <w:hidden/>
    <w:uiPriority w:val="99"/>
    <w:rsid w:val="00F03E07"/>
    <w:pPr>
      <w:pBdr>
        <w:bottom w:val="single" w:sz="6" w:space="1" w:color="auto"/>
      </w:pBdr>
      <w:jc w:val="center"/>
    </w:pPr>
    <w:rPr>
      <w:rFonts w:ascii="Arial" w:hAnsi="Arial" w:cs="Arial"/>
      <w:vanish/>
      <w:sz w:val="16"/>
      <w:szCs w:val="16"/>
      <w:lang w:val="en-US" w:eastAsia="en-US" w:bidi="ar-SA"/>
    </w:rPr>
  </w:style>
  <w:style w:type="character" w:customStyle="1" w:styleId="BovenkantformulierChar">
    <w:name w:val="Bovenkant formulier Char"/>
    <w:basedOn w:val="Standaardalinea-lettertype"/>
    <w:link w:val="Bovenkantformulier"/>
    <w:uiPriority w:val="99"/>
    <w:semiHidden/>
    <w:locked/>
    <w:rsid w:val="00555D25"/>
    <w:rPr>
      <w:rFonts w:ascii="Arial" w:hAnsi="Arial" w:cs="Cordia New"/>
      <w:vanish/>
      <w:sz w:val="20"/>
      <w:szCs w:val="20"/>
      <w:lang w:val="en-AU" w:eastAsia="en-AU" w:bidi="th-TH"/>
    </w:rPr>
  </w:style>
  <w:style w:type="paragraph" w:styleId="Onderkantformulier">
    <w:name w:val="HTML Bottom of Form"/>
    <w:basedOn w:val="Standaard"/>
    <w:next w:val="Standaard"/>
    <w:link w:val="OnderkantformulierChar"/>
    <w:hidden/>
    <w:uiPriority w:val="99"/>
    <w:rsid w:val="00F03E07"/>
    <w:pPr>
      <w:pBdr>
        <w:top w:val="single" w:sz="6" w:space="1" w:color="auto"/>
      </w:pBdr>
      <w:jc w:val="center"/>
    </w:pPr>
    <w:rPr>
      <w:rFonts w:ascii="Arial" w:hAnsi="Arial" w:cs="Arial"/>
      <w:vanish/>
      <w:sz w:val="16"/>
      <w:szCs w:val="16"/>
      <w:lang w:val="en-US" w:eastAsia="en-US" w:bidi="ar-SA"/>
    </w:rPr>
  </w:style>
  <w:style w:type="character" w:customStyle="1" w:styleId="OnderkantformulierChar">
    <w:name w:val="Onderkant formulier Char"/>
    <w:basedOn w:val="Standaardalinea-lettertype"/>
    <w:link w:val="Onderkantformulier"/>
    <w:uiPriority w:val="99"/>
    <w:semiHidden/>
    <w:locked/>
    <w:rsid w:val="00555D25"/>
    <w:rPr>
      <w:rFonts w:ascii="Arial" w:hAnsi="Arial" w:cs="Cordia New"/>
      <w:vanish/>
      <w:sz w:val="20"/>
      <w:szCs w:val="20"/>
      <w:lang w:val="en-AU" w:eastAsia="en-AU" w:bidi="th-TH"/>
    </w:rPr>
  </w:style>
  <w:style w:type="paragraph" w:styleId="Ondertitel">
    <w:name w:val="Subtitle"/>
    <w:basedOn w:val="Standaard"/>
    <w:next w:val="Standaard"/>
    <w:link w:val="OndertitelChar"/>
    <w:uiPriority w:val="99"/>
    <w:qFormat/>
    <w:locked/>
    <w:rsid w:val="008A1A67"/>
    <w:pPr>
      <w:numPr>
        <w:ilvl w:val="1"/>
      </w:numPr>
    </w:pPr>
    <w:rPr>
      <w:rFonts w:ascii="Cambria" w:hAnsi="Cambria"/>
      <w:i/>
      <w:iCs/>
      <w:color w:val="4F81BD"/>
      <w:spacing w:val="15"/>
      <w:szCs w:val="30"/>
    </w:rPr>
  </w:style>
  <w:style w:type="character" w:customStyle="1" w:styleId="OndertitelChar">
    <w:name w:val="Ondertitel Char"/>
    <w:basedOn w:val="Standaardalinea-lettertype"/>
    <w:link w:val="Ondertitel"/>
    <w:uiPriority w:val="99"/>
    <w:locked/>
    <w:rsid w:val="008A1A67"/>
    <w:rPr>
      <w:rFonts w:ascii="Cambria" w:hAnsi="Cambria" w:cs="Angsana New"/>
      <w:i/>
      <w:iCs/>
      <w:color w:val="4F81BD"/>
      <w:spacing w:val="15"/>
      <w:sz w:val="30"/>
      <w:szCs w:val="30"/>
      <w:lang w:val="en-AU" w:eastAsia="en-AU" w:bidi="th-TH"/>
    </w:rPr>
  </w:style>
  <w:style w:type="table" w:customStyle="1" w:styleId="Lichtearcering3">
    <w:name w:val="Lichte arcering3"/>
    <w:uiPriority w:val="99"/>
    <w:rsid w:val="00764632"/>
    <w:rPr>
      <w:color w:val="000000"/>
      <w:lang w:val="nl-NL"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chtearcering4">
    <w:name w:val="Lichte arcering4"/>
    <w:uiPriority w:val="99"/>
    <w:rsid w:val="003D077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ijschrift">
    <w:name w:val="caption"/>
    <w:basedOn w:val="Standaard"/>
    <w:next w:val="Standaard"/>
    <w:uiPriority w:val="99"/>
    <w:qFormat/>
    <w:locked/>
    <w:rsid w:val="00E911D6"/>
    <w:pPr>
      <w:spacing w:after="200"/>
    </w:pPr>
    <w:rPr>
      <w:b/>
      <w:bCs/>
      <w:color w:val="4F81BD"/>
      <w:sz w:val="18"/>
      <w:szCs w:val="22"/>
    </w:rPr>
  </w:style>
  <w:style w:type="table" w:customStyle="1" w:styleId="Lichtearcering5">
    <w:name w:val="Lichte arcering5"/>
    <w:uiPriority w:val="99"/>
    <w:rsid w:val="00144AC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1">
    <w:name w:val="Style1"/>
    <w:basedOn w:val="Kop2"/>
    <w:uiPriority w:val="99"/>
    <w:rsid w:val="00431643"/>
    <w:pPr>
      <w:ind w:left="360" w:hanging="360"/>
      <w:jc w:val="both"/>
    </w:pPr>
    <w:rPr>
      <w:rFonts w:ascii="Times New Roman" w:hAnsi="Times New Roman"/>
      <w:sz w:val="24"/>
      <w:szCs w:val="24"/>
    </w:rPr>
  </w:style>
  <w:style w:type="paragraph" w:styleId="Inhopg2">
    <w:name w:val="toc 2"/>
    <w:basedOn w:val="Standaard"/>
    <w:next w:val="Standaard"/>
    <w:autoRedefine/>
    <w:uiPriority w:val="39"/>
    <w:rsid w:val="001B3BEA"/>
    <w:pPr>
      <w:ind w:left="240"/>
    </w:pPr>
  </w:style>
  <w:style w:type="paragraph" w:styleId="Geenafstand">
    <w:name w:val="No Spacing"/>
    <w:link w:val="GeenafstandChar"/>
    <w:uiPriority w:val="99"/>
    <w:qFormat/>
    <w:rsid w:val="000D7E12"/>
    <w:rPr>
      <w:rFonts w:ascii="Calibri" w:hAnsi="Calibri" w:cs="Arial"/>
      <w:sz w:val="22"/>
      <w:szCs w:val="22"/>
      <w:lang w:val="nl-NL"/>
    </w:rPr>
  </w:style>
  <w:style w:type="character" w:customStyle="1" w:styleId="GeenafstandChar">
    <w:name w:val="Geen afstand Char"/>
    <w:basedOn w:val="Standaardalinea-lettertype"/>
    <w:link w:val="Geenafstand"/>
    <w:uiPriority w:val="99"/>
    <w:locked/>
    <w:rsid w:val="000D7E12"/>
    <w:rPr>
      <w:rFonts w:ascii="Calibri" w:hAnsi="Calibri" w:cs="Arial"/>
      <w:sz w:val="22"/>
      <w:szCs w:val="22"/>
      <w:lang w:val="nl-NL" w:eastAsia="en-US" w:bidi="ar-SA"/>
    </w:rPr>
  </w:style>
  <w:style w:type="table" w:customStyle="1" w:styleId="Lichtearcering6">
    <w:name w:val="Lichte arcering6"/>
    <w:uiPriority w:val="99"/>
    <w:rsid w:val="004B643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
    <w:name w:val="Light List1"/>
    <w:uiPriority w:val="99"/>
    <w:rsid w:val="001A2E6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Shading2">
    <w:name w:val="Light Shading2"/>
    <w:uiPriority w:val="99"/>
    <w:rsid w:val="00FC36E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9D40A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9D40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Grid1">
    <w:name w:val="Light Grid1"/>
    <w:uiPriority w:val="99"/>
    <w:rsid w:val="009D40A0"/>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MediumList21">
    <w:name w:val="Medium List 21"/>
    <w:uiPriority w:val="99"/>
    <w:rsid w:val="00492EA4"/>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fn">
    <w:name w:val="fn"/>
    <w:basedOn w:val="Standaardalinea-lettertype"/>
    <w:uiPriority w:val="99"/>
    <w:rsid w:val="005E7860"/>
    <w:rPr>
      <w:rFonts w:cs="Times New Roman"/>
    </w:rPr>
  </w:style>
  <w:style w:type="character" w:customStyle="1" w:styleId="author-title">
    <w:name w:val="author-title"/>
    <w:basedOn w:val="Standaardalinea-lettertype"/>
    <w:uiPriority w:val="99"/>
    <w:rsid w:val="005E7860"/>
    <w:rPr>
      <w:rFonts w:cs="Times New Roman"/>
    </w:rPr>
  </w:style>
  <w:style w:type="character" w:customStyle="1" w:styleId="author-attribution">
    <w:name w:val="author-attribution"/>
    <w:basedOn w:val="Standaardalinea-lettertype"/>
    <w:uiPriority w:val="99"/>
    <w:rsid w:val="005E7860"/>
    <w:rPr>
      <w:rFonts w:cs="Times New Roman"/>
    </w:rPr>
  </w:style>
  <w:style w:type="table" w:customStyle="1" w:styleId="LightList-Accent11">
    <w:name w:val="Light List - Accent 11"/>
    <w:basedOn w:val="Standaardtabel"/>
    <w:uiPriority w:val="99"/>
    <w:rsid w:val="0078079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chtelijst-accent6">
    <w:name w:val="Light List Accent 6"/>
    <w:basedOn w:val="Standaardtabel"/>
    <w:uiPriority w:val="99"/>
    <w:rsid w:val="0078079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11">
    <w:name w:val="Medium List 1 - Accent 11"/>
    <w:basedOn w:val="Standaardtabel"/>
    <w:uiPriority w:val="99"/>
    <w:rsid w:val="0078079E"/>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Gemiddeldelijst2-accent1">
    <w:name w:val="Medium List 2 Accent 1"/>
    <w:basedOn w:val="Standaardtabel"/>
    <w:uiPriority w:val="99"/>
    <w:rsid w:val="0078079E"/>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Inhopg3">
    <w:name w:val="toc 3"/>
    <w:basedOn w:val="Standaard"/>
    <w:next w:val="Standaard"/>
    <w:autoRedefine/>
    <w:uiPriority w:val="39"/>
    <w:locked/>
    <w:rsid w:val="00A84EFB"/>
    <w:pPr>
      <w:ind w:left="480"/>
    </w:pPr>
  </w:style>
  <w:style w:type="paragraph" w:styleId="Inhopg4">
    <w:name w:val="toc 4"/>
    <w:basedOn w:val="Standaard"/>
    <w:next w:val="Standaard"/>
    <w:autoRedefine/>
    <w:uiPriority w:val="39"/>
    <w:locked/>
    <w:rsid w:val="001E6773"/>
    <w:pPr>
      <w:ind w:left="720"/>
    </w:pPr>
    <w:rPr>
      <w:rFonts w:cs="Times New Roman"/>
      <w:lang w:val="en-US" w:eastAsia="en-US" w:bidi="ar-SA"/>
    </w:rPr>
  </w:style>
  <w:style w:type="paragraph" w:styleId="Inhopg5">
    <w:name w:val="toc 5"/>
    <w:basedOn w:val="Standaard"/>
    <w:next w:val="Standaard"/>
    <w:autoRedefine/>
    <w:uiPriority w:val="39"/>
    <w:locked/>
    <w:rsid w:val="001E6773"/>
    <w:pPr>
      <w:ind w:left="960"/>
    </w:pPr>
    <w:rPr>
      <w:rFonts w:cs="Times New Roman"/>
      <w:lang w:val="en-US" w:eastAsia="en-US" w:bidi="ar-SA"/>
    </w:rPr>
  </w:style>
  <w:style w:type="paragraph" w:styleId="Inhopg6">
    <w:name w:val="toc 6"/>
    <w:basedOn w:val="Standaard"/>
    <w:next w:val="Standaard"/>
    <w:autoRedefine/>
    <w:uiPriority w:val="39"/>
    <w:locked/>
    <w:rsid w:val="001E6773"/>
    <w:pPr>
      <w:ind w:left="1200"/>
    </w:pPr>
    <w:rPr>
      <w:rFonts w:cs="Times New Roman"/>
      <w:lang w:val="en-US" w:eastAsia="en-US" w:bidi="ar-SA"/>
    </w:rPr>
  </w:style>
  <w:style w:type="paragraph" w:styleId="Inhopg7">
    <w:name w:val="toc 7"/>
    <w:basedOn w:val="Standaard"/>
    <w:next w:val="Standaard"/>
    <w:autoRedefine/>
    <w:uiPriority w:val="39"/>
    <w:locked/>
    <w:rsid w:val="001E6773"/>
    <w:pPr>
      <w:ind w:left="1440"/>
    </w:pPr>
    <w:rPr>
      <w:rFonts w:cs="Times New Roman"/>
      <w:lang w:val="en-US" w:eastAsia="en-US" w:bidi="ar-SA"/>
    </w:rPr>
  </w:style>
  <w:style w:type="paragraph" w:styleId="Inhopg8">
    <w:name w:val="toc 8"/>
    <w:basedOn w:val="Standaard"/>
    <w:next w:val="Standaard"/>
    <w:autoRedefine/>
    <w:uiPriority w:val="39"/>
    <w:locked/>
    <w:rsid w:val="001E6773"/>
    <w:pPr>
      <w:ind w:left="1680"/>
    </w:pPr>
    <w:rPr>
      <w:rFonts w:cs="Times New Roman"/>
      <w:lang w:val="en-US" w:eastAsia="en-US" w:bidi="ar-SA"/>
    </w:rPr>
  </w:style>
  <w:style w:type="paragraph" w:styleId="Inhopg9">
    <w:name w:val="toc 9"/>
    <w:basedOn w:val="Standaard"/>
    <w:next w:val="Standaard"/>
    <w:autoRedefine/>
    <w:uiPriority w:val="39"/>
    <w:locked/>
    <w:rsid w:val="001E6773"/>
    <w:pPr>
      <w:ind w:left="1920"/>
    </w:pPr>
    <w:rPr>
      <w:rFonts w:cs="Times New Roman"/>
      <w:lang w:val="en-US" w:eastAsia="en-US" w:bidi="ar-SA"/>
    </w:rPr>
  </w:style>
  <w:style w:type="character" w:styleId="Regelnummer">
    <w:name w:val="line number"/>
    <w:basedOn w:val="Standaardalinea-lettertype"/>
    <w:uiPriority w:val="99"/>
    <w:semiHidden/>
    <w:unhideWhenUsed/>
    <w:locked/>
    <w:rsid w:val="00667F7B"/>
  </w:style>
  <w:style w:type="table" w:customStyle="1" w:styleId="MediumList22">
    <w:name w:val="Medium List 22"/>
    <w:basedOn w:val="Standaardtabel"/>
    <w:uiPriority w:val="66"/>
    <w:rsid w:val="00F851A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Kop4Char">
    <w:name w:val="Kop 4 Char"/>
    <w:basedOn w:val="Standaardalinea-lettertype"/>
    <w:link w:val="Kop4"/>
    <w:semiHidden/>
    <w:rsid w:val="00535AD3"/>
    <w:rPr>
      <w:rFonts w:asciiTheme="majorHAnsi" w:eastAsiaTheme="majorEastAsia" w:hAnsiTheme="majorHAnsi" w:cs="Angsana New"/>
      <w:b/>
      <w:bCs/>
      <w:i/>
      <w:iCs/>
      <w:color w:val="4F81BD" w:themeColor="accent1"/>
      <w:sz w:val="24"/>
      <w:szCs w:val="30"/>
      <w:lang w:val="en-AU" w:eastAsia="en-AU" w:bidi="th-TH"/>
    </w:rPr>
  </w:style>
  <w:style w:type="character" w:customStyle="1" w:styleId="Kop6Char">
    <w:name w:val="Kop 6 Char"/>
    <w:basedOn w:val="Standaardalinea-lettertype"/>
    <w:link w:val="Kop6"/>
    <w:semiHidden/>
    <w:rsid w:val="00535AD3"/>
    <w:rPr>
      <w:rFonts w:asciiTheme="majorHAnsi" w:eastAsiaTheme="majorEastAsia" w:hAnsiTheme="majorHAnsi" w:cs="Angsana New"/>
      <w:i/>
      <w:iCs/>
      <w:color w:val="243F60" w:themeColor="accent1" w:themeShade="7F"/>
      <w:sz w:val="24"/>
      <w:szCs w:val="30"/>
      <w:lang w:val="en-AU" w:eastAsia="en-AU" w:bidi="th-TH"/>
    </w:rPr>
  </w:style>
  <w:style w:type="character" w:customStyle="1" w:styleId="Kop7Char">
    <w:name w:val="Kop 7 Char"/>
    <w:basedOn w:val="Standaardalinea-lettertype"/>
    <w:link w:val="Kop7"/>
    <w:semiHidden/>
    <w:rsid w:val="00535AD3"/>
    <w:rPr>
      <w:rFonts w:asciiTheme="majorHAnsi" w:eastAsiaTheme="majorEastAsia" w:hAnsiTheme="majorHAnsi" w:cs="Angsana New"/>
      <w:i/>
      <w:iCs/>
      <w:color w:val="404040" w:themeColor="text1" w:themeTint="BF"/>
      <w:sz w:val="24"/>
      <w:szCs w:val="30"/>
      <w:lang w:val="en-AU" w:eastAsia="en-AU" w:bidi="th-TH"/>
    </w:rPr>
  </w:style>
  <w:style w:type="character" w:customStyle="1" w:styleId="Kop8Char">
    <w:name w:val="Kop 8 Char"/>
    <w:basedOn w:val="Standaardalinea-lettertype"/>
    <w:link w:val="Kop8"/>
    <w:semiHidden/>
    <w:rsid w:val="00535AD3"/>
    <w:rPr>
      <w:rFonts w:asciiTheme="majorHAnsi" w:eastAsiaTheme="majorEastAsia" w:hAnsiTheme="majorHAnsi" w:cs="Angsana New"/>
      <w:color w:val="404040" w:themeColor="text1" w:themeTint="BF"/>
      <w:szCs w:val="25"/>
      <w:lang w:val="en-AU" w:eastAsia="en-AU" w:bidi="th-TH"/>
    </w:rPr>
  </w:style>
  <w:style w:type="character" w:customStyle="1" w:styleId="Kop9Char">
    <w:name w:val="Kop 9 Char"/>
    <w:basedOn w:val="Standaardalinea-lettertype"/>
    <w:link w:val="Kop9"/>
    <w:semiHidden/>
    <w:rsid w:val="00535AD3"/>
    <w:rPr>
      <w:rFonts w:asciiTheme="majorHAnsi" w:eastAsiaTheme="majorEastAsia" w:hAnsiTheme="majorHAnsi" w:cs="Angsana New"/>
      <w:i/>
      <w:iCs/>
      <w:color w:val="404040" w:themeColor="text1" w:themeTint="BF"/>
      <w:szCs w:val="25"/>
      <w:lang w:val="en-AU" w:eastAsia="en-AU" w:bidi="th-TH"/>
    </w:rPr>
  </w:style>
  <w:style w:type="paragraph" w:styleId="Revisie">
    <w:name w:val="Revision"/>
    <w:hidden/>
    <w:uiPriority w:val="99"/>
    <w:semiHidden/>
    <w:rsid w:val="008D6AEC"/>
    <w:rPr>
      <w:rFonts w:cs="Angsana New"/>
      <w:sz w:val="24"/>
      <w:szCs w:val="30"/>
      <w:lang w:val="en-AU" w:eastAsia="en-AU" w:bidi="th-TH"/>
    </w:rPr>
  </w:style>
  <w:style w:type="character" w:customStyle="1" w:styleId="st1">
    <w:name w:val="st1"/>
    <w:basedOn w:val="Standaardalinea-lettertype"/>
    <w:rsid w:val="002554E1"/>
  </w:style>
</w:styles>
</file>

<file path=word/webSettings.xml><?xml version="1.0" encoding="utf-8"?>
<w:webSettings xmlns:r="http://schemas.openxmlformats.org/officeDocument/2006/relationships" xmlns:w="http://schemas.openxmlformats.org/wordprocessingml/2006/main">
  <w:divs>
    <w:div w:id="56436845">
      <w:bodyDiv w:val="1"/>
      <w:marLeft w:val="0"/>
      <w:marRight w:val="0"/>
      <w:marTop w:val="0"/>
      <w:marBottom w:val="0"/>
      <w:divBdr>
        <w:top w:val="none" w:sz="0" w:space="0" w:color="auto"/>
        <w:left w:val="none" w:sz="0" w:space="0" w:color="auto"/>
        <w:bottom w:val="none" w:sz="0" w:space="0" w:color="auto"/>
        <w:right w:val="none" w:sz="0" w:space="0" w:color="auto"/>
      </w:divBdr>
    </w:div>
    <w:div w:id="98574618">
      <w:bodyDiv w:val="1"/>
      <w:marLeft w:val="0"/>
      <w:marRight w:val="0"/>
      <w:marTop w:val="0"/>
      <w:marBottom w:val="0"/>
      <w:divBdr>
        <w:top w:val="none" w:sz="0" w:space="0" w:color="auto"/>
        <w:left w:val="none" w:sz="0" w:space="0" w:color="auto"/>
        <w:bottom w:val="none" w:sz="0" w:space="0" w:color="auto"/>
        <w:right w:val="none" w:sz="0" w:space="0" w:color="auto"/>
      </w:divBdr>
    </w:div>
    <w:div w:id="299073399">
      <w:marLeft w:val="0"/>
      <w:marRight w:val="0"/>
      <w:marTop w:val="0"/>
      <w:marBottom w:val="0"/>
      <w:divBdr>
        <w:top w:val="none" w:sz="0" w:space="0" w:color="auto"/>
        <w:left w:val="none" w:sz="0" w:space="0" w:color="auto"/>
        <w:bottom w:val="none" w:sz="0" w:space="0" w:color="auto"/>
        <w:right w:val="none" w:sz="0" w:space="0" w:color="auto"/>
      </w:divBdr>
      <w:divsChild>
        <w:div w:id="299073592">
          <w:marLeft w:val="0"/>
          <w:marRight w:val="0"/>
          <w:marTop w:val="0"/>
          <w:marBottom w:val="0"/>
          <w:divBdr>
            <w:top w:val="none" w:sz="0" w:space="0" w:color="auto"/>
            <w:left w:val="none" w:sz="0" w:space="0" w:color="auto"/>
            <w:bottom w:val="none" w:sz="0" w:space="0" w:color="auto"/>
            <w:right w:val="none" w:sz="0" w:space="0" w:color="auto"/>
          </w:divBdr>
          <w:divsChild>
            <w:div w:id="299073597">
              <w:marLeft w:val="0"/>
              <w:marRight w:val="0"/>
              <w:marTop w:val="0"/>
              <w:marBottom w:val="0"/>
              <w:divBdr>
                <w:top w:val="none" w:sz="0" w:space="0" w:color="auto"/>
                <w:left w:val="none" w:sz="0" w:space="0" w:color="auto"/>
                <w:bottom w:val="none" w:sz="0" w:space="0" w:color="auto"/>
                <w:right w:val="none" w:sz="0" w:space="0" w:color="auto"/>
              </w:divBdr>
              <w:divsChild>
                <w:div w:id="2990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03">
      <w:marLeft w:val="0"/>
      <w:marRight w:val="0"/>
      <w:marTop w:val="0"/>
      <w:marBottom w:val="0"/>
      <w:divBdr>
        <w:top w:val="none" w:sz="0" w:space="0" w:color="auto"/>
        <w:left w:val="none" w:sz="0" w:space="0" w:color="auto"/>
        <w:bottom w:val="none" w:sz="0" w:space="0" w:color="auto"/>
        <w:right w:val="none" w:sz="0" w:space="0" w:color="auto"/>
      </w:divBdr>
      <w:divsChild>
        <w:div w:id="299073396">
          <w:marLeft w:val="0"/>
          <w:marRight w:val="0"/>
          <w:marTop w:val="0"/>
          <w:marBottom w:val="0"/>
          <w:divBdr>
            <w:top w:val="none" w:sz="0" w:space="0" w:color="auto"/>
            <w:left w:val="none" w:sz="0" w:space="0" w:color="auto"/>
            <w:bottom w:val="none" w:sz="0" w:space="0" w:color="auto"/>
            <w:right w:val="none" w:sz="0" w:space="0" w:color="auto"/>
          </w:divBdr>
          <w:divsChild>
            <w:div w:id="2990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406">
      <w:marLeft w:val="0"/>
      <w:marRight w:val="0"/>
      <w:marTop w:val="0"/>
      <w:marBottom w:val="0"/>
      <w:divBdr>
        <w:top w:val="none" w:sz="0" w:space="0" w:color="auto"/>
        <w:left w:val="none" w:sz="0" w:space="0" w:color="auto"/>
        <w:bottom w:val="none" w:sz="0" w:space="0" w:color="auto"/>
        <w:right w:val="none" w:sz="0" w:space="0" w:color="auto"/>
      </w:divBdr>
      <w:divsChild>
        <w:div w:id="299073402">
          <w:marLeft w:val="0"/>
          <w:marRight w:val="0"/>
          <w:marTop w:val="0"/>
          <w:marBottom w:val="0"/>
          <w:divBdr>
            <w:top w:val="none" w:sz="0" w:space="0" w:color="auto"/>
            <w:left w:val="none" w:sz="0" w:space="0" w:color="auto"/>
            <w:bottom w:val="none" w:sz="0" w:space="0" w:color="auto"/>
            <w:right w:val="none" w:sz="0" w:space="0" w:color="auto"/>
          </w:divBdr>
          <w:divsChild>
            <w:div w:id="2990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409">
      <w:marLeft w:val="0"/>
      <w:marRight w:val="0"/>
      <w:marTop w:val="0"/>
      <w:marBottom w:val="0"/>
      <w:divBdr>
        <w:top w:val="none" w:sz="0" w:space="0" w:color="auto"/>
        <w:left w:val="none" w:sz="0" w:space="0" w:color="auto"/>
        <w:bottom w:val="none" w:sz="0" w:space="0" w:color="auto"/>
        <w:right w:val="none" w:sz="0" w:space="0" w:color="auto"/>
      </w:divBdr>
      <w:divsChild>
        <w:div w:id="299073590">
          <w:marLeft w:val="0"/>
          <w:marRight w:val="0"/>
          <w:marTop w:val="0"/>
          <w:marBottom w:val="0"/>
          <w:divBdr>
            <w:top w:val="none" w:sz="0" w:space="0" w:color="auto"/>
            <w:left w:val="none" w:sz="0" w:space="0" w:color="auto"/>
            <w:bottom w:val="none" w:sz="0" w:space="0" w:color="auto"/>
            <w:right w:val="none" w:sz="0" w:space="0" w:color="auto"/>
          </w:divBdr>
          <w:divsChild>
            <w:div w:id="299073599">
              <w:marLeft w:val="0"/>
              <w:marRight w:val="0"/>
              <w:marTop w:val="0"/>
              <w:marBottom w:val="0"/>
              <w:divBdr>
                <w:top w:val="none" w:sz="0" w:space="0" w:color="auto"/>
                <w:left w:val="none" w:sz="0" w:space="0" w:color="auto"/>
                <w:bottom w:val="none" w:sz="0" w:space="0" w:color="auto"/>
                <w:right w:val="none" w:sz="0" w:space="0" w:color="auto"/>
              </w:divBdr>
              <w:divsChild>
                <w:div w:id="299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10">
      <w:marLeft w:val="0"/>
      <w:marRight w:val="0"/>
      <w:marTop w:val="0"/>
      <w:marBottom w:val="0"/>
      <w:divBdr>
        <w:top w:val="none" w:sz="0" w:space="0" w:color="auto"/>
        <w:left w:val="none" w:sz="0" w:space="0" w:color="auto"/>
        <w:bottom w:val="none" w:sz="0" w:space="0" w:color="auto"/>
        <w:right w:val="none" w:sz="0" w:space="0" w:color="auto"/>
      </w:divBdr>
      <w:divsChild>
        <w:div w:id="299073405">
          <w:marLeft w:val="0"/>
          <w:marRight w:val="0"/>
          <w:marTop w:val="0"/>
          <w:marBottom w:val="0"/>
          <w:divBdr>
            <w:top w:val="none" w:sz="0" w:space="0" w:color="auto"/>
            <w:left w:val="none" w:sz="0" w:space="0" w:color="auto"/>
            <w:bottom w:val="none" w:sz="0" w:space="0" w:color="auto"/>
            <w:right w:val="none" w:sz="0" w:space="0" w:color="auto"/>
          </w:divBdr>
          <w:divsChild>
            <w:div w:id="299073591">
              <w:marLeft w:val="0"/>
              <w:marRight w:val="0"/>
              <w:marTop w:val="0"/>
              <w:marBottom w:val="0"/>
              <w:divBdr>
                <w:top w:val="none" w:sz="0" w:space="0" w:color="auto"/>
                <w:left w:val="none" w:sz="0" w:space="0" w:color="auto"/>
                <w:bottom w:val="none" w:sz="0" w:space="0" w:color="auto"/>
                <w:right w:val="none" w:sz="0" w:space="0" w:color="auto"/>
              </w:divBdr>
              <w:divsChild>
                <w:div w:id="2990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11">
      <w:marLeft w:val="0"/>
      <w:marRight w:val="0"/>
      <w:marTop w:val="0"/>
      <w:marBottom w:val="0"/>
      <w:divBdr>
        <w:top w:val="none" w:sz="0" w:space="0" w:color="auto"/>
        <w:left w:val="none" w:sz="0" w:space="0" w:color="auto"/>
        <w:bottom w:val="none" w:sz="0" w:space="0" w:color="auto"/>
        <w:right w:val="none" w:sz="0" w:space="0" w:color="auto"/>
      </w:divBdr>
      <w:divsChild>
        <w:div w:id="299073394">
          <w:marLeft w:val="0"/>
          <w:marRight w:val="0"/>
          <w:marTop w:val="0"/>
          <w:marBottom w:val="0"/>
          <w:divBdr>
            <w:top w:val="none" w:sz="0" w:space="0" w:color="auto"/>
            <w:left w:val="none" w:sz="0" w:space="0" w:color="auto"/>
            <w:bottom w:val="none" w:sz="0" w:space="0" w:color="auto"/>
            <w:right w:val="none" w:sz="0" w:space="0" w:color="auto"/>
          </w:divBdr>
          <w:divsChild>
            <w:div w:id="299073587">
              <w:marLeft w:val="0"/>
              <w:marRight w:val="0"/>
              <w:marTop w:val="0"/>
              <w:marBottom w:val="0"/>
              <w:divBdr>
                <w:top w:val="none" w:sz="0" w:space="0" w:color="auto"/>
                <w:left w:val="none" w:sz="0" w:space="0" w:color="auto"/>
                <w:bottom w:val="none" w:sz="0" w:space="0" w:color="auto"/>
                <w:right w:val="none" w:sz="0" w:space="0" w:color="auto"/>
              </w:divBdr>
              <w:divsChild>
                <w:div w:id="2990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16">
      <w:marLeft w:val="0"/>
      <w:marRight w:val="0"/>
      <w:marTop w:val="0"/>
      <w:marBottom w:val="0"/>
      <w:divBdr>
        <w:top w:val="none" w:sz="0" w:space="0" w:color="auto"/>
        <w:left w:val="none" w:sz="0" w:space="0" w:color="auto"/>
        <w:bottom w:val="none" w:sz="0" w:space="0" w:color="auto"/>
        <w:right w:val="none" w:sz="0" w:space="0" w:color="auto"/>
      </w:divBdr>
    </w:div>
    <w:div w:id="299073419">
      <w:marLeft w:val="0"/>
      <w:marRight w:val="0"/>
      <w:marTop w:val="0"/>
      <w:marBottom w:val="0"/>
      <w:divBdr>
        <w:top w:val="none" w:sz="0" w:space="0" w:color="auto"/>
        <w:left w:val="none" w:sz="0" w:space="0" w:color="auto"/>
        <w:bottom w:val="none" w:sz="0" w:space="0" w:color="auto"/>
        <w:right w:val="none" w:sz="0" w:space="0" w:color="auto"/>
      </w:divBdr>
      <w:divsChild>
        <w:div w:id="299073420">
          <w:marLeft w:val="0"/>
          <w:marRight w:val="0"/>
          <w:marTop w:val="0"/>
          <w:marBottom w:val="0"/>
          <w:divBdr>
            <w:top w:val="none" w:sz="0" w:space="0" w:color="auto"/>
            <w:left w:val="none" w:sz="0" w:space="0" w:color="auto"/>
            <w:bottom w:val="none" w:sz="0" w:space="0" w:color="auto"/>
            <w:right w:val="none" w:sz="0" w:space="0" w:color="auto"/>
          </w:divBdr>
          <w:divsChild>
            <w:div w:id="299073415">
              <w:marLeft w:val="0"/>
              <w:marRight w:val="0"/>
              <w:marTop w:val="0"/>
              <w:marBottom w:val="0"/>
              <w:divBdr>
                <w:top w:val="none" w:sz="0" w:space="0" w:color="auto"/>
                <w:left w:val="none" w:sz="0" w:space="0" w:color="auto"/>
                <w:bottom w:val="none" w:sz="0" w:space="0" w:color="auto"/>
                <w:right w:val="none" w:sz="0" w:space="0" w:color="auto"/>
              </w:divBdr>
              <w:divsChild>
                <w:div w:id="299073417">
                  <w:marLeft w:val="0"/>
                  <w:marRight w:val="0"/>
                  <w:marTop w:val="0"/>
                  <w:marBottom w:val="0"/>
                  <w:divBdr>
                    <w:top w:val="none" w:sz="0" w:space="0" w:color="auto"/>
                    <w:left w:val="none" w:sz="0" w:space="0" w:color="auto"/>
                    <w:bottom w:val="none" w:sz="0" w:space="0" w:color="auto"/>
                    <w:right w:val="none" w:sz="0" w:space="0" w:color="auto"/>
                  </w:divBdr>
                  <w:divsChild>
                    <w:div w:id="2990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073421">
      <w:marLeft w:val="0"/>
      <w:marRight w:val="0"/>
      <w:marTop w:val="0"/>
      <w:marBottom w:val="0"/>
      <w:divBdr>
        <w:top w:val="none" w:sz="0" w:space="0" w:color="auto"/>
        <w:left w:val="none" w:sz="0" w:space="0" w:color="auto"/>
        <w:bottom w:val="none" w:sz="0" w:space="0" w:color="auto"/>
        <w:right w:val="none" w:sz="0" w:space="0" w:color="auto"/>
      </w:divBdr>
    </w:div>
    <w:div w:id="299073429">
      <w:marLeft w:val="0"/>
      <w:marRight w:val="0"/>
      <w:marTop w:val="0"/>
      <w:marBottom w:val="0"/>
      <w:divBdr>
        <w:top w:val="none" w:sz="0" w:space="0" w:color="auto"/>
        <w:left w:val="none" w:sz="0" w:space="0" w:color="auto"/>
        <w:bottom w:val="none" w:sz="0" w:space="0" w:color="auto"/>
        <w:right w:val="none" w:sz="0" w:space="0" w:color="auto"/>
      </w:divBdr>
      <w:divsChild>
        <w:div w:id="299073452">
          <w:marLeft w:val="0"/>
          <w:marRight w:val="0"/>
          <w:marTop w:val="0"/>
          <w:marBottom w:val="0"/>
          <w:divBdr>
            <w:top w:val="none" w:sz="0" w:space="0" w:color="auto"/>
            <w:left w:val="none" w:sz="0" w:space="0" w:color="auto"/>
            <w:bottom w:val="none" w:sz="0" w:space="0" w:color="auto"/>
            <w:right w:val="none" w:sz="0" w:space="0" w:color="auto"/>
          </w:divBdr>
          <w:divsChild>
            <w:div w:id="299073434">
              <w:marLeft w:val="0"/>
              <w:marRight w:val="0"/>
              <w:marTop w:val="0"/>
              <w:marBottom w:val="0"/>
              <w:divBdr>
                <w:top w:val="none" w:sz="0" w:space="0" w:color="auto"/>
                <w:left w:val="none" w:sz="0" w:space="0" w:color="auto"/>
                <w:bottom w:val="none" w:sz="0" w:space="0" w:color="auto"/>
                <w:right w:val="none" w:sz="0" w:space="0" w:color="auto"/>
              </w:divBdr>
              <w:divsChild>
                <w:div w:id="299073422">
                  <w:marLeft w:val="0"/>
                  <w:marRight w:val="0"/>
                  <w:marTop w:val="0"/>
                  <w:marBottom w:val="0"/>
                  <w:divBdr>
                    <w:top w:val="none" w:sz="0" w:space="0" w:color="auto"/>
                    <w:left w:val="none" w:sz="0" w:space="0" w:color="auto"/>
                    <w:bottom w:val="none" w:sz="0" w:space="0" w:color="auto"/>
                    <w:right w:val="none" w:sz="0" w:space="0" w:color="auto"/>
                  </w:divBdr>
                </w:div>
                <w:div w:id="299073423">
                  <w:marLeft w:val="0"/>
                  <w:marRight w:val="0"/>
                  <w:marTop w:val="0"/>
                  <w:marBottom w:val="0"/>
                  <w:divBdr>
                    <w:top w:val="none" w:sz="0" w:space="0" w:color="auto"/>
                    <w:left w:val="none" w:sz="0" w:space="0" w:color="auto"/>
                    <w:bottom w:val="none" w:sz="0" w:space="0" w:color="auto"/>
                    <w:right w:val="none" w:sz="0" w:space="0" w:color="auto"/>
                  </w:divBdr>
                  <w:divsChild>
                    <w:div w:id="299073427">
                      <w:marLeft w:val="0"/>
                      <w:marRight w:val="0"/>
                      <w:marTop w:val="0"/>
                      <w:marBottom w:val="0"/>
                      <w:divBdr>
                        <w:top w:val="none" w:sz="0" w:space="0" w:color="auto"/>
                        <w:left w:val="none" w:sz="0" w:space="0" w:color="auto"/>
                        <w:bottom w:val="none" w:sz="0" w:space="0" w:color="auto"/>
                        <w:right w:val="none" w:sz="0" w:space="0" w:color="auto"/>
                      </w:divBdr>
                    </w:div>
                  </w:divsChild>
                </w:div>
                <w:div w:id="299073424">
                  <w:marLeft w:val="0"/>
                  <w:marRight w:val="0"/>
                  <w:marTop w:val="0"/>
                  <w:marBottom w:val="0"/>
                  <w:divBdr>
                    <w:top w:val="none" w:sz="0" w:space="0" w:color="auto"/>
                    <w:left w:val="none" w:sz="0" w:space="0" w:color="auto"/>
                    <w:bottom w:val="none" w:sz="0" w:space="0" w:color="auto"/>
                    <w:right w:val="none" w:sz="0" w:space="0" w:color="auto"/>
                  </w:divBdr>
                </w:div>
                <w:div w:id="299073425">
                  <w:marLeft w:val="0"/>
                  <w:marRight w:val="0"/>
                  <w:marTop w:val="0"/>
                  <w:marBottom w:val="0"/>
                  <w:divBdr>
                    <w:top w:val="none" w:sz="0" w:space="0" w:color="auto"/>
                    <w:left w:val="none" w:sz="0" w:space="0" w:color="auto"/>
                    <w:bottom w:val="none" w:sz="0" w:space="0" w:color="auto"/>
                    <w:right w:val="none" w:sz="0" w:space="0" w:color="auto"/>
                  </w:divBdr>
                </w:div>
                <w:div w:id="299073428">
                  <w:marLeft w:val="0"/>
                  <w:marRight w:val="0"/>
                  <w:marTop w:val="0"/>
                  <w:marBottom w:val="0"/>
                  <w:divBdr>
                    <w:top w:val="none" w:sz="0" w:space="0" w:color="auto"/>
                    <w:left w:val="none" w:sz="0" w:space="0" w:color="auto"/>
                    <w:bottom w:val="none" w:sz="0" w:space="0" w:color="auto"/>
                    <w:right w:val="none" w:sz="0" w:space="0" w:color="auto"/>
                  </w:divBdr>
                </w:div>
                <w:div w:id="299073430">
                  <w:marLeft w:val="0"/>
                  <w:marRight w:val="0"/>
                  <w:marTop w:val="0"/>
                  <w:marBottom w:val="0"/>
                  <w:divBdr>
                    <w:top w:val="none" w:sz="0" w:space="0" w:color="auto"/>
                    <w:left w:val="none" w:sz="0" w:space="0" w:color="auto"/>
                    <w:bottom w:val="none" w:sz="0" w:space="0" w:color="auto"/>
                    <w:right w:val="none" w:sz="0" w:space="0" w:color="auto"/>
                  </w:divBdr>
                </w:div>
                <w:div w:id="299073431">
                  <w:marLeft w:val="0"/>
                  <w:marRight w:val="0"/>
                  <w:marTop w:val="0"/>
                  <w:marBottom w:val="0"/>
                  <w:divBdr>
                    <w:top w:val="none" w:sz="0" w:space="0" w:color="auto"/>
                    <w:left w:val="none" w:sz="0" w:space="0" w:color="auto"/>
                    <w:bottom w:val="none" w:sz="0" w:space="0" w:color="auto"/>
                    <w:right w:val="none" w:sz="0" w:space="0" w:color="auto"/>
                  </w:divBdr>
                </w:div>
                <w:div w:id="299073432">
                  <w:marLeft w:val="0"/>
                  <w:marRight w:val="0"/>
                  <w:marTop w:val="0"/>
                  <w:marBottom w:val="0"/>
                  <w:divBdr>
                    <w:top w:val="none" w:sz="0" w:space="0" w:color="auto"/>
                    <w:left w:val="none" w:sz="0" w:space="0" w:color="auto"/>
                    <w:bottom w:val="none" w:sz="0" w:space="0" w:color="auto"/>
                    <w:right w:val="none" w:sz="0" w:space="0" w:color="auto"/>
                  </w:divBdr>
                </w:div>
                <w:div w:id="299073433">
                  <w:marLeft w:val="0"/>
                  <w:marRight w:val="0"/>
                  <w:marTop w:val="0"/>
                  <w:marBottom w:val="0"/>
                  <w:divBdr>
                    <w:top w:val="none" w:sz="0" w:space="0" w:color="auto"/>
                    <w:left w:val="none" w:sz="0" w:space="0" w:color="auto"/>
                    <w:bottom w:val="none" w:sz="0" w:space="0" w:color="auto"/>
                    <w:right w:val="none" w:sz="0" w:space="0" w:color="auto"/>
                  </w:divBdr>
                </w:div>
                <w:div w:id="299073436">
                  <w:marLeft w:val="0"/>
                  <w:marRight w:val="0"/>
                  <w:marTop w:val="0"/>
                  <w:marBottom w:val="0"/>
                  <w:divBdr>
                    <w:top w:val="none" w:sz="0" w:space="0" w:color="auto"/>
                    <w:left w:val="none" w:sz="0" w:space="0" w:color="auto"/>
                    <w:bottom w:val="none" w:sz="0" w:space="0" w:color="auto"/>
                    <w:right w:val="none" w:sz="0" w:space="0" w:color="auto"/>
                  </w:divBdr>
                </w:div>
                <w:div w:id="299073438">
                  <w:marLeft w:val="0"/>
                  <w:marRight w:val="0"/>
                  <w:marTop w:val="0"/>
                  <w:marBottom w:val="0"/>
                  <w:divBdr>
                    <w:top w:val="none" w:sz="0" w:space="0" w:color="auto"/>
                    <w:left w:val="none" w:sz="0" w:space="0" w:color="auto"/>
                    <w:bottom w:val="none" w:sz="0" w:space="0" w:color="auto"/>
                    <w:right w:val="none" w:sz="0" w:space="0" w:color="auto"/>
                  </w:divBdr>
                  <w:divsChild>
                    <w:div w:id="299073450">
                      <w:marLeft w:val="0"/>
                      <w:marRight w:val="0"/>
                      <w:marTop w:val="0"/>
                      <w:marBottom w:val="0"/>
                      <w:divBdr>
                        <w:top w:val="none" w:sz="0" w:space="0" w:color="auto"/>
                        <w:left w:val="none" w:sz="0" w:space="0" w:color="auto"/>
                        <w:bottom w:val="none" w:sz="0" w:space="0" w:color="auto"/>
                        <w:right w:val="none" w:sz="0" w:space="0" w:color="auto"/>
                      </w:divBdr>
                    </w:div>
                  </w:divsChild>
                </w:div>
                <w:div w:id="299073441">
                  <w:marLeft w:val="0"/>
                  <w:marRight w:val="0"/>
                  <w:marTop w:val="0"/>
                  <w:marBottom w:val="0"/>
                  <w:divBdr>
                    <w:top w:val="none" w:sz="0" w:space="0" w:color="auto"/>
                    <w:left w:val="none" w:sz="0" w:space="0" w:color="auto"/>
                    <w:bottom w:val="none" w:sz="0" w:space="0" w:color="auto"/>
                    <w:right w:val="none" w:sz="0" w:space="0" w:color="auto"/>
                  </w:divBdr>
                </w:div>
                <w:div w:id="299073442">
                  <w:marLeft w:val="0"/>
                  <w:marRight w:val="0"/>
                  <w:marTop w:val="0"/>
                  <w:marBottom w:val="0"/>
                  <w:divBdr>
                    <w:top w:val="none" w:sz="0" w:space="0" w:color="auto"/>
                    <w:left w:val="none" w:sz="0" w:space="0" w:color="auto"/>
                    <w:bottom w:val="none" w:sz="0" w:space="0" w:color="auto"/>
                    <w:right w:val="none" w:sz="0" w:space="0" w:color="auto"/>
                  </w:divBdr>
                  <w:divsChild>
                    <w:div w:id="299073443">
                      <w:marLeft w:val="0"/>
                      <w:marRight w:val="0"/>
                      <w:marTop w:val="0"/>
                      <w:marBottom w:val="0"/>
                      <w:divBdr>
                        <w:top w:val="none" w:sz="0" w:space="0" w:color="auto"/>
                        <w:left w:val="none" w:sz="0" w:space="0" w:color="auto"/>
                        <w:bottom w:val="none" w:sz="0" w:space="0" w:color="auto"/>
                        <w:right w:val="none" w:sz="0" w:space="0" w:color="auto"/>
                      </w:divBdr>
                      <w:divsChild>
                        <w:div w:id="299073439">
                          <w:marLeft w:val="0"/>
                          <w:marRight w:val="0"/>
                          <w:marTop w:val="0"/>
                          <w:marBottom w:val="0"/>
                          <w:divBdr>
                            <w:top w:val="none" w:sz="0" w:space="0" w:color="auto"/>
                            <w:left w:val="none" w:sz="0" w:space="0" w:color="auto"/>
                            <w:bottom w:val="none" w:sz="0" w:space="0" w:color="auto"/>
                            <w:right w:val="none" w:sz="0" w:space="0" w:color="auto"/>
                          </w:divBdr>
                          <w:divsChild>
                            <w:div w:id="29907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44">
                  <w:marLeft w:val="0"/>
                  <w:marRight w:val="0"/>
                  <w:marTop w:val="0"/>
                  <w:marBottom w:val="0"/>
                  <w:divBdr>
                    <w:top w:val="none" w:sz="0" w:space="0" w:color="auto"/>
                    <w:left w:val="none" w:sz="0" w:space="0" w:color="auto"/>
                    <w:bottom w:val="none" w:sz="0" w:space="0" w:color="auto"/>
                    <w:right w:val="none" w:sz="0" w:space="0" w:color="auto"/>
                  </w:divBdr>
                </w:div>
                <w:div w:id="299073446">
                  <w:marLeft w:val="0"/>
                  <w:marRight w:val="0"/>
                  <w:marTop w:val="0"/>
                  <w:marBottom w:val="0"/>
                  <w:divBdr>
                    <w:top w:val="none" w:sz="0" w:space="0" w:color="auto"/>
                    <w:left w:val="none" w:sz="0" w:space="0" w:color="auto"/>
                    <w:bottom w:val="none" w:sz="0" w:space="0" w:color="auto"/>
                    <w:right w:val="none" w:sz="0" w:space="0" w:color="auto"/>
                  </w:divBdr>
                </w:div>
                <w:div w:id="299073447">
                  <w:marLeft w:val="0"/>
                  <w:marRight w:val="0"/>
                  <w:marTop w:val="0"/>
                  <w:marBottom w:val="0"/>
                  <w:divBdr>
                    <w:top w:val="none" w:sz="0" w:space="0" w:color="auto"/>
                    <w:left w:val="none" w:sz="0" w:space="0" w:color="auto"/>
                    <w:bottom w:val="none" w:sz="0" w:space="0" w:color="auto"/>
                    <w:right w:val="none" w:sz="0" w:space="0" w:color="auto"/>
                  </w:divBdr>
                  <w:divsChild>
                    <w:div w:id="299073437">
                      <w:marLeft w:val="0"/>
                      <w:marRight w:val="0"/>
                      <w:marTop w:val="0"/>
                      <w:marBottom w:val="0"/>
                      <w:divBdr>
                        <w:top w:val="none" w:sz="0" w:space="0" w:color="auto"/>
                        <w:left w:val="none" w:sz="0" w:space="0" w:color="auto"/>
                        <w:bottom w:val="none" w:sz="0" w:space="0" w:color="auto"/>
                        <w:right w:val="none" w:sz="0" w:space="0" w:color="auto"/>
                      </w:divBdr>
                      <w:divsChild>
                        <w:div w:id="299073440">
                          <w:marLeft w:val="0"/>
                          <w:marRight w:val="0"/>
                          <w:marTop w:val="0"/>
                          <w:marBottom w:val="0"/>
                          <w:divBdr>
                            <w:top w:val="none" w:sz="0" w:space="0" w:color="auto"/>
                            <w:left w:val="none" w:sz="0" w:space="0" w:color="auto"/>
                            <w:bottom w:val="none" w:sz="0" w:space="0" w:color="auto"/>
                            <w:right w:val="none" w:sz="0" w:space="0" w:color="auto"/>
                          </w:divBdr>
                          <w:divsChild>
                            <w:div w:id="2990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48">
                  <w:marLeft w:val="0"/>
                  <w:marRight w:val="0"/>
                  <w:marTop w:val="0"/>
                  <w:marBottom w:val="0"/>
                  <w:divBdr>
                    <w:top w:val="none" w:sz="0" w:space="0" w:color="auto"/>
                    <w:left w:val="none" w:sz="0" w:space="0" w:color="auto"/>
                    <w:bottom w:val="none" w:sz="0" w:space="0" w:color="auto"/>
                    <w:right w:val="none" w:sz="0" w:space="0" w:color="auto"/>
                  </w:divBdr>
                  <w:divsChild>
                    <w:div w:id="299073451">
                      <w:marLeft w:val="0"/>
                      <w:marRight w:val="0"/>
                      <w:marTop w:val="0"/>
                      <w:marBottom w:val="0"/>
                      <w:divBdr>
                        <w:top w:val="none" w:sz="0" w:space="0" w:color="auto"/>
                        <w:left w:val="none" w:sz="0" w:space="0" w:color="auto"/>
                        <w:bottom w:val="none" w:sz="0" w:space="0" w:color="auto"/>
                        <w:right w:val="none" w:sz="0" w:space="0" w:color="auto"/>
                      </w:divBdr>
                      <w:divsChild>
                        <w:div w:id="299073435">
                          <w:marLeft w:val="0"/>
                          <w:marRight w:val="0"/>
                          <w:marTop w:val="0"/>
                          <w:marBottom w:val="0"/>
                          <w:divBdr>
                            <w:top w:val="none" w:sz="0" w:space="0" w:color="auto"/>
                            <w:left w:val="none" w:sz="0" w:space="0" w:color="auto"/>
                            <w:bottom w:val="none" w:sz="0" w:space="0" w:color="auto"/>
                            <w:right w:val="none" w:sz="0" w:space="0" w:color="auto"/>
                          </w:divBdr>
                          <w:divsChild>
                            <w:div w:id="2990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073465">
      <w:marLeft w:val="0"/>
      <w:marRight w:val="0"/>
      <w:marTop w:val="0"/>
      <w:marBottom w:val="0"/>
      <w:divBdr>
        <w:top w:val="none" w:sz="0" w:space="0" w:color="auto"/>
        <w:left w:val="none" w:sz="0" w:space="0" w:color="auto"/>
        <w:bottom w:val="none" w:sz="0" w:space="0" w:color="auto"/>
        <w:right w:val="none" w:sz="0" w:space="0" w:color="auto"/>
      </w:divBdr>
      <w:divsChild>
        <w:div w:id="299073524">
          <w:marLeft w:val="0"/>
          <w:marRight w:val="0"/>
          <w:marTop w:val="0"/>
          <w:marBottom w:val="0"/>
          <w:divBdr>
            <w:top w:val="none" w:sz="0" w:space="0" w:color="auto"/>
            <w:left w:val="none" w:sz="0" w:space="0" w:color="auto"/>
            <w:bottom w:val="none" w:sz="0" w:space="0" w:color="auto"/>
            <w:right w:val="none" w:sz="0" w:space="0" w:color="auto"/>
          </w:divBdr>
          <w:divsChild>
            <w:div w:id="299073554">
              <w:marLeft w:val="0"/>
              <w:marRight w:val="0"/>
              <w:marTop w:val="0"/>
              <w:marBottom w:val="0"/>
              <w:divBdr>
                <w:top w:val="none" w:sz="0" w:space="0" w:color="auto"/>
                <w:left w:val="none" w:sz="0" w:space="0" w:color="auto"/>
                <w:bottom w:val="none" w:sz="0" w:space="0" w:color="auto"/>
                <w:right w:val="none" w:sz="0" w:space="0" w:color="auto"/>
              </w:divBdr>
              <w:divsChild>
                <w:div w:id="2990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68">
      <w:marLeft w:val="0"/>
      <w:marRight w:val="0"/>
      <w:marTop w:val="0"/>
      <w:marBottom w:val="0"/>
      <w:divBdr>
        <w:top w:val="none" w:sz="0" w:space="0" w:color="auto"/>
        <w:left w:val="none" w:sz="0" w:space="0" w:color="auto"/>
        <w:bottom w:val="none" w:sz="0" w:space="0" w:color="auto"/>
        <w:right w:val="none" w:sz="0" w:space="0" w:color="auto"/>
      </w:divBdr>
      <w:divsChild>
        <w:div w:id="299073456">
          <w:marLeft w:val="0"/>
          <w:marRight w:val="0"/>
          <w:marTop w:val="0"/>
          <w:marBottom w:val="0"/>
          <w:divBdr>
            <w:top w:val="none" w:sz="0" w:space="0" w:color="auto"/>
            <w:left w:val="none" w:sz="0" w:space="0" w:color="auto"/>
            <w:bottom w:val="none" w:sz="0" w:space="0" w:color="auto"/>
            <w:right w:val="none" w:sz="0" w:space="0" w:color="auto"/>
          </w:divBdr>
          <w:divsChild>
            <w:div w:id="2990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472">
      <w:marLeft w:val="0"/>
      <w:marRight w:val="0"/>
      <w:marTop w:val="0"/>
      <w:marBottom w:val="0"/>
      <w:divBdr>
        <w:top w:val="none" w:sz="0" w:space="0" w:color="auto"/>
        <w:left w:val="none" w:sz="0" w:space="0" w:color="auto"/>
        <w:bottom w:val="none" w:sz="0" w:space="0" w:color="auto"/>
        <w:right w:val="none" w:sz="0" w:space="0" w:color="auto"/>
      </w:divBdr>
      <w:divsChild>
        <w:div w:id="299073586">
          <w:marLeft w:val="0"/>
          <w:marRight w:val="0"/>
          <w:marTop w:val="0"/>
          <w:marBottom w:val="0"/>
          <w:divBdr>
            <w:top w:val="none" w:sz="0" w:space="0" w:color="auto"/>
            <w:left w:val="none" w:sz="0" w:space="0" w:color="auto"/>
            <w:bottom w:val="none" w:sz="0" w:space="0" w:color="auto"/>
            <w:right w:val="none" w:sz="0" w:space="0" w:color="auto"/>
          </w:divBdr>
          <w:divsChild>
            <w:div w:id="299073515">
              <w:marLeft w:val="0"/>
              <w:marRight w:val="0"/>
              <w:marTop w:val="0"/>
              <w:marBottom w:val="0"/>
              <w:divBdr>
                <w:top w:val="none" w:sz="0" w:space="0" w:color="auto"/>
                <w:left w:val="none" w:sz="0" w:space="0" w:color="auto"/>
                <w:bottom w:val="none" w:sz="0" w:space="0" w:color="auto"/>
                <w:right w:val="none" w:sz="0" w:space="0" w:color="auto"/>
              </w:divBdr>
              <w:divsChild>
                <w:div w:id="299073463">
                  <w:marLeft w:val="0"/>
                  <w:marRight w:val="0"/>
                  <w:marTop w:val="0"/>
                  <w:marBottom w:val="0"/>
                  <w:divBdr>
                    <w:top w:val="none" w:sz="0" w:space="0" w:color="auto"/>
                    <w:left w:val="none" w:sz="0" w:space="0" w:color="auto"/>
                    <w:bottom w:val="none" w:sz="0" w:space="0" w:color="auto"/>
                    <w:right w:val="none" w:sz="0" w:space="0" w:color="auto"/>
                  </w:divBdr>
                </w:div>
                <w:div w:id="299073493">
                  <w:marLeft w:val="0"/>
                  <w:marRight w:val="0"/>
                  <w:marTop w:val="0"/>
                  <w:marBottom w:val="0"/>
                  <w:divBdr>
                    <w:top w:val="none" w:sz="0" w:space="0" w:color="auto"/>
                    <w:left w:val="none" w:sz="0" w:space="0" w:color="auto"/>
                    <w:bottom w:val="none" w:sz="0" w:space="0" w:color="auto"/>
                    <w:right w:val="none" w:sz="0" w:space="0" w:color="auto"/>
                  </w:divBdr>
                </w:div>
                <w:div w:id="2990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89">
      <w:marLeft w:val="0"/>
      <w:marRight w:val="0"/>
      <w:marTop w:val="0"/>
      <w:marBottom w:val="0"/>
      <w:divBdr>
        <w:top w:val="none" w:sz="0" w:space="0" w:color="auto"/>
        <w:left w:val="none" w:sz="0" w:space="0" w:color="auto"/>
        <w:bottom w:val="none" w:sz="0" w:space="0" w:color="auto"/>
        <w:right w:val="none" w:sz="0" w:space="0" w:color="auto"/>
      </w:divBdr>
      <w:divsChild>
        <w:div w:id="299073486">
          <w:marLeft w:val="0"/>
          <w:marRight w:val="0"/>
          <w:marTop w:val="0"/>
          <w:marBottom w:val="0"/>
          <w:divBdr>
            <w:top w:val="none" w:sz="0" w:space="0" w:color="auto"/>
            <w:left w:val="none" w:sz="0" w:space="0" w:color="auto"/>
            <w:bottom w:val="none" w:sz="0" w:space="0" w:color="auto"/>
            <w:right w:val="none" w:sz="0" w:space="0" w:color="auto"/>
          </w:divBdr>
          <w:divsChild>
            <w:div w:id="2990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496">
      <w:marLeft w:val="0"/>
      <w:marRight w:val="0"/>
      <w:marTop w:val="0"/>
      <w:marBottom w:val="0"/>
      <w:divBdr>
        <w:top w:val="none" w:sz="0" w:space="0" w:color="auto"/>
        <w:left w:val="none" w:sz="0" w:space="0" w:color="auto"/>
        <w:bottom w:val="none" w:sz="0" w:space="0" w:color="auto"/>
        <w:right w:val="none" w:sz="0" w:space="0" w:color="auto"/>
      </w:divBdr>
      <w:divsChild>
        <w:div w:id="299073542">
          <w:marLeft w:val="0"/>
          <w:marRight w:val="0"/>
          <w:marTop w:val="0"/>
          <w:marBottom w:val="0"/>
          <w:divBdr>
            <w:top w:val="none" w:sz="0" w:space="0" w:color="auto"/>
            <w:left w:val="none" w:sz="0" w:space="0" w:color="auto"/>
            <w:bottom w:val="none" w:sz="0" w:space="0" w:color="auto"/>
            <w:right w:val="none" w:sz="0" w:space="0" w:color="auto"/>
          </w:divBdr>
          <w:divsChild>
            <w:div w:id="299073455">
              <w:marLeft w:val="0"/>
              <w:marRight w:val="0"/>
              <w:marTop w:val="0"/>
              <w:marBottom w:val="0"/>
              <w:divBdr>
                <w:top w:val="none" w:sz="0" w:space="0" w:color="auto"/>
                <w:left w:val="none" w:sz="0" w:space="0" w:color="auto"/>
                <w:bottom w:val="none" w:sz="0" w:space="0" w:color="auto"/>
                <w:right w:val="none" w:sz="0" w:space="0" w:color="auto"/>
              </w:divBdr>
              <w:divsChild>
                <w:div w:id="299073500">
                  <w:marLeft w:val="0"/>
                  <w:marRight w:val="0"/>
                  <w:marTop w:val="0"/>
                  <w:marBottom w:val="0"/>
                  <w:divBdr>
                    <w:top w:val="none" w:sz="0" w:space="0" w:color="auto"/>
                    <w:left w:val="none" w:sz="0" w:space="0" w:color="auto"/>
                    <w:bottom w:val="none" w:sz="0" w:space="0" w:color="auto"/>
                    <w:right w:val="none" w:sz="0" w:space="0" w:color="auto"/>
                  </w:divBdr>
                </w:div>
                <w:div w:id="299073530">
                  <w:marLeft w:val="0"/>
                  <w:marRight w:val="0"/>
                  <w:marTop w:val="0"/>
                  <w:marBottom w:val="0"/>
                  <w:divBdr>
                    <w:top w:val="none" w:sz="0" w:space="0" w:color="auto"/>
                    <w:left w:val="none" w:sz="0" w:space="0" w:color="auto"/>
                    <w:bottom w:val="none" w:sz="0" w:space="0" w:color="auto"/>
                    <w:right w:val="none" w:sz="0" w:space="0" w:color="auto"/>
                  </w:divBdr>
                  <w:divsChild>
                    <w:div w:id="299073577">
                      <w:marLeft w:val="0"/>
                      <w:marRight w:val="0"/>
                      <w:marTop w:val="0"/>
                      <w:marBottom w:val="0"/>
                      <w:divBdr>
                        <w:top w:val="none" w:sz="0" w:space="0" w:color="auto"/>
                        <w:left w:val="none" w:sz="0" w:space="0" w:color="auto"/>
                        <w:bottom w:val="none" w:sz="0" w:space="0" w:color="auto"/>
                        <w:right w:val="none" w:sz="0" w:space="0" w:color="auto"/>
                      </w:divBdr>
                      <w:divsChild>
                        <w:div w:id="299073512">
                          <w:marLeft w:val="0"/>
                          <w:marRight w:val="0"/>
                          <w:marTop w:val="0"/>
                          <w:marBottom w:val="0"/>
                          <w:divBdr>
                            <w:top w:val="none" w:sz="0" w:space="0" w:color="auto"/>
                            <w:left w:val="none" w:sz="0" w:space="0" w:color="auto"/>
                            <w:bottom w:val="none" w:sz="0" w:space="0" w:color="auto"/>
                            <w:right w:val="none" w:sz="0" w:space="0" w:color="auto"/>
                          </w:divBdr>
                          <w:divsChild>
                            <w:div w:id="2990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536">
                  <w:marLeft w:val="0"/>
                  <w:marRight w:val="0"/>
                  <w:marTop w:val="0"/>
                  <w:marBottom w:val="0"/>
                  <w:divBdr>
                    <w:top w:val="none" w:sz="0" w:space="0" w:color="auto"/>
                    <w:left w:val="none" w:sz="0" w:space="0" w:color="auto"/>
                    <w:bottom w:val="none" w:sz="0" w:space="0" w:color="auto"/>
                    <w:right w:val="none" w:sz="0" w:space="0" w:color="auto"/>
                  </w:divBdr>
                </w:div>
                <w:div w:id="299073564">
                  <w:marLeft w:val="0"/>
                  <w:marRight w:val="0"/>
                  <w:marTop w:val="0"/>
                  <w:marBottom w:val="0"/>
                  <w:divBdr>
                    <w:top w:val="none" w:sz="0" w:space="0" w:color="auto"/>
                    <w:left w:val="none" w:sz="0" w:space="0" w:color="auto"/>
                    <w:bottom w:val="none" w:sz="0" w:space="0" w:color="auto"/>
                    <w:right w:val="none" w:sz="0" w:space="0" w:color="auto"/>
                  </w:divBdr>
                  <w:divsChild>
                    <w:div w:id="299073561">
                      <w:marLeft w:val="0"/>
                      <w:marRight w:val="0"/>
                      <w:marTop w:val="0"/>
                      <w:marBottom w:val="0"/>
                      <w:divBdr>
                        <w:top w:val="none" w:sz="0" w:space="0" w:color="auto"/>
                        <w:left w:val="none" w:sz="0" w:space="0" w:color="auto"/>
                        <w:bottom w:val="none" w:sz="0" w:space="0" w:color="auto"/>
                        <w:right w:val="none" w:sz="0" w:space="0" w:color="auto"/>
                      </w:divBdr>
                      <w:divsChild>
                        <w:div w:id="299073534">
                          <w:marLeft w:val="0"/>
                          <w:marRight w:val="0"/>
                          <w:marTop w:val="0"/>
                          <w:marBottom w:val="0"/>
                          <w:divBdr>
                            <w:top w:val="none" w:sz="0" w:space="0" w:color="auto"/>
                            <w:left w:val="none" w:sz="0" w:space="0" w:color="auto"/>
                            <w:bottom w:val="none" w:sz="0" w:space="0" w:color="auto"/>
                            <w:right w:val="none" w:sz="0" w:space="0" w:color="auto"/>
                          </w:divBdr>
                          <w:divsChild>
                            <w:div w:id="299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574">
                  <w:marLeft w:val="0"/>
                  <w:marRight w:val="0"/>
                  <w:marTop w:val="0"/>
                  <w:marBottom w:val="0"/>
                  <w:divBdr>
                    <w:top w:val="none" w:sz="0" w:space="0" w:color="auto"/>
                    <w:left w:val="none" w:sz="0" w:space="0" w:color="auto"/>
                    <w:bottom w:val="none" w:sz="0" w:space="0" w:color="auto"/>
                    <w:right w:val="none" w:sz="0" w:space="0" w:color="auto"/>
                  </w:divBdr>
                  <w:divsChild>
                    <w:div w:id="299073533">
                      <w:marLeft w:val="0"/>
                      <w:marRight w:val="0"/>
                      <w:marTop w:val="0"/>
                      <w:marBottom w:val="0"/>
                      <w:divBdr>
                        <w:top w:val="none" w:sz="0" w:space="0" w:color="auto"/>
                        <w:left w:val="none" w:sz="0" w:space="0" w:color="auto"/>
                        <w:bottom w:val="none" w:sz="0" w:space="0" w:color="auto"/>
                        <w:right w:val="none" w:sz="0" w:space="0" w:color="auto"/>
                      </w:divBdr>
                      <w:divsChild>
                        <w:div w:id="299073497">
                          <w:marLeft w:val="0"/>
                          <w:marRight w:val="0"/>
                          <w:marTop w:val="0"/>
                          <w:marBottom w:val="0"/>
                          <w:divBdr>
                            <w:top w:val="none" w:sz="0" w:space="0" w:color="auto"/>
                            <w:left w:val="none" w:sz="0" w:space="0" w:color="auto"/>
                            <w:bottom w:val="none" w:sz="0" w:space="0" w:color="auto"/>
                            <w:right w:val="none" w:sz="0" w:space="0" w:color="auto"/>
                          </w:divBdr>
                          <w:divsChild>
                            <w:div w:id="2990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073498">
      <w:marLeft w:val="0"/>
      <w:marRight w:val="0"/>
      <w:marTop w:val="0"/>
      <w:marBottom w:val="0"/>
      <w:divBdr>
        <w:top w:val="none" w:sz="0" w:space="0" w:color="auto"/>
        <w:left w:val="none" w:sz="0" w:space="0" w:color="auto"/>
        <w:bottom w:val="none" w:sz="0" w:space="0" w:color="auto"/>
        <w:right w:val="none" w:sz="0" w:space="0" w:color="auto"/>
      </w:divBdr>
      <w:divsChild>
        <w:div w:id="299073582">
          <w:marLeft w:val="0"/>
          <w:marRight w:val="0"/>
          <w:marTop w:val="0"/>
          <w:marBottom w:val="0"/>
          <w:divBdr>
            <w:top w:val="none" w:sz="0" w:space="0" w:color="auto"/>
            <w:left w:val="none" w:sz="0" w:space="0" w:color="auto"/>
            <w:bottom w:val="none" w:sz="0" w:space="0" w:color="auto"/>
            <w:right w:val="none" w:sz="0" w:space="0" w:color="auto"/>
          </w:divBdr>
          <w:divsChild>
            <w:div w:id="2990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506">
      <w:marLeft w:val="0"/>
      <w:marRight w:val="0"/>
      <w:marTop w:val="0"/>
      <w:marBottom w:val="0"/>
      <w:divBdr>
        <w:top w:val="none" w:sz="0" w:space="0" w:color="auto"/>
        <w:left w:val="none" w:sz="0" w:space="0" w:color="auto"/>
        <w:bottom w:val="none" w:sz="0" w:space="0" w:color="auto"/>
        <w:right w:val="none" w:sz="0" w:space="0" w:color="auto"/>
      </w:divBdr>
      <w:divsChild>
        <w:div w:id="299073505">
          <w:marLeft w:val="0"/>
          <w:marRight w:val="0"/>
          <w:marTop w:val="0"/>
          <w:marBottom w:val="0"/>
          <w:divBdr>
            <w:top w:val="none" w:sz="0" w:space="0" w:color="auto"/>
            <w:left w:val="none" w:sz="0" w:space="0" w:color="auto"/>
            <w:bottom w:val="none" w:sz="0" w:space="0" w:color="auto"/>
            <w:right w:val="none" w:sz="0" w:space="0" w:color="auto"/>
          </w:divBdr>
          <w:divsChild>
            <w:div w:id="299073529">
              <w:marLeft w:val="0"/>
              <w:marRight w:val="0"/>
              <w:marTop w:val="0"/>
              <w:marBottom w:val="0"/>
              <w:divBdr>
                <w:top w:val="none" w:sz="0" w:space="0" w:color="auto"/>
                <w:left w:val="none" w:sz="0" w:space="0" w:color="auto"/>
                <w:bottom w:val="none" w:sz="0" w:space="0" w:color="auto"/>
                <w:right w:val="none" w:sz="0" w:space="0" w:color="auto"/>
              </w:divBdr>
              <w:divsChild>
                <w:div w:id="299073487">
                  <w:marLeft w:val="0"/>
                  <w:marRight w:val="0"/>
                  <w:marTop w:val="0"/>
                  <w:marBottom w:val="0"/>
                  <w:divBdr>
                    <w:top w:val="none" w:sz="0" w:space="0" w:color="auto"/>
                    <w:left w:val="none" w:sz="0" w:space="0" w:color="auto"/>
                    <w:bottom w:val="none" w:sz="0" w:space="0" w:color="auto"/>
                    <w:right w:val="none" w:sz="0" w:space="0" w:color="auto"/>
                  </w:divBdr>
                </w:div>
                <w:div w:id="2990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514">
      <w:marLeft w:val="0"/>
      <w:marRight w:val="0"/>
      <w:marTop w:val="0"/>
      <w:marBottom w:val="0"/>
      <w:divBdr>
        <w:top w:val="none" w:sz="0" w:space="0" w:color="auto"/>
        <w:left w:val="none" w:sz="0" w:space="0" w:color="auto"/>
        <w:bottom w:val="none" w:sz="0" w:space="0" w:color="auto"/>
        <w:right w:val="none" w:sz="0" w:space="0" w:color="auto"/>
      </w:divBdr>
      <w:divsChild>
        <w:div w:id="299073557">
          <w:marLeft w:val="0"/>
          <w:marRight w:val="0"/>
          <w:marTop w:val="0"/>
          <w:marBottom w:val="0"/>
          <w:divBdr>
            <w:top w:val="none" w:sz="0" w:space="0" w:color="auto"/>
            <w:left w:val="none" w:sz="0" w:space="0" w:color="auto"/>
            <w:bottom w:val="none" w:sz="0" w:space="0" w:color="auto"/>
            <w:right w:val="none" w:sz="0" w:space="0" w:color="auto"/>
          </w:divBdr>
          <w:divsChild>
            <w:div w:id="299073473">
              <w:marLeft w:val="0"/>
              <w:marRight w:val="0"/>
              <w:marTop w:val="0"/>
              <w:marBottom w:val="0"/>
              <w:divBdr>
                <w:top w:val="none" w:sz="0" w:space="0" w:color="auto"/>
                <w:left w:val="none" w:sz="0" w:space="0" w:color="auto"/>
                <w:bottom w:val="none" w:sz="0" w:space="0" w:color="auto"/>
                <w:right w:val="none" w:sz="0" w:space="0" w:color="auto"/>
              </w:divBdr>
              <w:divsChild>
                <w:div w:id="29907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520">
      <w:marLeft w:val="0"/>
      <w:marRight w:val="0"/>
      <w:marTop w:val="0"/>
      <w:marBottom w:val="0"/>
      <w:divBdr>
        <w:top w:val="none" w:sz="0" w:space="0" w:color="auto"/>
        <w:left w:val="none" w:sz="0" w:space="0" w:color="auto"/>
        <w:bottom w:val="none" w:sz="0" w:space="0" w:color="auto"/>
        <w:right w:val="none" w:sz="0" w:space="0" w:color="auto"/>
      </w:divBdr>
      <w:divsChild>
        <w:div w:id="299073492">
          <w:marLeft w:val="0"/>
          <w:marRight w:val="0"/>
          <w:marTop w:val="0"/>
          <w:marBottom w:val="0"/>
          <w:divBdr>
            <w:top w:val="none" w:sz="0" w:space="0" w:color="auto"/>
            <w:left w:val="none" w:sz="0" w:space="0" w:color="auto"/>
            <w:bottom w:val="none" w:sz="0" w:space="0" w:color="auto"/>
            <w:right w:val="none" w:sz="0" w:space="0" w:color="auto"/>
          </w:divBdr>
        </w:div>
        <w:div w:id="299073527">
          <w:marLeft w:val="0"/>
          <w:marRight w:val="0"/>
          <w:marTop w:val="0"/>
          <w:marBottom w:val="0"/>
          <w:divBdr>
            <w:top w:val="none" w:sz="0" w:space="0" w:color="auto"/>
            <w:left w:val="none" w:sz="0" w:space="0" w:color="auto"/>
            <w:bottom w:val="none" w:sz="0" w:space="0" w:color="auto"/>
            <w:right w:val="none" w:sz="0" w:space="0" w:color="auto"/>
          </w:divBdr>
          <w:divsChild>
            <w:div w:id="299073481">
              <w:marLeft w:val="0"/>
              <w:marRight w:val="0"/>
              <w:marTop w:val="0"/>
              <w:marBottom w:val="0"/>
              <w:divBdr>
                <w:top w:val="none" w:sz="0" w:space="0" w:color="auto"/>
                <w:left w:val="none" w:sz="0" w:space="0" w:color="auto"/>
                <w:bottom w:val="none" w:sz="0" w:space="0" w:color="auto"/>
                <w:right w:val="none" w:sz="0" w:space="0" w:color="auto"/>
              </w:divBdr>
            </w:div>
            <w:div w:id="299073508">
              <w:marLeft w:val="0"/>
              <w:marRight w:val="0"/>
              <w:marTop w:val="0"/>
              <w:marBottom w:val="0"/>
              <w:divBdr>
                <w:top w:val="none" w:sz="0" w:space="0" w:color="auto"/>
                <w:left w:val="none" w:sz="0" w:space="0" w:color="auto"/>
                <w:bottom w:val="none" w:sz="0" w:space="0" w:color="auto"/>
                <w:right w:val="none" w:sz="0" w:space="0" w:color="auto"/>
              </w:divBdr>
              <w:divsChild>
                <w:div w:id="299073479">
                  <w:marLeft w:val="0"/>
                  <w:marRight w:val="0"/>
                  <w:marTop w:val="0"/>
                  <w:marBottom w:val="0"/>
                  <w:divBdr>
                    <w:top w:val="none" w:sz="0" w:space="0" w:color="auto"/>
                    <w:left w:val="none" w:sz="0" w:space="0" w:color="auto"/>
                    <w:bottom w:val="none" w:sz="0" w:space="0" w:color="auto"/>
                    <w:right w:val="none" w:sz="0" w:space="0" w:color="auto"/>
                  </w:divBdr>
                </w:div>
              </w:divsChild>
            </w:div>
            <w:div w:id="299073525">
              <w:marLeft w:val="0"/>
              <w:marRight w:val="0"/>
              <w:marTop w:val="0"/>
              <w:marBottom w:val="0"/>
              <w:divBdr>
                <w:top w:val="none" w:sz="0" w:space="0" w:color="auto"/>
                <w:left w:val="none" w:sz="0" w:space="0" w:color="auto"/>
                <w:bottom w:val="none" w:sz="0" w:space="0" w:color="auto"/>
                <w:right w:val="none" w:sz="0" w:space="0" w:color="auto"/>
              </w:divBdr>
              <w:divsChild>
                <w:div w:id="299073490">
                  <w:marLeft w:val="0"/>
                  <w:marRight w:val="0"/>
                  <w:marTop w:val="0"/>
                  <w:marBottom w:val="0"/>
                  <w:divBdr>
                    <w:top w:val="none" w:sz="0" w:space="0" w:color="auto"/>
                    <w:left w:val="none" w:sz="0" w:space="0" w:color="auto"/>
                    <w:bottom w:val="none" w:sz="0" w:space="0" w:color="auto"/>
                    <w:right w:val="none" w:sz="0" w:space="0" w:color="auto"/>
                  </w:divBdr>
                </w:div>
              </w:divsChild>
            </w:div>
            <w:div w:id="299073532">
              <w:marLeft w:val="0"/>
              <w:marRight w:val="0"/>
              <w:marTop w:val="0"/>
              <w:marBottom w:val="0"/>
              <w:divBdr>
                <w:top w:val="none" w:sz="0" w:space="0" w:color="auto"/>
                <w:left w:val="none" w:sz="0" w:space="0" w:color="auto"/>
                <w:bottom w:val="none" w:sz="0" w:space="0" w:color="auto"/>
                <w:right w:val="none" w:sz="0" w:space="0" w:color="auto"/>
              </w:divBdr>
              <w:divsChild>
                <w:div w:id="299073459">
                  <w:marLeft w:val="0"/>
                  <w:marRight w:val="0"/>
                  <w:marTop w:val="0"/>
                  <w:marBottom w:val="0"/>
                  <w:divBdr>
                    <w:top w:val="none" w:sz="0" w:space="0" w:color="auto"/>
                    <w:left w:val="none" w:sz="0" w:space="0" w:color="auto"/>
                    <w:bottom w:val="none" w:sz="0" w:space="0" w:color="auto"/>
                    <w:right w:val="none" w:sz="0" w:space="0" w:color="auto"/>
                  </w:divBdr>
                </w:div>
              </w:divsChild>
            </w:div>
            <w:div w:id="299073585">
              <w:marLeft w:val="0"/>
              <w:marRight w:val="0"/>
              <w:marTop w:val="0"/>
              <w:marBottom w:val="0"/>
              <w:divBdr>
                <w:top w:val="none" w:sz="0" w:space="0" w:color="auto"/>
                <w:left w:val="none" w:sz="0" w:space="0" w:color="auto"/>
                <w:bottom w:val="none" w:sz="0" w:space="0" w:color="auto"/>
                <w:right w:val="none" w:sz="0" w:space="0" w:color="auto"/>
              </w:divBdr>
              <w:divsChild>
                <w:div w:id="2990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541">
          <w:marLeft w:val="0"/>
          <w:marRight w:val="0"/>
          <w:marTop w:val="0"/>
          <w:marBottom w:val="0"/>
          <w:divBdr>
            <w:top w:val="none" w:sz="0" w:space="0" w:color="auto"/>
            <w:left w:val="none" w:sz="0" w:space="0" w:color="auto"/>
            <w:bottom w:val="none" w:sz="0" w:space="0" w:color="auto"/>
            <w:right w:val="none" w:sz="0" w:space="0" w:color="auto"/>
          </w:divBdr>
          <w:divsChild>
            <w:div w:id="299073517">
              <w:marLeft w:val="0"/>
              <w:marRight w:val="0"/>
              <w:marTop w:val="0"/>
              <w:marBottom w:val="0"/>
              <w:divBdr>
                <w:top w:val="none" w:sz="0" w:space="0" w:color="auto"/>
                <w:left w:val="none" w:sz="0" w:space="0" w:color="auto"/>
                <w:bottom w:val="none" w:sz="0" w:space="0" w:color="auto"/>
                <w:right w:val="none" w:sz="0" w:space="0" w:color="auto"/>
              </w:divBdr>
              <w:divsChild>
                <w:div w:id="299073461">
                  <w:marLeft w:val="0"/>
                  <w:marRight w:val="0"/>
                  <w:marTop w:val="0"/>
                  <w:marBottom w:val="0"/>
                  <w:divBdr>
                    <w:top w:val="none" w:sz="0" w:space="0" w:color="auto"/>
                    <w:left w:val="none" w:sz="0" w:space="0" w:color="auto"/>
                    <w:bottom w:val="none" w:sz="0" w:space="0" w:color="auto"/>
                    <w:right w:val="none" w:sz="0" w:space="0" w:color="auto"/>
                  </w:divBdr>
                </w:div>
                <w:div w:id="299073471">
                  <w:marLeft w:val="0"/>
                  <w:marRight w:val="0"/>
                  <w:marTop w:val="0"/>
                  <w:marBottom w:val="0"/>
                  <w:divBdr>
                    <w:top w:val="none" w:sz="0" w:space="0" w:color="auto"/>
                    <w:left w:val="none" w:sz="0" w:space="0" w:color="auto"/>
                    <w:bottom w:val="none" w:sz="0" w:space="0" w:color="auto"/>
                    <w:right w:val="none" w:sz="0" w:space="0" w:color="auto"/>
                  </w:divBdr>
                </w:div>
                <w:div w:id="299073575">
                  <w:marLeft w:val="0"/>
                  <w:marRight w:val="0"/>
                  <w:marTop w:val="0"/>
                  <w:marBottom w:val="0"/>
                  <w:divBdr>
                    <w:top w:val="none" w:sz="0" w:space="0" w:color="auto"/>
                    <w:left w:val="none" w:sz="0" w:space="0" w:color="auto"/>
                    <w:bottom w:val="none" w:sz="0" w:space="0" w:color="auto"/>
                    <w:right w:val="none" w:sz="0" w:space="0" w:color="auto"/>
                  </w:divBdr>
                  <w:divsChild>
                    <w:div w:id="2990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531">
              <w:marLeft w:val="0"/>
              <w:marRight w:val="0"/>
              <w:marTop w:val="0"/>
              <w:marBottom w:val="0"/>
              <w:divBdr>
                <w:top w:val="none" w:sz="0" w:space="0" w:color="auto"/>
                <w:left w:val="none" w:sz="0" w:space="0" w:color="auto"/>
                <w:bottom w:val="none" w:sz="0" w:space="0" w:color="auto"/>
                <w:right w:val="none" w:sz="0" w:space="0" w:color="auto"/>
              </w:divBdr>
            </w:div>
            <w:div w:id="299073559">
              <w:marLeft w:val="0"/>
              <w:marRight w:val="0"/>
              <w:marTop w:val="0"/>
              <w:marBottom w:val="0"/>
              <w:divBdr>
                <w:top w:val="none" w:sz="0" w:space="0" w:color="auto"/>
                <w:left w:val="none" w:sz="0" w:space="0" w:color="auto"/>
                <w:bottom w:val="none" w:sz="0" w:space="0" w:color="auto"/>
                <w:right w:val="none" w:sz="0" w:space="0" w:color="auto"/>
              </w:divBdr>
              <w:divsChild>
                <w:div w:id="299073504">
                  <w:marLeft w:val="0"/>
                  <w:marRight w:val="0"/>
                  <w:marTop w:val="0"/>
                  <w:marBottom w:val="0"/>
                  <w:divBdr>
                    <w:top w:val="none" w:sz="0" w:space="0" w:color="auto"/>
                    <w:left w:val="none" w:sz="0" w:space="0" w:color="auto"/>
                    <w:bottom w:val="none" w:sz="0" w:space="0" w:color="auto"/>
                    <w:right w:val="none" w:sz="0" w:space="0" w:color="auto"/>
                  </w:divBdr>
                </w:div>
                <w:div w:id="2990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544">
          <w:marLeft w:val="0"/>
          <w:marRight w:val="0"/>
          <w:marTop w:val="0"/>
          <w:marBottom w:val="0"/>
          <w:divBdr>
            <w:top w:val="none" w:sz="0" w:space="0" w:color="auto"/>
            <w:left w:val="none" w:sz="0" w:space="0" w:color="auto"/>
            <w:bottom w:val="none" w:sz="0" w:space="0" w:color="auto"/>
            <w:right w:val="none" w:sz="0" w:space="0" w:color="auto"/>
          </w:divBdr>
          <w:divsChild>
            <w:div w:id="299073499">
              <w:marLeft w:val="0"/>
              <w:marRight w:val="0"/>
              <w:marTop w:val="0"/>
              <w:marBottom w:val="0"/>
              <w:divBdr>
                <w:top w:val="none" w:sz="0" w:space="0" w:color="auto"/>
                <w:left w:val="none" w:sz="0" w:space="0" w:color="auto"/>
                <w:bottom w:val="none" w:sz="0" w:space="0" w:color="auto"/>
                <w:right w:val="none" w:sz="0" w:space="0" w:color="auto"/>
              </w:divBdr>
              <w:divsChild>
                <w:div w:id="299073457">
                  <w:marLeft w:val="0"/>
                  <w:marRight w:val="0"/>
                  <w:marTop w:val="0"/>
                  <w:marBottom w:val="0"/>
                  <w:divBdr>
                    <w:top w:val="none" w:sz="0" w:space="0" w:color="auto"/>
                    <w:left w:val="none" w:sz="0" w:space="0" w:color="auto"/>
                    <w:bottom w:val="none" w:sz="0" w:space="0" w:color="auto"/>
                    <w:right w:val="none" w:sz="0" w:space="0" w:color="auto"/>
                  </w:divBdr>
                </w:div>
                <w:div w:id="299073458">
                  <w:marLeft w:val="0"/>
                  <w:marRight w:val="0"/>
                  <w:marTop w:val="0"/>
                  <w:marBottom w:val="0"/>
                  <w:divBdr>
                    <w:top w:val="none" w:sz="0" w:space="0" w:color="auto"/>
                    <w:left w:val="none" w:sz="0" w:space="0" w:color="auto"/>
                    <w:bottom w:val="none" w:sz="0" w:space="0" w:color="auto"/>
                    <w:right w:val="none" w:sz="0" w:space="0" w:color="auto"/>
                  </w:divBdr>
                  <w:divsChild>
                    <w:div w:id="299073573">
                      <w:marLeft w:val="0"/>
                      <w:marRight w:val="0"/>
                      <w:marTop w:val="0"/>
                      <w:marBottom w:val="0"/>
                      <w:divBdr>
                        <w:top w:val="none" w:sz="0" w:space="0" w:color="auto"/>
                        <w:left w:val="none" w:sz="0" w:space="0" w:color="auto"/>
                        <w:bottom w:val="none" w:sz="0" w:space="0" w:color="auto"/>
                        <w:right w:val="none" w:sz="0" w:space="0" w:color="auto"/>
                      </w:divBdr>
                    </w:div>
                  </w:divsChild>
                </w:div>
                <w:div w:id="299073462">
                  <w:marLeft w:val="0"/>
                  <w:marRight w:val="0"/>
                  <w:marTop w:val="0"/>
                  <w:marBottom w:val="0"/>
                  <w:divBdr>
                    <w:top w:val="none" w:sz="0" w:space="0" w:color="auto"/>
                    <w:left w:val="none" w:sz="0" w:space="0" w:color="auto"/>
                    <w:bottom w:val="none" w:sz="0" w:space="0" w:color="auto"/>
                    <w:right w:val="none" w:sz="0" w:space="0" w:color="auto"/>
                  </w:divBdr>
                  <w:divsChild>
                    <w:div w:id="299073460">
                      <w:marLeft w:val="0"/>
                      <w:marRight w:val="0"/>
                      <w:marTop w:val="0"/>
                      <w:marBottom w:val="0"/>
                      <w:divBdr>
                        <w:top w:val="none" w:sz="0" w:space="0" w:color="auto"/>
                        <w:left w:val="none" w:sz="0" w:space="0" w:color="auto"/>
                        <w:bottom w:val="none" w:sz="0" w:space="0" w:color="auto"/>
                        <w:right w:val="none" w:sz="0" w:space="0" w:color="auto"/>
                      </w:divBdr>
                    </w:div>
                  </w:divsChild>
                </w:div>
                <w:div w:id="299073466">
                  <w:marLeft w:val="0"/>
                  <w:marRight w:val="0"/>
                  <w:marTop w:val="0"/>
                  <w:marBottom w:val="0"/>
                  <w:divBdr>
                    <w:top w:val="none" w:sz="0" w:space="0" w:color="auto"/>
                    <w:left w:val="none" w:sz="0" w:space="0" w:color="auto"/>
                    <w:bottom w:val="none" w:sz="0" w:space="0" w:color="auto"/>
                    <w:right w:val="none" w:sz="0" w:space="0" w:color="auto"/>
                  </w:divBdr>
                </w:div>
                <w:div w:id="299073467">
                  <w:marLeft w:val="0"/>
                  <w:marRight w:val="0"/>
                  <w:marTop w:val="0"/>
                  <w:marBottom w:val="0"/>
                  <w:divBdr>
                    <w:top w:val="none" w:sz="0" w:space="0" w:color="auto"/>
                    <w:left w:val="none" w:sz="0" w:space="0" w:color="auto"/>
                    <w:bottom w:val="none" w:sz="0" w:space="0" w:color="auto"/>
                    <w:right w:val="none" w:sz="0" w:space="0" w:color="auto"/>
                  </w:divBdr>
                </w:div>
                <w:div w:id="299073469">
                  <w:marLeft w:val="0"/>
                  <w:marRight w:val="0"/>
                  <w:marTop w:val="0"/>
                  <w:marBottom w:val="0"/>
                  <w:divBdr>
                    <w:top w:val="none" w:sz="0" w:space="0" w:color="auto"/>
                    <w:left w:val="none" w:sz="0" w:space="0" w:color="auto"/>
                    <w:bottom w:val="none" w:sz="0" w:space="0" w:color="auto"/>
                    <w:right w:val="none" w:sz="0" w:space="0" w:color="auto"/>
                  </w:divBdr>
                  <w:divsChild>
                    <w:div w:id="299073584">
                      <w:marLeft w:val="0"/>
                      <w:marRight w:val="0"/>
                      <w:marTop w:val="0"/>
                      <w:marBottom w:val="0"/>
                      <w:divBdr>
                        <w:top w:val="none" w:sz="0" w:space="0" w:color="auto"/>
                        <w:left w:val="none" w:sz="0" w:space="0" w:color="auto"/>
                        <w:bottom w:val="none" w:sz="0" w:space="0" w:color="auto"/>
                        <w:right w:val="none" w:sz="0" w:space="0" w:color="auto"/>
                      </w:divBdr>
                    </w:div>
                  </w:divsChild>
                </w:div>
                <w:div w:id="299073470">
                  <w:marLeft w:val="0"/>
                  <w:marRight w:val="0"/>
                  <w:marTop w:val="0"/>
                  <w:marBottom w:val="0"/>
                  <w:divBdr>
                    <w:top w:val="none" w:sz="0" w:space="0" w:color="auto"/>
                    <w:left w:val="none" w:sz="0" w:space="0" w:color="auto"/>
                    <w:bottom w:val="none" w:sz="0" w:space="0" w:color="auto"/>
                    <w:right w:val="none" w:sz="0" w:space="0" w:color="auto"/>
                  </w:divBdr>
                </w:div>
                <w:div w:id="299073474">
                  <w:marLeft w:val="0"/>
                  <w:marRight w:val="0"/>
                  <w:marTop w:val="0"/>
                  <w:marBottom w:val="0"/>
                  <w:divBdr>
                    <w:top w:val="none" w:sz="0" w:space="0" w:color="auto"/>
                    <w:left w:val="none" w:sz="0" w:space="0" w:color="auto"/>
                    <w:bottom w:val="none" w:sz="0" w:space="0" w:color="auto"/>
                    <w:right w:val="none" w:sz="0" w:space="0" w:color="auto"/>
                  </w:divBdr>
                  <w:divsChild>
                    <w:div w:id="299073543">
                      <w:marLeft w:val="0"/>
                      <w:marRight w:val="0"/>
                      <w:marTop w:val="0"/>
                      <w:marBottom w:val="0"/>
                      <w:divBdr>
                        <w:top w:val="none" w:sz="0" w:space="0" w:color="auto"/>
                        <w:left w:val="none" w:sz="0" w:space="0" w:color="auto"/>
                        <w:bottom w:val="none" w:sz="0" w:space="0" w:color="auto"/>
                        <w:right w:val="none" w:sz="0" w:space="0" w:color="auto"/>
                      </w:divBdr>
                      <w:divsChild>
                        <w:div w:id="299073494">
                          <w:marLeft w:val="0"/>
                          <w:marRight w:val="0"/>
                          <w:marTop w:val="0"/>
                          <w:marBottom w:val="0"/>
                          <w:divBdr>
                            <w:top w:val="none" w:sz="0" w:space="0" w:color="auto"/>
                            <w:left w:val="none" w:sz="0" w:space="0" w:color="auto"/>
                            <w:bottom w:val="none" w:sz="0" w:space="0" w:color="auto"/>
                            <w:right w:val="none" w:sz="0" w:space="0" w:color="auto"/>
                          </w:divBdr>
                          <w:divsChild>
                            <w:div w:id="2990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476">
                  <w:marLeft w:val="0"/>
                  <w:marRight w:val="0"/>
                  <w:marTop w:val="0"/>
                  <w:marBottom w:val="0"/>
                  <w:divBdr>
                    <w:top w:val="none" w:sz="0" w:space="0" w:color="auto"/>
                    <w:left w:val="none" w:sz="0" w:space="0" w:color="auto"/>
                    <w:bottom w:val="none" w:sz="0" w:space="0" w:color="auto"/>
                    <w:right w:val="none" w:sz="0" w:space="0" w:color="auto"/>
                  </w:divBdr>
                  <w:divsChild>
                    <w:div w:id="299073488">
                      <w:marLeft w:val="0"/>
                      <w:marRight w:val="0"/>
                      <w:marTop w:val="0"/>
                      <w:marBottom w:val="0"/>
                      <w:divBdr>
                        <w:top w:val="none" w:sz="0" w:space="0" w:color="auto"/>
                        <w:left w:val="none" w:sz="0" w:space="0" w:color="auto"/>
                        <w:bottom w:val="none" w:sz="0" w:space="0" w:color="auto"/>
                        <w:right w:val="none" w:sz="0" w:space="0" w:color="auto"/>
                      </w:divBdr>
                    </w:div>
                  </w:divsChild>
                </w:div>
                <w:div w:id="299073478">
                  <w:marLeft w:val="0"/>
                  <w:marRight w:val="0"/>
                  <w:marTop w:val="0"/>
                  <w:marBottom w:val="0"/>
                  <w:divBdr>
                    <w:top w:val="none" w:sz="0" w:space="0" w:color="auto"/>
                    <w:left w:val="none" w:sz="0" w:space="0" w:color="auto"/>
                    <w:bottom w:val="none" w:sz="0" w:space="0" w:color="auto"/>
                    <w:right w:val="none" w:sz="0" w:space="0" w:color="auto"/>
                  </w:divBdr>
                </w:div>
                <w:div w:id="299073480">
                  <w:marLeft w:val="0"/>
                  <w:marRight w:val="0"/>
                  <w:marTop w:val="0"/>
                  <w:marBottom w:val="0"/>
                  <w:divBdr>
                    <w:top w:val="none" w:sz="0" w:space="0" w:color="auto"/>
                    <w:left w:val="none" w:sz="0" w:space="0" w:color="auto"/>
                    <w:bottom w:val="none" w:sz="0" w:space="0" w:color="auto"/>
                    <w:right w:val="none" w:sz="0" w:space="0" w:color="auto"/>
                  </w:divBdr>
                </w:div>
                <w:div w:id="299073485">
                  <w:marLeft w:val="0"/>
                  <w:marRight w:val="0"/>
                  <w:marTop w:val="0"/>
                  <w:marBottom w:val="0"/>
                  <w:divBdr>
                    <w:top w:val="none" w:sz="0" w:space="0" w:color="auto"/>
                    <w:left w:val="none" w:sz="0" w:space="0" w:color="auto"/>
                    <w:bottom w:val="none" w:sz="0" w:space="0" w:color="auto"/>
                    <w:right w:val="none" w:sz="0" w:space="0" w:color="auto"/>
                  </w:divBdr>
                </w:div>
                <w:div w:id="299073495">
                  <w:marLeft w:val="0"/>
                  <w:marRight w:val="0"/>
                  <w:marTop w:val="0"/>
                  <w:marBottom w:val="0"/>
                  <w:divBdr>
                    <w:top w:val="none" w:sz="0" w:space="0" w:color="auto"/>
                    <w:left w:val="none" w:sz="0" w:space="0" w:color="auto"/>
                    <w:bottom w:val="none" w:sz="0" w:space="0" w:color="auto"/>
                    <w:right w:val="none" w:sz="0" w:space="0" w:color="auto"/>
                  </w:divBdr>
                  <w:divsChild>
                    <w:div w:id="299073580">
                      <w:marLeft w:val="0"/>
                      <w:marRight w:val="0"/>
                      <w:marTop w:val="0"/>
                      <w:marBottom w:val="0"/>
                      <w:divBdr>
                        <w:top w:val="none" w:sz="0" w:space="0" w:color="auto"/>
                        <w:left w:val="none" w:sz="0" w:space="0" w:color="auto"/>
                        <w:bottom w:val="none" w:sz="0" w:space="0" w:color="auto"/>
                        <w:right w:val="none" w:sz="0" w:space="0" w:color="auto"/>
                      </w:divBdr>
                    </w:div>
                  </w:divsChild>
                </w:div>
                <w:div w:id="299073502">
                  <w:marLeft w:val="0"/>
                  <w:marRight w:val="0"/>
                  <w:marTop w:val="0"/>
                  <w:marBottom w:val="0"/>
                  <w:divBdr>
                    <w:top w:val="none" w:sz="0" w:space="0" w:color="auto"/>
                    <w:left w:val="none" w:sz="0" w:space="0" w:color="auto"/>
                    <w:bottom w:val="none" w:sz="0" w:space="0" w:color="auto"/>
                    <w:right w:val="none" w:sz="0" w:space="0" w:color="auto"/>
                  </w:divBdr>
                </w:div>
                <w:div w:id="299073507">
                  <w:marLeft w:val="0"/>
                  <w:marRight w:val="0"/>
                  <w:marTop w:val="0"/>
                  <w:marBottom w:val="0"/>
                  <w:divBdr>
                    <w:top w:val="none" w:sz="0" w:space="0" w:color="auto"/>
                    <w:left w:val="none" w:sz="0" w:space="0" w:color="auto"/>
                    <w:bottom w:val="none" w:sz="0" w:space="0" w:color="auto"/>
                    <w:right w:val="none" w:sz="0" w:space="0" w:color="auto"/>
                  </w:divBdr>
                  <w:divsChild>
                    <w:div w:id="299073537">
                      <w:marLeft w:val="0"/>
                      <w:marRight w:val="0"/>
                      <w:marTop w:val="0"/>
                      <w:marBottom w:val="0"/>
                      <w:divBdr>
                        <w:top w:val="none" w:sz="0" w:space="0" w:color="auto"/>
                        <w:left w:val="none" w:sz="0" w:space="0" w:color="auto"/>
                        <w:bottom w:val="none" w:sz="0" w:space="0" w:color="auto"/>
                        <w:right w:val="none" w:sz="0" w:space="0" w:color="auto"/>
                      </w:divBdr>
                    </w:div>
                  </w:divsChild>
                </w:div>
                <w:div w:id="299073519">
                  <w:marLeft w:val="0"/>
                  <w:marRight w:val="0"/>
                  <w:marTop w:val="0"/>
                  <w:marBottom w:val="0"/>
                  <w:divBdr>
                    <w:top w:val="none" w:sz="0" w:space="0" w:color="auto"/>
                    <w:left w:val="none" w:sz="0" w:space="0" w:color="auto"/>
                    <w:bottom w:val="none" w:sz="0" w:space="0" w:color="auto"/>
                    <w:right w:val="none" w:sz="0" w:space="0" w:color="auto"/>
                  </w:divBdr>
                </w:div>
                <w:div w:id="299073521">
                  <w:marLeft w:val="0"/>
                  <w:marRight w:val="0"/>
                  <w:marTop w:val="0"/>
                  <w:marBottom w:val="0"/>
                  <w:divBdr>
                    <w:top w:val="none" w:sz="0" w:space="0" w:color="auto"/>
                    <w:left w:val="none" w:sz="0" w:space="0" w:color="auto"/>
                    <w:bottom w:val="none" w:sz="0" w:space="0" w:color="auto"/>
                    <w:right w:val="none" w:sz="0" w:space="0" w:color="auto"/>
                  </w:divBdr>
                  <w:divsChild>
                    <w:div w:id="299073464">
                      <w:marLeft w:val="0"/>
                      <w:marRight w:val="0"/>
                      <w:marTop w:val="0"/>
                      <w:marBottom w:val="0"/>
                      <w:divBdr>
                        <w:top w:val="none" w:sz="0" w:space="0" w:color="auto"/>
                        <w:left w:val="none" w:sz="0" w:space="0" w:color="auto"/>
                        <w:bottom w:val="none" w:sz="0" w:space="0" w:color="auto"/>
                        <w:right w:val="none" w:sz="0" w:space="0" w:color="auto"/>
                      </w:divBdr>
                    </w:div>
                    <w:div w:id="299073503">
                      <w:marLeft w:val="0"/>
                      <w:marRight w:val="0"/>
                      <w:marTop w:val="0"/>
                      <w:marBottom w:val="0"/>
                      <w:divBdr>
                        <w:top w:val="none" w:sz="0" w:space="0" w:color="auto"/>
                        <w:left w:val="none" w:sz="0" w:space="0" w:color="auto"/>
                        <w:bottom w:val="none" w:sz="0" w:space="0" w:color="auto"/>
                        <w:right w:val="none" w:sz="0" w:space="0" w:color="auto"/>
                      </w:divBdr>
                    </w:div>
                  </w:divsChild>
                </w:div>
                <w:div w:id="299073523">
                  <w:marLeft w:val="0"/>
                  <w:marRight w:val="0"/>
                  <w:marTop w:val="0"/>
                  <w:marBottom w:val="0"/>
                  <w:divBdr>
                    <w:top w:val="none" w:sz="0" w:space="0" w:color="auto"/>
                    <w:left w:val="none" w:sz="0" w:space="0" w:color="auto"/>
                    <w:bottom w:val="none" w:sz="0" w:space="0" w:color="auto"/>
                    <w:right w:val="none" w:sz="0" w:space="0" w:color="auto"/>
                  </w:divBdr>
                </w:div>
                <w:div w:id="299073526">
                  <w:marLeft w:val="0"/>
                  <w:marRight w:val="0"/>
                  <w:marTop w:val="0"/>
                  <w:marBottom w:val="0"/>
                  <w:divBdr>
                    <w:top w:val="none" w:sz="0" w:space="0" w:color="auto"/>
                    <w:left w:val="none" w:sz="0" w:space="0" w:color="auto"/>
                    <w:bottom w:val="none" w:sz="0" w:space="0" w:color="auto"/>
                    <w:right w:val="none" w:sz="0" w:space="0" w:color="auto"/>
                  </w:divBdr>
                </w:div>
                <w:div w:id="299073528">
                  <w:marLeft w:val="0"/>
                  <w:marRight w:val="0"/>
                  <w:marTop w:val="0"/>
                  <w:marBottom w:val="0"/>
                  <w:divBdr>
                    <w:top w:val="none" w:sz="0" w:space="0" w:color="auto"/>
                    <w:left w:val="none" w:sz="0" w:space="0" w:color="auto"/>
                    <w:bottom w:val="none" w:sz="0" w:space="0" w:color="auto"/>
                    <w:right w:val="none" w:sz="0" w:space="0" w:color="auto"/>
                  </w:divBdr>
                  <w:divsChild>
                    <w:div w:id="299073522">
                      <w:marLeft w:val="0"/>
                      <w:marRight w:val="0"/>
                      <w:marTop w:val="0"/>
                      <w:marBottom w:val="0"/>
                      <w:divBdr>
                        <w:top w:val="none" w:sz="0" w:space="0" w:color="auto"/>
                        <w:left w:val="none" w:sz="0" w:space="0" w:color="auto"/>
                        <w:bottom w:val="none" w:sz="0" w:space="0" w:color="auto"/>
                        <w:right w:val="none" w:sz="0" w:space="0" w:color="auto"/>
                      </w:divBdr>
                    </w:div>
                  </w:divsChild>
                </w:div>
                <w:div w:id="299073545">
                  <w:marLeft w:val="0"/>
                  <w:marRight w:val="0"/>
                  <w:marTop w:val="0"/>
                  <w:marBottom w:val="0"/>
                  <w:divBdr>
                    <w:top w:val="none" w:sz="0" w:space="0" w:color="auto"/>
                    <w:left w:val="none" w:sz="0" w:space="0" w:color="auto"/>
                    <w:bottom w:val="none" w:sz="0" w:space="0" w:color="auto"/>
                    <w:right w:val="none" w:sz="0" w:space="0" w:color="auto"/>
                  </w:divBdr>
                  <w:divsChild>
                    <w:div w:id="299073576">
                      <w:marLeft w:val="0"/>
                      <w:marRight w:val="0"/>
                      <w:marTop w:val="0"/>
                      <w:marBottom w:val="0"/>
                      <w:divBdr>
                        <w:top w:val="none" w:sz="0" w:space="0" w:color="auto"/>
                        <w:left w:val="none" w:sz="0" w:space="0" w:color="auto"/>
                        <w:bottom w:val="none" w:sz="0" w:space="0" w:color="auto"/>
                        <w:right w:val="none" w:sz="0" w:space="0" w:color="auto"/>
                      </w:divBdr>
                    </w:div>
                  </w:divsChild>
                </w:div>
                <w:div w:id="299073548">
                  <w:marLeft w:val="0"/>
                  <w:marRight w:val="0"/>
                  <w:marTop w:val="0"/>
                  <w:marBottom w:val="0"/>
                  <w:divBdr>
                    <w:top w:val="none" w:sz="0" w:space="0" w:color="auto"/>
                    <w:left w:val="none" w:sz="0" w:space="0" w:color="auto"/>
                    <w:bottom w:val="none" w:sz="0" w:space="0" w:color="auto"/>
                    <w:right w:val="none" w:sz="0" w:space="0" w:color="auto"/>
                  </w:divBdr>
                </w:div>
                <w:div w:id="299073552">
                  <w:marLeft w:val="0"/>
                  <w:marRight w:val="0"/>
                  <w:marTop w:val="0"/>
                  <w:marBottom w:val="0"/>
                  <w:divBdr>
                    <w:top w:val="none" w:sz="0" w:space="0" w:color="auto"/>
                    <w:left w:val="none" w:sz="0" w:space="0" w:color="auto"/>
                    <w:bottom w:val="none" w:sz="0" w:space="0" w:color="auto"/>
                    <w:right w:val="none" w:sz="0" w:space="0" w:color="auto"/>
                  </w:divBdr>
                </w:div>
                <w:div w:id="299073558">
                  <w:marLeft w:val="0"/>
                  <w:marRight w:val="0"/>
                  <w:marTop w:val="0"/>
                  <w:marBottom w:val="0"/>
                  <w:divBdr>
                    <w:top w:val="none" w:sz="0" w:space="0" w:color="auto"/>
                    <w:left w:val="none" w:sz="0" w:space="0" w:color="auto"/>
                    <w:bottom w:val="none" w:sz="0" w:space="0" w:color="auto"/>
                    <w:right w:val="none" w:sz="0" w:space="0" w:color="auto"/>
                  </w:divBdr>
                  <w:divsChild>
                    <w:div w:id="299073509">
                      <w:marLeft w:val="0"/>
                      <w:marRight w:val="0"/>
                      <w:marTop w:val="0"/>
                      <w:marBottom w:val="0"/>
                      <w:divBdr>
                        <w:top w:val="none" w:sz="0" w:space="0" w:color="auto"/>
                        <w:left w:val="none" w:sz="0" w:space="0" w:color="auto"/>
                        <w:bottom w:val="none" w:sz="0" w:space="0" w:color="auto"/>
                        <w:right w:val="none" w:sz="0" w:space="0" w:color="auto"/>
                      </w:divBdr>
                    </w:div>
                  </w:divsChild>
                </w:div>
                <w:div w:id="299073563">
                  <w:marLeft w:val="0"/>
                  <w:marRight w:val="0"/>
                  <w:marTop w:val="0"/>
                  <w:marBottom w:val="0"/>
                  <w:divBdr>
                    <w:top w:val="none" w:sz="0" w:space="0" w:color="auto"/>
                    <w:left w:val="none" w:sz="0" w:space="0" w:color="auto"/>
                    <w:bottom w:val="none" w:sz="0" w:space="0" w:color="auto"/>
                    <w:right w:val="none" w:sz="0" w:space="0" w:color="auto"/>
                  </w:divBdr>
                  <w:divsChild>
                    <w:div w:id="299073562">
                      <w:marLeft w:val="0"/>
                      <w:marRight w:val="0"/>
                      <w:marTop w:val="0"/>
                      <w:marBottom w:val="0"/>
                      <w:divBdr>
                        <w:top w:val="none" w:sz="0" w:space="0" w:color="auto"/>
                        <w:left w:val="none" w:sz="0" w:space="0" w:color="auto"/>
                        <w:bottom w:val="none" w:sz="0" w:space="0" w:color="auto"/>
                        <w:right w:val="none" w:sz="0" w:space="0" w:color="auto"/>
                      </w:divBdr>
                    </w:div>
                  </w:divsChild>
                </w:div>
                <w:div w:id="299073565">
                  <w:marLeft w:val="0"/>
                  <w:marRight w:val="0"/>
                  <w:marTop w:val="0"/>
                  <w:marBottom w:val="0"/>
                  <w:divBdr>
                    <w:top w:val="none" w:sz="0" w:space="0" w:color="auto"/>
                    <w:left w:val="none" w:sz="0" w:space="0" w:color="auto"/>
                    <w:bottom w:val="none" w:sz="0" w:space="0" w:color="auto"/>
                    <w:right w:val="none" w:sz="0" w:space="0" w:color="auto"/>
                  </w:divBdr>
                  <w:divsChild>
                    <w:div w:id="299073454">
                      <w:marLeft w:val="0"/>
                      <w:marRight w:val="0"/>
                      <w:marTop w:val="0"/>
                      <w:marBottom w:val="0"/>
                      <w:divBdr>
                        <w:top w:val="none" w:sz="0" w:space="0" w:color="auto"/>
                        <w:left w:val="none" w:sz="0" w:space="0" w:color="auto"/>
                        <w:bottom w:val="none" w:sz="0" w:space="0" w:color="auto"/>
                        <w:right w:val="none" w:sz="0" w:space="0" w:color="auto"/>
                      </w:divBdr>
                    </w:div>
                  </w:divsChild>
                </w:div>
                <w:div w:id="299073569">
                  <w:marLeft w:val="0"/>
                  <w:marRight w:val="0"/>
                  <w:marTop w:val="0"/>
                  <w:marBottom w:val="0"/>
                  <w:divBdr>
                    <w:top w:val="none" w:sz="0" w:space="0" w:color="auto"/>
                    <w:left w:val="none" w:sz="0" w:space="0" w:color="auto"/>
                    <w:bottom w:val="none" w:sz="0" w:space="0" w:color="auto"/>
                    <w:right w:val="none" w:sz="0" w:space="0" w:color="auto"/>
                  </w:divBdr>
                  <w:divsChild>
                    <w:div w:id="299073484">
                      <w:marLeft w:val="0"/>
                      <w:marRight w:val="0"/>
                      <w:marTop w:val="0"/>
                      <w:marBottom w:val="0"/>
                      <w:divBdr>
                        <w:top w:val="none" w:sz="0" w:space="0" w:color="auto"/>
                        <w:left w:val="none" w:sz="0" w:space="0" w:color="auto"/>
                        <w:bottom w:val="none" w:sz="0" w:space="0" w:color="auto"/>
                        <w:right w:val="none" w:sz="0" w:space="0" w:color="auto"/>
                      </w:divBdr>
                    </w:div>
                  </w:divsChild>
                </w:div>
                <w:div w:id="2990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560">
      <w:marLeft w:val="0"/>
      <w:marRight w:val="0"/>
      <w:marTop w:val="0"/>
      <w:marBottom w:val="0"/>
      <w:divBdr>
        <w:top w:val="none" w:sz="0" w:space="0" w:color="auto"/>
        <w:left w:val="none" w:sz="0" w:space="0" w:color="auto"/>
        <w:bottom w:val="none" w:sz="0" w:space="0" w:color="auto"/>
        <w:right w:val="none" w:sz="0" w:space="0" w:color="auto"/>
      </w:divBdr>
      <w:divsChild>
        <w:div w:id="299073556">
          <w:marLeft w:val="0"/>
          <w:marRight w:val="0"/>
          <w:marTop w:val="0"/>
          <w:marBottom w:val="0"/>
          <w:divBdr>
            <w:top w:val="none" w:sz="0" w:space="0" w:color="auto"/>
            <w:left w:val="none" w:sz="0" w:space="0" w:color="auto"/>
            <w:bottom w:val="none" w:sz="0" w:space="0" w:color="auto"/>
            <w:right w:val="none" w:sz="0" w:space="0" w:color="auto"/>
          </w:divBdr>
          <w:divsChild>
            <w:div w:id="299073549">
              <w:marLeft w:val="0"/>
              <w:marRight w:val="0"/>
              <w:marTop w:val="0"/>
              <w:marBottom w:val="0"/>
              <w:divBdr>
                <w:top w:val="none" w:sz="0" w:space="0" w:color="auto"/>
                <w:left w:val="none" w:sz="0" w:space="0" w:color="auto"/>
                <w:bottom w:val="none" w:sz="0" w:space="0" w:color="auto"/>
                <w:right w:val="none" w:sz="0" w:space="0" w:color="auto"/>
              </w:divBdr>
              <w:divsChild>
                <w:div w:id="299073475">
                  <w:marLeft w:val="0"/>
                  <w:marRight w:val="0"/>
                  <w:marTop w:val="0"/>
                  <w:marBottom w:val="0"/>
                  <w:divBdr>
                    <w:top w:val="none" w:sz="0" w:space="0" w:color="auto"/>
                    <w:left w:val="none" w:sz="0" w:space="0" w:color="auto"/>
                    <w:bottom w:val="none" w:sz="0" w:space="0" w:color="auto"/>
                    <w:right w:val="none" w:sz="0" w:space="0" w:color="auto"/>
                  </w:divBdr>
                  <w:divsChild>
                    <w:div w:id="299073539">
                      <w:marLeft w:val="0"/>
                      <w:marRight w:val="0"/>
                      <w:marTop w:val="0"/>
                      <w:marBottom w:val="0"/>
                      <w:divBdr>
                        <w:top w:val="none" w:sz="0" w:space="0" w:color="auto"/>
                        <w:left w:val="none" w:sz="0" w:space="0" w:color="auto"/>
                        <w:bottom w:val="none" w:sz="0" w:space="0" w:color="auto"/>
                        <w:right w:val="none" w:sz="0" w:space="0" w:color="auto"/>
                      </w:divBdr>
                      <w:divsChild>
                        <w:div w:id="299073477">
                          <w:marLeft w:val="0"/>
                          <w:marRight w:val="0"/>
                          <w:marTop w:val="0"/>
                          <w:marBottom w:val="0"/>
                          <w:divBdr>
                            <w:top w:val="none" w:sz="0" w:space="0" w:color="auto"/>
                            <w:left w:val="none" w:sz="0" w:space="0" w:color="auto"/>
                            <w:bottom w:val="none" w:sz="0" w:space="0" w:color="auto"/>
                            <w:right w:val="none" w:sz="0" w:space="0" w:color="auto"/>
                          </w:divBdr>
                          <w:divsChild>
                            <w:div w:id="2990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510">
                  <w:marLeft w:val="0"/>
                  <w:marRight w:val="0"/>
                  <w:marTop w:val="0"/>
                  <w:marBottom w:val="0"/>
                  <w:divBdr>
                    <w:top w:val="none" w:sz="0" w:space="0" w:color="auto"/>
                    <w:left w:val="none" w:sz="0" w:space="0" w:color="auto"/>
                    <w:bottom w:val="none" w:sz="0" w:space="0" w:color="auto"/>
                    <w:right w:val="none" w:sz="0" w:space="0" w:color="auto"/>
                  </w:divBdr>
                  <w:divsChild>
                    <w:div w:id="299073535">
                      <w:marLeft w:val="0"/>
                      <w:marRight w:val="0"/>
                      <w:marTop w:val="0"/>
                      <w:marBottom w:val="0"/>
                      <w:divBdr>
                        <w:top w:val="none" w:sz="0" w:space="0" w:color="auto"/>
                        <w:left w:val="none" w:sz="0" w:space="0" w:color="auto"/>
                        <w:bottom w:val="none" w:sz="0" w:space="0" w:color="auto"/>
                        <w:right w:val="none" w:sz="0" w:space="0" w:color="auto"/>
                      </w:divBdr>
                      <w:divsChild>
                        <w:div w:id="299073453">
                          <w:marLeft w:val="0"/>
                          <w:marRight w:val="0"/>
                          <w:marTop w:val="0"/>
                          <w:marBottom w:val="0"/>
                          <w:divBdr>
                            <w:top w:val="none" w:sz="0" w:space="0" w:color="auto"/>
                            <w:left w:val="none" w:sz="0" w:space="0" w:color="auto"/>
                            <w:bottom w:val="none" w:sz="0" w:space="0" w:color="auto"/>
                            <w:right w:val="none" w:sz="0" w:space="0" w:color="auto"/>
                          </w:divBdr>
                          <w:divsChild>
                            <w:div w:id="2990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540">
                  <w:marLeft w:val="0"/>
                  <w:marRight w:val="0"/>
                  <w:marTop w:val="0"/>
                  <w:marBottom w:val="0"/>
                  <w:divBdr>
                    <w:top w:val="none" w:sz="0" w:space="0" w:color="auto"/>
                    <w:left w:val="none" w:sz="0" w:space="0" w:color="auto"/>
                    <w:bottom w:val="none" w:sz="0" w:space="0" w:color="auto"/>
                    <w:right w:val="none" w:sz="0" w:space="0" w:color="auto"/>
                  </w:divBdr>
                </w:div>
                <w:div w:id="299073555">
                  <w:marLeft w:val="0"/>
                  <w:marRight w:val="0"/>
                  <w:marTop w:val="0"/>
                  <w:marBottom w:val="0"/>
                  <w:divBdr>
                    <w:top w:val="none" w:sz="0" w:space="0" w:color="auto"/>
                    <w:left w:val="none" w:sz="0" w:space="0" w:color="auto"/>
                    <w:bottom w:val="none" w:sz="0" w:space="0" w:color="auto"/>
                    <w:right w:val="none" w:sz="0" w:space="0" w:color="auto"/>
                  </w:divBdr>
                </w:div>
                <w:div w:id="299073583">
                  <w:marLeft w:val="0"/>
                  <w:marRight w:val="0"/>
                  <w:marTop w:val="0"/>
                  <w:marBottom w:val="0"/>
                  <w:divBdr>
                    <w:top w:val="none" w:sz="0" w:space="0" w:color="auto"/>
                    <w:left w:val="none" w:sz="0" w:space="0" w:color="auto"/>
                    <w:bottom w:val="none" w:sz="0" w:space="0" w:color="auto"/>
                    <w:right w:val="none" w:sz="0" w:space="0" w:color="auto"/>
                  </w:divBdr>
                  <w:divsChild>
                    <w:div w:id="299073491">
                      <w:marLeft w:val="0"/>
                      <w:marRight w:val="0"/>
                      <w:marTop w:val="0"/>
                      <w:marBottom w:val="0"/>
                      <w:divBdr>
                        <w:top w:val="none" w:sz="0" w:space="0" w:color="auto"/>
                        <w:left w:val="none" w:sz="0" w:space="0" w:color="auto"/>
                        <w:bottom w:val="none" w:sz="0" w:space="0" w:color="auto"/>
                        <w:right w:val="none" w:sz="0" w:space="0" w:color="auto"/>
                      </w:divBdr>
                      <w:divsChild>
                        <w:div w:id="299073511">
                          <w:marLeft w:val="0"/>
                          <w:marRight w:val="0"/>
                          <w:marTop w:val="0"/>
                          <w:marBottom w:val="0"/>
                          <w:divBdr>
                            <w:top w:val="none" w:sz="0" w:space="0" w:color="auto"/>
                            <w:left w:val="none" w:sz="0" w:space="0" w:color="auto"/>
                            <w:bottom w:val="none" w:sz="0" w:space="0" w:color="auto"/>
                            <w:right w:val="none" w:sz="0" w:space="0" w:color="auto"/>
                          </w:divBdr>
                          <w:divsChild>
                            <w:div w:id="2990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073568">
      <w:marLeft w:val="0"/>
      <w:marRight w:val="0"/>
      <w:marTop w:val="0"/>
      <w:marBottom w:val="0"/>
      <w:divBdr>
        <w:top w:val="none" w:sz="0" w:space="0" w:color="auto"/>
        <w:left w:val="none" w:sz="0" w:space="0" w:color="auto"/>
        <w:bottom w:val="none" w:sz="0" w:space="0" w:color="auto"/>
        <w:right w:val="none" w:sz="0" w:space="0" w:color="auto"/>
      </w:divBdr>
      <w:divsChild>
        <w:div w:id="299073518">
          <w:marLeft w:val="0"/>
          <w:marRight w:val="0"/>
          <w:marTop w:val="0"/>
          <w:marBottom w:val="0"/>
          <w:divBdr>
            <w:top w:val="none" w:sz="0" w:space="0" w:color="auto"/>
            <w:left w:val="none" w:sz="0" w:space="0" w:color="auto"/>
            <w:bottom w:val="none" w:sz="0" w:space="0" w:color="auto"/>
            <w:right w:val="none" w:sz="0" w:space="0" w:color="auto"/>
          </w:divBdr>
          <w:divsChild>
            <w:div w:id="2990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588">
      <w:marLeft w:val="0"/>
      <w:marRight w:val="0"/>
      <w:marTop w:val="0"/>
      <w:marBottom w:val="0"/>
      <w:divBdr>
        <w:top w:val="none" w:sz="0" w:space="0" w:color="auto"/>
        <w:left w:val="none" w:sz="0" w:space="0" w:color="auto"/>
        <w:bottom w:val="none" w:sz="0" w:space="0" w:color="auto"/>
        <w:right w:val="none" w:sz="0" w:space="0" w:color="auto"/>
      </w:divBdr>
      <w:divsChild>
        <w:div w:id="299073595">
          <w:marLeft w:val="0"/>
          <w:marRight w:val="0"/>
          <w:marTop w:val="0"/>
          <w:marBottom w:val="0"/>
          <w:divBdr>
            <w:top w:val="none" w:sz="0" w:space="0" w:color="auto"/>
            <w:left w:val="none" w:sz="0" w:space="0" w:color="auto"/>
            <w:bottom w:val="none" w:sz="0" w:space="0" w:color="auto"/>
            <w:right w:val="none" w:sz="0" w:space="0" w:color="auto"/>
          </w:divBdr>
          <w:divsChild>
            <w:div w:id="299073414">
              <w:marLeft w:val="0"/>
              <w:marRight w:val="0"/>
              <w:marTop w:val="0"/>
              <w:marBottom w:val="0"/>
              <w:divBdr>
                <w:top w:val="none" w:sz="0" w:space="0" w:color="auto"/>
                <w:left w:val="none" w:sz="0" w:space="0" w:color="auto"/>
                <w:bottom w:val="none" w:sz="0" w:space="0" w:color="auto"/>
                <w:right w:val="none" w:sz="0" w:space="0" w:color="auto"/>
              </w:divBdr>
              <w:divsChild>
                <w:div w:id="2990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596">
      <w:marLeft w:val="0"/>
      <w:marRight w:val="0"/>
      <w:marTop w:val="0"/>
      <w:marBottom w:val="0"/>
      <w:divBdr>
        <w:top w:val="none" w:sz="0" w:space="0" w:color="auto"/>
        <w:left w:val="none" w:sz="0" w:space="0" w:color="auto"/>
        <w:bottom w:val="none" w:sz="0" w:space="0" w:color="auto"/>
        <w:right w:val="none" w:sz="0" w:space="0" w:color="auto"/>
      </w:divBdr>
      <w:divsChild>
        <w:div w:id="299073413">
          <w:marLeft w:val="0"/>
          <w:marRight w:val="0"/>
          <w:marTop w:val="0"/>
          <w:marBottom w:val="0"/>
          <w:divBdr>
            <w:top w:val="none" w:sz="0" w:space="0" w:color="auto"/>
            <w:left w:val="none" w:sz="0" w:space="0" w:color="auto"/>
            <w:bottom w:val="none" w:sz="0" w:space="0" w:color="auto"/>
            <w:right w:val="none" w:sz="0" w:space="0" w:color="auto"/>
          </w:divBdr>
          <w:divsChild>
            <w:div w:id="299073404">
              <w:marLeft w:val="0"/>
              <w:marRight w:val="0"/>
              <w:marTop w:val="0"/>
              <w:marBottom w:val="0"/>
              <w:divBdr>
                <w:top w:val="none" w:sz="0" w:space="0" w:color="auto"/>
                <w:left w:val="none" w:sz="0" w:space="0" w:color="auto"/>
                <w:bottom w:val="none" w:sz="0" w:space="0" w:color="auto"/>
                <w:right w:val="none" w:sz="0" w:space="0" w:color="auto"/>
              </w:divBdr>
              <w:divsChild>
                <w:div w:id="299073589">
                  <w:marLeft w:val="0"/>
                  <w:marRight w:val="0"/>
                  <w:marTop w:val="0"/>
                  <w:marBottom w:val="0"/>
                  <w:divBdr>
                    <w:top w:val="none" w:sz="0" w:space="0" w:color="auto"/>
                    <w:left w:val="none" w:sz="0" w:space="0" w:color="auto"/>
                    <w:bottom w:val="none" w:sz="0" w:space="0" w:color="auto"/>
                    <w:right w:val="none" w:sz="0" w:space="0" w:color="auto"/>
                  </w:divBdr>
                  <w:divsChild>
                    <w:div w:id="299073401">
                      <w:marLeft w:val="0"/>
                      <w:marRight w:val="0"/>
                      <w:marTop w:val="0"/>
                      <w:marBottom w:val="0"/>
                      <w:divBdr>
                        <w:top w:val="none" w:sz="0" w:space="0" w:color="auto"/>
                        <w:left w:val="none" w:sz="0" w:space="0" w:color="auto"/>
                        <w:bottom w:val="none" w:sz="0" w:space="0" w:color="auto"/>
                        <w:right w:val="none" w:sz="0" w:space="0" w:color="auto"/>
                      </w:divBdr>
                      <w:divsChild>
                        <w:div w:id="2990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73598">
      <w:marLeft w:val="0"/>
      <w:marRight w:val="0"/>
      <w:marTop w:val="0"/>
      <w:marBottom w:val="0"/>
      <w:divBdr>
        <w:top w:val="none" w:sz="0" w:space="0" w:color="auto"/>
        <w:left w:val="none" w:sz="0" w:space="0" w:color="auto"/>
        <w:bottom w:val="none" w:sz="0" w:space="0" w:color="auto"/>
        <w:right w:val="none" w:sz="0" w:space="0" w:color="auto"/>
      </w:divBdr>
      <w:divsChild>
        <w:div w:id="299073397">
          <w:marLeft w:val="0"/>
          <w:marRight w:val="0"/>
          <w:marTop w:val="0"/>
          <w:marBottom w:val="0"/>
          <w:divBdr>
            <w:top w:val="none" w:sz="0" w:space="0" w:color="auto"/>
            <w:left w:val="none" w:sz="0" w:space="0" w:color="auto"/>
            <w:bottom w:val="none" w:sz="0" w:space="0" w:color="auto"/>
            <w:right w:val="none" w:sz="0" w:space="0" w:color="auto"/>
          </w:divBdr>
          <w:divsChild>
            <w:div w:id="29907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605">
      <w:marLeft w:val="0"/>
      <w:marRight w:val="0"/>
      <w:marTop w:val="0"/>
      <w:marBottom w:val="0"/>
      <w:divBdr>
        <w:top w:val="none" w:sz="0" w:space="0" w:color="auto"/>
        <w:left w:val="none" w:sz="0" w:space="0" w:color="auto"/>
        <w:bottom w:val="none" w:sz="0" w:space="0" w:color="auto"/>
        <w:right w:val="none" w:sz="0" w:space="0" w:color="auto"/>
      </w:divBdr>
      <w:divsChild>
        <w:div w:id="299073624">
          <w:marLeft w:val="30"/>
          <w:marRight w:val="0"/>
          <w:marTop w:val="0"/>
          <w:marBottom w:val="0"/>
          <w:divBdr>
            <w:top w:val="none" w:sz="0" w:space="0" w:color="auto"/>
            <w:left w:val="none" w:sz="0" w:space="0" w:color="auto"/>
            <w:bottom w:val="none" w:sz="0" w:space="0" w:color="auto"/>
            <w:right w:val="none" w:sz="0" w:space="0" w:color="auto"/>
          </w:divBdr>
          <w:divsChild>
            <w:div w:id="299073700">
              <w:marLeft w:val="0"/>
              <w:marRight w:val="0"/>
              <w:marTop w:val="180"/>
              <w:marBottom w:val="0"/>
              <w:divBdr>
                <w:top w:val="none" w:sz="0" w:space="0" w:color="auto"/>
                <w:left w:val="none" w:sz="0" w:space="0" w:color="auto"/>
                <w:bottom w:val="none" w:sz="0" w:space="0" w:color="auto"/>
                <w:right w:val="none" w:sz="0" w:space="0" w:color="auto"/>
              </w:divBdr>
              <w:divsChild>
                <w:div w:id="299073623">
                  <w:marLeft w:val="30"/>
                  <w:marRight w:val="30"/>
                  <w:marTop w:val="30"/>
                  <w:marBottom w:val="30"/>
                  <w:divBdr>
                    <w:top w:val="none" w:sz="0" w:space="0" w:color="auto"/>
                    <w:left w:val="none" w:sz="0" w:space="0" w:color="auto"/>
                    <w:bottom w:val="none" w:sz="0" w:space="0" w:color="auto"/>
                    <w:right w:val="none" w:sz="0" w:space="0" w:color="auto"/>
                  </w:divBdr>
                  <w:divsChild>
                    <w:div w:id="299073614">
                      <w:marLeft w:val="0"/>
                      <w:marRight w:val="0"/>
                      <w:marTop w:val="0"/>
                      <w:marBottom w:val="0"/>
                      <w:divBdr>
                        <w:top w:val="none" w:sz="0" w:space="0" w:color="auto"/>
                        <w:left w:val="single" w:sz="2" w:space="0" w:color="A1B0D3"/>
                        <w:bottom w:val="single" w:sz="2" w:space="0" w:color="A1B0D3"/>
                        <w:right w:val="single" w:sz="2" w:space="0" w:color="A1B0D3"/>
                      </w:divBdr>
                      <w:divsChild>
                        <w:div w:id="299073615">
                          <w:marLeft w:val="0"/>
                          <w:marRight w:val="0"/>
                          <w:marTop w:val="0"/>
                          <w:marBottom w:val="0"/>
                          <w:divBdr>
                            <w:top w:val="none" w:sz="0" w:space="0" w:color="auto"/>
                            <w:left w:val="none" w:sz="0" w:space="0" w:color="auto"/>
                            <w:bottom w:val="none" w:sz="0" w:space="0" w:color="auto"/>
                            <w:right w:val="none" w:sz="0" w:space="0" w:color="auto"/>
                          </w:divBdr>
                          <w:divsChild>
                            <w:div w:id="299073638">
                              <w:marLeft w:val="0"/>
                              <w:marRight w:val="0"/>
                              <w:marTop w:val="0"/>
                              <w:marBottom w:val="0"/>
                              <w:divBdr>
                                <w:top w:val="none" w:sz="0" w:space="0" w:color="auto"/>
                                <w:left w:val="single" w:sz="2" w:space="0" w:color="A1B0D3"/>
                                <w:bottom w:val="single" w:sz="2" w:space="0" w:color="A1B0D3"/>
                                <w:right w:val="single" w:sz="2" w:space="0" w:color="A1B0D3"/>
                              </w:divBdr>
                              <w:divsChild>
                                <w:div w:id="299073393">
                                  <w:marLeft w:val="0"/>
                                  <w:marRight w:val="0"/>
                                  <w:marTop w:val="0"/>
                                  <w:marBottom w:val="0"/>
                                  <w:divBdr>
                                    <w:top w:val="none" w:sz="0" w:space="0" w:color="auto"/>
                                    <w:left w:val="none" w:sz="0" w:space="0" w:color="auto"/>
                                    <w:bottom w:val="none" w:sz="0" w:space="0" w:color="auto"/>
                                    <w:right w:val="none" w:sz="0" w:space="0" w:color="auto"/>
                                  </w:divBdr>
                                </w:div>
                                <w:div w:id="299073602">
                                  <w:marLeft w:val="0"/>
                                  <w:marRight w:val="0"/>
                                  <w:marTop w:val="0"/>
                                  <w:marBottom w:val="0"/>
                                  <w:divBdr>
                                    <w:top w:val="none" w:sz="0" w:space="0" w:color="auto"/>
                                    <w:left w:val="none" w:sz="0" w:space="0" w:color="auto"/>
                                    <w:bottom w:val="none" w:sz="0" w:space="0" w:color="auto"/>
                                    <w:right w:val="none" w:sz="0" w:space="0" w:color="auto"/>
                                  </w:divBdr>
                                </w:div>
                                <w:div w:id="299073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073630">
      <w:marLeft w:val="0"/>
      <w:marRight w:val="0"/>
      <w:marTop w:val="0"/>
      <w:marBottom w:val="0"/>
      <w:divBdr>
        <w:top w:val="none" w:sz="0" w:space="0" w:color="auto"/>
        <w:left w:val="none" w:sz="0" w:space="0" w:color="auto"/>
        <w:bottom w:val="none" w:sz="0" w:space="0" w:color="auto"/>
        <w:right w:val="none" w:sz="0" w:space="0" w:color="auto"/>
      </w:divBdr>
      <w:divsChild>
        <w:div w:id="299073649">
          <w:marLeft w:val="0"/>
          <w:marRight w:val="0"/>
          <w:marTop w:val="0"/>
          <w:marBottom w:val="0"/>
          <w:divBdr>
            <w:top w:val="none" w:sz="0" w:space="0" w:color="auto"/>
            <w:left w:val="none" w:sz="0" w:space="0" w:color="auto"/>
            <w:bottom w:val="none" w:sz="0" w:space="0" w:color="auto"/>
            <w:right w:val="none" w:sz="0" w:space="0" w:color="auto"/>
          </w:divBdr>
          <w:divsChild>
            <w:div w:id="299073694">
              <w:marLeft w:val="0"/>
              <w:marRight w:val="0"/>
              <w:marTop w:val="0"/>
              <w:marBottom w:val="0"/>
              <w:divBdr>
                <w:top w:val="none" w:sz="0" w:space="0" w:color="auto"/>
                <w:left w:val="none" w:sz="0" w:space="0" w:color="auto"/>
                <w:bottom w:val="none" w:sz="0" w:space="0" w:color="auto"/>
                <w:right w:val="none" w:sz="0" w:space="0" w:color="auto"/>
              </w:divBdr>
              <w:divsChild>
                <w:div w:id="299073622">
                  <w:marLeft w:val="0"/>
                  <w:marRight w:val="0"/>
                  <w:marTop w:val="0"/>
                  <w:marBottom w:val="0"/>
                  <w:divBdr>
                    <w:top w:val="none" w:sz="0" w:space="0" w:color="auto"/>
                    <w:left w:val="none" w:sz="0" w:space="0" w:color="auto"/>
                    <w:bottom w:val="none" w:sz="0" w:space="0" w:color="auto"/>
                    <w:right w:val="none" w:sz="0" w:space="0" w:color="auto"/>
                  </w:divBdr>
                  <w:divsChild>
                    <w:div w:id="2990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073656">
      <w:marLeft w:val="0"/>
      <w:marRight w:val="0"/>
      <w:marTop w:val="0"/>
      <w:marBottom w:val="0"/>
      <w:divBdr>
        <w:top w:val="none" w:sz="0" w:space="0" w:color="auto"/>
        <w:left w:val="none" w:sz="0" w:space="0" w:color="auto"/>
        <w:bottom w:val="none" w:sz="0" w:space="0" w:color="auto"/>
        <w:right w:val="none" w:sz="0" w:space="0" w:color="auto"/>
      </w:divBdr>
      <w:divsChild>
        <w:div w:id="299073699">
          <w:marLeft w:val="0"/>
          <w:marRight w:val="0"/>
          <w:marTop w:val="0"/>
          <w:marBottom w:val="0"/>
          <w:divBdr>
            <w:top w:val="none" w:sz="0" w:space="0" w:color="auto"/>
            <w:left w:val="none" w:sz="0" w:space="0" w:color="auto"/>
            <w:bottom w:val="none" w:sz="0" w:space="0" w:color="auto"/>
            <w:right w:val="none" w:sz="0" w:space="0" w:color="auto"/>
          </w:divBdr>
          <w:divsChild>
            <w:div w:id="299073646">
              <w:marLeft w:val="0"/>
              <w:marRight w:val="0"/>
              <w:marTop w:val="0"/>
              <w:marBottom w:val="0"/>
              <w:divBdr>
                <w:top w:val="none" w:sz="0" w:space="0" w:color="auto"/>
                <w:left w:val="none" w:sz="0" w:space="0" w:color="auto"/>
                <w:bottom w:val="none" w:sz="0" w:space="0" w:color="auto"/>
                <w:right w:val="none" w:sz="0" w:space="0" w:color="auto"/>
              </w:divBdr>
              <w:divsChild>
                <w:div w:id="2990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3660">
      <w:marLeft w:val="0"/>
      <w:marRight w:val="0"/>
      <w:marTop w:val="0"/>
      <w:marBottom w:val="0"/>
      <w:divBdr>
        <w:top w:val="none" w:sz="0" w:space="0" w:color="auto"/>
        <w:left w:val="none" w:sz="0" w:space="0" w:color="auto"/>
        <w:bottom w:val="none" w:sz="0" w:space="0" w:color="auto"/>
        <w:right w:val="none" w:sz="0" w:space="0" w:color="auto"/>
      </w:divBdr>
      <w:divsChild>
        <w:div w:id="299073644">
          <w:marLeft w:val="0"/>
          <w:marRight w:val="0"/>
          <w:marTop w:val="0"/>
          <w:marBottom w:val="0"/>
          <w:divBdr>
            <w:top w:val="none" w:sz="0" w:space="0" w:color="auto"/>
            <w:left w:val="none" w:sz="0" w:space="0" w:color="auto"/>
            <w:bottom w:val="none" w:sz="0" w:space="0" w:color="auto"/>
            <w:right w:val="none" w:sz="0" w:space="0" w:color="auto"/>
          </w:divBdr>
          <w:divsChild>
            <w:div w:id="299073629">
              <w:marLeft w:val="0"/>
              <w:marRight w:val="300"/>
              <w:marTop w:val="0"/>
              <w:marBottom w:val="0"/>
              <w:divBdr>
                <w:top w:val="none" w:sz="0" w:space="0" w:color="auto"/>
                <w:left w:val="none" w:sz="0" w:space="0" w:color="auto"/>
                <w:bottom w:val="none" w:sz="0" w:space="0" w:color="auto"/>
                <w:right w:val="none" w:sz="0" w:space="0" w:color="auto"/>
              </w:divBdr>
              <w:divsChild>
                <w:div w:id="299073610">
                  <w:marLeft w:val="0"/>
                  <w:marRight w:val="0"/>
                  <w:marTop w:val="0"/>
                  <w:marBottom w:val="0"/>
                  <w:divBdr>
                    <w:top w:val="none" w:sz="0" w:space="0" w:color="auto"/>
                    <w:left w:val="none" w:sz="0" w:space="0" w:color="auto"/>
                    <w:bottom w:val="none" w:sz="0" w:space="0" w:color="auto"/>
                    <w:right w:val="none" w:sz="0" w:space="0" w:color="auto"/>
                  </w:divBdr>
                </w:div>
                <w:div w:id="2990736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9073661">
      <w:marLeft w:val="0"/>
      <w:marRight w:val="0"/>
      <w:marTop w:val="0"/>
      <w:marBottom w:val="0"/>
      <w:divBdr>
        <w:top w:val="none" w:sz="0" w:space="0" w:color="auto"/>
        <w:left w:val="none" w:sz="0" w:space="0" w:color="auto"/>
        <w:bottom w:val="none" w:sz="0" w:space="0" w:color="auto"/>
        <w:right w:val="none" w:sz="0" w:space="0" w:color="auto"/>
      </w:divBdr>
      <w:divsChild>
        <w:div w:id="299073681">
          <w:marLeft w:val="30"/>
          <w:marRight w:val="0"/>
          <w:marTop w:val="0"/>
          <w:marBottom w:val="0"/>
          <w:divBdr>
            <w:top w:val="none" w:sz="0" w:space="0" w:color="auto"/>
            <w:left w:val="none" w:sz="0" w:space="0" w:color="auto"/>
            <w:bottom w:val="none" w:sz="0" w:space="0" w:color="auto"/>
            <w:right w:val="none" w:sz="0" w:space="0" w:color="auto"/>
          </w:divBdr>
          <w:divsChild>
            <w:div w:id="299073674">
              <w:marLeft w:val="0"/>
              <w:marRight w:val="0"/>
              <w:marTop w:val="180"/>
              <w:marBottom w:val="0"/>
              <w:divBdr>
                <w:top w:val="none" w:sz="0" w:space="0" w:color="auto"/>
                <w:left w:val="none" w:sz="0" w:space="0" w:color="auto"/>
                <w:bottom w:val="none" w:sz="0" w:space="0" w:color="auto"/>
                <w:right w:val="none" w:sz="0" w:space="0" w:color="auto"/>
              </w:divBdr>
              <w:divsChild>
                <w:div w:id="299073678">
                  <w:marLeft w:val="30"/>
                  <w:marRight w:val="30"/>
                  <w:marTop w:val="30"/>
                  <w:marBottom w:val="30"/>
                  <w:divBdr>
                    <w:top w:val="none" w:sz="0" w:space="0" w:color="auto"/>
                    <w:left w:val="none" w:sz="0" w:space="0" w:color="auto"/>
                    <w:bottom w:val="none" w:sz="0" w:space="0" w:color="auto"/>
                    <w:right w:val="none" w:sz="0" w:space="0" w:color="auto"/>
                  </w:divBdr>
                  <w:divsChild>
                    <w:div w:id="299073706">
                      <w:marLeft w:val="0"/>
                      <w:marRight w:val="0"/>
                      <w:marTop w:val="0"/>
                      <w:marBottom w:val="0"/>
                      <w:divBdr>
                        <w:top w:val="none" w:sz="0" w:space="0" w:color="auto"/>
                        <w:left w:val="single" w:sz="2" w:space="0" w:color="A1B0D3"/>
                        <w:bottom w:val="single" w:sz="2" w:space="0" w:color="A1B0D3"/>
                        <w:right w:val="single" w:sz="2" w:space="0" w:color="A1B0D3"/>
                      </w:divBdr>
                      <w:divsChild>
                        <w:div w:id="299073696">
                          <w:marLeft w:val="0"/>
                          <w:marRight w:val="0"/>
                          <w:marTop w:val="0"/>
                          <w:marBottom w:val="0"/>
                          <w:divBdr>
                            <w:top w:val="none" w:sz="0" w:space="0" w:color="auto"/>
                            <w:left w:val="none" w:sz="0" w:space="0" w:color="auto"/>
                            <w:bottom w:val="none" w:sz="0" w:space="0" w:color="auto"/>
                            <w:right w:val="none" w:sz="0" w:space="0" w:color="auto"/>
                          </w:divBdr>
                          <w:divsChild>
                            <w:div w:id="299073613">
                              <w:marLeft w:val="0"/>
                              <w:marRight w:val="0"/>
                              <w:marTop w:val="0"/>
                              <w:marBottom w:val="0"/>
                              <w:divBdr>
                                <w:top w:val="none" w:sz="0" w:space="0" w:color="auto"/>
                                <w:left w:val="single" w:sz="2" w:space="0" w:color="A1B0D3"/>
                                <w:bottom w:val="single" w:sz="2" w:space="0" w:color="A1B0D3"/>
                                <w:right w:val="single" w:sz="2" w:space="0" w:color="A1B0D3"/>
                              </w:divBdr>
                              <w:divsChild>
                                <w:div w:id="299073609">
                                  <w:marLeft w:val="0"/>
                                  <w:marRight w:val="0"/>
                                  <w:marTop w:val="0"/>
                                  <w:marBottom w:val="0"/>
                                  <w:divBdr>
                                    <w:top w:val="none" w:sz="0" w:space="0" w:color="auto"/>
                                    <w:left w:val="none" w:sz="0" w:space="0" w:color="auto"/>
                                    <w:bottom w:val="none" w:sz="0" w:space="0" w:color="auto"/>
                                    <w:right w:val="none" w:sz="0" w:space="0" w:color="auto"/>
                                  </w:divBdr>
                                  <w:divsChild>
                                    <w:div w:id="299073668">
                                      <w:marLeft w:val="0"/>
                                      <w:marRight w:val="0"/>
                                      <w:marTop w:val="0"/>
                                      <w:marBottom w:val="0"/>
                                      <w:divBdr>
                                        <w:top w:val="none" w:sz="0" w:space="0" w:color="auto"/>
                                        <w:left w:val="none" w:sz="0" w:space="0" w:color="auto"/>
                                        <w:bottom w:val="none" w:sz="0" w:space="0" w:color="auto"/>
                                        <w:right w:val="none" w:sz="0" w:space="0" w:color="auto"/>
                                      </w:divBdr>
                                    </w:div>
                                  </w:divsChild>
                                </w:div>
                                <w:div w:id="299073626">
                                  <w:marLeft w:val="0"/>
                                  <w:marRight w:val="0"/>
                                  <w:marTop w:val="0"/>
                                  <w:marBottom w:val="150"/>
                                  <w:divBdr>
                                    <w:top w:val="none" w:sz="0" w:space="0" w:color="auto"/>
                                    <w:left w:val="none" w:sz="0" w:space="0" w:color="auto"/>
                                    <w:bottom w:val="none" w:sz="0" w:space="0" w:color="auto"/>
                                    <w:right w:val="none" w:sz="0" w:space="0" w:color="auto"/>
                                  </w:divBdr>
                                </w:div>
                                <w:div w:id="299073662">
                                  <w:marLeft w:val="0"/>
                                  <w:marRight w:val="0"/>
                                  <w:marTop w:val="0"/>
                                  <w:marBottom w:val="0"/>
                                  <w:divBdr>
                                    <w:top w:val="none" w:sz="0" w:space="0" w:color="auto"/>
                                    <w:left w:val="none" w:sz="0" w:space="0" w:color="auto"/>
                                    <w:bottom w:val="none" w:sz="0" w:space="0" w:color="auto"/>
                                    <w:right w:val="none" w:sz="0" w:space="0" w:color="auto"/>
                                  </w:divBdr>
                                </w:div>
                                <w:div w:id="299073675">
                                  <w:marLeft w:val="0"/>
                                  <w:marRight w:val="0"/>
                                  <w:marTop w:val="0"/>
                                  <w:marBottom w:val="0"/>
                                  <w:divBdr>
                                    <w:top w:val="none" w:sz="0" w:space="0" w:color="auto"/>
                                    <w:left w:val="none" w:sz="0" w:space="0" w:color="auto"/>
                                    <w:bottom w:val="none" w:sz="0" w:space="0" w:color="auto"/>
                                    <w:right w:val="none" w:sz="0" w:space="0" w:color="auto"/>
                                  </w:divBdr>
                                </w:div>
                                <w:div w:id="299073695">
                                  <w:marLeft w:val="0"/>
                                  <w:marRight w:val="0"/>
                                  <w:marTop w:val="0"/>
                                  <w:marBottom w:val="0"/>
                                  <w:divBdr>
                                    <w:top w:val="none" w:sz="0" w:space="0" w:color="auto"/>
                                    <w:left w:val="none" w:sz="0" w:space="0" w:color="auto"/>
                                    <w:bottom w:val="none" w:sz="0" w:space="0" w:color="auto"/>
                                    <w:right w:val="none" w:sz="0" w:space="0" w:color="auto"/>
                                  </w:divBdr>
                                </w:div>
                              </w:divsChild>
                            </w:div>
                            <w:div w:id="299073687">
                              <w:marLeft w:val="0"/>
                              <w:marRight w:val="0"/>
                              <w:marTop w:val="0"/>
                              <w:marBottom w:val="0"/>
                              <w:divBdr>
                                <w:top w:val="none" w:sz="0" w:space="0" w:color="auto"/>
                                <w:left w:val="single" w:sz="2" w:space="0" w:color="A1B0D3"/>
                                <w:bottom w:val="single" w:sz="2" w:space="0" w:color="A1B0D3"/>
                                <w:right w:val="single" w:sz="2" w:space="0" w:color="A1B0D3"/>
                              </w:divBdr>
                              <w:divsChild>
                                <w:div w:id="299073637">
                                  <w:marLeft w:val="0"/>
                                  <w:marRight w:val="0"/>
                                  <w:marTop w:val="0"/>
                                  <w:marBottom w:val="0"/>
                                  <w:divBdr>
                                    <w:top w:val="none" w:sz="0" w:space="0" w:color="auto"/>
                                    <w:left w:val="none" w:sz="0" w:space="0" w:color="auto"/>
                                    <w:bottom w:val="none" w:sz="0" w:space="0" w:color="auto"/>
                                    <w:right w:val="none" w:sz="0" w:space="0" w:color="auto"/>
                                  </w:divBdr>
                                </w:div>
                                <w:div w:id="2990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073666">
      <w:marLeft w:val="0"/>
      <w:marRight w:val="0"/>
      <w:marTop w:val="0"/>
      <w:marBottom w:val="0"/>
      <w:divBdr>
        <w:top w:val="none" w:sz="0" w:space="0" w:color="auto"/>
        <w:left w:val="none" w:sz="0" w:space="0" w:color="auto"/>
        <w:bottom w:val="none" w:sz="0" w:space="0" w:color="auto"/>
        <w:right w:val="none" w:sz="0" w:space="0" w:color="auto"/>
      </w:divBdr>
      <w:divsChild>
        <w:div w:id="299073667">
          <w:marLeft w:val="0"/>
          <w:marRight w:val="0"/>
          <w:marTop w:val="0"/>
          <w:marBottom w:val="0"/>
          <w:divBdr>
            <w:top w:val="none" w:sz="0" w:space="0" w:color="auto"/>
            <w:left w:val="none" w:sz="0" w:space="0" w:color="auto"/>
            <w:bottom w:val="none" w:sz="0" w:space="0" w:color="auto"/>
            <w:right w:val="none" w:sz="0" w:space="0" w:color="auto"/>
          </w:divBdr>
          <w:divsChild>
            <w:div w:id="2990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671">
      <w:marLeft w:val="0"/>
      <w:marRight w:val="0"/>
      <w:marTop w:val="0"/>
      <w:marBottom w:val="0"/>
      <w:divBdr>
        <w:top w:val="none" w:sz="0" w:space="0" w:color="auto"/>
        <w:left w:val="none" w:sz="0" w:space="0" w:color="auto"/>
        <w:bottom w:val="none" w:sz="0" w:space="0" w:color="auto"/>
        <w:right w:val="none" w:sz="0" w:space="0" w:color="auto"/>
      </w:divBdr>
      <w:divsChild>
        <w:div w:id="299073617">
          <w:marLeft w:val="30"/>
          <w:marRight w:val="0"/>
          <w:marTop w:val="0"/>
          <w:marBottom w:val="0"/>
          <w:divBdr>
            <w:top w:val="none" w:sz="0" w:space="0" w:color="auto"/>
            <w:left w:val="none" w:sz="0" w:space="0" w:color="auto"/>
            <w:bottom w:val="none" w:sz="0" w:space="0" w:color="auto"/>
            <w:right w:val="none" w:sz="0" w:space="0" w:color="auto"/>
          </w:divBdr>
          <w:divsChild>
            <w:div w:id="299073684">
              <w:marLeft w:val="0"/>
              <w:marRight w:val="0"/>
              <w:marTop w:val="180"/>
              <w:marBottom w:val="0"/>
              <w:divBdr>
                <w:top w:val="none" w:sz="0" w:space="0" w:color="auto"/>
                <w:left w:val="none" w:sz="0" w:space="0" w:color="auto"/>
                <w:bottom w:val="none" w:sz="0" w:space="0" w:color="auto"/>
                <w:right w:val="none" w:sz="0" w:space="0" w:color="auto"/>
              </w:divBdr>
              <w:divsChild>
                <w:div w:id="299073685">
                  <w:marLeft w:val="30"/>
                  <w:marRight w:val="30"/>
                  <w:marTop w:val="30"/>
                  <w:marBottom w:val="30"/>
                  <w:divBdr>
                    <w:top w:val="none" w:sz="0" w:space="0" w:color="auto"/>
                    <w:left w:val="none" w:sz="0" w:space="0" w:color="auto"/>
                    <w:bottom w:val="none" w:sz="0" w:space="0" w:color="auto"/>
                    <w:right w:val="none" w:sz="0" w:space="0" w:color="auto"/>
                  </w:divBdr>
                  <w:divsChild>
                    <w:div w:id="299073669">
                      <w:marLeft w:val="0"/>
                      <w:marRight w:val="0"/>
                      <w:marTop w:val="0"/>
                      <w:marBottom w:val="0"/>
                      <w:divBdr>
                        <w:top w:val="none" w:sz="0" w:space="0" w:color="auto"/>
                        <w:left w:val="single" w:sz="2" w:space="0" w:color="A1B0D3"/>
                        <w:bottom w:val="single" w:sz="2" w:space="0" w:color="A1B0D3"/>
                        <w:right w:val="single" w:sz="2" w:space="0" w:color="A1B0D3"/>
                      </w:divBdr>
                      <w:divsChild>
                        <w:div w:id="299073701">
                          <w:marLeft w:val="0"/>
                          <w:marRight w:val="0"/>
                          <w:marTop w:val="0"/>
                          <w:marBottom w:val="0"/>
                          <w:divBdr>
                            <w:top w:val="none" w:sz="0" w:space="0" w:color="auto"/>
                            <w:left w:val="none" w:sz="0" w:space="0" w:color="auto"/>
                            <w:bottom w:val="none" w:sz="0" w:space="0" w:color="auto"/>
                            <w:right w:val="none" w:sz="0" w:space="0" w:color="auto"/>
                          </w:divBdr>
                          <w:divsChild>
                            <w:div w:id="299073663">
                              <w:marLeft w:val="0"/>
                              <w:marRight w:val="0"/>
                              <w:marTop w:val="0"/>
                              <w:marBottom w:val="0"/>
                              <w:divBdr>
                                <w:top w:val="none" w:sz="0" w:space="0" w:color="auto"/>
                                <w:left w:val="single" w:sz="2" w:space="0" w:color="A1B0D3"/>
                                <w:bottom w:val="single" w:sz="2" w:space="0" w:color="A1B0D3"/>
                                <w:right w:val="single" w:sz="2" w:space="0" w:color="A1B0D3"/>
                              </w:divBdr>
                              <w:divsChild>
                                <w:div w:id="299073607">
                                  <w:marLeft w:val="0"/>
                                  <w:marRight w:val="0"/>
                                  <w:marTop w:val="0"/>
                                  <w:marBottom w:val="150"/>
                                  <w:divBdr>
                                    <w:top w:val="none" w:sz="0" w:space="0" w:color="auto"/>
                                    <w:left w:val="none" w:sz="0" w:space="0" w:color="auto"/>
                                    <w:bottom w:val="none" w:sz="0" w:space="0" w:color="auto"/>
                                    <w:right w:val="none" w:sz="0" w:space="0" w:color="auto"/>
                                  </w:divBdr>
                                </w:div>
                                <w:div w:id="299073619">
                                  <w:marLeft w:val="0"/>
                                  <w:marRight w:val="0"/>
                                  <w:marTop w:val="0"/>
                                  <w:marBottom w:val="0"/>
                                  <w:divBdr>
                                    <w:top w:val="none" w:sz="0" w:space="0" w:color="auto"/>
                                    <w:left w:val="none" w:sz="0" w:space="0" w:color="auto"/>
                                    <w:bottom w:val="none" w:sz="0" w:space="0" w:color="auto"/>
                                    <w:right w:val="none" w:sz="0" w:space="0" w:color="auto"/>
                                  </w:divBdr>
                                </w:div>
                                <w:div w:id="2990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073673">
      <w:marLeft w:val="0"/>
      <w:marRight w:val="0"/>
      <w:marTop w:val="0"/>
      <w:marBottom w:val="0"/>
      <w:divBdr>
        <w:top w:val="none" w:sz="0" w:space="0" w:color="auto"/>
        <w:left w:val="none" w:sz="0" w:space="0" w:color="auto"/>
        <w:bottom w:val="none" w:sz="0" w:space="0" w:color="auto"/>
        <w:right w:val="none" w:sz="0" w:space="0" w:color="auto"/>
      </w:divBdr>
      <w:divsChild>
        <w:div w:id="299073636">
          <w:marLeft w:val="0"/>
          <w:marRight w:val="0"/>
          <w:marTop w:val="0"/>
          <w:marBottom w:val="0"/>
          <w:divBdr>
            <w:top w:val="none" w:sz="0" w:space="0" w:color="auto"/>
            <w:left w:val="none" w:sz="0" w:space="0" w:color="auto"/>
            <w:bottom w:val="none" w:sz="0" w:space="0" w:color="auto"/>
            <w:right w:val="none" w:sz="0" w:space="0" w:color="auto"/>
          </w:divBdr>
          <w:divsChild>
            <w:div w:id="299073693">
              <w:marLeft w:val="0"/>
              <w:marRight w:val="0"/>
              <w:marTop w:val="0"/>
              <w:marBottom w:val="0"/>
              <w:divBdr>
                <w:top w:val="none" w:sz="0" w:space="0" w:color="auto"/>
                <w:left w:val="none" w:sz="0" w:space="0" w:color="auto"/>
                <w:bottom w:val="none" w:sz="0" w:space="0" w:color="auto"/>
                <w:right w:val="none" w:sz="0" w:space="0" w:color="auto"/>
              </w:divBdr>
              <w:divsChild>
                <w:div w:id="299073712">
                  <w:marLeft w:val="0"/>
                  <w:marRight w:val="0"/>
                  <w:marTop w:val="0"/>
                  <w:marBottom w:val="0"/>
                  <w:divBdr>
                    <w:top w:val="none" w:sz="0" w:space="0" w:color="auto"/>
                    <w:left w:val="none" w:sz="0" w:space="0" w:color="auto"/>
                    <w:bottom w:val="none" w:sz="0" w:space="0" w:color="auto"/>
                    <w:right w:val="none" w:sz="0" w:space="0" w:color="auto"/>
                  </w:divBdr>
                  <w:divsChild>
                    <w:div w:id="299073611">
                      <w:marLeft w:val="0"/>
                      <w:marRight w:val="0"/>
                      <w:marTop w:val="0"/>
                      <w:marBottom w:val="0"/>
                      <w:divBdr>
                        <w:top w:val="none" w:sz="0" w:space="0" w:color="auto"/>
                        <w:left w:val="none" w:sz="0" w:space="0" w:color="auto"/>
                        <w:bottom w:val="none" w:sz="0" w:space="0" w:color="auto"/>
                        <w:right w:val="none" w:sz="0" w:space="0" w:color="auto"/>
                      </w:divBdr>
                      <w:divsChild>
                        <w:div w:id="299073601">
                          <w:marLeft w:val="0"/>
                          <w:marRight w:val="0"/>
                          <w:marTop w:val="0"/>
                          <w:marBottom w:val="0"/>
                          <w:divBdr>
                            <w:top w:val="none" w:sz="0" w:space="0" w:color="auto"/>
                            <w:left w:val="none" w:sz="0" w:space="0" w:color="auto"/>
                            <w:bottom w:val="none" w:sz="0" w:space="0" w:color="auto"/>
                            <w:right w:val="none" w:sz="0" w:space="0" w:color="auto"/>
                          </w:divBdr>
                          <w:divsChild>
                            <w:div w:id="2990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073677">
      <w:marLeft w:val="0"/>
      <w:marRight w:val="0"/>
      <w:marTop w:val="0"/>
      <w:marBottom w:val="0"/>
      <w:divBdr>
        <w:top w:val="none" w:sz="0" w:space="0" w:color="auto"/>
        <w:left w:val="none" w:sz="0" w:space="0" w:color="auto"/>
        <w:bottom w:val="none" w:sz="0" w:space="0" w:color="auto"/>
        <w:right w:val="none" w:sz="0" w:space="0" w:color="auto"/>
      </w:divBdr>
      <w:divsChild>
        <w:div w:id="299073703">
          <w:marLeft w:val="30"/>
          <w:marRight w:val="0"/>
          <w:marTop w:val="0"/>
          <w:marBottom w:val="0"/>
          <w:divBdr>
            <w:top w:val="none" w:sz="0" w:space="0" w:color="auto"/>
            <w:left w:val="none" w:sz="0" w:space="0" w:color="auto"/>
            <w:bottom w:val="none" w:sz="0" w:space="0" w:color="auto"/>
            <w:right w:val="none" w:sz="0" w:space="0" w:color="auto"/>
          </w:divBdr>
          <w:divsChild>
            <w:div w:id="299073708">
              <w:marLeft w:val="0"/>
              <w:marRight w:val="0"/>
              <w:marTop w:val="180"/>
              <w:marBottom w:val="0"/>
              <w:divBdr>
                <w:top w:val="none" w:sz="0" w:space="0" w:color="auto"/>
                <w:left w:val="none" w:sz="0" w:space="0" w:color="auto"/>
                <w:bottom w:val="none" w:sz="0" w:space="0" w:color="auto"/>
                <w:right w:val="none" w:sz="0" w:space="0" w:color="auto"/>
              </w:divBdr>
              <w:divsChild>
                <w:div w:id="299073608">
                  <w:marLeft w:val="30"/>
                  <w:marRight w:val="30"/>
                  <w:marTop w:val="30"/>
                  <w:marBottom w:val="30"/>
                  <w:divBdr>
                    <w:top w:val="none" w:sz="0" w:space="0" w:color="auto"/>
                    <w:left w:val="none" w:sz="0" w:space="0" w:color="auto"/>
                    <w:bottom w:val="none" w:sz="0" w:space="0" w:color="auto"/>
                    <w:right w:val="none" w:sz="0" w:space="0" w:color="auto"/>
                  </w:divBdr>
                  <w:divsChild>
                    <w:div w:id="299073641">
                      <w:marLeft w:val="0"/>
                      <w:marRight w:val="0"/>
                      <w:marTop w:val="0"/>
                      <w:marBottom w:val="0"/>
                      <w:divBdr>
                        <w:top w:val="none" w:sz="0" w:space="0" w:color="auto"/>
                        <w:left w:val="single" w:sz="2" w:space="0" w:color="A1B0D3"/>
                        <w:bottom w:val="single" w:sz="2" w:space="0" w:color="A1B0D3"/>
                        <w:right w:val="single" w:sz="2" w:space="0" w:color="A1B0D3"/>
                      </w:divBdr>
                      <w:divsChild>
                        <w:div w:id="299073651">
                          <w:marLeft w:val="0"/>
                          <w:marRight w:val="0"/>
                          <w:marTop w:val="0"/>
                          <w:marBottom w:val="0"/>
                          <w:divBdr>
                            <w:top w:val="none" w:sz="0" w:space="0" w:color="auto"/>
                            <w:left w:val="none" w:sz="0" w:space="0" w:color="auto"/>
                            <w:bottom w:val="none" w:sz="0" w:space="0" w:color="auto"/>
                            <w:right w:val="none" w:sz="0" w:space="0" w:color="auto"/>
                          </w:divBdr>
                          <w:divsChild>
                            <w:div w:id="299073707">
                              <w:marLeft w:val="0"/>
                              <w:marRight w:val="0"/>
                              <w:marTop w:val="0"/>
                              <w:marBottom w:val="0"/>
                              <w:divBdr>
                                <w:top w:val="none" w:sz="0" w:space="0" w:color="auto"/>
                                <w:left w:val="single" w:sz="2" w:space="0" w:color="A1B0D3"/>
                                <w:bottom w:val="single" w:sz="2" w:space="0" w:color="A1B0D3"/>
                                <w:right w:val="single" w:sz="2" w:space="0" w:color="A1B0D3"/>
                              </w:divBdr>
                              <w:divsChild>
                                <w:div w:id="299073612">
                                  <w:marLeft w:val="0"/>
                                  <w:marRight w:val="0"/>
                                  <w:marTop w:val="0"/>
                                  <w:marBottom w:val="150"/>
                                  <w:divBdr>
                                    <w:top w:val="none" w:sz="0" w:space="0" w:color="auto"/>
                                    <w:left w:val="none" w:sz="0" w:space="0" w:color="auto"/>
                                    <w:bottom w:val="none" w:sz="0" w:space="0" w:color="auto"/>
                                    <w:right w:val="none" w:sz="0" w:space="0" w:color="auto"/>
                                  </w:divBdr>
                                </w:div>
                                <w:div w:id="299073627">
                                  <w:marLeft w:val="0"/>
                                  <w:marRight w:val="0"/>
                                  <w:marTop w:val="0"/>
                                  <w:marBottom w:val="0"/>
                                  <w:divBdr>
                                    <w:top w:val="none" w:sz="0" w:space="0" w:color="auto"/>
                                    <w:left w:val="none" w:sz="0" w:space="0" w:color="auto"/>
                                    <w:bottom w:val="none" w:sz="0" w:space="0" w:color="auto"/>
                                    <w:right w:val="none" w:sz="0" w:space="0" w:color="auto"/>
                                  </w:divBdr>
                                </w:div>
                                <w:div w:id="2990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073682">
      <w:marLeft w:val="0"/>
      <w:marRight w:val="0"/>
      <w:marTop w:val="0"/>
      <w:marBottom w:val="0"/>
      <w:divBdr>
        <w:top w:val="none" w:sz="0" w:space="0" w:color="auto"/>
        <w:left w:val="none" w:sz="0" w:space="0" w:color="auto"/>
        <w:bottom w:val="none" w:sz="0" w:space="0" w:color="auto"/>
        <w:right w:val="none" w:sz="0" w:space="0" w:color="auto"/>
      </w:divBdr>
      <w:divsChild>
        <w:div w:id="299073714">
          <w:marLeft w:val="120"/>
          <w:marRight w:val="120"/>
          <w:marTop w:val="120"/>
          <w:marBottom w:val="120"/>
          <w:divBdr>
            <w:top w:val="none" w:sz="0" w:space="0" w:color="auto"/>
            <w:left w:val="none" w:sz="0" w:space="0" w:color="auto"/>
            <w:bottom w:val="none" w:sz="0" w:space="0" w:color="auto"/>
            <w:right w:val="none" w:sz="0" w:space="0" w:color="auto"/>
          </w:divBdr>
          <w:divsChild>
            <w:div w:id="2990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689">
      <w:marLeft w:val="0"/>
      <w:marRight w:val="15"/>
      <w:marTop w:val="0"/>
      <w:marBottom w:val="0"/>
      <w:divBdr>
        <w:top w:val="none" w:sz="0" w:space="0" w:color="auto"/>
        <w:left w:val="none" w:sz="0" w:space="0" w:color="auto"/>
        <w:bottom w:val="none" w:sz="0" w:space="0" w:color="auto"/>
        <w:right w:val="none" w:sz="0" w:space="0" w:color="auto"/>
      </w:divBdr>
      <w:divsChild>
        <w:div w:id="299073664">
          <w:marLeft w:val="0"/>
          <w:marRight w:val="0"/>
          <w:marTop w:val="0"/>
          <w:marBottom w:val="0"/>
          <w:divBdr>
            <w:top w:val="none" w:sz="0" w:space="0" w:color="auto"/>
            <w:left w:val="none" w:sz="0" w:space="0" w:color="auto"/>
            <w:bottom w:val="none" w:sz="0" w:space="0" w:color="auto"/>
            <w:right w:val="none" w:sz="0" w:space="0" w:color="auto"/>
          </w:divBdr>
          <w:divsChild>
            <w:div w:id="299073709">
              <w:marLeft w:val="0"/>
              <w:marRight w:val="0"/>
              <w:marTop w:val="0"/>
              <w:marBottom w:val="45"/>
              <w:divBdr>
                <w:top w:val="none" w:sz="0" w:space="0" w:color="auto"/>
                <w:left w:val="none" w:sz="0" w:space="0" w:color="auto"/>
                <w:bottom w:val="none" w:sz="0" w:space="0" w:color="auto"/>
                <w:right w:val="none" w:sz="0" w:space="0" w:color="auto"/>
              </w:divBdr>
              <w:divsChild>
                <w:div w:id="299073676">
                  <w:marLeft w:val="0"/>
                  <w:marRight w:val="0"/>
                  <w:marTop w:val="0"/>
                  <w:marBottom w:val="0"/>
                  <w:divBdr>
                    <w:top w:val="none" w:sz="0" w:space="0" w:color="auto"/>
                    <w:left w:val="none" w:sz="0" w:space="0" w:color="auto"/>
                    <w:bottom w:val="none" w:sz="0" w:space="0" w:color="auto"/>
                    <w:right w:val="none" w:sz="0" w:space="0" w:color="auto"/>
                  </w:divBdr>
                  <w:divsChild>
                    <w:div w:id="299073621">
                      <w:marLeft w:val="-15"/>
                      <w:marRight w:val="-15"/>
                      <w:marTop w:val="0"/>
                      <w:marBottom w:val="0"/>
                      <w:divBdr>
                        <w:top w:val="single" w:sz="6" w:space="0" w:color="FFFFFF"/>
                        <w:left w:val="single" w:sz="6" w:space="0" w:color="FFFFFF"/>
                        <w:bottom w:val="single" w:sz="6" w:space="0" w:color="FFFFFF"/>
                        <w:right w:val="single" w:sz="6" w:space="0" w:color="FFFFFF"/>
                      </w:divBdr>
                      <w:divsChild>
                        <w:div w:id="299073657">
                          <w:marLeft w:val="0"/>
                          <w:marRight w:val="0"/>
                          <w:marTop w:val="1620"/>
                          <w:marBottom w:val="0"/>
                          <w:divBdr>
                            <w:top w:val="none" w:sz="0" w:space="0" w:color="auto"/>
                            <w:left w:val="none" w:sz="0" w:space="0" w:color="auto"/>
                            <w:bottom w:val="none" w:sz="0" w:space="0" w:color="auto"/>
                            <w:right w:val="none" w:sz="0" w:space="0" w:color="auto"/>
                          </w:divBdr>
                          <w:divsChild>
                            <w:div w:id="299073652">
                              <w:marLeft w:val="0"/>
                              <w:marRight w:val="0"/>
                              <w:marTop w:val="0"/>
                              <w:marBottom w:val="0"/>
                              <w:divBdr>
                                <w:top w:val="none" w:sz="0" w:space="0" w:color="auto"/>
                                <w:left w:val="none" w:sz="0" w:space="0" w:color="auto"/>
                                <w:bottom w:val="none" w:sz="0" w:space="0" w:color="auto"/>
                                <w:right w:val="none" w:sz="0" w:space="0" w:color="auto"/>
                              </w:divBdr>
                              <w:divsChild>
                                <w:div w:id="299073639">
                                  <w:marLeft w:val="0"/>
                                  <w:marRight w:val="0"/>
                                  <w:marTop w:val="0"/>
                                  <w:marBottom w:val="0"/>
                                  <w:divBdr>
                                    <w:top w:val="none" w:sz="0" w:space="0" w:color="auto"/>
                                    <w:left w:val="none" w:sz="0" w:space="0" w:color="auto"/>
                                    <w:bottom w:val="none" w:sz="0" w:space="0" w:color="auto"/>
                                    <w:right w:val="none" w:sz="0" w:space="0" w:color="auto"/>
                                  </w:divBdr>
                                  <w:divsChild>
                                    <w:div w:id="299073686">
                                      <w:marLeft w:val="0"/>
                                      <w:marRight w:val="0"/>
                                      <w:marTop w:val="0"/>
                                      <w:marBottom w:val="0"/>
                                      <w:divBdr>
                                        <w:top w:val="none" w:sz="0" w:space="0" w:color="auto"/>
                                        <w:left w:val="none" w:sz="0" w:space="0" w:color="auto"/>
                                        <w:bottom w:val="none" w:sz="0" w:space="0" w:color="auto"/>
                                        <w:right w:val="none" w:sz="0" w:space="0" w:color="auto"/>
                                      </w:divBdr>
                                      <w:divsChild>
                                        <w:div w:id="299073618">
                                          <w:marLeft w:val="0"/>
                                          <w:marRight w:val="0"/>
                                          <w:marTop w:val="0"/>
                                          <w:marBottom w:val="0"/>
                                          <w:divBdr>
                                            <w:top w:val="none" w:sz="0" w:space="0" w:color="auto"/>
                                            <w:left w:val="none" w:sz="0" w:space="0" w:color="auto"/>
                                            <w:bottom w:val="none" w:sz="0" w:space="0" w:color="auto"/>
                                            <w:right w:val="none" w:sz="0" w:space="0" w:color="auto"/>
                                          </w:divBdr>
                                        </w:div>
                                        <w:div w:id="29907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073702">
      <w:marLeft w:val="0"/>
      <w:marRight w:val="0"/>
      <w:marTop w:val="0"/>
      <w:marBottom w:val="0"/>
      <w:divBdr>
        <w:top w:val="none" w:sz="0" w:space="0" w:color="auto"/>
        <w:left w:val="none" w:sz="0" w:space="0" w:color="auto"/>
        <w:bottom w:val="none" w:sz="0" w:space="0" w:color="auto"/>
        <w:right w:val="none" w:sz="0" w:space="0" w:color="auto"/>
      </w:divBdr>
      <w:divsChild>
        <w:div w:id="299073672">
          <w:marLeft w:val="30"/>
          <w:marRight w:val="0"/>
          <w:marTop w:val="0"/>
          <w:marBottom w:val="0"/>
          <w:divBdr>
            <w:top w:val="none" w:sz="0" w:space="0" w:color="auto"/>
            <w:left w:val="none" w:sz="0" w:space="0" w:color="auto"/>
            <w:bottom w:val="none" w:sz="0" w:space="0" w:color="auto"/>
            <w:right w:val="none" w:sz="0" w:space="0" w:color="auto"/>
          </w:divBdr>
          <w:divsChild>
            <w:div w:id="299073620">
              <w:marLeft w:val="0"/>
              <w:marRight w:val="0"/>
              <w:marTop w:val="180"/>
              <w:marBottom w:val="0"/>
              <w:divBdr>
                <w:top w:val="none" w:sz="0" w:space="0" w:color="auto"/>
                <w:left w:val="none" w:sz="0" w:space="0" w:color="auto"/>
                <w:bottom w:val="none" w:sz="0" w:space="0" w:color="auto"/>
                <w:right w:val="none" w:sz="0" w:space="0" w:color="auto"/>
              </w:divBdr>
              <w:divsChild>
                <w:div w:id="299073631">
                  <w:marLeft w:val="30"/>
                  <w:marRight w:val="30"/>
                  <w:marTop w:val="30"/>
                  <w:marBottom w:val="30"/>
                  <w:divBdr>
                    <w:top w:val="none" w:sz="0" w:space="0" w:color="auto"/>
                    <w:left w:val="none" w:sz="0" w:space="0" w:color="auto"/>
                    <w:bottom w:val="none" w:sz="0" w:space="0" w:color="auto"/>
                    <w:right w:val="none" w:sz="0" w:space="0" w:color="auto"/>
                  </w:divBdr>
                  <w:divsChild>
                    <w:div w:id="299073679">
                      <w:marLeft w:val="0"/>
                      <w:marRight w:val="0"/>
                      <w:marTop w:val="0"/>
                      <w:marBottom w:val="0"/>
                      <w:divBdr>
                        <w:top w:val="none" w:sz="0" w:space="0" w:color="auto"/>
                        <w:left w:val="single" w:sz="2" w:space="0" w:color="A1B0D3"/>
                        <w:bottom w:val="single" w:sz="2" w:space="0" w:color="A1B0D3"/>
                        <w:right w:val="single" w:sz="2" w:space="0" w:color="A1B0D3"/>
                      </w:divBdr>
                      <w:divsChild>
                        <w:div w:id="299073691">
                          <w:marLeft w:val="0"/>
                          <w:marRight w:val="0"/>
                          <w:marTop w:val="0"/>
                          <w:marBottom w:val="0"/>
                          <w:divBdr>
                            <w:top w:val="none" w:sz="0" w:space="0" w:color="auto"/>
                            <w:left w:val="none" w:sz="0" w:space="0" w:color="auto"/>
                            <w:bottom w:val="none" w:sz="0" w:space="0" w:color="auto"/>
                            <w:right w:val="none" w:sz="0" w:space="0" w:color="auto"/>
                          </w:divBdr>
                          <w:divsChild>
                            <w:div w:id="299073628">
                              <w:marLeft w:val="0"/>
                              <w:marRight w:val="0"/>
                              <w:marTop w:val="0"/>
                              <w:marBottom w:val="0"/>
                              <w:divBdr>
                                <w:top w:val="none" w:sz="0" w:space="0" w:color="auto"/>
                                <w:left w:val="single" w:sz="2" w:space="0" w:color="A1B0D3"/>
                                <w:bottom w:val="single" w:sz="2" w:space="0" w:color="A1B0D3"/>
                                <w:right w:val="single" w:sz="2" w:space="0" w:color="A1B0D3"/>
                              </w:divBdr>
                              <w:divsChild>
                                <w:div w:id="299073625">
                                  <w:marLeft w:val="0"/>
                                  <w:marRight w:val="0"/>
                                  <w:marTop w:val="0"/>
                                  <w:marBottom w:val="0"/>
                                  <w:divBdr>
                                    <w:top w:val="none" w:sz="0" w:space="0" w:color="auto"/>
                                    <w:left w:val="none" w:sz="0" w:space="0" w:color="auto"/>
                                    <w:bottom w:val="none" w:sz="0" w:space="0" w:color="auto"/>
                                    <w:right w:val="none" w:sz="0" w:space="0" w:color="auto"/>
                                  </w:divBdr>
                                </w:div>
                                <w:div w:id="299073688">
                                  <w:marLeft w:val="0"/>
                                  <w:marRight w:val="0"/>
                                  <w:marTop w:val="0"/>
                                  <w:marBottom w:val="0"/>
                                  <w:divBdr>
                                    <w:top w:val="none" w:sz="0" w:space="0" w:color="auto"/>
                                    <w:left w:val="none" w:sz="0" w:space="0" w:color="auto"/>
                                    <w:bottom w:val="none" w:sz="0" w:space="0" w:color="auto"/>
                                    <w:right w:val="none" w:sz="0" w:space="0" w:color="auto"/>
                                  </w:divBdr>
                                </w:div>
                                <w:div w:id="299073690">
                                  <w:marLeft w:val="0"/>
                                  <w:marRight w:val="0"/>
                                  <w:marTop w:val="0"/>
                                  <w:marBottom w:val="0"/>
                                  <w:divBdr>
                                    <w:top w:val="none" w:sz="0" w:space="0" w:color="auto"/>
                                    <w:left w:val="none" w:sz="0" w:space="0" w:color="auto"/>
                                    <w:bottom w:val="none" w:sz="0" w:space="0" w:color="auto"/>
                                    <w:right w:val="none" w:sz="0" w:space="0" w:color="auto"/>
                                  </w:divBdr>
                                  <w:divsChild>
                                    <w:div w:id="299073705">
                                      <w:marLeft w:val="0"/>
                                      <w:marRight w:val="0"/>
                                      <w:marTop w:val="0"/>
                                      <w:marBottom w:val="0"/>
                                      <w:divBdr>
                                        <w:top w:val="none" w:sz="0" w:space="0" w:color="auto"/>
                                        <w:left w:val="none" w:sz="0" w:space="0" w:color="auto"/>
                                        <w:bottom w:val="none" w:sz="0" w:space="0" w:color="auto"/>
                                        <w:right w:val="none" w:sz="0" w:space="0" w:color="auto"/>
                                      </w:divBdr>
                                    </w:div>
                                  </w:divsChild>
                                </w:div>
                                <w:div w:id="299073704">
                                  <w:marLeft w:val="0"/>
                                  <w:marRight w:val="0"/>
                                  <w:marTop w:val="0"/>
                                  <w:marBottom w:val="0"/>
                                  <w:divBdr>
                                    <w:top w:val="none" w:sz="0" w:space="0" w:color="auto"/>
                                    <w:left w:val="none" w:sz="0" w:space="0" w:color="auto"/>
                                    <w:bottom w:val="none" w:sz="0" w:space="0" w:color="auto"/>
                                    <w:right w:val="none" w:sz="0" w:space="0" w:color="auto"/>
                                  </w:divBdr>
                                </w:div>
                                <w:div w:id="299073710">
                                  <w:marLeft w:val="0"/>
                                  <w:marRight w:val="0"/>
                                  <w:marTop w:val="0"/>
                                  <w:marBottom w:val="150"/>
                                  <w:divBdr>
                                    <w:top w:val="none" w:sz="0" w:space="0" w:color="auto"/>
                                    <w:left w:val="none" w:sz="0" w:space="0" w:color="auto"/>
                                    <w:bottom w:val="none" w:sz="0" w:space="0" w:color="auto"/>
                                    <w:right w:val="none" w:sz="0" w:space="0" w:color="auto"/>
                                  </w:divBdr>
                                </w:div>
                              </w:divsChild>
                            </w:div>
                            <w:div w:id="299073635">
                              <w:marLeft w:val="0"/>
                              <w:marRight w:val="0"/>
                              <w:marTop w:val="0"/>
                              <w:marBottom w:val="0"/>
                              <w:divBdr>
                                <w:top w:val="none" w:sz="0" w:space="0" w:color="auto"/>
                                <w:left w:val="single" w:sz="2" w:space="0" w:color="A1B0D3"/>
                                <w:bottom w:val="single" w:sz="2" w:space="0" w:color="A1B0D3"/>
                                <w:right w:val="single" w:sz="2" w:space="0" w:color="A1B0D3"/>
                              </w:divBdr>
                              <w:divsChild>
                                <w:div w:id="299073606">
                                  <w:marLeft w:val="0"/>
                                  <w:marRight w:val="0"/>
                                  <w:marTop w:val="0"/>
                                  <w:marBottom w:val="0"/>
                                  <w:divBdr>
                                    <w:top w:val="none" w:sz="0" w:space="0" w:color="auto"/>
                                    <w:left w:val="none" w:sz="0" w:space="0" w:color="auto"/>
                                    <w:bottom w:val="none" w:sz="0" w:space="0" w:color="auto"/>
                                    <w:right w:val="none" w:sz="0" w:space="0" w:color="auto"/>
                                  </w:divBdr>
                                </w:div>
                                <w:div w:id="299073642">
                                  <w:marLeft w:val="0"/>
                                  <w:marRight w:val="0"/>
                                  <w:marTop w:val="0"/>
                                  <w:marBottom w:val="150"/>
                                  <w:divBdr>
                                    <w:top w:val="none" w:sz="0" w:space="0" w:color="auto"/>
                                    <w:left w:val="none" w:sz="0" w:space="0" w:color="auto"/>
                                    <w:bottom w:val="none" w:sz="0" w:space="0" w:color="auto"/>
                                    <w:right w:val="none" w:sz="0" w:space="0" w:color="auto"/>
                                  </w:divBdr>
                                </w:div>
                                <w:div w:id="299073680">
                                  <w:marLeft w:val="0"/>
                                  <w:marRight w:val="0"/>
                                  <w:marTop w:val="0"/>
                                  <w:marBottom w:val="0"/>
                                  <w:divBdr>
                                    <w:top w:val="none" w:sz="0" w:space="0" w:color="auto"/>
                                    <w:left w:val="none" w:sz="0" w:space="0" w:color="auto"/>
                                    <w:bottom w:val="none" w:sz="0" w:space="0" w:color="auto"/>
                                    <w:right w:val="none" w:sz="0" w:space="0" w:color="auto"/>
                                  </w:divBdr>
                                </w:div>
                              </w:divsChild>
                            </w:div>
                            <w:div w:id="299073640">
                              <w:marLeft w:val="0"/>
                              <w:marRight w:val="0"/>
                              <w:marTop w:val="0"/>
                              <w:marBottom w:val="0"/>
                              <w:divBdr>
                                <w:top w:val="none" w:sz="0" w:space="0" w:color="auto"/>
                                <w:left w:val="single" w:sz="2" w:space="0" w:color="A1B0D3"/>
                                <w:bottom w:val="single" w:sz="2" w:space="0" w:color="A1B0D3"/>
                                <w:right w:val="single" w:sz="2" w:space="0" w:color="A1B0D3"/>
                              </w:divBdr>
                              <w:divsChild>
                                <w:div w:id="299073603">
                                  <w:marLeft w:val="0"/>
                                  <w:marRight w:val="0"/>
                                  <w:marTop w:val="0"/>
                                  <w:marBottom w:val="0"/>
                                  <w:divBdr>
                                    <w:top w:val="none" w:sz="0" w:space="0" w:color="auto"/>
                                    <w:left w:val="none" w:sz="0" w:space="0" w:color="auto"/>
                                    <w:bottom w:val="none" w:sz="0" w:space="0" w:color="auto"/>
                                    <w:right w:val="none" w:sz="0" w:space="0" w:color="auto"/>
                                  </w:divBdr>
                                  <w:divsChild>
                                    <w:div w:id="299073650">
                                      <w:marLeft w:val="0"/>
                                      <w:marRight w:val="0"/>
                                      <w:marTop w:val="0"/>
                                      <w:marBottom w:val="0"/>
                                      <w:divBdr>
                                        <w:top w:val="none" w:sz="0" w:space="0" w:color="auto"/>
                                        <w:left w:val="none" w:sz="0" w:space="0" w:color="auto"/>
                                        <w:bottom w:val="none" w:sz="0" w:space="0" w:color="auto"/>
                                        <w:right w:val="none" w:sz="0" w:space="0" w:color="auto"/>
                                      </w:divBdr>
                                    </w:div>
                                  </w:divsChild>
                                </w:div>
                                <w:div w:id="299073634">
                                  <w:marLeft w:val="0"/>
                                  <w:marRight w:val="0"/>
                                  <w:marTop w:val="0"/>
                                  <w:marBottom w:val="0"/>
                                  <w:divBdr>
                                    <w:top w:val="none" w:sz="0" w:space="0" w:color="auto"/>
                                    <w:left w:val="none" w:sz="0" w:space="0" w:color="auto"/>
                                    <w:bottom w:val="none" w:sz="0" w:space="0" w:color="auto"/>
                                    <w:right w:val="none" w:sz="0" w:space="0" w:color="auto"/>
                                  </w:divBdr>
                                </w:div>
                                <w:div w:id="299073654">
                                  <w:marLeft w:val="0"/>
                                  <w:marRight w:val="0"/>
                                  <w:marTop w:val="0"/>
                                  <w:marBottom w:val="150"/>
                                  <w:divBdr>
                                    <w:top w:val="none" w:sz="0" w:space="0" w:color="auto"/>
                                    <w:left w:val="none" w:sz="0" w:space="0" w:color="auto"/>
                                    <w:bottom w:val="none" w:sz="0" w:space="0" w:color="auto"/>
                                    <w:right w:val="none" w:sz="0" w:space="0" w:color="auto"/>
                                  </w:divBdr>
                                </w:div>
                                <w:div w:id="299073665">
                                  <w:marLeft w:val="0"/>
                                  <w:marRight w:val="0"/>
                                  <w:marTop w:val="0"/>
                                  <w:marBottom w:val="0"/>
                                  <w:divBdr>
                                    <w:top w:val="none" w:sz="0" w:space="0" w:color="auto"/>
                                    <w:left w:val="none" w:sz="0" w:space="0" w:color="auto"/>
                                    <w:bottom w:val="none" w:sz="0" w:space="0" w:color="auto"/>
                                    <w:right w:val="none" w:sz="0" w:space="0" w:color="auto"/>
                                  </w:divBdr>
                                </w:div>
                                <w:div w:id="299073711">
                                  <w:marLeft w:val="0"/>
                                  <w:marRight w:val="0"/>
                                  <w:marTop w:val="0"/>
                                  <w:marBottom w:val="0"/>
                                  <w:divBdr>
                                    <w:top w:val="none" w:sz="0" w:space="0" w:color="auto"/>
                                    <w:left w:val="none" w:sz="0" w:space="0" w:color="auto"/>
                                    <w:bottom w:val="none" w:sz="0" w:space="0" w:color="auto"/>
                                    <w:right w:val="none" w:sz="0" w:space="0" w:color="auto"/>
                                  </w:divBdr>
                                </w:div>
                              </w:divsChild>
                            </w:div>
                            <w:div w:id="299073698">
                              <w:marLeft w:val="0"/>
                              <w:marRight w:val="0"/>
                              <w:marTop w:val="0"/>
                              <w:marBottom w:val="0"/>
                              <w:divBdr>
                                <w:top w:val="none" w:sz="0" w:space="0" w:color="auto"/>
                                <w:left w:val="single" w:sz="2" w:space="0" w:color="A1B0D3"/>
                                <w:bottom w:val="single" w:sz="2" w:space="0" w:color="A1B0D3"/>
                                <w:right w:val="single" w:sz="2" w:space="0" w:color="A1B0D3"/>
                              </w:divBdr>
                              <w:divsChild>
                                <w:div w:id="299073632">
                                  <w:marLeft w:val="0"/>
                                  <w:marRight w:val="0"/>
                                  <w:marTop w:val="0"/>
                                  <w:marBottom w:val="0"/>
                                  <w:divBdr>
                                    <w:top w:val="none" w:sz="0" w:space="0" w:color="auto"/>
                                    <w:left w:val="none" w:sz="0" w:space="0" w:color="auto"/>
                                    <w:bottom w:val="none" w:sz="0" w:space="0" w:color="auto"/>
                                    <w:right w:val="none" w:sz="0" w:space="0" w:color="auto"/>
                                  </w:divBdr>
                                  <w:divsChild>
                                    <w:div w:id="299073645">
                                      <w:marLeft w:val="0"/>
                                      <w:marRight w:val="0"/>
                                      <w:marTop w:val="0"/>
                                      <w:marBottom w:val="0"/>
                                      <w:divBdr>
                                        <w:top w:val="none" w:sz="0" w:space="0" w:color="auto"/>
                                        <w:left w:val="none" w:sz="0" w:space="0" w:color="auto"/>
                                        <w:bottom w:val="none" w:sz="0" w:space="0" w:color="auto"/>
                                        <w:right w:val="none" w:sz="0" w:space="0" w:color="auto"/>
                                      </w:divBdr>
                                    </w:div>
                                  </w:divsChild>
                                </w:div>
                                <w:div w:id="299073647">
                                  <w:marLeft w:val="0"/>
                                  <w:marRight w:val="0"/>
                                  <w:marTop w:val="0"/>
                                  <w:marBottom w:val="0"/>
                                  <w:divBdr>
                                    <w:top w:val="none" w:sz="0" w:space="0" w:color="auto"/>
                                    <w:left w:val="none" w:sz="0" w:space="0" w:color="auto"/>
                                    <w:bottom w:val="none" w:sz="0" w:space="0" w:color="auto"/>
                                    <w:right w:val="none" w:sz="0" w:space="0" w:color="auto"/>
                                  </w:divBdr>
                                </w:div>
                                <w:div w:id="299073648">
                                  <w:marLeft w:val="0"/>
                                  <w:marRight w:val="0"/>
                                  <w:marTop w:val="0"/>
                                  <w:marBottom w:val="0"/>
                                  <w:divBdr>
                                    <w:top w:val="none" w:sz="0" w:space="0" w:color="auto"/>
                                    <w:left w:val="none" w:sz="0" w:space="0" w:color="auto"/>
                                    <w:bottom w:val="none" w:sz="0" w:space="0" w:color="auto"/>
                                    <w:right w:val="none" w:sz="0" w:space="0" w:color="auto"/>
                                  </w:divBdr>
                                </w:div>
                                <w:div w:id="299073692">
                                  <w:marLeft w:val="0"/>
                                  <w:marRight w:val="0"/>
                                  <w:marTop w:val="0"/>
                                  <w:marBottom w:val="0"/>
                                  <w:divBdr>
                                    <w:top w:val="none" w:sz="0" w:space="0" w:color="auto"/>
                                    <w:left w:val="none" w:sz="0" w:space="0" w:color="auto"/>
                                    <w:bottom w:val="none" w:sz="0" w:space="0" w:color="auto"/>
                                    <w:right w:val="none" w:sz="0" w:space="0" w:color="auto"/>
                                  </w:divBdr>
                                </w:div>
                                <w:div w:id="2990736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073717">
      <w:marLeft w:val="0"/>
      <w:marRight w:val="0"/>
      <w:marTop w:val="0"/>
      <w:marBottom w:val="0"/>
      <w:divBdr>
        <w:top w:val="none" w:sz="0" w:space="0" w:color="auto"/>
        <w:left w:val="none" w:sz="0" w:space="0" w:color="auto"/>
        <w:bottom w:val="none" w:sz="0" w:space="0" w:color="auto"/>
        <w:right w:val="none" w:sz="0" w:space="0" w:color="auto"/>
      </w:divBdr>
      <w:divsChild>
        <w:div w:id="299073719">
          <w:marLeft w:val="0"/>
          <w:marRight w:val="0"/>
          <w:marTop w:val="0"/>
          <w:marBottom w:val="0"/>
          <w:divBdr>
            <w:top w:val="none" w:sz="0" w:space="0" w:color="auto"/>
            <w:left w:val="none" w:sz="0" w:space="0" w:color="auto"/>
            <w:bottom w:val="none" w:sz="0" w:space="0" w:color="auto"/>
            <w:right w:val="none" w:sz="0" w:space="0" w:color="auto"/>
          </w:divBdr>
          <w:divsChild>
            <w:div w:id="2990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720">
      <w:marLeft w:val="0"/>
      <w:marRight w:val="0"/>
      <w:marTop w:val="0"/>
      <w:marBottom w:val="0"/>
      <w:divBdr>
        <w:top w:val="none" w:sz="0" w:space="0" w:color="auto"/>
        <w:left w:val="none" w:sz="0" w:space="0" w:color="auto"/>
        <w:bottom w:val="none" w:sz="0" w:space="0" w:color="auto"/>
        <w:right w:val="none" w:sz="0" w:space="0" w:color="auto"/>
      </w:divBdr>
      <w:divsChild>
        <w:div w:id="299073715">
          <w:marLeft w:val="0"/>
          <w:marRight w:val="0"/>
          <w:marTop w:val="0"/>
          <w:marBottom w:val="0"/>
          <w:divBdr>
            <w:top w:val="none" w:sz="0" w:space="0" w:color="auto"/>
            <w:left w:val="none" w:sz="0" w:space="0" w:color="auto"/>
            <w:bottom w:val="none" w:sz="0" w:space="0" w:color="auto"/>
            <w:right w:val="none" w:sz="0" w:space="0" w:color="auto"/>
          </w:divBdr>
          <w:divsChild>
            <w:div w:id="2990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3449">
      <w:bodyDiv w:val="1"/>
      <w:marLeft w:val="0"/>
      <w:marRight w:val="0"/>
      <w:marTop w:val="0"/>
      <w:marBottom w:val="0"/>
      <w:divBdr>
        <w:top w:val="none" w:sz="0" w:space="0" w:color="auto"/>
        <w:left w:val="none" w:sz="0" w:space="0" w:color="auto"/>
        <w:bottom w:val="none" w:sz="0" w:space="0" w:color="auto"/>
        <w:right w:val="none" w:sz="0" w:space="0" w:color="auto"/>
      </w:divBdr>
    </w:div>
    <w:div w:id="800611131">
      <w:bodyDiv w:val="1"/>
      <w:marLeft w:val="0"/>
      <w:marRight w:val="0"/>
      <w:marTop w:val="0"/>
      <w:marBottom w:val="0"/>
      <w:divBdr>
        <w:top w:val="none" w:sz="0" w:space="0" w:color="auto"/>
        <w:left w:val="none" w:sz="0" w:space="0" w:color="auto"/>
        <w:bottom w:val="none" w:sz="0" w:space="0" w:color="auto"/>
        <w:right w:val="none" w:sz="0" w:space="0" w:color="auto"/>
      </w:divBdr>
    </w:div>
    <w:div w:id="853299645">
      <w:bodyDiv w:val="1"/>
      <w:marLeft w:val="0"/>
      <w:marRight w:val="0"/>
      <w:marTop w:val="0"/>
      <w:marBottom w:val="0"/>
      <w:divBdr>
        <w:top w:val="none" w:sz="0" w:space="0" w:color="auto"/>
        <w:left w:val="none" w:sz="0" w:space="0" w:color="auto"/>
        <w:bottom w:val="none" w:sz="0" w:space="0" w:color="auto"/>
        <w:right w:val="none" w:sz="0" w:space="0" w:color="auto"/>
      </w:divBdr>
    </w:div>
    <w:div w:id="1057820147">
      <w:bodyDiv w:val="1"/>
      <w:marLeft w:val="0"/>
      <w:marRight w:val="0"/>
      <w:marTop w:val="0"/>
      <w:marBottom w:val="0"/>
      <w:divBdr>
        <w:top w:val="none" w:sz="0" w:space="0" w:color="auto"/>
        <w:left w:val="none" w:sz="0" w:space="0" w:color="auto"/>
        <w:bottom w:val="none" w:sz="0" w:space="0" w:color="auto"/>
        <w:right w:val="none" w:sz="0" w:space="0" w:color="auto"/>
      </w:divBdr>
    </w:div>
    <w:div w:id="1110246586">
      <w:bodyDiv w:val="1"/>
      <w:marLeft w:val="0"/>
      <w:marRight w:val="0"/>
      <w:marTop w:val="0"/>
      <w:marBottom w:val="0"/>
      <w:divBdr>
        <w:top w:val="none" w:sz="0" w:space="0" w:color="auto"/>
        <w:left w:val="none" w:sz="0" w:space="0" w:color="auto"/>
        <w:bottom w:val="none" w:sz="0" w:space="0" w:color="auto"/>
        <w:right w:val="none" w:sz="0" w:space="0" w:color="auto"/>
      </w:divBdr>
      <w:divsChild>
        <w:div w:id="1838420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172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90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56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992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421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942000">
      <w:bodyDiv w:val="1"/>
      <w:marLeft w:val="0"/>
      <w:marRight w:val="0"/>
      <w:marTop w:val="0"/>
      <w:marBottom w:val="0"/>
      <w:divBdr>
        <w:top w:val="none" w:sz="0" w:space="0" w:color="auto"/>
        <w:left w:val="none" w:sz="0" w:space="0" w:color="auto"/>
        <w:bottom w:val="none" w:sz="0" w:space="0" w:color="auto"/>
        <w:right w:val="none" w:sz="0" w:space="0" w:color="auto"/>
      </w:divBdr>
    </w:div>
    <w:div w:id="1583028314">
      <w:bodyDiv w:val="1"/>
      <w:marLeft w:val="0"/>
      <w:marRight w:val="0"/>
      <w:marTop w:val="0"/>
      <w:marBottom w:val="0"/>
      <w:divBdr>
        <w:top w:val="none" w:sz="0" w:space="0" w:color="auto"/>
        <w:left w:val="none" w:sz="0" w:space="0" w:color="auto"/>
        <w:bottom w:val="none" w:sz="0" w:space="0" w:color="auto"/>
        <w:right w:val="none" w:sz="0" w:space="0" w:color="auto"/>
      </w:divBdr>
    </w:div>
    <w:div w:id="1621915711">
      <w:bodyDiv w:val="1"/>
      <w:marLeft w:val="0"/>
      <w:marRight w:val="0"/>
      <w:marTop w:val="0"/>
      <w:marBottom w:val="0"/>
      <w:divBdr>
        <w:top w:val="none" w:sz="0" w:space="0" w:color="auto"/>
        <w:left w:val="none" w:sz="0" w:space="0" w:color="auto"/>
        <w:bottom w:val="none" w:sz="0" w:space="0" w:color="auto"/>
        <w:right w:val="none" w:sz="0" w:space="0" w:color="auto"/>
      </w:divBdr>
    </w:div>
    <w:div w:id="1894584865">
      <w:bodyDiv w:val="1"/>
      <w:marLeft w:val="0"/>
      <w:marRight w:val="0"/>
      <w:marTop w:val="0"/>
      <w:marBottom w:val="0"/>
      <w:divBdr>
        <w:top w:val="none" w:sz="0" w:space="0" w:color="auto"/>
        <w:left w:val="none" w:sz="0" w:space="0" w:color="auto"/>
        <w:bottom w:val="none" w:sz="0" w:space="0" w:color="auto"/>
        <w:right w:val="none" w:sz="0" w:space="0" w:color="auto"/>
      </w:divBdr>
    </w:div>
    <w:div w:id="1997802787">
      <w:bodyDiv w:val="1"/>
      <w:marLeft w:val="0"/>
      <w:marRight w:val="0"/>
      <w:marTop w:val="0"/>
      <w:marBottom w:val="0"/>
      <w:divBdr>
        <w:top w:val="none" w:sz="0" w:space="0" w:color="auto"/>
        <w:left w:val="none" w:sz="0" w:space="0" w:color="auto"/>
        <w:bottom w:val="none" w:sz="0" w:space="0" w:color="auto"/>
        <w:right w:val="none" w:sz="0" w:space="0" w:color="auto"/>
      </w:divBdr>
      <w:divsChild>
        <w:div w:id="401292155">
          <w:marLeft w:val="0"/>
          <w:marRight w:val="0"/>
          <w:marTop w:val="0"/>
          <w:marBottom w:val="0"/>
          <w:divBdr>
            <w:top w:val="none" w:sz="0" w:space="0" w:color="auto"/>
            <w:left w:val="none" w:sz="0" w:space="0" w:color="auto"/>
            <w:bottom w:val="none" w:sz="0" w:space="0" w:color="auto"/>
            <w:right w:val="none" w:sz="0" w:space="0" w:color="auto"/>
          </w:divBdr>
          <w:divsChild>
            <w:div w:id="1649477623">
              <w:marLeft w:val="0"/>
              <w:marRight w:val="0"/>
              <w:marTop w:val="0"/>
              <w:marBottom w:val="0"/>
              <w:divBdr>
                <w:top w:val="none" w:sz="0" w:space="0" w:color="auto"/>
                <w:left w:val="none" w:sz="0" w:space="0" w:color="auto"/>
                <w:bottom w:val="none" w:sz="0" w:space="0" w:color="auto"/>
                <w:right w:val="none" w:sz="0" w:space="0" w:color="auto"/>
              </w:divBdr>
              <w:divsChild>
                <w:div w:id="694886421">
                  <w:marLeft w:val="0"/>
                  <w:marRight w:val="0"/>
                  <w:marTop w:val="0"/>
                  <w:marBottom w:val="0"/>
                  <w:divBdr>
                    <w:top w:val="none" w:sz="0" w:space="0" w:color="auto"/>
                    <w:left w:val="none" w:sz="0" w:space="0" w:color="auto"/>
                    <w:bottom w:val="none" w:sz="0" w:space="0" w:color="auto"/>
                    <w:right w:val="none" w:sz="0" w:space="0" w:color="auto"/>
                  </w:divBdr>
                  <w:divsChild>
                    <w:div w:id="1761752636">
                      <w:marLeft w:val="0"/>
                      <w:marRight w:val="0"/>
                      <w:marTop w:val="0"/>
                      <w:marBottom w:val="0"/>
                      <w:divBdr>
                        <w:top w:val="none" w:sz="0" w:space="0" w:color="auto"/>
                        <w:left w:val="none" w:sz="0" w:space="0" w:color="auto"/>
                        <w:bottom w:val="none" w:sz="0" w:space="0" w:color="auto"/>
                        <w:right w:val="none" w:sz="0" w:space="0" w:color="auto"/>
                      </w:divBdr>
                      <w:divsChild>
                        <w:div w:id="1596594781">
                          <w:marLeft w:val="0"/>
                          <w:marRight w:val="0"/>
                          <w:marTop w:val="0"/>
                          <w:marBottom w:val="0"/>
                          <w:divBdr>
                            <w:top w:val="none" w:sz="0" w:space="0" w:color="auto"/>
                            <w:left w:val="none" w:sz="0" w:space="0" w:color="auto"/>
                            <w:bottom w:val="none" w:sz="0" w:space="0" w:color="auto"/>
                            <w:right w:val="none" w:sz="0" w:space="0" w:color="auto"/>
                          </w:divBdr>
                          <w:divsChild>
                            <w:div w:id="335228440">
                              <w:marLeft w:val="0"/>
                              <w:marRight w:val="0"/>
                              <w:marTop w:val="0"/>
                              <w:marBottom w:val="0"/>
                              <w:divBdr>
                                <w:top w:val="none" w:sz="0" w:space="0" w:color="auto"/>
                                <w:left w:val="none" w:sz="0" w:space="0" w:color="auto"/>
                                <w:bottom w:val="none" w:sz="0" w:space="0" w:color="auto"/>
                                <w:right w:val="none" w:sz="0" w:space="0" w:color="auto"/>
                              </w:divBdr>
                              <w:divsChild>
                                <w:div w:id="1872301965">
                                  <w:marLeft w:val="0"/>
                                  <w:marRight w:val="0"/>
                                  <w:marTop w:val="0"/>
                                  <w:marBottom w:val="0"/>
                                  <w:divBdr>
                                    <w:top w:val="none" w:sz="0" w:space="0" w:color="auto"/>
                                    <w:left w:val="none" w:sz="0" w:space="0" w:color="auto"/>
                                    <w:bottom w:val="none" w:sz="0" w:space="0" w:color="auto"/>
                                    <w:right w:val="none" w:sz="0" w:space="0" w:color="auto"/>
                                  </w:divBdr>
                                  <w:divsChild>
                                    <w:div w:id="363605121">
                                      <w:marLeft w:val="0"/>
                                      <w:marRight w:val="0"/>
                                      <w:marTop w:val="0"/>
                                      <w:marBottom w:val="0"/>
                                      <w:divBdr>
                                        <w:top w:val="none" w:sz="0" w:space="0" w:color="auto"/>
                                        <w:left w:val="none" w:sz="0" w:space="0" w:color="auto"/>
                                        <w:bottom w:val="none" w:sz="0" w:space="0" w:color="auto"/>
                                        <w:right w:val="none" w:sz="0" w:space="0" w:color="auto"/>
                                      </w:divBdr>
                                      <w:divsChild>
                                        <w:div w:id="1059356361">
                                          <w:marLeft w:val="0"/>
                                          <w:marRight w:val="0"/>
                                          <w:marTop w:val="0"/>
                                          <w:marBottom w:val="0"/>
                                          <w:divBdr>
                                            <w:top w:val="none" w:sz="0" w:space="0" w:color="auto"/>
                                            <w:left w:val="none" w:sz="0" w:space="0" w:color="auto"/>
                                            <w:bottom w:val="none" w:sz="0" w:space="0" w:color="auto"/>
                                            <w:right w:val="none" w:sz="0" w:space="0" w:color="auto"/>
                                          </w:divBdr>
                                          <w:divsChild>
                                            <w:div w:id="1401294961">
                                              <w:marLeft w:val="0"/>
                                              <w:marRight w:val="0"/>
                                              <w:marTop w:val="0"/>
                                              <w:marBottom w:val="0"/>
                                              <w:divBdr>
                                                <w:top w:val="none" w:sz="0" w:space="0" w:color="auto"/>
                                                <w:left w:val="none" w:sz="0" w:space="0" w:color="auto"/>
                                                <w:bottom w:val="none" w:sz="0" w:space="0" w:color="auto"/>
                                                <w:right w:val="none" w:sz="0" w:space="0" w:color="auto"/>
                                              </w:divBdr>
                                              <w:divsChild>
                                                <w:div w:id="449587769">
                                                  <w:marLeft w:val="0"/>
                                                  <w:marRight w:val="0"/>
                                                  <w:marTop w:val="0"/>
                                                  <w:marBottom w:val="0"/>
                                                  <w:divBdr>
                                                    <w:top w:val="none" w:sz="0" w:space="0" w:color="auto"/>
                                                    <w:left w:val="none" w:sz="0" w:space="0" w:color="auto"/>
                                                    <w:bottom w:val="none" w:sz="0" w:space="0" w:color="auto"/>
                                                    <w:right w:val="none" w:sz="0" w:space="0" w:color="auto"/>
                                                  </w:divBdr>
                                                  <w:divsChild>
                                                    <w:div w:id="1706247570">
                                                      <w:marLeft w:val="0"/>
                                                      <w:marRight w:val="0"/>
                                                      <w:marTop w:val="0"/>
                                                      <w:marBottom w:val="0"/>
                                                      <w:divBdr>
                                                        <w:top w:val="none" w:sz="0" w:space="0" w:color="auto"/>
                                                        <w:left w:val="none" w:sz="0" w:space="0" w:color="auto"/>
                                                        <w:bottom w:val="none" w:sz="0" w:space="0" w:color="auto"/>
                                                        <w:right w:val="none" w:sz="0" w:space="0" w:color="auto"/>
                                                      </w:divBdr>
                                                      <w:divsChild>
                                                        <w:div w:id="1705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www.statistics.dnb.nl/index.cgi?lang=nl&amp;todo=Pen2"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tatline.cbs.nl/StatWeb/publication/default.aspx?VW=T&amp;DM=SLNL&amp;PA=37179pfd&amp;D1=0%2c2-4%2c9&amp;D2=a&amp;D3=(l-6)-l&amp;HD=100411-0914&amp;HDR=G2%2cG1%2cT"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statistics.dnb.nl/index.cgi?lang=nl&amp;todo=PenReg" TargetMode="External"/><Relationship Id="rId25" Type="http://schemas.openxmlformats.org/officeDocument/2006/relationships/hyperlink" Target="http://statline.cbs.nl/StatWeb/publication/?VW=T&amp;DM=SLNL&amp;PA=70140ned&amp;LA=NL" TargetMode="External"/><Relationship Id="rId2" Type="http://schemas.openxmlformats.org/officeDocument/2006/relationships/numbering" Target="numbering.xml"/><Relationship Id="rId16" Type="http://schemas.openxmlformats.org/officeDocument/2006/relationships/hyperlink" Target="http://www.iasplus.com/en/standards/standard47" TargetMode="External"/><Relationship Id="rId20" Type="http://schemas.openxmlformats.org/officeDocument/2006/relationships/hyperlink" Target="http://wetten.overheid.nl/BWBR0020809/geldigheidsdatum_04-07-201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afm.nl/~/media/files/rapport/2012/themaonderzoek-staatsobligatie-2012.ashx" TargetMode="External"/><Relationship Id="rId23" Type="http://schemas.openxmlformats.org/officeDocument/2006/relationships/hyperlink" Target="http://www.statistics.dnb.nl/index.cgi?lang=nl&amp;todo=PenReg"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dutchcivillaw.com/legislation/dcctitle2299aa.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etten.overheid.nl/BWBR0018831/volledig/geldigheidsdatum_16-02-2013"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CA3A0-2AC5-4AA3-8479-53BAB3908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85</Pages>
  <Words>25953</Words>
  <Characters>148067</Characters>
  <Application>Microsoft Office Word</Application>
  <DocSecurity>0</DocSecurity>
  <Lines>1233</Lines>
  <Paragraphs>347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realtionship between accounting conservatism and west-European bank performance during the recent financial crisis.</vt:lpstr>
      <vt:lpstr>The realtionship between accounting conservatism and west-European bank performance during the recent financial crisis.</vt:lpstr>
    </vt:vector>
  </TitlesOfParts>
  <Company>Erasmus University Rotterdam</Company>
  <LinksUpToDate>false</LinksUpToDate>
  <CharactersWithSpaces>173673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realtionship between accounting conservatism and west-European bank performance during the recent financial crisis.</dc:title>
  <dc:subject>An empirical study of conservatism in the West-European banking sector</dc:subject>
  <dc:creator>publiek</dc:creator>
  <cp:lastModifiedBy>AB</cp:lastModifiedBy>
  <cp:revision>35</cp:revision>
  <cp:lastPrinted>2013-05-03T18:13:00Z</cp:lastPrinted>
  <dcterms:created xsi:type="dcterms:W3CDTF">2013-05-03T20:00:00Z</dcterms:created>
  <dcterms:modified xsi:type="dcterms:W3CDTF">2013-05-03T21:48:00Z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yTemplate">
    <vt:lpwstr>ONBEKEND</vt:lpwstr>
  </property>
  <property fmtid="{D5CDD505-2E9C-101B-9397-08002B2CF9AE}" pid="3" name="KISLanguage">
    <vt:lpwstr>\ID2004 Engels</vt:lpwstr>
  </property>
  <property fmtid="{D5CDD505-2E9C-101B-9397-08002B2CF9AE}" pid="4" name="KISTemplate">
    <vt:lpwstr>What is the reason that the accounting conservatism principle didn’t succeed in the Dutch banking sector</vt:lpwstr>
  </property>
</Properties>
</file>